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430A6" w14:textId="77777777" w:rsidR="002734BF" w:rsidRDefault="002734BF" w:rsidP="00C67467">
      <w:pPr>
        <w:spacing w:after="0" w:line="240" w:lineRule="auto"/>
        <w:rPr>
          <w:rFonts w:ascii="Times New Roman" w:eastAsia="Times New Roman" w:hAnsi="Times New Roman" w:cs="Times New Roman"/>
          <w:b/>
          <w:bCs/>
          <w:sz w:val="24"/>
          <w:szCs w:val="24"/>
        </w:rPr>
      </w:pPr>
      <w:r w:rsidRPr="00C67467">
        <w:rPr>
          <w:rFonts w:ascii="Times New Roman" w:eastAsia="Times New Roman" w:hAnsi="Times New Roman" w:cs="Times New Roman"/>
          <w:b/>
          <w:bCs/>
          <w:sz w:val="24"/>
          <w:szCs w:val="24"/>
        </w:rPr>
        <w:t>Review Article</w:t>
      </w:r>
    </w:p>
    <w:p w14:paraId="79DAD6F8" w14:textId="77777777" w:rsidR="00B3080C" w:rsidRPr="00C67467" w:rsidRDefault="00B3080C" w:rsidP="00C67467">
      <w:pPr>
        <w:spacing w:after="0" w:line="240" w:lineRule="auto"/>
        <w:rPr>
          <w:rFonts w:ascii="Times New Roman" w:eastAsia="Times New Roman" w:hAnsi="Times New Roman" w:cs="Times New Roman"/>
          <w:b/>
          <w:bCs/>
          <w:sz w:val="24"/>
          <w:szCs w:val="24"/>
        </w:rPr>
      </w:pPr>
    </w:p>
    <w:p w14:paraId="5A1054A9" w14:textId="67D858ED" w:rsidR="006222E8" w:rsidRPr="00C67467" w:rsidRDefault="006222E8" w:rsidP="00C67467">
      <w:pPr>
        <w:spacing w:after="0" w:line="240" w:lineRule="auto"/>
        <w:rPr>
          <w:rFonts w:ascii="Times New Roman" w:eastAsia="Times New Roman" w:hAnsi="Times New Roman" w:cs="Times New Roman"/>
          <w:b/>
          <w:bCs/>
          <w:sz w:val="24"/>
          <w:szCs w:val="24"/>
        </w:rPr>
      </w:pPr>
      <w:r w:rsidRPr="00C67467">
        <w:rPr>
          <w:rFonts w:ascii="Times New Roman" w:eastAsia="Times New Roman" w:hAnsi="Times New Roman" w:cs="Times New Roman"/>
          <w:b/>
          <w:bCs/>
          <w:sz w:val="24"/>
          <w:szCs w:val="24"/>
        </w:rPr>
        <w:t>“Immuno-Oncology from a Chemist’s Lens: Small Molecules Modulating the Tumor Immune Microenvironment.”</w:t>
      </w:r>
    </w:p>
    <w:p w14:paraId="71D8582F" w14:textId="13BBE5FC" w:rsidR="00C67467" w:rsidRPr="00C67467" w:rsidRDefault="00C67467" w:rsidP="00C67467">
      <w:pPr>
        <w:spacing w:after="0" w:line="240" w:lineRule="auto"/>
        <w:rPr>
          <w:rFonts w:ascii="Times New Roman" w:eastAsia="Times New Roman" w:hAnsi="Times New Roman" w:cs="Times New Roman"/>
          <w:sz w:val="24"/>
          <w:szCs w:val="24"/>
        </w:rPr>
      </w:pPr>
    </w:p>
    <w:p w14:paraId="5F27482A" w14:textId="2BB63AE6" w:rsidR="002D476C" w:rsidRPr="00C67467" w:rsidRDefault="002D476C" w:rsidP="002D476C">
      <w:pPr>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 xml:space="preserve"> </w:t>
      </w:r>
    </w:p>
    <w:p w14:paraId="7A1847A2" w14:textId="77777777" w:rsidR="006222E8" w:rsidRPr="006222E8" w:rsidRDefault="006222E8" w:rsidP="006222E8">
      <w:pPr>
        <w:spacing w:before="100" w:beforeAutospacing="1" w:after="100" w:afterAutospacing="1" w:line="240" w:lineRule="auto"/>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Abstract</w:t>
      </w:r>
    </w:p>
    <w:p w14:paraId="5034C1E4" w14:textId="1B17AC9F" w:rsidR="006222E8" w:rsidRPr="006222E8" w:rsidRDefault="006222E8" w:rsidP="002734BF">
      <w:pPr>
        <w:spacing w:after="0" w:line="240" w:lineRule="auto"/>
        <w:jc w:val="both"/>
        <w:rPr>
          <w:rFonts w:ascii="Times New Roman" w:eastAsia="Times New Roman" w:hAnsi="Times New Roman" w:cs="Times New Roman"/>
          <w:sz w:val="24"/>
          <w:szCs w:val="24"/>
        </w:rPr>
      </w:pPr>
      <w:r w:rsidRPr="006222E8">
        <w:rPr>
          <w:rFonts w:ascii="Times New Roman" w:eastAsia="Times New Roman" w:hAnsi="Times New Roman" w:cs="Times New Roman"/>
          <w:sz w:val="24"/>
          <w:szCs w:val="24"/>
        </w:rPr>
        <w:t xml:space="preserve">Immuno-oncology (IO) has changed the way we treat cancer by using the immune system to find and kill cancer cells. The main idea behind this method is to change the tumor immune microenvironment (TIME), which is a complicated ecosystem made up of immune, stromal, and malignant cells that are controlled by complicated signaling networks. Biologics like monoclonal antibodies and CAR-T cells have shown to be quite effective against specific malignancies, but they are not very useful in the clinic since they have trouble getting into tumors, are hard to make, are toxic to the whole body, and don't work on a wide range of immunological targets. </w:t>
      </w:r>
      <w:r w:rsidRPr="006222E8">
        <w:rPr>
          <w:rFonts w:ascii="Times New Roman" w:eastAsia="Times New Roman" w:hAnsi="Times New Roman" w:cs="Times New Roman"/>
          <w:sz w:val="24"/>
          <w:szCs w:val="24"/>
        </w:rPr>
        <w:br/>
        <w:t xml:space="preserve">In this situation, tiny molecules have become important and useful instruments in IO. They are useful for changing immunological activity within the TIME because they have advantages including being able to be taken orally, being able to be made in different ways, having adjustable pharmacokinetics, and being able to affect both intracellular and allosteric targets. This study looks at the world of small molecules in IO, including immune checkpoint inhibitors (like PD-1/PD-L1 antagonists), STING and TLR agonists, metabolic </w:t>
      </w:r>
      <w:proofErr w:type="spellStart"/>
      <w:r w:rsidRPr="006222E8">
        <w:rPr>
          <w:rFonts w:ascii="Times New Roman" w:eastAsia="Times New Roman" w:hAnsi="Times New Roman" w:cs="Times New Roman"/>
          <w:sz w:val="24"/>
          <w:szCs w:val="24"/>
        </w:rPr>
        <w:t>reprogrammers</w:t>
      </w:r>
      <w:proofErr w:type="spellEnd"/>
      <w:r w:rsidRPr="006222E8">
        <w:rPr>
          <w:rFonts w:ascii="Times New Roman" w:eastAsia="Times New Roman" w:hAnsi="Times New Roman" w:cs="Times New Roman"/>
          <w:sz w:val="24"/>
          <w:szCs w:val="24"/>
        </w:rPr>
        <w:t xml:space="preserve"> (such IDO1 and A2A receptor inhibitors), and drugs that change the way immunosuppressive cells like TAMs and Tregs work. We also talk about new types of drugs, like covalent inhibitors, PROTACs, and delivery methods that respond to stimuli.</w:t>
      </w:r>
      <w:r w:rsidR="002734BF">
        <w:rPr>
          <w:rFonts w:ascii="Times New Roman" w:eastAsia="Times New Roman" w:hAnsi="Times New Roman" w:cs="Times New Roman"/>
          <w:sz w:val="24"/>
          <w:szCs w:val="24"/>
        </w:rPr>
        <w:t xml:space="preserve"> </w:t>
      </w:r>
      <w:r w:rsidRPr="006222E8">
        <w:rPr>
          <w:rFonts w:ascii="Times New Roman" w:eastAsia="Times New Roman" w:hAnsi="Times New Roman" w:cs="Times New Roman"/>
          <w:sz w:val="24"/>
          <w:szCs w:val="24"/>
        </w:rPr>
        <w:t>Even if there have been some encouraging breakthroughs, there are still big problems to solve, such as systemic toxicity, immune evasion, and tumor heterogeneity. To solve these problems, chemistry, immunology, and clinical science will need to work together. With ongoing research and development, small molecules are likely to become key parts of precision immunotherapy, opening up new ways to treat cancer that last and are tailored to each patient.</w:t>
      </w:r>
    </w:p>
    <w:p w14:paraId="15806510" w14:textId="77777777" w:rsidR="006222E8" w:rsidRPr="006222E8" w:rsidRDefault="006222E8" w:rsidP="006222E8">
      <w:pPr>
        <w:spacing w:before="100" w:beforeAutospacing="1" w:after="100" w:afterAutospacing="1" w:line="240" w:lineRule="auto"/>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1. Introduction</w:t>
      </w:r>
    </w:p>
    <w:p w14:paraId="4C4149F2" w14:textId="77777777" w:rsidR="004579A3"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The tumor immune microenvironment (TIME) is a dynamic and highly organized cellular and molecular environment that plays a key role in how tumors grow, how well they respond to treatment, and how well the immune system can detect them</w:t>
      </w:r>
      <w:r w:rsidR="00131163">
        <w:rPr>
          <w:rFonts w:ascii="Times New Roman" w:eastAsia="Times New Roman" w:hAnsi="Times New Roman" w:cs="Times New Roman"/>
          <w:sz w:val="24"/>
          <w:szCs w:val="24"/>
        </w:rPr>
        <w:t xml:space="preserve"> (</w:t>
      </w:r>
      <w:r w:rsidR="00131163">
        <w:rPr>
          <w:rFonts w:ascii="Times New Roman" w:eastAsia="Times New Roman" w:hAnsi="Times New Roman" w:cs="Times New Roman"/>
          <w:b/>
          <w:bCs/>
          <w:sz w:val="24"/>
          <w:szCs w:val="24"/>
        </w:rPr>
        <w:t>Figure 1)</w:t>
      </w:r>
      <w:r w:rsidRPr="00151DA1">
        <w:rPr>
          <w:rFonts w:ascii="Times New Roman" w:eastAsia="Times New Roman" w:hAnsi="Times New Roman" w:cs="Times New Roman"/>
          <w:sz w:val="24"/>
          <w:szCs w:val="24"/>
        </w:rPr>
        <w:t>. The TIME is made up of a wide range of immune cell subsets, such as T lymphocytes, regulatory T cells (Tregs), myeloid-derived suppressor cells (MDSCs), tumor-associated macrophages (TAMs), and dendritic cells (DCs). It also has a complicated network of cytokines, chemokines, and immunomodulatory metabolites. The TIME is not just a passive bystander; it is also an active participant in shaping the course of oncogenesis. Immunological "cold" cancers, which include signaling that suppresses the immune system and cells that are kept out of the tumor, are generally resistant to standard treatments</w:t>
      </w:r>
      <w:r w:rsidR="004579A3">
        <w:rPr>
          <w:rFonts w:ascii="Times New Roman" w:eastAsia="Times New Roman" w:hAnsi="Times New Roman" w:cs="Times New Roman"/>
          <w:sz w:val="24"/>
          <w:szCs w:val="24"/>
        </w:rPr>
        <w:fldChar w:fldCharType="begin"/>
      </w:r>
      <w:r w:rsidR="004579A3">
        <w:rPr>
          <w:rFonts w:ascii="Times New Roman" w:eastAsia="Times New Roman" w:hAnsi="Times New Roman" w:cs="Times New Roman"/>
          <w:sz w:val="24"/>
          <w:szCs w:val="24"/>
        </w:rPr>
        <w:instrText xml:space="preserve"> ADDIN ZOTERO_ITEM CSL_CITATION {"citationID":"ZbQwTF04","properties":{"formattedCitation":"[1]","plainCitation":"[1]","noteIndex":0},"citationItems":[{"id":5089,"uris":["http://zotero.org/users/16652950/items/4CR4LIR3"],"itemData":{"id":5089,"type":"article-journal","abstract":"Tumor-associated myeloid cells constitute a series of plastic and heterogeneous cell populations within the tumor microenvironment (TME), and exhibit different phenotypes and functions in response to various microenvironmental signals. In light of promising preclinical data indicating that myeloid-based therapy can effectively suppress tumor growth, a series of novel immune-based therapies and approaches are currently undergoing clinical evaluation. A better understanding of the diversity and functional roles of different myeloid cell subtypes and of how they are associated with TME remodeling may help to improve cancer therapy. Herein, we focus on myeloid cells and discuss how tumor cells can simultaneously reprogram these cells through tumor-derived factors and metabolites. In addition, we discuss the interactions between myeloid cells and other cells in the TME that have the potential to directly or indirectly regulate tumor initiation, invasion, or angiogenesis. We further discuss the current and future potential applications of myeloid cells in the development of focused therapeutic strategies in cancer treatment.","container-title":"Medical Review","DOI":"10.1515/mr-2021-0014","ISSN":"2097-0773","issue":"2","journalAbbreviation":"Med Rev (2021)","note":"PMID: 37724296\nPMCID: PMC10388790","page":"222-243","source":"PubMed Central","title":"Tumor-associated macrophages, dendritic cells, and neutrophils: biological roles, crosstalk, and therapeutic relevance","title-short":"Tumor-associated macrophages, dendritic cells, and neutrophils","volume":"1","author":[{"family":"Shen","given":"Mingyi"},{"family":"Du","given":"Yanhua"},{"family":"Ye","given":"Youqiong"}]}}],"schema":"https://github.com/citation-style-language/schema/raw/master/csl-citation.json"} </w:instrText>
      </w:r>
      <w:r w:rsidR="004579A3">
        <w:rPr>
          <w:rFonts w:ascii="Times New Roman" w:eastAsia="Times New Roman" w:hAnsi="Times New Roman" w:cs="Times New Roman"/>
          <w:sz w:val="24"/>
          <w:szCs w:val="24"/>
        </w:rPr>
        <w:fldChar w:fldCharType="separate"/>
      </w:r>
      <w:r w:rsidR="004579A3" w:rsidRPr="004579A3">
        <w:rPr>
          <w:rFonts w:ascii="Times New Roman" w:hAnsi="Times New Roman" w:cs="Times New Roman"/>
          <w:sz w:val="24"/>
        </w:rPr>
        <w:t>[1]</w:t>
      </w:r>
      <w:r w:rsidR="004579A3">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On the other hand, "hot" tumors, which have a lot of immune cells in them, have a better prognosis and are more likely to respond to treatment. So, changing the TIME from a state </w:t>
      </w:r>
      <w:r w:rsidRPr="00151DA1">
        <w:rPr>
          <w:rFonts w:ascii="Times New Roman" w:eastAsia="Times New Roman" w:hAnsi="Times New Roman" w:cs="Times New Roman"/>
          <w:sz w:val="24"/>
          <w:szCs w:val="24"/>
        </w:rPr>
        <w:lastRenderedPageBreak/>
        <w:t>that suppresses the immune system to one that boosts it is still a big problem and chance in modern oncology</w:t>
      </w:r>
      <w:r w:rsidR="004579A3">
        <w:rPr>
          <w:rFonts w:ascii="Times New Roman" w:eastAsia="Times New Roman" w:hAnsi="Times New Roman" w:cs="Times New Roman"/>
          <w:sz w:val="24"/>
          <w:szCs w:val="24"/>
        </w:rPr>
        <w:fldChar w:fldCharType="begin"/>
      </w:r>
      <w:r w:rsidR="004579A3">
        <w:rPr>
          <w:rFonts w:ascii="Times New Roman" w:eastAsia="Times New Roman" w:hAnsi="Times New Roman" w:cs="Times New Roman"/>
          <w:sz w:val="24"/>
          <w:szCs w:val="24"/>
        </w:rPr>
        <w:instrText xml:space="preserve"> ADDIN ZOTERO_ITEM CSL_CITATION {"citationID":"vp7ZKXpP","properties":{"formattedCitation":"[2]","plainCitation":"[2]","noteIndex":0},"citationItems":[{"id":5092,"uris":["http://zotero.org/users/16652950/items/QQKHKXJB"],"itemData":{"id":5092,"type":"article-journal","abstract":"Nowadays, immunotherapy is one of the most promising anti-tumor therapeutic strategy. Specifically, immune-related targets can be used to predict the efficacy and side effects of immunotherapy and monitor the tumor immune response. In the past few decades, increasing numbers of novel immune biomarkers have been found to participate in certain links of the tumor immunity to contribute to the formation of immunosuppression and have entered clinical trials. Here, we systematically reviewed the oncogenesis and progression of cancer in the view of anti-tumor immunity, particularly in terms of tumor antigen expression (related to tumor immunogenicity) and tumor innate immunity to complement the cancer-immune cycle. From the perspective of integrated management of chronic cancer, we also appraised emerging factors affecting tumor immunity (including metabolic, microbial, and exercise-related markers). We finally summarized the clinical studies and applications based on immune biomarkers. Overall, immune biomarkers participate in promoting the development of more precise and individualized immunotherapy by predicting, monitoring, and regulating tumor immune response. Therefore, targeting immune biomarkers may lead to the development of innovative clinical applications.","container-title":"Biomarker Research","DOI":"10.1186/s40364-024-00599-5","ISSN":"2050-7771","journalAbbreviation":"Biomark Res","note":"PMID: 38816871\nPMCID: PMC11137916","page":"51","source":"PubMed Central","title":"The war between the immune system and the tumor - using immune biomarkers as tracers","volume":"12","author":[{"family":"Yang","given":"Kai"},{"family":"Lu","given":"Rongrong"},{"family":"Mei","given":"Jie"},{"family":"Cao","given":"Kai"},{"family":"Zeng","given":"Tianyu"},{"family":"Hua","given":"Yijia"},{"family":"Huang","given":"Xiang"},{"family":"Li","given":"Wei"},{"family":"Yin","given":"Yongmei"}],"issued":{"date-parts":[["2024",5,30]]}}}],"schema":"https://github.com/citation-style-language/schema/raw/master/csl-citation.json"} </w:instrText>
      </w:r>
      <w:r w:rsidR="004579A3">
        <w:rPr>
          <w:rFonts w:ascii="Times New Roman" w:eastAsia="Times New Roman" w:hAnsi="Times New Roman" w:cs="Times New Roman"/>
          <w:sz w:val="24"/>
          <w:szCs w:val="24"/>
        </w:rPr>
        <w:fldChar w:fldCharType="separate"/>
      </w:r>
      <w:r w:rsidR="004579A3" w:rsidRPr="004579A3">
        <w:rPr>
          <w:rFonts w:ascii="Times New Roman" w:hAnsi="Times New Roman" w:cs="Times New Roman"/>
          <w:sz w:val="24"/>
        </w:rPr>
        <w:t>[2]</w:t>
      </w:r>
      <w:r w:rsidR="004579A3">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718F0BF7" w14:textId="44BDD7E6" w:rsidR="00151DA1" w:rsidRPr="00151DA1"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t>Immuno-oncology (IO) has changed cancer treatment in the last ten years, and immune checkpoint inhibitors, especially monoclonal antibodies that target PD-1, PD-L1, and CTLA-4, have had more clinical success than ever before. Biologic drugs do have several drawbacks, though, that make them less effective: they don't penetrate tumors well because their molecules are so huge, they can't be taken by mouth, they can cause immune reactions, their manufacturing procedures are complicated, and they don't spread well through tissues</w:t>
      </w:r>
      <w:r w:rsidR="004579A3">
        <w:rPr>
          <w:rFonts w:ascii="Times New Roman" w:eastAsia="Times New Roman" w:hAnsi="Times New Roman" w:cs="Times New Roman"/>
          <w:sz w:val="24"/>
          <w:szCs w:val="24"/>
        </w:rPr>
        <w:fldChar w:fldCharType="begin"/>
      </w:r>
      <w:r w:rsidR="004579A3">
        <w:rPr>
          <w:rFonts w:ascii="Times New Roman" w:eastAsia="Times New Roman" w:hAnsi="Times New Roman" w:cs="Times New Roman"/>
          <w:sz w:val="24"/>
          <w:szCs w:val="24"/>
        </w:rPr>
        <w:instrText xml:space="preserve"> ADDIN ZOTERO_ITEM CSL_CITATION {"citationID":"bfn4MotC","properties":{"formattedCitation":"[3]","plainCitation":"[3]","noteIndex":0},"citationItems":[{"id":5095,"uris":["http://zotero.org/users/16652950/items/69XG4HXI"],"itemData":{"id":5095,"type":"article-journal","abstract":"Over the years, immune checkpoint inhibitors (CPIs) have become a powerful treatment strategy in the field of cancer immunotherapy. In the last decade, the number of FDA-approved CPIs has been increasing prominently, opening new horizons for the treatment of a wide range of tumor types. Pointedly, three immune checkpoint molecules have been under extensive research, which include cytotoxic T-lymphocyte-associated protein 4 (CTLA-4) and programmed cell death protein-1 (PD-1) and its ligand-1 (PD-L1). Despite remarkable success, not all patients respond positively to therapy, which highlights the complexity of the tumor microenvironment (TME) and immune system. This has led to the identification of molecular biomarkers to predict response and toxicity. In addition, there has been an emerging focus on developing new delivery and targeting approaches for better drug efficacy and potency. In this review, we highlight the mechanism of action of major CPIs, their clinical impact, variation in effectiveness, response prediction, updated clinical indications, current challenges and limitations, promising novel approaches, and future directions.","container-title":"Clinics and Practice","DOI":"10.3390/clinpract13010003","ISSN":"2039-7275","issue":"1","journalAbbreviation":"Clin Pract","note":"PMID: 36648843\nPMCID: PMC9844484","page":"22-40","source":"PubMed Central","title":"The Role of Immune Checkpoint Inhibitors in Cancer Therapy","volume":"13","author":[{"family":"Basudan","given":"Ahmed M."}],"issued":{"date-parts":[["2022",12,27]]}}}],"schema":"https://github.com/citation-style-language/schema/raw/master/csl-citation.json"} </w:instrText>
      </w:r>
      <w:r w:rsidR="004579A3">
        <w:rPr>
          <w:rFonts w:ascii="Times New Roman" w:eastAsia="Times New Roman" w:hAnsi="Times New Roman" w:cs="Times New Roman"/>
          <w:sz w:val="24"/>
          <w:szCs w:val="24"/>
        </w:rPr>
        <w:fldChar w:fldCharType="separate"/>
      </w:r>
      <w:r w:rsidR="004579A3" w:rsidRPr="004579A3">
        <w:rPr>
          <w:rFonts w:ascii="Times New Roman" w:hAnsi="Times New Roman" w:cs="Times New Roman"/>
          <w:sz w:val="24"/>
        </w:rPr>
        <w:t>[3]</w:t>
      </w:r>
      <w:r w:rsidR="004579A3">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Also, long-lasting responses are still only seen in a small group of patients, which shows how important it is to find new or additional treatments that can change the immunological environment of tumors.</w:t>
      </w:r>
      <w:r w:rsidRPr="00151DA1">
        <w:rPr>
          <w:rFonts w:ascii="Times New Roman" w:eastAsia="Times New Roman" w:hAnsi="Times New Roman" w:cs="Times New Roman"/>
          <w:sz w:val="24"/>
          <w:szCs w:val="24"/>
        </w:rPr>
        <w:br/>
        <w:t>This is a one-of-a-kind and underused chance for synthetic chemistry. Small molecules have long been thought to be the key to new drugs</w:t>
      </w:r>
      <w:r w:rsidR="004579A3">
        <w:rPr>
          <w:rFonts w:ascii="Times New Roman" w:eastAsia="Times New Roman" w:hAnsi="Times New Roman" w:cs="Times New Roman"/>
          <w:sz w:val="24"/>
          <w:szCs w:val="24"/>
        </w:rPr>
        <w:fldChar w:fldCharType="begin"/>
      </w:r>
      <w:r w:rsidR="004579A3">
        <w:rPr>
          <w:rFonts w:ascii="Times New Roman" w:eastAsia="Times New Roman" w:hAnsi="Times New Roman" w:cs="Times New Roman"/>
          <w:sz w:val="24"/>
          <w:szCs w:val="24"/>
        </w:rPr>
        <w:instrText xml:space="preserve"> ADDIN ZOTERO_ITEM CSL_CITATION {"citationID":"hu54LQk7","properties":{"formattedCitation":"[4]","plainCitation":"[4]","noteIndex":0},"citationItems":[{"id":5098,"uris":["http://zotero.org/users/16652950/items/Q3W9MP4U"],"itemData":{"id":5098,"type":"article-journal","abstract":"Cancer treatment faces many hurdles and resistance is one among them. Anti-cancer treatment strategies are evolving due to innate and acquired resistance capacity, governed by genetic, epigenetic, proteomic, metabolic, or microenvironmental cues ...","container-title":"Cell Communication and Signaling : CCS","DOI":"10.1186/s12964-023-01302-1","language":"en","note":"PMID: 38347575","page":"109","source":"pmc.ncbi.nlm.nih.gov","title":"Unveiling the mechanisms and challenges of cancer drug resistance","volume":"22","author":[{"family":"Khan","given":"Sameer Ullah"},{"family":"Fatima","given":"Kaneez"},{"family":"Aisha","given":"Shariqa"},{"family":"Malik","given":"Fayaz"}],"issued":{"date-parts":[["2024",2,12]]}}}],"schema":"https://github.com/citation-style-language/schema/raw/master/csl-citation.json"} </w:instrText>
      </w:r>
      <w:r w:rsidR="004579A3">
        <w:rPr>
          <w:rFonts w:ascii="Times New Roman" w:eastAsia="Times New Roman" w:hAnsi="Times New Roman" w:cs="Times New Roman"/>
          <w:sz w:val="24"/>
          <w:szCs w:val="24"/>
        </w:rPr>
        <w:fldChar w:fldCharType="separate"/>
      </w:r>
      <w:r w:rsidR="004579A3" w:rsidRPr="004579A3">
        <w:rPr>
          <w:rFonts w:ascii="Times New Roman" w:hAnsi="Times New Roman" w:cs="Times New Roman"/>
          <w:sz w:val="24"/>
        </w:rPr>
        <w:t>[4]</w:t>
      </w:r>
      <w:r w:rsidR="004579A3">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They have some advantages over biologics, such as being modular, having configurable physicochemical qualities, being able to penetrate tissues better, and being able to be taken by mouth. Chemists are in a unique position to create and make chemicals that specifically change immunological pathways, either by directly interacting with immune checkpoints or by changing the way biological components work within the TIME</w:t>
      </w:r>
      <w:r w:rsidR="001C5D8E">
        <w:rPr>
          <w:rFonts w:ascii="Times New Roman" w:eastAsia="Times New Roman" w:hAnsi="Times New Roman" w:cs="Times New Roman"/>
          <w:sz w:val="24"/>
          <w:szCs w:val="24"/>
        </w:rPr>
        <w:fldChar w:fldCharType="begin"/>
      </w:r>
      <w:r w:rsidR="001C5D8E">
        <w:rPr>
          <w:rFonts w:ascii="Times New Roman" w:eastAsia="Times New Roman" w:hAnsi="Times New Roman" w:cs="Times New Roman"/>
          <w:sz w:val="24"/>
          <w:szCs w:val="24"/>
        </w:rPr>
        <w:instrText xml:space="preserve"> ADDIN ZOTERO_ITEM CSL_CITATION {"citationID":"KMpTFhUZ","properties":{"formattedCitation":"[5]","plainCitation":"[5]","noteIndex":0},"citationItems":[{"id":5101,"uris":["http://zotero.org/users/16652950/items/YC6XLA6D"],"itemData":{"id":5101,"type":"article-journal","abstract":"Lipid nanoparticles (LNPs) have gained prominence as primary carriers for delivering a diverse array of therapeutic agents. Biological products have achieved a solid presence in clinical settings, and the anticipation of creating novel variants is increasing. These products predominantly encompass therapeutic proteins, nucleic acids and messenger RNA. The advancement of efficient LNP-based delivery systems for biologics that can overcome their limitations remains a highly favorable formulation strategy. Moreover, given their small size, biocompatibility, and biodegradation, LNPs can proficiently transport therapeutic moiety into the cells without significant toxicity and adverse reactions. This is especially crucial for the existing and upcoming biopharmaceuticals since large molecules as a group present several challenges that can be overcome by LNPs. This review describes the LNP technology for the delivery of biologics and summarizes the developments in the chemistry, manufacturing, and characterization of lipids used in the development of LNPs for biologics. Finally, we present a perspective on the potential opportunities and the current challenges pertaining to LNP technology.","container-title":"Pharmaceutics","DOI":"10.3390/pharmaceutics16010131","ISSN":"1999-4923","issue":"1","journalAbbreviation":"Pharmaceutics","note":"PMID: 38276502\nPMCID: PMC10819224","page":"131","source":"PubMed Central","title":"Chemistry and Art of Developing Lipid Nanoparticles for Biologics Delivery: Focus on Development and Scale-Up","title-short":"Chemistry and Art of Developing Lipid Nanoparticles for Biologics Delivery","volume":"16","author":[{"family":"John","given":"Rijo"},{"family":"Monpara","given":"Jasmin"},{"family":"Swaminathan","given":"Shankar"},{"family":"Kalhapure","given":"Rahul"}],"issued":{"date-parts":[["2024",1,19]]}}}],"schema":"https://github.com/citation-style-language/schema/raw/master/csl-citation.json"} </w:instrText>
      </w:r>
      <w:r w:rsidR="001C5D8E">
        <w:rPr>
          <w:rFonts w:ascii="Times New Roman" w:eastAsia="Times New Roman" w:hAnsi="Times New Roman" w:cs="Times New Roman"/>
          <w:sz w:val="24"/>
          <w:szCs w:val="24"/>
        </w:rPr>
        <w:fldChar w:fldCharType="separate"/>
      </w:r>
      <w:r w:rsidR="001C5D8E" w:rsidRPr="001C5D8E">
        <w:rPr>
          <w:rFonts w:ascii="Times New Roman" w:hAnsi="Times New Roman" w:cs="Times New Roman"/>
          <w:sz w:val="24"/>
        </w:rPr>
        <w:t>[5]</w:t>
      </w:r>
      <w:r w:rsidR="001C5D8E">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Also, new chemical biology tools like </w:t>
      </w:r>
      <w:proofErr w:type="spellStart"/>
      <w:r w:rsidRPr="00151DA1">
        <w:rPr>
          <w:rFonts w:ascii="Times New Roman" w:eastAsia="Times New Roman" w:hAnsi="Times New Roman" w:cs="Times New Roman"/>
          <w:sz w:val="24"/>
          <w:szCs w:val="24"/>
        </w:rPr>
        <w:t>bioorthogonal</w:t>
      </w:r>
      <w:proofErr w:type="spellEnd"/>
      <w:r w:rsidRPr="00151DA1">
        <w:rPr>
          <w:rFonts w:ascii="Times New Roman" w:eastAsia="Times New Roman" w:hAnsi="Times New Roman" w:cs="Times New Roman"/>
          <w:sz w:val="24"/>
          <w:szCs w:val="24"/>
        </w:rPr>
        <w:t xml:space="preserve"> conjugation strategies, proteolysis-targeting chimeras (PROTACs), and photochemical activation</w:t>
      </w:r>
      <w:r w:rsidR="00131163">
        <w:rPr>
          <w:rFonts w:ascii="Times New Roman" w:eastAsia="Times New Roman" w:hAnsi="Times New Roman" w:cs="Times New Roman"/>
          <w:sz w:val="24"/>
          <w:szCs w:val="24"/>
        </w:rPr>
        <w:t xml:space="preserve"> (</w:t>
      </w:r>
      <w:r w:rsidR="00131163">
        <w:rPr>
          <w:rFonts w:ascii="Times New Roman" w:eastAsia="Times New Roman" w:hAnsi="Times New Roman" w:cs="Times New Roman"/>
          <w:b/>
          <w:bCs/>
          <w:sz w:val="24"/>
          <w:szCs w:val="24"/>
        </w:rPr>
        <w:t>Figure 3</w:t>
      </w:r>
      <w:r w:rsidR="00131163">
        <w:rPr>
          <w:rFonts w:ascii="Times New Roman" w:eastAsia="Times New Roman" w:hAnsi="Times New Roman" w:cs="Times New Roman"/>
          <w:sz w:val="24"/>
          <w:szCs w:val="24"/>
        </w:rPr>
        <w:t>)</w:t>
      </w:r>
      <w:r w:rsidRPr="00151DA1">
        <w:rPr>
          <w:rFonts w:ascii="Times New Roman" w:eastAsia="Times New Roman" w:hAnsi="Times New Roman" w:cs="Times New Roman"/>
          <w:sz w:val="24"/>
          <w:szCs w:val="24"/>
        </w:rPr>
        <w:t xml:space="preserve"> have made it possible to manipulate immune modulation in ways that were never possible before</w:t>
      </w:r>
      <w:r w:rsidR="001C5D8E">
        <w:rPr>
          <w:rFonts w:ascii="Times New Roman" w:eastAsia="Times New Roman" w:hAnsi="Times New Roman" w:cs="Times New Roman"/>
          <w:sz w:val="24"/>
          <w:szCs w:val="24"/>
        </w:rPr>
        <w:fldChar w:fldCharType="begin"/>
      </w:r>
      <w:r w:rsidR="001C5D8E">
        <w:rPr>
          <w:rFonts w:ascii="Times New Roman" w:eastAsia="Times New Roman" w:hAnsi="Times New Roman" w:cs="Times New Roman"/>
          <w:sz w:val="24"/>
          <w:szCs w:val="24"/>
        </w:rPr>
        <w:instrText xml:space="preserve"> ADDIN ZOTERO_ITEM CSL_CITATION {"citationID":"9IP1vG8R","properties":{"formattedCitation":"[6]","plainCitation":"[6]","noteIndex":0},"citationItems":[{"id":5104,"uris":["http://zotero.org/users/16652950/items/Q2PYTK4A"],"itemData":{"id":5104,"type":"article-journal","abstract":"Proteolysis Targeting Chimeras (PROTACs), an emerging therapeutic entity designed to degrade target proteins by hijacking the ubiquitin-proteasome system, have the potential to revolutionize the healthcare industry. The broad applicability of this protein degradation strategy has been verified with a few E3 ligases and a variety of distinct targets through the construction of modular chimeric structures. Despite recent efforts to promote the use of PROTACs for clinical applications, most PROTACs do not make it beyond the preclinical stage of drug development. There are several reasons that prevent PROTACs from reaching the market, and the inadequate delivery to the target site is one of the most challenging hurdles. With the increasing need for accelerating the translational process, combining the concepts of PROTACs and delivery systems has been explored to enhance the in vivo performance of PROTACs. These improved delivery strategies can eliminate unfavorable physicochemical properties of PROTACs, improve their targetability, and decrease their off-target side effects. The integration of powerful PROTACs and versatile delivery systems will inaugurate a burgeoning orientation for the field of targeted protein degradation. In this review, we will survey the latest progress in improving the in vivo degradation efficacy of PROTACs through delivery strategies, outline design principles for PROTAC-based delivery systems, discuss the current challenges with PROTACs, and outlook future opportunities in this field., \n\n, This tutorial review discusses the convergence of drug delivery systems and PROTACs, surveys the burgeoning PROTAC delivery strategies, summarizes their design principles, clarifies their challenges, and outlooks future translational opportunities.","container-title":"Chemical Society reviews","DOI":"10.1039/d1cs00762a","ISSN":"0306-0012","issue":"13","journalAbbreviation":"Chem Soc Rev","note":"PMID: 35713468\nPMCID: PMC9382890","page":"5330-5350","source":"PubMed Central","title":"Proteolysis-Targeting Chimera (PROTAC) Delivery System: Advancing Protein Degraders towards Clinical Translation","title-short":"Proteolysis-Targeting Chimera (PROTAC) Delivery System","volume":"51","author":[{"family":"Chen","given":"Yu"},{"family":"Tandon","given":"Ira"},{"family":"Heelan","given":"William"},{"family":"Wang","given":"Yixin"},{"family":"Tang","given":"Weiping"},{"family":"Hu","given":"Quanyin"}],"issued":{"date-parts":[["2022",7,4]]}}}],"schema":"https://github.com/citation-style-language/schema/raw/master/csl-citation.json"} </w:instrText>
      </w:r>
      <w:r w:rsidR="001C5D8E">
        <w:rPr>
          <w:rFonts w:ascii="Times New Roman" w:eastAsia="Times New Roman" w:hAnsi="Times New Roman" w:cs="Times New Roman"/>
          <w:sz w:val="24"/>
          <w:szCs w:val="24"/>
        </w:rPr>
        <w:fldChar w:fldCharType="separate"/>
      </w:r>
      <w:r w:rsidR="001C5D8E" w:rsidRPr="001C5D8E">
        <w:rPr>
          <w:rFonts w:ascii="Times New Roman" w:hAnsi="Times New Roman" w:cs="Times New Roman"/>
          <w:sz w:val="24"/>
        </w:rPr>
        <w:t>[6]</w:t>
      </w:r>
      <w:r w:rsidR="001C5D8E">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r>
      <w:r w:rsidRPr="00151DA1">
        <w:rPr>
          <w:rFonts w:ascii="Times New Roman" w:eastAsia="Times New Roman" w:hAnsi="Times New Roman" w:cs="Times New Roman"/>
          <w:sz w:val="24"/>
          <w:szCs w:val="24"/>
        </w:rPr>
        <w:br/>
        <w:t>This review looks at the new area of small molecules as modulators of the tumor immune microenvironment from a chemist's point of view. We will talk about important groups of chemicals that interact with innate and adaptive immune pathways, target metabolic circuits that inhibit the immune system, or change the functional phenotype of immune and stromal cells in malignancies. We want to use this lens to show the rational design principles, synthetic obstacles, and translational prospects that make up the interface of chemistry and immuno-oncology.</w:t>
      </w:r>
    </w:p>
    <w:p w14:paraId="17B041C4" w14:textId="5FD7C961" w:rsidR="006222E8" w:rsidRDefault="006222E8" w:rsidP="002734BF">
      <w:pPr>
        <w:spacing w:before="100" w:beforeAutospacing="1" w:after="100" w:afterAutospacing="1" w:line="240" w:lineRule="auto"/>
        <w:jc w:val="both"/>
        <w:rPr>
          <w:rFonts w:ascii="Times New Roman" w:eastAsia="Times New Roman" w:hAnsi="Times New Roman" w:cs="Times New Roman"/>
          <w:sz w:val="24"/>
          <w:szCs w:val="24"/>
        </w:rPr>
      </w:pPr>
    </w:p>
    <w:p w14:paraId="0E7BBF0F" w14:textId="77777777" w:rsidR="006222E8" w:rsidRPr="006222E8" w:rsidRDefault="006222E8" w:rsidP="006222E8">
      <w:pPr>
        <w:spacing w:before="100" w:beforeAutospacing="1" w:after="100" w:afterAutospacing="1" w:line="240" w:lineRule="auto"/>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2. The Tumor Immune Microenvironment (TIME): A Primer for Chemists</w:t>
      </w:r>
    </w:p>
    <w:p w14:paraId="5041A8F7" w14:textId="0DB89028" w:rsidR="00EB434C"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The tumor immune microenvironment (TIME) is a complex and spatially heterogeneous ecosystem that is very important for figuring out how tumors grow, how they avoid the immune system, and how well treatments work. At its core, the TIME is a constantly changing interaction between cancer cells and a wide range of immune and stromal cells, all controlled by a carefully tuned network of chemical signals</w:t>
      </w:r>
      <w:r w:rsidR="001C5D8E">
        <w:rPr>
          <w:rFonts w:ascii="Times New Roman" w:eastAsia="Times New Roman" w:hAnsi="Times New Roman" w:cs="Times New Roman"/>
          <w:sz w:val="24"/>
          <w:szCs w:val="24"/>
        </w:rPr>
        <w:fldChar w:fldCharType="begin"/>
      </w:r>
      <w:r w:rsidR="001C5D8E">
        <w:rPr>
          <w:rFonts w:ascii="Times New Roman" w:eastAsia="Times New Roman" w:hAnsi="Times New Roman" w:cs="Times New Roman"/>
          <w:sz w:val="24"/>
          <w:szCs w:val="24"/>
        </w:rPr>
        <w:instrText xml:space="preserve"> ADDIN ZOTERO_ITEM CSL_CITATION {"citationID":"AZdfKPV4","properties":{"formattedCitation":"[7]","plainCitation":"[7]","noteIndex":0},"citationItems":[{"id":5107,"uris":["http://zotero.org/users/16652950/items/K4X3PWDX"],"itemData":{"id":5107,"type":"article-journal","abstract":"Tumors are not only aggregates of malignant cells but also well-organized complex ecosystems. The immunological components within tumors, termed the tumor immune microenvironment (TIME), have long been shown to be strongly related to tumor development, recurrence and metastasis. However, conventional studies that underestimate the potential value of the spatial architecture of the TIME are unable to completely elucidate its complexity. As innovative high-flux and high-dimensional technologies emerge, researchers can more feasibly and accurately detect and depict the spatial architecture of the TIME. These findings have improved our understanding of the complexity and role of the TIME in tumor biology. In this review, we first epitomized some representative emerging technologies in the study of the spatial architecture of the TIME and categorized the description methods used to characterize these structures. Then, we determined the functions of the spatial architecture of the TIME in tumor biology and the effects of the gradient of extracellular nonspecific chemicals (ENSCs) on the TIME. We also discussed the potential clinical value of our understanding of the spatial architectures of the TIME, as well as current limitations and future prospects in this novel field. This review will bring spatial architectures of the TIME, an emerging dimension of tumor ecosystem research, to the attention of more researchers and promote its application in tumor research and clinical practice.","container-title":"Journal of Hematology &amp; Oncology","DOI":"10.1186/s13045-021-01103-4","ISSN":"1756-8722","journalAbbreviation":"J Hematol Oncol","note":"PMID: 34172088\nPMCID: PMC8234625","page":"98","source":"PubMed Central","title":"Spatial architecture of the immune microenvironment orchestrates tumor immunity and therapeutic response","volume":"14","author":[{"family":"Fu","given":"Tong"},{"family":"Dai","given":"Lei-Jie"},{"family":"Wu","given":"Song-Yang"},{"family":"Xiao","given":"Yi"},{"family":"Ma","given":"Ding"},{"family":"Jiang","given":"Yi-Zhou"},{"family":"Shao","given":"Zhi-Ming"}],"issued":{"date-parts":[["2021",6,25]]}}}],"schema":"https://github.com/citation-style-language/schema/raw/master/csl-citation.json"} </w:instrText>
      </w:r>
      <w:r w:rsidR="001C5D8E">
        <w:rPr>
          <w:rFonts w:ascii="Times New Roman" w:eastAsia="Times New Roman" w:hAnsi="Times New Roman" w:cs="Times New Roman"/>
          <w:sz w:val="24"/>
          <w:szCs w:val="24"/>
        </w:rPr>
        <w:fldChar w:fldCharType="separate"/>
      </w:r>
      <w:r w:rsidR="001C5D8E" w:rsidRPr="001C5D8E">
        <w:rPr>
          <w:rFonts w:ascii="Times New Roman" w:hAnsi="Times New Roman" w:cs="Times New Roman"/>
          <w:sz w:val="24"/>
        </w:rPr>
        <w:t>[7]</w:t>
      </w:r>
      <w:r w:rsidR="001C5D8E">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Chemists who want to make tailored modulators of this milieu need to have a deep understanding of its cellular and biochemical structure. </w:t>
      </w:r>
      <w:r w:rsidRPr="00151DA1">
        <w:rPr>
          <w:rFonts w:ascii="Times New Roman" w:eastAsia="Times New Roman" w:hAnsi="Times New Roman" w:cs="Times New Roman"/>
          <w:sz w:val="24"/>
          <w:szCs w:val="24"/>
        </w:rPr>
        <w:br/>
        <w:t>The immune cells in the TIME can be divided into two main groups: effector cells and suppressor cells. The main cells that fight tumors are cytotoxic CD8⁺ T cells and helper CD4⁺ T cells</w:t>
      </w:r>
      <w:r w:rsidR="00A679FE">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{"citationID":"bXhGCuVc","properties":{"formattedCitation":"[8]","plainCitation":"[8]","noteIndex":0},"citationItems":[{"id":1364,"uris":["http://zotero.org/users/16652950/items/BNN8KN7E"],"itemData":{"id":1364,"type":"article-journal","abstract":"Vernonia amygdalina Delile, commonly known as “bitter leaf,” is a shrub in the Asteraceae family, widely seen in tropical regions of Africa. Vernonia amygdalina is found to be traditionally used in African medicine. Various parts of this plant, especially the leaves, are utilized to treat ailments such as fever, diabetes, and gastrointestinal issues. Research from multiple researchers has shown a wide range of phytochemical and bioactive compounds present in Vernonia amygdalina; examples are terpenoids, tannins, alkaloids, saponins, flavonoids, steroids, glycosides, etc., which have contributed to the medicinal properties of Vernonia amygdalina.\n\nVernonia amygdalina has shown its therapeutic and remedial potentials due to the presence of phytochemicals which exhibit effects such as anti-microbial, anti-inflammatory, anti-cancer, anti-oxidant, anti-diabetic, anti-hyperglycemic, anti-diarrheal, anti-helminthic, anti-pyretic, and anti-nociceptive effects. In this article, the authors highlight recent progress in using Vernonia amygdalina and its therapeutic effects.\n\nResearch, review, and case study articles were used to write this review. The articles were obtained from academic websites such as Research Gate, Google Scholar, the National Library of Medicine, African journals online, and Semantic journals, and some articles were obtained through a simple Google search. Articles that discussed the medicinal, ethanopharmacological, and therapeutic properties of Vernonia amygdalina were selected for the review. Search terms such as “Vernonia amygdalina,” “bitter leaf,” “phytochemical properties,” and “therapeutic effects” were used to search for relevant articles on the academic databases. Boolean operators such as “AND” and “OR” were used to refine the search further and ensure a comprehensive selection of articles.","container-title":"Asian Journal of Research in Biochemistry","DOI":"10.9734/ajrb/2024/v14i6326","ISSN":"2582-0516","issue":"6","language":"en","note":"number-of-pages: 17\nnumber: 6","page":"41-57","source":"library.go4subs.com","title":"Ethnomedicinal and Phytopharmacological Aspects of Vernonia amygdalina (Bitter Leaf) Utilized as a Traditional Medicinal Herb","volume":"14","author":[{"family":"Oseghale","given":"Ikalo David"},{"family":"Lawal","given":"Olabisi Promise"},{"family":"Ubebe","given":"Daniel Osezuwa"},{"family":"Orjiewulu","given":"Vivian Chidera"},{"family":"Igunma","given":"Aimuanmwosa Andrew"},{"family":"Odey","given":"Omali Patricia"},{"family":"Ajibola","given":"Dorcas Temitope"},{"family":"Chima","given":"Divine Ibecheozor"},{"family":"Tuador","given":"Nwigbo Kiakpugi"},{"family":"Ani","given":"Chinaemerem Precious"}],"issued":{"date-parts":[["2024",10,14]]}}}],"schema":"https://github.com/citation-style-language/schema/raw/master/csl-citation.json"} </w:instrText>
      </w:r>
      <w:r w:rsidR="00A679FE">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[8]</w:t>
      </w:r>
      <w:r w:rsidR="00A679FE">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But their activity is often canceled out by immunosuppressive cell types such regulatory T cells (Tregs), myeloid-derived suppressor cells (MDSCs), and tumor-associated macrophages (TAMs)</w:t>
      </w:r>
      <w:r w:rsidR="00367B40">
        <w:rPr>
          <w:rFonts w:ascii="Times New Roman" w:eastAsia="Times New Roman" w:hAnsi="Times New Roman" w:cs="Times New Roman"/>
          <w:sz w:val="24"/>
          <w:szCs w:val="24"/>
        </w:rPr>
        <w:t xml:space="preserve"> (</w:t>
      </w:r>
      <w:proofErr w:type="spellStart"/>
      <w:r w:rsidR="00367B40">
        <w:rPr>
          <w:rFonts w:ascii="Times New Roman" w:eastAsia="Times New Roman" w:hAnsi="Times New Roman" w:cs="Times New Roman"/>
          <w:b/>
          <w:bCs/>
          <w:sz w:val="24"/>
          <w:szCs w:val="24"/>
        </w:rPr>
        <w:t>Fgure</w:t>
      </w:r>
      <w:proofErr w:type="spellEnd"/>
      <w:r w:rsidR="00367B40">
        <w:rPr>
          <w:rFonts w:ascii="Times New Roman" w:eastAsia="Times New Roman" w:hAnsi="Times New Roman" w:cs="Times New Roman"/>
          <w:b/>
          <w:bCs/>
          <w:sz w:val="24"/>
          <w:szCs w:val="24"/>
        </w:rPr>
        <w:t xml:space="preserve"> 1</w:t>
      </w:r>
      <w:r w:rsidR="00367B40">
        <w:rPr>
          <w:rFonts w:ascii="Times New Roman" w:eastAsia="Times New Roman" w:hAnsi="Times New Roman" w:cs="Times New Roman"/>
          <w:sz w:val="24"/>
          <w:szCs w:val="24"/>
        </w:rPr>
        <w:t>)</w:t>
      </w:r>
      <w:r w:rsidRPr="00151DA1">
        <w:rPr>
          <w:rFonts w:ascii="Times New Roman" w:eastAsia="Times New Roman" w:hAnsi="Times New Roman" w:cs="Times New Roman"/>
          <w:sz w:val="24"/>
          <w:szCs w:val="24"/>
        </w:rPr>
        <w:t xml:space="preserve">. These suppressive groups not only stop T cells from activating and multiplying, but they also change the metabolic and cytokine environment to make it more immune-tolerant. </w:t>
      </w:r>
      <w:r w:rsidRPr="00151DA1">
        <w:rPr>
          <w:rFonts w:ascii="Times New Roman" w:eastAsia="Times New Roman" w:hAnsi="Times New Roman" w:cs="Times New Roman"/>
          <w:sz w:val="24"/>
          <w:szCs w:val="24"/>
        </w:rPr>
        <w:lastRenderedPageBreak/>
        <w:t>Dendritic cells (DCs) are important for presenting antigens and priming T cells, but they often stop working in malignancies, which makes immune surveillance even less effective</w:t>
      </w:r>
      <w:r w:rsidR="001C5D8E">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{"citationID":"yNGk1pnv","properties":{"formattedCitation":"[9]","plainCitation":"[9]","noteIndex":0},"citationItems":[{"id":5111,"uris":["http://zotero.org/users/16652950/items/S5WGPTLW"],"itemData":{"id":5111,"type":"article-journal","abstract":"Dendritic cells (DCs) are a type of innate immune cells with major relevance in the establishment of an adaptive response, as they are responsible for the activation of lymphocytes. Since their discovery, several reports of their role during infectious diseases have been performed, highlighting their functions and their mechanisms of action. DCs can be categorized into different subsets, and each of these subsets expresses a wide arrange of receptors and molecules that aid them in the clearance of invading pathogens. Interferon (IFN) is a cytokine -a molecule of protein origin- strongly associated with antiviral immune responses. This cytokine is secreted by different cell types and is fundamental in the modulation of both innate and adaptive immune responses against viral infections. Particularly, DCs are one of the most important immune cells that produce IFN, with type I IFNs (</w:instrText>
      </w:r>
      <w:r w:rsidR="00A679FE">
        <w:rPr>
          <w:rFonts w:ascii="Times New Roman" w:eastAsia="Times New Roman" w:hAnsi="Times New Roman" w:cs="Times New Roman"/>
          <w:sz w:val="24"/>
          <w:szCs w:val="24"/>
        </w:rPr>
        <w:instrText xml:space="preserve"> and </w:instrText>
      </w:r>
      <w:r w:rsidR="00A679FE">
        <w:rPr>
          <w:rFonts w:ascii="Times New Roman" w:eastAsia="Times New Roman" w:hAnsi="Times New Roman" w:cs="Times New Roman"/>
          <w:sz w:val="24"/>
          <w:szCs w:val="24"/>
        </w:rPr>
        <w:instrText xml:space="preserve">) highlighting as the most important, as they are associated with viral clearance. Type I IFN secretion can be induced via different pathways, activated by various components of the virus, such as surface proteins or genetic material. These molecules can trigger the activation of the IFN pathway trough surface receptors, including IFNAR, TLR4, or some intracellular receptors, such as TLR7, TLR9, and TLR3. Here, we discuss various types of dendritic cells found in humans and mice; their contribution to the activation of the antiviral response triggered by the secretion of IFN, through different routes of the induction for this important antiviral cytokine; and as to how DCs are involved in human infections that are considered highly frequent nowadays.","container-title":"Frontiers in Immunology","DOI":"10.3389/fimmu.2020.01513","ISSN":"1664-3224","journalAbbreviation":"Front. Immunol.","language":"English","note":"publisher: Frontiers","source":"Frontiers","title":"The Role of Dendritic Cells During Infections Caused by Highly Prevalent Viruses","URL":"https://www.frontiersin.org/journals/immunology/articles/10.3389/fimmu.2020.01513/full","volume":"11","author":[{"family":"Soto","given":"Jorge A."},{"family":"Gálvez","given":"Nicolas M. S."},{"family":"Andrade","given":"Catalina A."},{"family":"Pacheco","given":"Gaspar A."},{"family":"Bohmwald","given":"Karen"},{"family":"Berrios","given":"Roslye V."},{"family":"Bueno","given":"Susan M."},{"family":"Kalergis","given":"Alexis M."}],"accessed":{"date-parts":[["2025",7,19]]},"issued":{"date-parts":[["2020",7,16]]}}}],"schema":"https://github.com/citation-style-language/schema/raw/master/csl-citation.json"} </w:instrText>
      </w:r>
      <w:r w:rsidR="001C5D8E">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[9]</w:t>
      </w:r>
      <w:r w:rsidR="001C5D8E">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r w:rsidRPr="00151DA1">
        <w:rPr>
          <w:rFonts w:ascii="Times New Roman" w:eastAsia="Times New Roman" w:hAnsi="Times New Roman" w:cs="Times New Roman"/>
          <w:sz w:val="24"/>
          <w:szCs w:val="24"/>
        </w:rPr>
        <w:br/>
        <w:t xml:space="preserve">At the molecular level, the TIME is controlled by a complex web of cytokines (including IL-10, TGF-β, and IFN-γ), chemokines (like CCL2 and CXCL9/10), and immunological checkpoints (like PD-1/PD-L1, CTLA-4, and LAG-3) that control how immune cells move, change, and </w:t>
      </w:r>
    </w:p>
    <w:p w14:paraId="2C23EAAB" w14:textId="03248D33" w:rsidR="00DE3698"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work. These signaling molecules could be used as "intervention points" for pharmacological regulation, which would allow for the targeted boosting or repression of immunological pathways depending on the therapeutic goal. For example, small compounds can stop immunosuppressive cytokine signaling, stop checkpoint receptor-ligand interactions, or change the way that immune receptors send signals inside cells</w:t>
      </w:r>
      <w:r w:rsidR="001C5D8E">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{"citationID":"FGQluaqj","properties":{"formattedCitation":"[10]","plainCitation":"[10]","noteIndex":0},"citationItems":[{"id":5114,"uris":["http://zotero.org/users/16652950/items/FE8DYZEM"],"itemData":{"id":5114,"type":"article-journal","abstract":"•Immune cells, including T cells, NK cells, and TAMs, critically influence the tumor microenvironment in EwS.•Regulatory T cells and M2-polarized TAMs promote immunosuppression, whereas NK cells provide potential for direct tumor cell elimination.•Tumor-derived molecules such as PD-L1, PD-L2, and HLA-G suppress immune cell activity, facilitating immune evasion and tumor proliferation.•Cytokines like TGF-β and IL-10, along with chemokines such as CXCL12, establish an immunosuppressive microenvironment that promotes metastasis and tumor progression.•Emerging therapies, including tyrosine kinase inhibitors, PARP inhibitors, and cyclin-dependent kinase inhibitors, demonstrate significant promise in targeting EwS.•Innovative immunotherapies, such as CAR T cell therapies targeting GD2 and EGFR, NK cell-based treatments, and TCR-transduced T cells, are under active investigation, representing cutting-edge approaches to enhance immune-mediated tumor control in EwS., Ewing sarcoma (EwS) is the second most prevalent pediatric bone malignancy, characterized by its aggressive behavior and unfavorable prognosis. The tumor microenvironment (TME) of EwS is shaped by immunosuppressive components, including myeloid-derived suppressor cells, tumor-associated macrophages, and immune checkpoint molecules such as PD-1/PD-L1 and HLA-G. These elements impair anti-tumor immune responses by modulating the function of tumor-infiltrating immune cells, such as regulatory T cells (Tregs), CD8+ T cells, and natural killer cells. Chemokines, including CXCL9 and CXCL12, and cytokines, such as transforming growth factor-beta and interleukin-10, further contribute to immune suppression and promote metastatic dissemination. Recent advances in immunotherapy have highlighted the therapeutic potential of modulating immune cells and signaling pathways to enhance anti-tumor immunity. This review provides a comprehensive analysis of the complex immune landscape within the EwS TME, focusing on the mechanistic roles of key immune components and their potential as therapeutic targets. Understanding these interactions could pave the way for innovative treatment strategies to improve clinical outcomes in patients with EwS.","container-title":"Journal of Bone Oncology","DOI":"10.1016/j.jbo.2025.100678","ISSN":"2212-1366","journalAbbreviation":"J Bone Oncol","note":"PMID: 40242222\nPMCID: PMC12002756","page":"100678","source":"PubMed Central","title":"Decoding the immune landscape in Ewing sarcoma pathogenesis: The role of tumor infiltrating immune cells and immune milieu","title-short":"Decoding the immune landscape in Ewing sarcoma pathogenesis","volume":"52","author":[{"family":"Kumar","given":"Rajiv Ranjan"},{"family":"Agarwal","given":"Nikita"},{"family":"Shree","given":"Akshi"},{"family":"Gorain","given":"Jaya Kanta"},{"family":"Rahul","given":"Ekta"},{"family":"Ganguly","given":"Shuvadeep"},{"family":"Bakhshi","given":"Sameer"},{"family":"Sharma","given":"Uttam"}],"issued":{"date-parts":[["2025",3,31]]}}}],"schema":"https://github.com/citation-style-language/schema/raw/master/csl-citation.json"} </w:instrText>
      </w:r>
      <w:r w:rsidR="001C5D8E">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[10]</w:t>
      </w:r>
      <w:r w:rsidR="001C5D8E">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r>
    </w:p>
    <w:p w14:paraId="5C991F40" w14:textId="77777777" w:rsidR="002D76DF" w:rsidRDefault="00DE3698" w:rsidP="00151DA1">
      <w:pPr>
        <w:spacing w:after="0" w:line="240" w:lineRule="auto"/>
        <w:rPr>
          <w:rFonts w:ascii="Times New Roman" w:eastAsia="Times New Roman" w:hAnsi="Times New Roman" w:cs="Times New Roman"/>
          <w:sz w:val="24"/>
          <w:szCs w:val="24"/>
        </w:rPr>
      </w:pPr>
      <w:r>
        <w:rPr>
          <w:noProof/>
        </w:rPr>
        <w:drawing>
          <wp:inline distT="0" distB="0" distL="0" distR="0" wp14:anchorId="5E58B856" wp14:editId="75574548">
            <wp:extent cx="5943600" cy="3984625"/>
            <wp:effectExtent l="0" t="0" r="0" b="0"/>
            <wp:docPr id="177983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84625"/>
                    </a:xfrm>
                    <a:prstGeom prst="rect">
                      <a:avLst/>
                    </a:prstGeom>
                    <a:noFill/>
                    <a:ln>
                      <a:noFill/>
                    </a:ln>
                  </pic:spPr>
                </pic:pic>
              </a:graphicData>
            </a:graphic>
          </wp:inline>
        </w:drawing>
      </w:r>
    </w:p>
    <w:p w14:paraId="43EBFAC6" w14:textId="77777777" w:rsidR="004E14E9" w:rsidRDefault="002D76DF" w:rsidP="002734BF">
      <w:pPr>
        <w:spacing w:after="0" w:line="240" w:lineRule="auto"/>
        <w:jc w:val="both"/>
        <w:rPr>
          <w:rFonts w:ascii="Times New Roman" w:eastAsia="Times New Roman" w:hAnsi="Times New Roman" w:cs="Times New Roman"/>
          <w:sz w:val="24"/>
          <w:szCs w:val="24"/>
        </w:rPr>
      </w:pPr>
      <w:r w:rsidRPr="002D76DF">
        <w:rPr>
          <w:rFonts w:ascii="Times New Roman" w:eastAsia="Times New Roman" w:hAnsi="Times New Roman" w:cs="Times New Roman"/>
          <w:b/>
          <w:bCs/>
          <w:sz w:val="24"/>
          <w:szCs w:val="24"/>
        </w:rPr>
        <w:t>Figure 1</w:t>
      </w:r>
      <w:r w:rsidRPr="002D76DF">
        <w:rPr>
          <w:rFonts w:ascii="Times New Roman" w:eastAsia="Times New Roman" w:hAnsi="Times New Roman" w:cs="Times New Roman"/>
          <w:sz w:val="24"/>
          <w:szCs w:val="24"/>
        </w:rPr>
        <w:t xml:space="preserve">. Potential mechanisms influencing immunotherapy response in the TIME in </w:t>
      </w:r>
      <w:proofErr w:type="spellStart"/>
      <w:r w:rsidRPr="002D76DF">
        <w:rPr>
          <w:rFonts w:ascii="Times New Roman" w:eastAsia="Times New Roman" w:hAnsi="Times New Roman" w:cs="Times New Roman"/>
          <w:sz w:val="24"/>
          <w:szCs w:val="24"/>
        </w:rPr>
        <w:t>ccRCC</w:t>
      </w:r>
      <w:proofErr w:type="spellEnd"/>
      <w:r w:rsidRPr="002D76DF">
        <w:rPr>
          <w:rFonts w:ascii="Times New Roman" w:eastAsia="Times New Roman" w:hAnsi="Times New Roman" w:cs="Times New Roman"/>
          <w:sz w:val="24"/>
          <w:szCs w:val="24"/>
        </w:rPr>
        <w:t>. </w:t>
      </w:r>
      <w:r w:rsidRPr="002D76DF">
        <w:rPr>
          <w:rFonts w:ascii="Times New Roman" w:eastAsia="Times New Roman" w:hAnsi="Times New Roman" w:cs="Times New Roman"/>
          <w:b/>
          <w:bCs/>
          <w:sz w:val="24"/>
          <w:szCs w:val="24"/>
        </w:rPr>
        <w:t>(A)</w:t>
      </w:r>
      <w:r w:rsidRPr="002D76DF">
        <w:rPr>
          <w:rFonts w:ascii="Times New Roman" w:eastAsia="Times New Roman" w:hAnsi="Times New Roman" w:cs="Times New Roman"/>
          <w:sz w:val="24"/>
          <w:szCs w:val="24"/>
        </w:rPr>
        <w:t> The anti-tumor activity of cytokine (IL-2) therapies was primarily mediated by driving the proliferation and activation of NK cells and CD8</w:t>
      </w:r>
      <w:r w:rsidRPr="002D76DF">
        <w:rPr>
          <w:rFonts w:ascii="Times New Roman" w:eastAsia="Times New Roman" w:hAnsi="Times New Roman" w:cs="Times New Roman"/>
          <w:sz w:val="24"/>
          <w:szCs w:val="24"/>
          <w:vertAlign w:val="superscript"/>
        </w:rPr>
        <w:t>+</w:t>
      </w:r>
      <w:r w:rsidRPr="002D76DF">
        <w:rPr>
          <w:rFonts w:ascii="Times New Roman" w:eastAsia="Times New Roman" w:hAnsi="Times New Roman" w:cs="Times New Roman"/>
          <w:sz w:val="24"/>
          <w:szCs w:val="24"/>
        </w:rPr>
        <w:t> TILs. </w:t>
      </w:r>
      <w:r w:rsidRPr="002D76DF">
        <w:rPr>
          <w:rFonts w:ascii="Times New Roman" w:eastAsia="Times New Roman" w:hAnsi="Times New Roman" w:cs="Times New Roman"/>
          <w:b/>
          <w:bCs/>
          <w:sz w:val="24"/>
          <w:szCs w:val="24"/>
        </w:rPr>
        <w:t>(B)</w:t>
      </w:r>
      <w:r w:rsidRPr="002D76DF">
        <w:rPr>
          <w:rFonts w:ascii="Times New Roman" w:eastAsia="Times New Roman" w:hAnsi="Times New Roman" w:cs="Times New Roman"/>
          <w:sz w:val="24"/>
          <w:szCs w:val="24"/>
        </w:rPr>
        <w:t> Resistance to cytokine (IL-2) therapies was correlated with the amplification of Tregs level mediated by IL-2 and NK cell dysfunction. IL-6, TGF-β, PGE2, and IDO, as well as lactate and adenosine generated under hypoxic conditions, inhibit the cytotoxic effects of NK cells. </w:t>
      </w:r>
      <w:r w:rsidRPr="002D76DF">
        <w:rPr>
          <w:rFonts w:ascii="Times New Roman" w:eastAsia="Times New Roman" w:hAnsi="Times New Roman" w:cs="Times New Roman"/>
          <w:b/>
          <w:bCs/>
          <w:sz w:val="24"/>
          <w:szCs w:val="24"/>
        </w:rPr>
        <w:t>(C)</w:t>
      </w:r>
      <w:r w:rsidRPr="002D76DF">
        <w:rPr>
          <w:rFonts w:ascii="Times New Roman" w:eastAsia="Times New Roman" w:hAnsi="Times New Roman" w:cs="Times New Roman"/>
          <w:sz w:val="24"/>
          <w:szCs w:val="24"/>
        </w:rPr>
        <w:t> The anti-tumor mechanisms of immune checkpoint inhibitors that contribute to the reactivation of CD8</w:t>
      </w:r>
      <w:r w:rsidRPr="002D76DF">
        <w:rPr>
          <w:rFonts w:ascii="Times New Roman" w:eastAsia="Times New Roman" w:hAnsi="Times New Roman" w:cs="Times New Roman"/>
          <w:sz w:val="24"/>
          <w:szCs w:val="24"/>
          <w:vertAlign w:val="superscript"/>
        </w:rPr>
        <w:t>+</w:t>
      </w:r>
      <w:r w:rsidRPr="002D76DF">
        <w:rPr>
          <w:rFonts w:ascii="Times New Roman" w:eastAsia="Times New Roman" w:hAnsi="Times New Roman" w:cs="Times New Roman"/>
          <w:sz w:val="24"/>
          <w:szCs w:val="24"/>
        </w:rPr>
        <w:t> T cells were mediated by blocking the PD-1/PD-L1 and CTLA-4/CD28 pathways. </w:t>
      </w:r>
      <w:r w:rsidRPr="002D76DF">
        <w:rPr>
          <w:rFonts w:ascii="Times New Roman" w:eastAsia="Times New Roman" w:hAnsi="Times New Roman" w:cs="Times New Roman"/>
          <w:b/>
          <w:bCs/>
          <w:sz w:val="24"/>
          <w:szCs w:val="24"/>
        </w:rPr>
        <w:t>(D)</w:t>
      </w:r>
      <w:r w:rsidRPr="002D76DF">
        <w:rPr>
          <w:rFonts w:ascii="Times New Roman" w:eastAsia="Times New Roman" w:hAnsi="Times New Roman" w:cs="Times New Roman"/>
          <w:sz w:val="24"/>
          <w:szCs w:val="24"/>
        </w:rPr>
        <w:t> Resistance to immune checkpoint inhibitors is mainly mediated by CD8</w:t>
      </w:r>
      <w:r w:rsidRPr="002D76DF">
        <w:rPr>
          <w:rFonts w:ascii="Times New Roman" w:eastAsia="Times New Roman" w:hAnsi="Times New Roman" w:cs="Times New Roman"/>
          <w:sz w:val="24"/>
          <w:szCs w:val="24"/>
          <w:vertAlign w:val="superscript"/>
        </w:rPr>
        <w:t>+</w:t>
      </w:r>
      <w:r w:rsidRPr="002D76DF">
        <w:rPr>
          <w:rFonts w:ascii="Times New Roman" w:eastAsia="Times New Roman" w:hAnsi="Times New Roman" w:cs="Times New Roman"/>
          <w:sz w:val="24"/>
          <w:szCs w:val="24"/>
        </w:rPr>
        <w:t> TILs anergy, which abundantly express immunosuppressive molecules (e.g., PD-1, CTLA-4, Tim-3, and LAG-3). Tregs and M2-like TAMs secrete IL-10 and TGF-β, which inhibit the cytotoxicity of CD8</w:t>
      </w:r>
      <w:r w:rsidRPr="002D76DF">
        <w:rPr>
          <w:rFonts w:ascii="Times New Roman" w:eastAsia="Times New Roman" w:hAnsi="Times New Roman" w:cs="Times New Roman"/>
          <w:sz w:val="24"/>
          <w:szCs w:val="24"/>
          <w:vertAlign w:val="superscript"/>
        </w:rPr>
        <w:t>+</w:t>
      </w:r>
      <w:r w:rsidRPr="002D76DF">
        <w:rPr>
          <w:rFonts w:ascii="Times New Roman" w:eastAsia="Times New Roman" w:hAnsi="Times New Roman" w:cs="Times New Roman"/>
          <w:sz w:val="24"/>
          <w:szCs w:val="24"/>
        </w:rPr>
        <w:t xml:space="preserve"> TILs and recruit Tregs. Tregs present a stronger immunosuppressive capacity under the action of PD-1 inhibitors. Ligands expressed on M2-like TAMs (including PD-L1/L2, CD80/86, and VISTA) can also promote </w:t>
      </w:r>
      <w:r w:rsidRPr="002D76DF">
        <w:rPr>
          <w:rFonts w:ascii="Times New Roman" w:eastAsia="Times New Roman" w:hAnsi="Times New Roman" w:cs="Times New Roman"/>
          <w:sz w:val="24"/>
          <w:szCs w:val="24"/>
        </w:rPr>
        <w:lastRenderedPageBreak/>
        <w:t>exhaustion of CD8</w:t>
      </w:r>
      <w:r w:rsidRPr="002D76DF">
        <w:rPr>
          <w:rFonts w:ascii="Times New Roman" w:eastAsia="Times New Roman" w:hAnsi="Times New Roman" w:cs="Times New Roman"/>
          <w:sz w:val="24"/>
          <w:szCs w:val="24"/>
          <w:vertAlign w:val="superscript"/>
        </w:rPr>
        <w:t>+</w:t>
      </w:r>
      <w:r w:rsidRPr="002D76DF">
        <w:rPr>
          <w:rFonts w:ascii="Times New Roman" w:eastAsia="Times New Roman" w:hAnsi="Times New Roman" w:cs="Times New Roman"/>
          <w:sz w:val="24"/>
          <w:szCs w:val="24"/>
        </w:rPr>
        <w:t> TILs. NO, ROS, and Arg-1 produced by MDSCs inhibit the anti-tumor immune function of CD8</w:t>
      </w:r>
      <w:r w:rsidRPr="002D76DF">
        <w:rPr>
          <w:rFonts w:ascii="Times New Roman" w:eastAsia="Times New Roman" w:hAnsi="Times New Roman" w:cs="Times New Roman"/>
          <w:sz w:val="24"/>
          <w:szCs w:val="24"/>
          <w:vertAlign w:val="superscript"/>
        </w:rPr>
        <w:t>+</w:t>
      </w:r>
      <w:r w:rsidRPr="002D76DF">
        <w:rPr>
          <w:rFonts w:ascii="Times New Roman" w:eastAsia="Times New Roman" w:hAnsi="Times New Roman" w:cs="Times New Roman"/>
          <w:sz w:val="24"/>
          <w:szCs w:val="24"/>
        </w:rPr>
        <w:t> TILs, and promote differentiation into M2-like TAMs. Regulatory DCs can also inhibit CD8</w:t>
      </w:r>
      <w:r w:rsidRPr="002D76DF">
        <w:rPr>
          <w:rFonts w:ascii="Times New Roman" w:eastAsia="Times New Roman" w:hAnsi="Times New Roman" w:cs="Times New Roman"/>
          <w:sz w:val="24"/>
          <w:szCs w:val="24"/>
          <w:vertAlign w:val="superscript"/>
        </w:rPr>
        <w:t>+</w:t>
      </w:r>
      <w:r w:rsidRPr="002D76DF">
        <w:rPr>
          <w:rFonts w:ascii="Times New Roman" w:eastAsia="Times New Roman" w:hAnsi="Times New Roman" w:cs="Times New Roman"/>
          <w:sz w:val="24"/>
          <w:szCs w:val="24"/>
        </w:rPr>
        <w:t> T-cell function via the L-arginine metabolic pathway and promote Tregs proliferation.</w:t>
      </w:r>
      <w:r w:rsidR="006E05AF">
        <w:rPr>
          <w:rFonts w:ascii="Times New Roman" w:eastAsia="Times New Roman" w:hAnsi="Times New Roman" w:cs="Times New Roman"/>
          <w:sz w:val="24"/>
          <w:szCs w:val="24"/>
        </w:rPr>
        <w:t xml:space="preserve"> </w:t>
      </w:r>
      <w:r w:rsidR="00542EF2">
        <w:rPr>
          <w:rFonts w:ascii="Times New Roman" w:eastAsia="Times New Roman" w:hAnsi="Times New Roman" w:cs="Times New Roman"/>
          <w:sz w:val="24"/>
          <w:szCs w:val="24"/>
        </w:rPr>
        <w:t xml:space="preserve">(Lin </w:t>
      </w:r>
      <w:r w:rsidR="00542EF2">
        <w:rPr>
          <w:rFonts w:ascii="Times New Roman" w:eastAsia="Times New Roman" w:hAnsi="Times New Roman" w:cs="Times New Roman"/>
          <w:i/>
          <w:iCs/>
          <w:sz w:val="24"/>
          <w:szCs w:val="24"/>
        </w:rPr>
        <w:t xml:space="preserve">et al., </w:t>
      </w:r>
      <w:r w:rsidR="00542EF2">
        <w:rPr>
          <w:rFonts w:ascii="Times New Roman" w:eastAsia="Times New Roman" w:hAnsi="Times New Roman" w:cs="Times New Roman"/>
          <w:sz w:val="24"/>
          <w:szCs w:val="24"/>
        </w:rPr>
        <w:t>2021)</w:t>
      </w:r>
    </w:p>
    <w:p w14:paraId="3F930DEC" w14:textId="4F004449" w:rsidR="002D76DF" w:rsidRPr="006E05AF" w:rsidRDefault="00542EF2" w:rsidP="002734B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Reference: </w:t>
      </w:r>
      <w:r w:rsidR="00131163" w:rsidRPr="00131163">
        <w:rPr>
          <w:rFonts w:ascii="Times New Roman" w:eastAsia="Times New Roman" w:hAnsi="Times New Roman" w:cs="Times New Roman"/>
          <w:sz w:val="24"/>
          <w:szCs w:val="24"/>
        </w:rPr>
        <w:t xml:space="preserve">Lin E, Liu X, Liu Y, Zhang Z, Xie L, Tian K, Liu J and Yu Y (2021) Roles of the Dynamic Tumor Immune Microenvironment in the Individualized Treatment of Advanced Clear Cell Renal Cell Carcinoma. Front. Immunol. 12:653358. </w:t>
      </w:r>
      <w:proofErr w:type="spellStart"/>
      <w:r w:rsidR="00131163" w:rsidRPr="00131163">
        <w:rPr>
          <w:rFonts w:ascii="Times New Roman" w:eastAsia="Times New Roman" w:hAnsi="Times New Roman" w:cs="Times New Roman"/>
          <w:sz w:val="24"/>
          <w:szCs w:val="24"/>
        </w:rPr>
        <w:t>doi</w:t>
      </w:r>
      <w:proofErr w:type="spellEnd"/>
      <w:r w:rsidR="00131163" w:rsidRPr="00131163">
        <w:rPr>
          <w:rFonts w:ascii="Times New Roman" w:eastAsia="Times New Roman" w:hAnsi="Times New Roman" w:cs="Times New Roman"/>
          <w:sz w:val="24"/>
          <w:szCs w:val="24"/>
        </w:rPr>
        <w:t>: 10.3389/fimmu.2021.653358</w:t>
      </w:r>
    </w:p>
    <w:p w14:paraId="4996E360" w14:textId="451D9F2C" w:rsidR="00411137"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br/>
        <w:t>The TIME is defined by its bipolar nature, which means that immunosuppressive and immunostimulatory forces exist and fight one other. Tumors can actively change this balance toward suppression by using metabolic competition (for example, by depleting glucose and tryptophan), expressing checkpoint ligands, and bringing in suppressive cells. To be successful, therapeutic modulation frequently needs two things: reducing suppressive effects and activating or restoring effector immunological activities at the same time. This "push-pull" model works well with small-molecule methods that can be fine-tuned for target selectivity and used in combination with other drugs</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{"citationID":"ADcuAaK8","properties":{"formattedCitation":"[11,12]","plainCitation":"[11,12]","noteIndex":0},"citationItems":[{"id":5117,"uris":["http://zotero.org/users/16652950/items/22X2BK92"],"itemData":{"id":5117,"type":"article-journal","abstract":"Increased glucose metabolism and uptake are characteristic of many tumors and used clinically to diagnose and monitor cancer progression. In addition to cancer cells, the tumor microenvironment (TME) encompasses a wide range of stromal, innate, and adaptive immune cells. Cooperation and competition between these cell populations supports tumor proliferation, progression, metastasis, and immune evasion. Cellular heterogeneity leads to metabolic heterogeneity, as metabolic programs within the tumor are dependent not only on the TME cellular composition, but also on cell states, location, and nutrient availability. In addition to driving metabolic plasticity of cancer cells, altered nutrients and signals in the TME can lead to metabolic immune suppression of effector cells and promote regulatory immune cells. Here we discuss how metabolic programming of cells within the TME promotes tumor proliferation, progression, and metastasis. We also discuss how targeting metabolic heterogeneity may offer therapeutic opportunities to overcome immune suppression and augment immunotherapies., Arner and Rathmell discuss how metabolic programs within tumors depend not only on the tumor microenvironment (TME) cellular composition, but also on cell states, location, and nutrient availability. Altered nutrient availability and signals in the TME lead to metabolic immune suppression which drives immune evasion, tumor progression, and metastasis. Understanding and targeting metabolic heterogeneity within the TME may offer therapeutic opportunities to overcome immune suppression and augment immunotherapies.","container-title":"Cancer cell","DOI":"10.1016/j.ccell.2023.01.009","ISSN":"1535-6108","issue":"3","journalAbbreviation":"Cancer Cell","note":"PMID: 36801000\nPMCID: PMC10023409","page":"421-433","source":"PubMed Central","title":"Metabolic Programming and Immune Suppression in the Tumor Microenvironment","volume":"41","author":[{"family":"Arner","given":"Emily N."},{"family":"Rathmell","given":"Jeffrey C."}],"issued":{"date-parts":[["2023",3,13]]}}},{"id":2692,"uris":["http://zotero.org/users/16652950/items/Q8PMM3JI"],"itemData":{"id":2692,"type":"article-journal","container-title":"Journal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[11,12]</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p>
    <w:p w14:paraId="0A1DF87B" w14:textId="77777777" w:rsidR="00411137" w:rsidRDefault="00411137" w:rsidP="002734BF">
      <w:pPr>
        <w:spacing w:after="0" w:line="240" w:lineRule="auto"/>
        <w:jc w:val="both"/>
        <w:rPr>
          <w:rFonts w:ascii="Times New Roman" w:eastAsia="Times New Roman" w:hAnsi="Times New Roman" w:cs="Times New Roman"/>
          <w:sz w:val="24"/>
          <w:szCs w:val="24"/>
        </w:rPr>
      </w:pPr>
    </w:p>
    <w:p w14:paraId="2C4D2C92" w14:textId="0F96A519" w:rsidR="00151DA1" w:rsidRPr="00151DA1"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Another important but frequently overlooked aspect of the TIME is how different it is in space and time. Not only can immune cells change between tumor types, but they also differ between various parts of the same tumor and as the disease progresses. Because of this, systemic regulation of the immune system may not be able to reach high enough levels in tumor niches that are immune-privileged or immunologically "cold." Chemistry has several unique answers to this problem: targeted drug delivery systems, prodrugs, and light-activated molecules can change things in a specific area, which lowers off-target toxicity and improves therapeutic precision. </w:t>
      </w:r>
      <w:r w:rsidRPr="00151DA1">
        <w:rPr>
          <w:rFonts w:ascii="Times New Roman" w:eastAsia="Times New Roman" w:hAnsi="Times New Roman" w:cs="Times New Roman"/>
          <w:sz w:val="24"/>
          <w:szCs w:val="24"/>
        </w:rPr>
        <w:br/>
        <w:t>To sum up, the TIME is both a problem and a chance for chemical intervention. Knowing how complex it is makes it possible to build tiny compounds that can strategically change this environment to boost anti-tumor immunity</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{"citationID":"2coh8OBd","properties":{"formattedCitation":"[13]","plainCitation":"[13]","noteIndex":0},"citationItems":[{"id":5120,"uris":["http://zotero.org/users/16652950/items/WTQDXZD3"],"itemData":{"id":5120,"type":"article-journal","abstract":"Tumors are not only aggregates of malignant cells but also well-organized complex ecosystems. The immunological components within tumors, termed the tumor immune microenvironment (TIME), have long been shown to be strongly related to tumor development, recurrence and metastasis. However, conventional studies that underestimate the potential value of the spatial architecture of the TIME are unable to completely elucidate its complexity. As innovative high-flux and high-dimensional technologies emerge, researchers can more feasibly and accurately detect and depict the spatial architecture of the TIME. These findings have improved our understanding of the complexity and role of the TIME in tumor biology. In this review, we first epitomized some representative emerging technologies in the study of the spatial architecture of the TIME and categorized the description methods used to characterize these structures. Then, we determined the functions of the spatial architecture of the TIME in tumor biology and the effects of the gradient of extracellular nonspecific chemicals (ENSCs) on the TIME. We also discussed the potential clinical value of our understanding of the spatial architectures of the TIME, as well as current limitations and future prospects in this novel field. This review will bring spatial architectures of the TIME, an emerging dimension of tumor ecosystem research, to the attention of more researchers and promote its application in tumor research and clinical practice.","container-title":"Journal of Hematology &amp; Oncology","DOI":"10.1186/s13045-021-01103-4","ISSN":"1756-8722","journalAbbreviation":"J Hematol Oncol","note":"PMID: 34172088\nPMCID: PMC8234625","page":"98","source":"PubMed Central","title":"Spatial architecture of the immune microenvironment orchestrates tumor immunity and therapeutic response","volume":"14","author":[{"family":"Fu","given":"Tong"},{"family":"Dai","given":"Lei-Jie"},{"family":"Wu","given":"Song-Yang"},{"family":"Xiao","given":"Yi"},{"family":"Ma","given":"Ding"},{"family":"Jiang","given":"Yi-Zhou"},{"family":"Shao","given":"Zhi-Ming"}],"issued":{"date-parts":[["2021",6,25]]}}}],"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[13]</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20F2C57B" w14:textId="77777777" w:rsidR="006222E8" w:rsidRPr="006222E8" w:rsidRDefault="006222E8" w:rsidP="002734BF">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3. Small Molecule Immune Checkpoint Modulators</w:t>
      </w:r>
    </w:p>
    <w:p w14:paraId="7B7D8642" w14:textId="6B00D199" w:rsidR="008C310E"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Immune checkpoint drugs, especially monoclonal antibodies that target programmed death receptor-1 (PD-1) and its ligand PD-L1, have shown that immune checkpoints play a key role in helping tumors avoid the immune system. These receptor-ligand interactions operate like molecular brakes on T cell activation, keeping the body from attacking itself while it is healthy but letting cancer cells escape the immune system. Biologic checkpoint inhibitors can be very effective for some patients, but they have a lot of problems</w:t>
      </w:r>
      <w:r w:rsidR="0094503C">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{"citationID":"dqrAbdm7","properties":{"formattedCitation":"[14]","plainCitation":"[14]","noteIndex":0},"citationItems":[{"id":5224,"uris":["http://zotero.org/users/16652950/items/A3J2NDQU"],"itemData":{"id":5224,"type":"article-journal","container-title":"Journal of Cancer and Tumor International","DOI":"10.9734/jcti/2025/v15i3305","ISSN":"2454-7360","issue":"3","language":"en","page":"91-112","source":"journaljcti.com","title":"Decoding Tumor Heterogeneity through Multi Omics: Insights into Cancer Evolution, Microenvironment and Therapy Resistance","title-short":"Decoding Tumor Heterogeneity through Multi Omics","volume":"15","author":[{"family":"Ibekwe","given":"Paul-Miki Raluchukwu"},{"family":"Akintayo","given":"Elizabeth Anuoluwa"},{"family":"Okuku","given":"Cecilia Ndiuwem"},{"family":"Muhammed","given":"Ismaila"},{"family":"Jeje","given":"Fuhad Mayowa"},{"family":"Okun","given":"Oseghale"},{"family":"Ademola","given":"Kemiki Olalekan"},{"family":"Badru","given":"Muhydeen Damilola"},{"family":"Onwuemelem","given":"Lydia Amarachi"}],"issued":{"date-parts":[["2025",7,7]]}}}],"schema":"https://github.com/citation-style-language/schema/raw/master/csl-citation.json"} </w:instrText>
      </w:r>
      <w:r w:rsidR="0094503C">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[14]</w:t>
      </w:r>
      <w:r w:rsidR="0094503C">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For example, they are expensive to make, need to be given through an injection, don't penetrate tumors very well, have long half-lives that cause immune-related side effects to last a long time, and can be resistant to treatment. These problems have made people more interested in small molecule checkpoint inhibitors as a way to help or replace other treatments</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{"citationID":"OOSKVrF0","properties":{"formattedCitation":"[15,16]","plainCitation":"[15,16]","noteIndex":0},"citationItems":[{"id":5124,"uris":["http://zotero.org/users/16652950/items/VZCRCEJW"],"itemData":{"id":5124,"type":"article-journal","abstract":"The discovery of immune checkpoint proteins such as PD-1/PDL-1 and CTLA-4 represents a significant breakthrough in the field of cancer immunotherapy. Therefore, humanized monoclonal antibodies, targeting these immune checkpoint proteins have been utilized successfully in patients with metastatic melanoma, renal cell carcinoma, head and neck cancers and non-small lung cancer. The US FDA has successfully approved three different categories of immune checkpoint inhibitors (ICIs) such as PD-1 inhibitors (Nivolumab, Pembrolizumab, and Cemiplimab), PDL-1 inhibitors (Atezolimumab, Durvalumab and Avelumab), and CTLA-4 inhibitor (Ipilimumab). Unfortunately, not all patients respond favourably to these drugs, highlighting the role of biomarkers such as Tumour mutation burden (TMB), PDL-1 expression, microbiome, hypoxia, interferon-γ, and ECM in predicting responses to ICIs-based immunotherapy. The current study aims to review the literature and updates on ICIs in cancer therapy.","container-title":"Current Oncology","DOI":"10.3390/curroncol29050247","ISSN":"1198-0052","issue":"5","journalAbbreviation":"Curr Oncol","note":"PMID: 35621637\nPMCID: PMC9139602","page":"3044-3060","source":"PubMed Central","title":"Immune Checkpoint Inhibitors in Cancer Therapy","volume":"29","author":[{"family":"Shiravand","given":"Yavar"},{"family":"Khodadadi","given":"Faezeh"},{"family":"Kashani","given":"Seyyed Mohammad Amin"},{"family":"Hosseini-Fard","given":"Seyed Reza"},{"family":"Hosseini","given":"Shadi"},{"family":"Sadeghirad","given":"Habib"},{"family":"Ladwa","given":"Rahul"},{"family":"O’Byrne","given":"Ken"},{"family":"Kulasinghe","given":"Arutha"}],"issued":{"date-parts":[["2022",4,24]]}}},{"id":4111,"uris":["http://zotero.org/users/16652950/items/EKQBK8HZ"],"itemData":{"id":4111,"type":"article-journal","abstract":"Clonal hematopoiesis (CH) serves as a molecular connection between aging and pathological conditions, particularly cardiovascular diseases and hematologic malignancies. Recent progress in genetic sequencing have identified somatic mutations in genes such as TET2, DNMT3A, and JAK2 that drive clonal expansion of hematopoietic stem cells, leading to various systemic effects. These mutations, often termed clonal hematopoiesis of indeterminate potential (CHIP), occur in approximately 10-20% of individuals over 70 years old and significantly impact cardiovascular health through enhanced inflammation and atherosclerosis. Additionally, CHIP mutations serve as precursors to hematologic malignancies, with annual progression rates of 1-2% to conditions such as acute myeloid leukemia and myelodysplastic syndromes. Large cohort studies and animal models have demonstrated that specific mutations in epigenetic regulators and signaling molecules contribute to both cardiovascular pathology and malignant transformation. The relationship between aging, CHIP mutations, and disease progression presents opportunities for novel therapeutic techniques, including targeted anti-inflammatory strategies and epigenetic modulators. These findings have significant implications for risk stratification and early intervention in aging populations, potentially revolutionizing preventive medicine approaches for age-related diseases. Integration of CH screening into clinical practice may enable personalized risk assessment and guide therapeutic decisions, though challenges remain in standardizing detection methods and determining optimal intervention techniques","container-title":"Journal of Pharma Insights and Research","DOI":"10.69613/gexxbw35","ISSN":"3048-5428","issue":"2","language":"en","license":"Copyright (c) 2025 Journal of Pharma Insights and Research","note":"number: 2","page":"358-372","source":"jopir.in","title":"Molecular Mechanisms of Clonal Hematopoiesis in Age-Related Cardiovascular Disease and Hematologic Malignancies: Review Article","title-short":"Molecular Mechanisms of Clonal Hematopoiesis in Age-Related Cardiovascular Disease and Hematologic Malignancies","volume":"3","author":[{"family":"Onwuemelem","given":"Lydia Amarachi"},{"family":"Orobator","given":"Enibokun Theresa"},{"family":"Onyedum","given":"Nwamaka Nneka"},{"family":"Chibueze","given":"Eze Samson"},{"family":"Kanu","given":"Ikechukwu"},{"family":"Christopher","given":"Adegbesan Abiodun"},{"family":"Lawal","given":"Olabisi"},{"family":"Ben-Anioke","given":"Blessing"}],"issued":{"date-parts":[["2025",4,5]]}}}],"schema":"https://github.com/citation-style-language/schema/raw/master/csl-citation.json"}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[15,16]</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p>
    <w:p w14:paraId="2336FB25" w14:textId="038BD67A" w:rsidR="00FD7AA1"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br/>
        <w:t>BMS-202 is one of the most studied small molecule inhibitors of the PD-1/PD-L1 axis</w:t>
      </w:r>
      <w:r w:rsidR="008C310E">
        <w:rPr>
          <w:rFonts w:ascii="Times New Roman" w:eastAsia="Times New Roman" w:hAnsi="Times New Roman" w:cs="Times New Roman"/>
          <w:sz w:val="24"/>
          <w:szCs w:val="24"/>
        </w:rPr>
        <w:t xml:space="preserve"> (</w:t>
      </w:r>
      <w:r w:rsidR="0059773B" w:rsidRPr="00131163">
        <w:rPr>
          <w:rFonts w:ascii="Times New Roman" w:eastAsia="Times New Roman" w:hAnsi="Times New Roman" w:cs="Times New Roman"/>
          <w:b/>
          <w:bCs/>
          <w:sz w:val="24"/>
          <w:szCs w:val="24"/>
        </w:rPr>
        <w:t>f</w:t>
      </w:r>
      <w:r w:rsidR="008C310E" w:rsidRPr="00131163">
        <w:rPr>
          <w:rFonts w:ascii="Times New Roman" w:eastAsia="Times New Roman" w:hAnsi="Times New Roman" w:cs="Times New Roman"/>
          <w:b/>
          <w:bCs/>
          <w:sz w:val="24"/>
          <w:szCs w:val="24"/>
        </w:rPr>
        <w:t>igure 2</w:t>
      </w:r>
      <w:r w:rsidR="008C310E">
        <w:rPr>
          <w:rFonts w:ascii="Times New Roman" w:eastAsia="Times New Roman" w:hAnsi="Times New Roman" w:cs="Times New Roman"/>
          <w:sz w:val="24"/>
          <w:szCs w:val="24"/>
        </w:rPr>
        <w:t>)</w:t>
      </w:r>
      <w:r w:rsidRPr="00151DA1">
        <w:rPr>
          <w:rFonts w:ascii="Times New Roman" w:eastAsia="Times New Roman" w:hAnsi="Times New Roman" w:cs="Times New Roman"/>
          <w:sz w:val="24"/>
          <w:szCs w:val="24"/>
        </w:rPr>
        <w:t xml:space="preserve">. Bristol Myers Squibb found it through high-throughput screening and it is a prototype chemical. BMS-202 doesn't bind to the PD-1 receptor; instead, it works allosterically on PD-L1 to make it dimerize and stop it from interacting with PD-1. This method is part of a larger plan to break up protein–protein interactions (PPIs), which were once thought to be "undruggable" because their </w:t>
      </w:r>
      <w:r w:rsidRPr="00151DA1">
        <w:rPr>
          <w:rFonts w:ascii="Times New Roman" w:eastAsia="Times New Roman" w:hAnsi="Times New Roman" w:cs="Times New Roman"/>
          <w:sz w:val="24"/>
          <w:szCs w:val="24"/>
        </w:rPr>
        <w:lastRenderedPageBreak/>
        <w:t>flat and long interfaces made them hard to target. BMS-202 and its analogs show that it is possible to selectively and strongly disrupt PPIs with tiny compounds that have been carefully developed</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{"citationID":"uW8IGtTD","properties":{"formattedCitation":"[17]","plainCitation":"[17]","noteIndex":0},"citationItems":[{"id":5129,"uris":["http://zotero.org/users/16652950/items/S4DJ6V7R"],"itemData":{"id":5129,"type":"article-journal","abstract":"The increased PD-L1 expression induces poorer prognosis in melanoma. The small molecule inhibitors of PD-1/PD-L1 pathways have been an encouraging drug development strategy because of good affinity and oral bioavailability without immunogenicity and immunotoxicities of PD-1/PD-L1 antibodies. In this study, we studied the effects of PCC0208025 (BMS202), a small molecule inhibitor of PD-L1, on PD-1/PD-L1 binding and the cytokines secretion in human CD3+ cells in vitro. We also investigated the antitumor and immunomodulatory activity of PCC0208025 and the pharmacokinetics properties in B16-F10 melanoma-bearing mice. The results showed that PCC0208025 inhibited the PD-1/PD-L1 proteins binding, and rescued PD-L1-mediated inhibition of IFN-γ production in human CD3+ T cells in vitro. Furthermore, in B16-F10 melanoma-bearing mice, PCC0208025 presented the antitumor effects, enhanced IFN-γ levels in plasma, increased the frequency of CD3+CD8+ T and CD8+IFN-γ+ T and the ratios of CD8+/Treg, and deceased the CD4+CD25+CD127low/- (Treg) number in tumor. Pharmacokinetics study found that PCC0208025 was absorbed and distributed into the tumors with much higher concentrations than those of the blockade against PD-1/PD-L1 binding. Our work suggests that PCC0208025 exhibited anti-tumor effects through inhibiting Treg expansion and increasing cytotoxic activity of tumor-infiltrating CD8+ T cells by the blockade of PD-1/PD-L1 binding, which may provide the pharmacological basis to develop small molecule inhibitors of PD-1/PD-L1 binding for PCC0208025 as a lead compound.","container-title":"PloS One","DOI":"10.1371/journal.pone.0228339","ISSN":"1932-6203","issue":"3","journalAbbreviation":"PLoS One","language":"eng","note":"PMID: 32214351\nPMCID: PMC7098565","page":"e0228339","source":"PubMed","title":"PCC0208025 (BMS202), a small molecule inhibitor of PD-L1, produces an antitumor effect in B16-F10 melanoma-bearing mice","volume":"15","author":[{"family":"Hu","given":"Zhengping"},{"family":"Yu","given":"Pengfei"},{"family":"Du","given":"Guangying"},{"family":"Wang","given":"Wenyan"},{"family":"Zhu","given":"Haibo"},{"family":"Li","given":"Ning"},{"family":"Zhao","given":"Huijuan"},{"family":"Dong","given":"Zhaoju"},{"family":"Ye","given":"Liang"},{"family":"Tian","given":"Jingwei"}],"issued":{"date-parts":[["2020"]]}}}],"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[17]</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4CE8645C" w14:textId="5C3B19B8" w:rsidR="00FD7AA1" w:rsidRPr="00FD7AA1" w:rsidRDefault="00FD7AA1" w:rsidP="002734BF">
      <w:pPr>
        <w:spacing w:after="0" w:line="240" w:lineRule="auto"/>
        <w:jc w:val="both"/>
        <w:rPr>
          <w:rFonts w:ascii="Times New Roman" w:eastAsia="Times New Roman" w:hAnsi="Times New Roman" w:cs="Times New Roman"/>
          <w:sz w:val="24"/>
          <w:szCs w:val="24"/>
        </w:rPr>
      </w:pPr>
    </w:p>
    <w:p w14:paraId="2250AF1F" w14:textId="77777777" w:rsidR="00D96C5F" w:rsidRDefault="00D96C5F" w:rsidP="002734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46608182" wp14:editId="626937A0">
            <wp:simplePos x="0" y="0"/>
            <wp:positionH relativeFrom="margin">
              <wp:posOffset>640715</wp:posOffset>
            </wp:positionH>
            <wp:positionV relativeFrom="paragraph">
              <wp:posOffset>80010</wp:posOffset>
            </wp:positionV>
            <wp:extent cx="4804410" cy="3051810"/>
            <wp:effectExtent l="0" t="0" r="0" b="0"/>
            <wp:wrapTight wrapText="bothSides">
              <wp:wrapPolygon edited="0">
                <wp:start x="0" y="0"/>
                <wp:lineTo x="0" y="21438"/>
                <wp:lineTo x="21497" y="21438"/>
                <wp:lineTo x="21497" y="0"/>
                <wp:lineTo x="0" y="0"/>
              </wp:wrapPolygon>
            </wp:wrapTight>
            <wp:docPr id="210487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4410"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D03E9" w14:textId="77777777" w:rsidR="00D96C5F" w:rsidRDefault="00D96C5F" w:rsidP="002734BF">
      <w:pPr>
        <w:spacing w:after="0" w:line="240" w:lineRule="auto"/>
        <w:jc w:val="both"/>
        <w:rPr>
          <w:rFonts w:ascii="Times New Roman" w:eastAsia="Times New Roman" w:hAnsi="Times New Roman" w:cs="Times New Roman"/>
          <w:sz w:val="24"/>
          <w:szCs w:val="24"/>
        </w:rPr>
      </w:pPr>
    </w:p>
    <w:p w14:paraId="66569F90" w14:textId="77777777" w:rsidR="00D96C5F" w:rsidRDefault="00D96C5F" w:rsidP="002734BF">
      <w:pPr>
        <w:spacing w:after="0" w:line="240" w:lineRule="auto"/>
        <w:jc w:val="both"/>
        <w:rPr>
          <w:rFonts w:ascii="Times New Roman" w:eastAsia="Times New Roman" w:hAnsi="Times New Roman" w:cs="Times New Roman"/>
          <w:sz w:val="24"/>
          <w:szCs w:val="24"/>
        </w:rPr>
      </w:pPr>
    </w:p>
    <w:p w14:paraId="032E813F" w14:textId="77777777" w:rsidR="00D96C5F" w:rsidRDefault="00D96C5F" w:rsidP="002734BF">
      <w:pPr>
        <w:spacing w:after="0" w:line="240" w:lineRule="auto"/>
        <w:jc w:val="both"/>
        <w:rPr>
          <w:rFonts w:ascii="Times New Roman" w:eastAsia="Times New Roman" w:hAnsi="Times New Roman" w:cs="Times New Roman"/>
          <w:sz w:val="24"/>
          <w:szCs w:val="24"/>
        </w:rPr>
      </w:pPr>
    </w:p>
    <w:p w14:paraId="4F85FB3A" w14:textId="77777777" w:rsidR="00D96C5F" w:rsidRDefault="00D96C5F" w:rsidP="002734BF">
      <w:pPr>
        <w:spacing w:after="0" w:line="240" w:lineRule="auto"/>
        <w:jc w:val="both"/>
        <w:rPr>
          <w:rFonts w:ascii="Times New Roman" w:eastAsia="Times New Roman" w:hAnsi="Times New Roman" w:cs="Times New Roman"/>
          <w:sz w:val="24"/>
          <w:szCs w:val="24"/>
        </w:rPr>
      </w:pPr>
    </w:p>
    <w:p w14:paraId="437037C8" w14:textId="77777777" w:rsidR="00D96C5F" w:rsidRDefault="00D96C5F" w:rsidP="002734BF">
      <w:pPr>
        <w:spacing w:after="0" w:line="240" w:lineRule="auto"/>
        <w:jc w:val="both"/>
        <w:rPr>
          <w:rFonts w:ascii="Times New Roman" w:eastAsia="Times New Roman" w:hAnsi="Times New Roman" w:cs="Times New Roman"/>
          <w:sz w:val="24"/>
          <w:szCs w:val="24"/>
        </w:rPr>
      </w:pPr>
    </w:p>
    <w:p w14:paraId="2BA13B04" w14:textId="77777777" w:rsidR="00D96C5F" w:rsidRDefault="00D96C5F" w:rsidP="002734BF">
      <w:pPr>
        <w:spacing w:after="0" w:line="240" w:lineRule="auto"/>
        <w:jc w:val="both"/>
        <w:rPr>
          <w:rFonts w:ascii="Times New Roman" w:eastAsia="Times New Roman" w:hAnsi="Times New Roman" w:cs="Times New Roman"/>
          <w:sz w:val="24"/>
          <w:szCs w:val="24"/>
        </w:rPr>
      </w:pPr>
    </w:p>
    <w:p w14:paraId="38BB1C64" w14:textId="77777777" w:rsidR="00D96C5F" w:rsidRDefault="00D96C5F" w:rsidP="002734BF">
      <w:pPr>
        <w:spacing w:after="0" w:line="240" w:lineRule="auto"/>
        <w:jc w:val="both"/>
        <w:rPr>
          <w:rFonts w:ascii="Times New Roman" w:eastAsia="Times New Roman" w:hAnsi="Times New Roman" w:cs="Times New Roman"/>
          <w:sz w:val="24"/>
          <w:szCs w:val="24"/>
        </w:rPr>
      </w:pPr>
    </w:p>
    <w:p w14:paraId="270D8E5E" w14:textId="77777777" w:rsidR="00D96C5F" w:rsidRDefault="00D96C5F" w:rsidP="002734BF">
      <w:pPr>
        <w:spacing w:after="0" w:line="240" w:lineRule="auto"/>
        <w:jc w:val="both"/>
        <w:rPr>
          <w:rFonts w:ascii="Times New Roman" w:eastAsia="Times New Roman" w:hAnsi="Times New Roman" w:cs="Times New Roman"/>
          <w:sz w:val="24"/>
          <w:szCs w:val="24"/>
        </w:rPr>
      </w:pPr>
    </w:p>
    <w:p w14:paraId="0C2D436B" w14:textId="77777777" w:rsidR="00D96C5F" w:rsidRDefault="00D96C5F" w:rsidP="002734BF">
      <w:pPr>
        <w:spacing w:after="0" w:line="240" w:lineRule="auto"/>
        <w:jc w:val="both"/>
        <w:rPr>
          <w:rFonts w:ascii="Times New Roman" w:eastAsia="Times New Roman" w:hAnsi="Times New Roman" w:cs="Times New Roman"/>
          <w:sz w:val="24"/>
          <w:szCs w:val="24"/>
        </w:rPr>
      </w:pPr>
    </w:p>
    <w:p w14:paraId="3286AB92" w14:textId="77777777" w:rsidR="00D96C5F" w:rsidRDefault="00D96C5F" w:rsidP="002734BF">
      <w:pPr>
        <w:spacing w:after="0" w:line="240" w:lineRule="auto"/>
        <w:jc w:val="both"/>
        <w:rPr>
          <w:rFonts w:ascii="Times New Roman" w:eastAsia="Times New Roman" w:hAnsi="Times New Roman" w:cs="Times New Roman"/>
          <w:sz w:val="24"/>
          <w:szCs w:val="24"/>
        </w:rPr>
      </w:pPr>
    </w:p>
    <w:p w14:paraId="48D3FBE5" w14:textId="77777777" w:rsidR="00D96C5F" w:rsidRDefault="00D96C5F" w:rsidP="002734BF">
      <w:pPr>
        <w:spacing w:after="0" w:line="240" w:lineRule="auto"/>
        <w:jc w:val="both"/>
        <w:rPr>
          <w:rFonts w:ascii="Times New Roman" w:eastAsia="Times New Roman" w:hAnsi="Times New Roman" w:cs="Times New Roman"/>
          <w:sz w:val="24"/>
          <w:szCs w:val="24"/>
        </w:rPr>
      </w:pPr>
    </w:p>
    <w:p w14:paraId="721A9681" w14:textId="413CFABB" w:rsidR="00D96C5F" w:rsidRDefault="00D96C5F" w:rsidP="002734BF">
      <w:pPr>
        <w:spacing w:after="0" w:line="240" w:lineRule="auto"/>
        <w:jc w:val="both"/>
        <w:rPr>
          <w:rFonts w:ascii="Times New Roman" w:eastAsia="Times New Roman" w:hAnsi="Times New Roman" w:cs="Times New Roman"/>
          <w:sz w:val="24"/>
          <w:szCs w:val="24"/>
        </w:rPr>
      </w:pPr>
    </w:p>
    <w:p w14:paraId="6049F01E" w14:textId="77777777" w:rsidR="00D96C5F" w:rsidRDefault="00D96C5F" w:rsidP="002734BF">
      <w:pPr>
        <w:spacing w:after="0" w:line="240" w:lineRule="auto"/>
        <w:jc w:val="both"/>
        <w:rPr>
          <w:rFonts w:ascii="Times New Roman" w:eastAsia="Times New Roman" w:hAnsi="Times New Roman" w:cs="Times New Roman"/>
          <w:sz w:val="24"/>
          <w:szCs w:val="24"/>
        </w:rPr>
      </w:pPr>
    </w:p>
    <w:p w14:paraId="440B7490" w14:textId="77777777" w:rsidR="00D96C5F" w:rsidRDefault="00D96C5F" w:rsidP="002734BF">
      <w:pPr>
        <w:spacing w:after="0" w:line="240" w:lineRule="auto"/>
        <w:jc w:val="both"/>
        <w:rPr>
          <w:rFonts w:ascii="Times New Roman" w:eastAsia="Times New Roman" w:hAnsi="Times New Roman" w:cs="Times New Roman"/>
          <w:sz w:val="24"/>
          <w:szCs w:val="24"/>
        </w:rPr>
      </w:pPr>
    </w:p>
    <w:p w14:paraId="0114ADA3" w14:textId="77777777" w:rsidR="00D96C5F" w:rsidRDefault="00D96C5F" w:rsidP="002734BF">
      <w:pPr>
        <w:spacing w:after="0" w:line="240" w:lineRule="auto"/>
        <w:jc w:val="both"/>
        <w:rPr>
          <w:rFonts w:ascii="Times New Roman" w:eastAsia="Times New Roman" w:hAnsi="Times New Roman" w:cs="Times New Roman"/>
          <w:sz w:val="24"/>
          <w:szCs w:val="24"/>
        </w:rPr>
      </w:pPr>
    </w:p>
    <w:p w14:paraId="29619819" w14:textId="77777777" w:rsidR="00D96C5F" w:rsidRDefault="00D96C5F" w:rsidP="002734BF">
      <w:pPr>
        <w:spacing w:after="0" w:line="240" w:lineRule="auto"/>
        <w:jc w:val="both"/>
        <w:rPr>
          <w:rFonts w:ascii="Times New Roman" w:eastAsia="Times New Roman" w:hAnsi="Times New Roman" w:cs="Times New Roman"/>
          <w:sz w:val="24"/>
          <w:szCs w:val="24"/>
        </w:rPr>
      </w:pPr>
    </w:p>
    <w:p w14:paraId="56E6AEC4" w14:textId="77777777" w:rsidR="00D96C5F" w:rsidRDefault="00D96C5F" w:rsidP="002734BF">
      <w:pPr>
        <w:spacing w:after="0" w:line="240" w:lineRule="auto"/>
        <w:jc w:val="both"/>
        <w:rPr>
          <w:rFonts w:ascii="Times New Roman" w:eastAsia="Times New Roman" w:hAnsi="Times New Roman" w:cs="Times New Roman"/>
          <w:sz w:val="24"/>
          <w:szCs w:val="24"/>
        </w:rPr>
      </w:pPr>
    </w:p>
    <w:p w14:paraId="677D4ED5" w14:textId="77777777" w:rsidR="001542CD" w:rsidRDefault="00E175B4" w:rsidP="002734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8C310E">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w:t>
      </w:r>
      <w:r w:rsidRPr="00E175B4">
        <w:rPr>
          <w:rFonts w:ascii="Times New Roman" w:eastAsia="Times New Roman" w:hAnsi="Times New Roman" w:cs="Times New Roman"/>
          <w:sz w:val="24"/>
          <w:szCs w:val="24"/>
        </w:rPr>
        <w:t>Mechanisms of Small Molecule Disruption of PD-1/PD-L1 Axis</w:t>
      </w:r>
    </w:p>
    <w:p w14:paraId="0A5EF59E" w14:textId="36E0C1F3" w:rsidR="00FD7AA1" w:rsidRPr="00FD7AA1" w:rsidRDefault="008C310E" w:rsidP="002734BF">
      <w:pPr>
        <w:spacing w:after="0" w:line="240" w:lineRule="auto"/>
        <w:jc w:val="both"/>
        <w:rPr>
          <w:rFonts w:ascii="Times New Roman" w:eastAsia="Times New Roman" w:hAnsi="Times New Roman" w:cs="Times New Roman"/>
        </w:rPr>
      </w:pPr>
      <w:r w:rsidRPr="00943AF2">
        <w:rPr>
          <w:rFonts w:ascii="Times New Roman" w:eastAsia="Times New Roman" w:hAnsi="Times New Roman" w:cs="Times New Roman"/>
        </w:rPr>
        <w:t xml:space="preserve">showing </w:t>
      </w:r>
      <w:r w:rsidR="00FD7AA1" w:rsidRPr="00FD7AA1">
        <w:rPr>
          <w:rFonts w:ascii="Times New Roman" w:eastAsia="Times New Roman" w:hAnsi="Times New Roman" w:cs="Times New Roman"/>
        </w:rPr>
        <w:t>key checkpoint-modulating strategies: normal PD-1/PD-L1 interaction between T cells and tumor cells suppresses immune activation, BMS-202 induces PD-L1 dimerization to prevent PD-1 binding allosterically, CA-170 simultaneously targets PD-L1 and VISTA to restore T cell function, while VISTA/PD-L1 dual inhibition expands checkpoint blockade beyond PD-1 for broader immunomodulation</w:t>
      </w:r>
    </w:p>
    <w:p w14:paraId="59CAFD99" w14:textId="7CAD8CBA" w:rsidR="00411137"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br/>
        <w:t>CA-170 is another potential drug</w:t>
      </w:r>
      <w:r w:rsidR="0059773B">
        <w:rPr>
          <w:rFonts w:ascii="Times New Roman" w:eastAsia="Times New Roman" w:hAnsi="Times New Roman" w:cs="Times New Roman"/>
          <w:sz w:val="24"/>
          <w:szCs w:val="24"/>
        </w:rPr>
        <w:t xml:space="preserve"> (</w:t>
      </w:r>
      <w:r w:rsidR="0059773B" w:rsidRPr="00131163">
        <w:rPr>
          <w:rFonts w:ascii="Times New Roman" w:eastAsia="Times New Roman" w:hAnsi="Times New Roman" w:cs="Times New Roman"/>
          <w:b/>
          <w:bCs/>
          <w:sz w:val="24"/>
          <w:szCs w:val="24"/>
        </w:rPr>
        <w:t>figure 2</w:t>
      </w:r>
      <w:r w:rsidR="0059773B">
        <w:rPr>
          <w:rFonts w:ascii="Times New Roman" w:eastAsia="Times New Roman" w:hAnsi="Times New Roman" w:cs="Times New Roman"/>
          <w:sz w:val="24"/>
          <w:szCs w:val="24"/>
        </w:rPr>
        <w:t>)</w:t>
      </w:r>
      <w:r w:rsidRPr="00151DA1">
        <w:rPr>
          <w:rFonts w:ascii="Times New Roman" w:eastAsia="Times New Roman" w:hAnsi="Times New Roman" w:cs="Times New Roman"/>
          <w:sz w:val="24"/>
          <w:szCs w:val="24"/>
        </w:rPr>
        <w:t xml:space="preserve">. It is the first oral immune checkpoint modulator made by </w:t>
      </w:r>
      <w:proofErr w:type="spellStart"/>
      <w:r w:rsidRPr="00151DA1">
        <w:rPr>
          <w:rFonts w:ascii="Times New Roman" w:eastAsia="Times New Roman" w:hAnsi="Times New Roman" w:cs="Times New Roman"/>
          <w:sz w:val="24"/>
          <w:szCs w:val="24"/>
        </w:rPr>
        <w:t>Aurigene</w:t>
      </w:r>
      <w:proofErr w:type="spellEnd"/>
      <w:r w:rsidRPr="00151DA1">
        <w:rPr>
          <w:rFonts w:ascii="Times New Roman" w:eastAsia="Times New Roman" w:hAnsi="Times New Roman" w:cs="Times New Roman"/>
          <w:sz w:val="24"/>
          <w:szCs w:val="24"/>
        </w:rPr>
        <w:t xml:space="preserve"> and </w:t>
      </w:r>
      <w:proofErr w:type="spellStart"/>
      <w:r w:rsidRPr="00151DA1">
        <w:rPr>
          <w:rFonts w:ascii="Times New Roman" w:eastAsia="Times New Roman" w:hAnsi="Times New Roman" w:cs="Times New Roman"/>
          <w:sz w:val="24"/>
          <w:szCs w:val="24"/>
        </w:rPr>
        <w:t>Curis</w:t>
      </w:r>
      <w:proofErr w:type="spellEnd"/>
      <w:r w:rsidRPr="00151DA1">
        <w:rPr>
          <w:rFonts w:ascii="Times New Roman" w:eastAsia="Times New Roman" w:hAnsi="Times New Roman" w:cs="Times New Roman"/>
          <w:sz w:val="24"/>
          <w:szCs w:val="24"/>
        </w:rPr>
        <w:t>. It is said to target both PD-L1 and VISTA (V-domain Ig suppressor of T cell activation). While the exact molecular mechanism of CA-170 is still being studied, preclinical studies show that it can restore T cell activity and stop tumor growth in syngeneic animals. The chemical has moved on to early-phase clinical trials, which gives us a look at how possible it is to suppress checkpoints orally</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{"citationID":"pmDKZqKd","properties":{"formattedCitation":"[18]","plainCitation":"[18]","noteIndex":0},"citationItems":[{"id":5132,"uris":["http://zotero.org/users/16652950/items/7F6UTBZA"],"itemData":{"id":5132,"type":"article-journal","abstract":"Small molecule immune checkpoint inhibitors targeting PD-1 and other pathways may offer advantages including ease of dosing, ability to manage immune-related adverse events (irAEs) due to their shorter pharmacokinetic exposure and opportunity to target more than one pathway for improving efficacy. Here we describe the identification and characterization of CA-170, an amino acid inspired small molecule inhibitor of PD-L1 and VISTA derived from the interface of PD-1 and PD-L1. CA-170 exhibited potent rescue of proliferation and effector functions of T cells inhibited by PD-L1/L2 and VISTA with selectivity over other immune checkpoint proteins as well as a broad panel of receptors and enzymes. Observed blocking of PD-L1 signaling and binding to PD-L1 in the cellular context without preventing the assembly of PD-1:PD-L1 complex support the formation of a defective ternary complex as the mechanism of action of CA-170. Oral administration of CA-170 resulted in increased proliferation and activation of T cells in the tumor, and significant anti-tumor efficacy in a number of immunocompetent mouse tumor models either as a single agent or in combination with approved therapeutics. These results prompted the advancement of CA-170 to human clinical trials.","container-title":"Communications Biology","DOI":"10.1038/s42003-021-02191-1","ISSN":"2399-3642","issue":"1","journalAbbreviation":"Commun Biol","language":"eng","note":"PMID: 34103659\nPMCID: PMC8187357","page":"699","source":"PubMed","title":"PD-1 derived CA-170 is an oral immune checkpoint inhibitor that exhibits preclinical anti-tumor efficacy","volume":"4","author":[{"family":"Sasikumar","given":"Pottayil G."},{"family":"Sudarshan","given":"Naremaddepalli S."},{"family":"Adurthi","given":"Srinivas"},{"family":"Ramachandra","given":"Raghuveer K."},{"family":"Samiulla","given":"Dodderi S."},{"family":"Lakshminarasimhan","given":"Anirudha"},{"family":"Ramanathan","given":"Anuradha"},{"family":"Chandrasekhar","given":"Talapaneni"},{"family":"Dhudashiya","given":"Amit A."},{"family":"Talapati","given":"Sumalatha R."},{"family":"Gowda","given":"Nagesh"},{"family":"Palakolanu","given":"Sreenivasulareddy"},{"family":"Mani","given":"Jiju"},{"family":"Srinivasrao","given":"Bandi"},{"family":"Joseph","given":"David"},{"family":"Kumar","given":"Nigam"},{"family":"Nair","given":"Rashmi"},{"family":"Atreya","given":"Hanudatta S."},{"family":"Gowda","given":"Nagaraj"},{"family":"Ramachandra","given":"Murali"}],"issued":{"date-parts":[["2021",6,8]]}}}],"schema":"https://github.com/citation-style-language/schema/raw/master/csl-citation.json"}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[18]</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r w:rsidR="00411137">
        <w:rPr>
          <w:rFonts w:ascii="Times New Roman" w:eastAsia="Times New Roman" w:hAnsi="Times New Roman" w:cs="Times New Roman"/>
          <w:sz w:val="24"/>
          <w:szCs w:val="24"/>
        </w:rPr>
        <w:t xml:space="preserve"> </w:t>
      </w:r>
    </w:p>
    <w:p w14:paraId="6A39C997" w14:textId="77777777" w:rsidR="00411137" w:rsidRDefault="00411137" w:rsidP="002734BF">
      <w:pPr>
        <w:spacing w:after="0" w:line="240" w:lineRule="auto"/>
        <w:jc w:val="both"/>
        <w:rPr>
          <w:rFonts w:ascii="Times New Roman" w:eastAsia="Times New Roman" w:hAnsi="Times New Roman" w:cs="Times New Roman"/>
          <w:sz w:val="24"/>
          <w:szCs w:val="24"/>
        </w:rPr>
      </w:pPr>
    </w:p>
    <w:p w14:paraId="1CD7D575" w14:textId="4C65DBB9" w:rsidR="00151DA1" w:rsidRPr="00151DA1"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Small molecules have many built-in benefits over monoclonal antibodies. Their oral bioavailability facilitates chronic dosing and patient compliance, while their low molecular weight ensures improved tumor penetration, particularly in solid tumors with high interstitial pressure or dense stroma. Also, they have shorter half-lives, which makes it easier to modulate immune modulation over time and may lessen the severity of immunological-related side effects. </w:t>
      </w:r>
      <w:r w:rsidRPr="00151DA1">
        <w:rPr>
          <w:rFonts w:ascii="Times New Roman" w:eastAsia="Times New Roman" w:hAnsi="Times New Roman" w:cs="Times New Roman"/>
          <w:sz w:val="24"/>
          <w:szCs w:val="24"/>
        </w:rPr>
        <w:br/>
        <w:t>Still, small molecule checkpoint inhibitors have some big problems to deal with. The PD-1/PD-L1 PPI interface covers a large, hydrophobic area, making it hard for things to stick to it tightly. Additionally, it is still hard to achieve selectivity over off-target immunological interactions. Even with these problems, progress in fragment-based drug design (FBDD) and computational docking has made it much easier to find and improve ligands that break up PPI interfaces. FBDD is very useful for finding low-affinity "fragments" that bind to hotspots on the PPI surface</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{"citationID":"XIVJkahj","properties":{"formattedCitation":"[19]","plainCitation":"[19]","noteIndex":0},"citationItems":[{"id":5135,"uris":["http://zotero.org/users/16652950/items/FFKHTKNL"],"itemData":{"id":5135,"type":"article-journal","abstract":"Biologic drugs are used to treat a variety of cancers and chronic diseases. While most of these treatments are administered intravenously by trained healthcare professionals, a noticeable trend has emerged favoring subcutaneous (SC) administration. ...","container-title":"mAbs","DOI":"10.1080/19420862.2023.2285277","issue":"1","language":"en","note":"PMID: 38013454","page":"2285277","source":"pmc.ncbi.nlm.nih.gov","title":"Monoclonal antibody and protein therapeutic formulations for subcutaneous delivery: high-concentration, low-volume vs. low-concentration, high-volume","title-short":"Monoclonal antibody and protein therapeutic formulations for subcutaneous delivery","volume":"15","author":[{"family":"Desai","given":"M."},{"family":"Kundu","given":"A."},{"family":"Hageman","given":"M."},{"family":"Lou","given":"H."},{"family":"Boisvert","given":"D."}],"issued":{"date-parts":[["2023",11,27]]}}}],"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[19]</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These fragments can then be turned into strong inhibitors with good pharmacokinetic features. </w:t>
      </w:r>
      <w:r w:rsidRPr="00151DA1">
        <w:rPr>
          <w:rFonts w:ascii="Times New Roman" w:eastAsia="Times New Roman" w:hAnsi="Times New Roman" w:cs="Times New Roman"/>
          <w:sz w:val="24"/>
          <w:szCs w:val="24"/>
        </w:rPr>
        <w:br/>
      </w:r>
      <w:r w:rsidRPr="00151DA1">
        <w:rPr>
          <w:rFonts w:ascii="Times New Roman" w:eastAsia="Times New Roman" w:hAnsi="Times New Roman" w:cs="Times New Roman"/>
          <w:sz w:val="24"/>
          <w:szCs w:val="24"/>
        </w:rPr>
        <w:lastRenderedPageBreak/>
        <w:t xml:space="preserve">Molecular glues are tiny compounds that stabilize temporary protein complexes or create new interactions. This is a new idea in this field. This technique has mostly been used for targeted protein degradation, but it might also be used to change immunological checkpoints, which is a very interesting new area of research. For example, tiny compounds that help PD-L1 dimerization or internalization could have the same functional consequences as blocking receptors without having to directly compete at the canonical binding site. </w:t>
      </w:r>
      <w:r w:rsidRPr="00151DA1">
        <w:rPr>
          <w:rFonts w:ascii="Times New Roman" w:eastAsia="Times New Roman" w:hAnsi="Times New Roman" w:cs="Times New Roman"/>
          <w:sz w:val="24"/>
          <w:szCs w:val="24"/>
        </w:rPr>
        <w:br/>
        <w:t>Even though small molecule checkpoint inhibitors are still in the early stages of clinical development, breakthroughs in chemical biology and ideas greatly favor their future use in immuno-oncology. These drugs may make immune interventions more nuanced, scalable, and accessible when employed alone or with biologics, vaccines, or adoptive cell therapies. This is because the tumor microenvironment is so different from person to person</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{"citationID":"WgOeyOLh","properties":{"formattedCitation":"[20]","plainCitation":"[20]","noteIndex":0},"citationItems":[{"id":5139,"uris":["http://zotero.org/users/16652950/items/NV5YKJNR"],"itemData":{"id":5139,"type":"article-journal","abstract":"Protein-protein interactions (PPIs) are fundamental to cellular signaling and transduction which marks them as attractive therapeutic drug development targets. What were once considered to be undruggable targets have become increasingly feasible due to the progress that has been made over the last two decades and the rapid technological advances. This work explores the influence of technological innovations on PPI research and development. Additionally, the diverse strategies for discovering, modulating, and characterizing PPIs and their corresponding modulators are examined with the aim of presenting a streamlined pipeline for advancing PPI-targeted therapeutics. By showcasing carefully selected case studies in PPI modulator discovery and development, we aim to illustrate the efficacy of various strategies for identifying, optimizing, and overcoming challenges associated with PPI modulator design. The valuable lessons and insights gained from the identification, optimization, and approval of PPI modulators are discussed with the aim of demonstrating that PPI modulators have transitioned beyond early-stage drug discovery and now represent a prime opportunity with significant potential. The selected examples of PPI modulators encompass those developed for cancer, inflammation and immunomodulation, as well as antiviral applications. This perspective aims to establish a foundation for the effective targeting and modulation of PPIs using PPI modulators and pave the way for future drug development.","container-title":"Signal Transduction and Targeted Therapy","DOI":"10.1038/s41392-024-02036-3","ISSN":"2095-9907","journalAbbreviation":"Signal Transduct Target Ther","note":"PMID: 39638817\nPMCID: PMC11621763","page":"341","source":"PubMed Central","title":"New insights into protein–protein interaction modulators in drug discovery and therapeutic advance","volume":"9","author":[{"family":"Nada","given":"Hossam"},{"family":"Choi","given":"Yongseok"},{"family":"Kim","given":"Sungdo"},{"family":"Jeong","given":"Kwon Su"},{"family":"Meanwell","given":"Nicholas A."},{"family":"Lee","given":"Kyeong"}],"issued":{"date-parts":[["2024",12,6]]}}}],"schema":"https://github.com/citation-style-language/schema/raw/master/csl-citation.json"}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[20]</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1C9CF0B2" w14:textId="77777777" w:rsidR="006222E8" w:rsidRPr="006222E8" w:rsidRDefault="006222E8" w:rsidP="002734BF">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4. STING, TLRs, and Innate Immune Modulators</w:t>
      </w:r>
    </w:p>
    <w:p w14:paraId="4158B4A7" w14:textId="18F12528" w:rsidR="00411137"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Adaptive immune regulation has been the main focus of immuno-oncology, but targeting innate immune pathways has become a useful technique to boost anti-tumor immunity, especially in tumors that don't have T cell infiltration and are therefore "cold." The Stimulator of Interferon Genes (STING) pathway and Toll-like receptors (TLRs) are two important parts of the innate immune signaling network. When these sensors are turned on in the tumor immune microenvironment (TIME), they can start a chain reaction of pro-inflammatory cytokine production, dendritic cell activation, and the priming of cytotoxic T cells</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{"citationID":"y5mXTODp","properties":{"formattedCitation":"[21]","plainCitation":"[21]","noteIndex":0},"citationItems":[{"id":5142,"uris":["http://zotero.org/users/16652950/items/2TW9VEEY"],"itemData":{"id":5142,"type":"article-journal","abstract":"The majority of current cancer immunotherapy strategies target and potentiate antitumor adaptive immune responses. Unfortunately, the efficacy of these treatments has been limited to a fraction of patients within a subset of tumor types, with an aggregate response rate of approximately 20% to date across all malignancies. The success of therapeutic inhibition of programmed death protein 1 (PD-1), protein death ligand 1 (PD-L1) and cytotoxic T-lymphocyte-associated antigen 4 (CTLA-4) with immune checkpoint inhibitors (ICI) has been limited to “hot” tumors characterized by preexisting T cell infiltration, whereas “cold” tumors, which lack T cell infiltration, have not achieved durable benefit. There are several mechanisms by which “cold” tumors fail to generate spontaneous immune infiltration, which converge upon the generation of an immunosuppressive tumor microenvironment (TME). The role of the innate immune system in tumor immunosurveillance and generation of antitumor immune responses has been long recognized. In recent years, novel strategies to target innate immunity in cancer therapy have emerged, including therapeutic stimulation of pattern recognition receptors (PRRs), such as Toll-like receptors (TLRs); the DNA sensing cGAS/STING pathway; nucleotide-binding oligomerization domain-like receptors (NLRs), such as NLRP3; and the retinoic acid-inducible gene-I (RIG-I)-like receptors (RLRs). In addition, therapeutic modulation of key innate immune cell types, such as macrophages and natural killer cells, has been investigated. Herein, we review therapeutic approaches to activate innate immunity within the TME to enhance antitumor immune responses, with the goal of disease eradication in “cold” tumors. In addition, we discuss rational immune-oncology combination strategies that activate both innate and adaptive immunity, with the potential to enhance the efficacy of current immunotherapeutic approaches.","container-title":"Vaccines","DOI":"10.3390/vaccines9020138","ISSN":"2076-393X","issue":"2","journalAbbreviation":"Vaccines (Basel)","note":"PMID: 33572196\nPMCID: PMC7916062","page":"138","source":"PubMed Central","title":"Targeting Innate Immunity in Cancer Therapy","volume":"9","author":[{"family":"Rameshbabu","given":"Srikrishnan"},{"family":"Labadie","given":"Brian W."},{"family":"Argulian","given":"Anna"},{"family":"Patnaik","given":"Akash"}],"issued":{"date-parts":[["2021",2,9]]}}}],"schema":"https://github.com/citation-style-language/schema/raw/master/csl-citation.json"}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[21]</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This is a different way to reprogram the immune system</w:t>
      </w:r>
      <w:r w:rsidR="00A465E4">
        <w:rPr>
          <w:rFonts w:ascii="Times New Roman" w:eastAsia="Times New Roman" w:hAnsi="Times New Roman" w:cs="Times New Roman"/>
          <w:sz w:val="24"/>
          <w:szCs w:val="24"/>
        </w:rPr>
        <w:t>. (</w:t>
      </w:r>
      <w:r w:rsidR="00A465E4">
        <w:rPr>
          <w:rFonts w:ascii="Times New Roman" w:eastAsia="Times New Roman" w:hAnsi="Times New Roman" w:cs="Times New Roman"/>
          <w:b/>
          <w:bCs/>
          <w:sz w:val="24"/>
          <w:szCs w:val="24"/>
        </w:rPr>
        <w:t>Table 1</w:t>
      </w:r>
      <w:r w:rsidR="00A465E4">
        <w:rPr>
          <w:rFonts w:ascii="Times New Roman" w:eastAsia="Times New Roman" w:hAnsi="Times New Roman" w:cs="Times New Roman"/>
          <w:sz w:val="24"/>
          <w:szCs w:val="24"/>
        </w:rPr>
        <w:t>)</w:t>
      </w:r>
      <w:r w:rsidRPr="00151DA1">
        <w:rPr>
          <w:rFonts w:ascii="Times New Roman" w:eastAsia="Times New Roman" w:hAnsi="Times New Roman" w:cs="Times New Roman"/>
          <w:sz w:val="24"/>
          <w:szCs w:val="24"/>
        </w:rPr>
        <w:br/>
        <w:t>Scientists first made STING agonists based on how the body naturally responds to cytosolic DNA through cyclic dinucleotides (CDNs) such 2′3′-cGAMP. When STING is activated in antigen-presenting cells, it releases type I interferons and other inflammatory mediators, which make tumors more immunogenic</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{"citationID":"5fSV4ZgY","properties":{"formattedCitation":"[22,23]","plainCitation":"[22,23]","noteIndex":0},"citationItems":[{"id":5145,"uris":["http://zotero.org/users/16652950/items/FV4L42XH"],"itemData":{"id":5145,"type":"article-journal","abstract":"An innate immune system is the first line of defense and prevents the host from infection and attacks the invading pathogens. Stimulator of interferon genes (STING) plays a vital role in the innate immune system. STING activation by STING agonists leads to phosphorylation of TANK-binding kinase 1 (TBK1) and interferon regulatory factor 3 (IRF3) with the release of type I interferons and proinflammatory cytokines, further promoting the adaptive immune response and activating T cells by increased antigen presentation. Natural STING agonist cyclic dinucleotides (CDNs) encounter many defects such as high polarity by negative charges, low stability and circulative half-life, off-target systemic toxicity, and low response efficacy in clinical trials. To overcome these challenges, massive efforts have addressed chemical modifications of CDNs, development of non-CDN STING agonists, and delivery of these STING agonists either by conjugation or liposomes/nanoparticles. Considering there have been a great number of reports regarding nanosystem-aided delivery, here, we examine the development of STING agonists, especially for non-CDNs and their delivery specifically by conjugation strategy, with a focus on the STING agonists in clinical trials and current challenges of their potential in cancer immunotherapy., While nanoparticle-mediated delivery has dominated STING agonist research, this review highlights the emerging paradigm of STING agonists especially for non-cyclic dinucleotides (non-CDNs) engineered through covalent conjugation strategies, with a special focus on these STING agonists in clinical trials.","container-title":"Molecular Therapy. Nucleic Acids","DOI":"10.1016/j.omtn.2025.102530","ISSN":"2162-2531","issue":"2","journalAbbreviation":"Mol Ther Nucleic Acids","note":"PMID: 40291379\nPMCID: PMC12032345","page":"102530","source":"PubMed Central","title":"Conjugated STING agonists","volume":"36","author":[{"family":"Qu","given":"Shuhao"},{"family":"Dai","given":"Hong"}],"issued":{"date-parts":[["2025",3,31]]}}},{"id":2696,"uris":["http://zotero.org/users/16652950/items/JRQXD64C"],"itemData":{"id":2696,"type":"article-journal","container-title":"Asian Journal of Research and Reports in Endocrinology","DOI":"10.9734/ajrre/2025/v8i1110","issue":"1","language":"en","page":"94-109","source":"journalajrre.com","title":"Modulating Gut Microbiota for Precision Medicine in Diabetes: A Paradigm Shift in Personalized Treatment Strategies","title-short":"Modulating Gut Microbiota for Precision Medicine in Diabetes","volume":"8","author":[{"family":"Lawal","given":"Olabisi Promise"},{"family":"Adekunle","given":"Joshua Favour"},{"family":"Abiodun","given":"Adebiyi Victor"},{"family":"Orobator","given":"Enibokun Theresa"},{"family":"Agbo","given":"Okabeonye Sunday"},{"family":"Ugoagwu","given":"Kingsley Ugonna"},{"family":"Akintayo","given":"Elizabeth Anuoluwa"},{"family":"Olaniyi","given":"Aliyu Olanrewaju"},{"family":"Otabil","given":"Caleb"},{"family":"Mandal","given":"Madhumati"},{"family":"Elechi","given":"Kelechi Wisdom"}],"issued":{"date-parts":[["2025",5,21]]}}}],"schema":"https://github.com/citation-style-language/schema/raw/master/csl-citation.json"}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[22,23]</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However, CDNs are hard to transport throughout the body and into tumors because they are hydrophilic and can be broken down by enzymes. Chemists have solved these problems by making changes to the molecules themselves, such as adding phosphorothioate links, making the backbone </w:t>
      </w:r>
      <w:proofErr w:type="gramStart"/>
      <w:r w:rsidRPr="00151DA1">
        <w:rPr>
          <w:rFonts w:ascii="Times New Roman" w:eastAsia="Times New Roman" w:hAnsi="Times New Roman" w:cs="Times New Roman"/>
          <w:sz w:val="24"/>
          <w:szCs w:val="24"/>
        </w:rPr>
        <w:t>more stiff</w:t>
      </w:r>
      <w:proofErr w:type="gramEnd"/>
      <w:r w:rsidRPr="00151DA1">
        <w:rPr>
          <w:rFonts w:ascii="Times New Roman" w:eastAsia="Times New Roman" w:hAnsi="Times New Roman" w:cs="Times New Roman"/>
          <w:sz w:val="24"/>
          <w:szCs w:val="24"/>
        </w:rPr>
        <w:t xml:space="preserve">, and using prodrug masking methods. Recently, non-nucleotide small-molecule STING agonists like </w:t>
      </w:r>
      <w:proofErr w:type="spellStart"/>
      <w:r w:rsidRPr="00151DA1">
        <w:rPr>
          <w:rFonts w:ascii="Times New Roman" w:eastAsia="Times New Roman" w:hAnsi="Times New Roman" w:cs="Times New Roman"/>
          <w:sz w:val="24"/>
          <w:szCs w:val="24"/>
        </w:rPr>
        <w:t>diABZI</w:t>
      </w:r>
      <w:proofErr w:type="spellEnd"/>
      <w:r w:rsidRPr="00151DA1">
        <w:rPr>
          <w:rFonts w:ascii="Times New Roman" w:eastAsia="Times New Roman" w:hAnsi="Times New Roman" w:cs="Times New Roman"/>
          <w:sz w:val="24"/>
          <w:szCs w:val="24"/>
        </w:rPr>
        <w:t xml:space="preserve"> and MSA-2 have demonstrated promise efficacy and drug-like qualities, which could make them suitable for oral use and provide them better pharmacokinetic profiles</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{"citationID":"beZjdRIK","properties":{"formattedCitation":"[24]","plainCitation":"[24]","noteIndex":0},"citationItems":[{"id":5152,"uris":["http://zotero.org/users/16652950/items/AVBBGJ4W"],"itemData":{"id":5152,"type":"article-journal","abstract":"The last decade (2013–2023) has seen unprecedented successes in the clinical translation of therapeutic antisense oligonucleotides (ASOs). Eight such molecules have been granted marketing approval by the United States Food and Drug Administration (US FDA) during the decade, after the first ASO drug, fomivirsen, was approved much earlier, in 1998. Splice-modulating ASOs have also been developed for the therapy of inborn errors of metabolism (IEMs), due to their ability to redirect aberrant splicing caused by mutations, thus recovering the expression of normal transcripts, and correcting the deficiency of functional proteins. The feasibility of treating IEM patients with splice-switching ASOs has been supported by FDA permission (2018) of the first “N-of-1” study of milasen, an investigational ASO drug for Batten disease. Although for IEM, owing to the rarity of individual disease and/or pathogenic mutation, only a low number of patients may be treated by ASOs that specifically suppress the aberrant splicing pattern of mutant precursor mRNA (pre-mRNA), splice-switching ASOs represent superior individualized molecular therapeutics for IEM. In this work, we first summarize the ASO technology with respect to its mechanisms of action, chemical modifications of nucleotides, and rational design of modified oligonucleotides; following that, we precisely provide a review of the current understanding of developing splice-modulating ASO-based therapeutics for IEM. In the concluding section, we suggest potential ways to improve and/or optimize the development of ASOs targeting IEM.","container-title":"BioDrugs","DOI":"10.1007/s40259-024-00644-7","ISSN":"1179-190X","issue":"2","journalAbbreviation":"BioDrugs","language":"en","page":"177-203","source":"Springer Link","title":"Splice-Modulating Antisense Oligonucleotides as Therapeutics for Inherited Metabolic Diseases","volume":"38","author":[{"family":"Chen","given":"Suxiang"},{"family":"Heendeniya","given":"Saumya Nishanga"},{"family":"Le","given":"Bao T."},{"family":"Rahimizadeh","given":"Kamal"},{"family":"Rabiee","given":"Navid"},{"family":"Zahra","given":"Qurat","dropping-particle":"ul ain"},{"family":"Veedu","given":"Rakesh N."}],"issued":{"date-parts":[["2024",3,1]]}}}],"schema":"https://github.com/citation-style-language/schema/raw/master/csl-citation.json"}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[24]</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2F8F16AF" w14:textId="77777777" w:rsidR="00411137" w:rsidRDefault="00411137" w:rsidP="002734BF">
      <w:pPr>
        <w:spacing w:after="0" w:line="240" w:lineRule="auto"/>
        <w:jc w:val="both"/>
        <w:rPr>
          <w:rFonts w:ascii="Times New Roman" w:eastAsia="Times New Roman" w:hAnsi="Times New Roman" w:cs="Times New Roman"/>
          <w:sz w:val="24"/>
          <w:szCs w:val="24"/>
        </w:rPr>
      </w:pPr>
    </w:p>
    <w:p w14:paraId="1B1CF1F8" w14:textId="51B22A7D" w:rsidR="00411137"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In the same way, TLR agonists boost innate immunity by recognizing patterns in microbial or viral motifs. Imiquimod and </w:t>
      </w:r>
      <w:proofErr w:type="spellStart"/>
      <w:r w:rsidRPr="00151DA1">
        <w:rPr>
          <w:rFonts w:ascii="Times New Roman" w:eastAsia="Times New Roman" w:hAnsi="Times New Roman" w:cs="Times New Roman"/>
          <w:sz w:val="24"/>
          <w:szCs w:val="24"/>
        </w:rPr>
        <w:t>resiquimod</w:t>
      </w:r>
      <w:proofErr w:type="spellEnd"/>
      <w:r w:rsidRPr="00151DA1">
        <w:rPr>
          <w:rFonts w:ascii="Times New Roman" w:eastAsia="Times New Roman" w:hAnsi="Times New Roman" w:cs="Times New Roman"/>
          <w:sz w:val="24"/>
          <w:szCs w:val="24"/>
        </w:rPr>
        <w:t xml:space="preserve"> are examples of TLR7/8 agonists that help dendritic cells and macrophages become active, which leads to the synthesis of cytokines and better presentation of antigens. Synthetic CpG oligonucleotides and other TLR9 agonists work by sensing DNA in endosomes to cause comparable immune-boosting effects. These drugs have been shown to work well in certain types of skin cancer and are being studied for usage inside solid tumors. But activating these pathways throughout the body could cause cytokine release syndrome and inflammation in the wrong place, which shows how important it is to deliver the drugs exactly where they are needed</w:t>
      </w:r>
      <w:r w:rsidR="00411137">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{"citationID":"WGzRIBD6","properties":{"formattedCitation":"[25]","plainCitation":"[25]","noteIndex":0},"citationItems":[{"id":5148,"uris":["http://zotero.org/users/16652950/items/B747CJM4"],"itemData":{"id":5148,"type":"article-journal","abstract":"The potential of oligonucleotide therapeutics is undeniable as more than 15 drugs have been approved to treat various diseases in the liver, central nervous system (CNS), and muscles. However, achieving effective delivery of oligonucleotide therapeutics to specific tissues still remains a major challenge, limiting their widespread use. Chemical modifications play a crucial role to overcome biological barriers to enable efficient oligonucleotide delivery to the tissues/cells of interest. They provide oligonucleotide metabolic stability and confer favourable pharmacokinetic/pharmacodynamic properties. This review focuses on the various chemical approaches implicated in mitigating the delivery problem of oligonucleotides and their limitations. It highlights the importance of linkers in designing oligonucleotide conjugates and discusses their potential role in escaping the endosomal barrier, a bottleneck in the development of oligonucleotide therapeutics.","container-title":"Cells","DOI":"10.3390/cells12182253","ISSN":"2073-4409","issue":"18","journalAbbreviation":"Cells","note":"PMID: 37759475\nPMCID: PMC10527716","page":"2253","source":"PubMed Central","title":"Therapeutic Oligonucleotides: An Outlook on Chemical Strategies to Improve Endosomal Trafficking","title-short":"Therapeutic Oligonucleotides","volume":"12","author":[{"family":"Mangla","given":"Priyanka"},{"family":"Vicentini","given":"Quentin"},{"family":"Biscans","given":"Annabelle"}],"issued":{"date-parts":[["2023",9,11]]}}}],"schema":"https://github.com/citation-style-language/schema/raw/master/csl-citation.json"} </w:instrText>
      </w:r>
      <w:r w:rsidR="00411137">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[25]</w:t>
      </w:r>
      <w:r w:rsidR="00411137">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r w:rsidR="00411137">
        <w:rPr>
          <w:rFonts w:ascii="Times New Roman" w:eastAsia="Times New Roman" w:hAnsi="Times New Roman" w:cs="Times New Roman"/>
          <w:sz w:val="24"/>
          <w:szCs w:val="24"/>
        </w:rPr>
        <w:t xml:space="preserve"> </w:t>
      </w:r>
    </w:p>
    <w:p w14:paraId="5A272F89" w14:textId="77777777" w:rsidR="00411137" w:rsidRDefault="00411137" w:rsidP="002734BF">
      <w:pPr>
        <w:spacing w:after="0" w:line="240" w:lineRule="auto"/>
        <w:jc w:val="both"/>
        <w:rPr>
          <w:rFonts w:ascii="Times New Roman" w:eastAsia="Times New Roman" w:hAnsi="Times New Roman" w:cs="Times New Roman"/>
          <w:sz w:val="24"/>
          <w:szCs w:val="24"/>
        </w:rPr>
      </w:pPr>
    </w:p>
    <w:p w14:paraId="1E94D38C" w14:textId="36E2927F" w:rsidR="0014656B"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Different synthetic methods have been used to reduce systemic toxicity. Nanoparticle encapsulation, pH-sensitive carriers, and ligand-conjugated systems can send agonists to the tumor microenvironment more effectively. Also, new developments in prodrug chemistry and </w:t>
      </w:r>
      <w:r w:rsidRPr="00151DA1">
        <w:rPr>
          <w:rFonts w:ascii="Times New Roman" w:eastAsia="Times New Roman" w:hAnsi="Times New Roman" w:cs="Times New Roman"/>
          <w:sz w:val="24"/>
          <w:szCs w:val="24"/>
        </w:rPr>
        <w:lastRenderedPageBreak/>
        <w:t xml:space="preserve">photoactivatable compounds make it possible to manage the timing and location of the drug, which reduces the amount of healthy tissue that is exposed while increasing the amount of immune activation inside the tumor. </w:t>
      </w:r>
      <w:r w:rsidRPr="00151DA1">
        <w:rPr>
          <w:rFonts w:ascii="Times New Roman" w:eastAsia="Times New Roman" w:hAnsi="Times New Roman" w:cs="Times New Roman"/>
          <w:sz w:val="24"/>
          <w:szCs w:val="24"/>
        </w:rPr>
        <w:br/>
        <w:t>Combining innate immune agonists with immune checkpoint inhibitors is an essential way to treat diseases</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{"citationID":"YLlweMmP","properties":{"formattedCitation":"[26]","plainCitation":"[26]","noteIndex":0},"citationItems":[{"id":5154,"uris":["http://zotero.org/users/16652950/items/HDWU8Y32"],"itemData":{"id":5154,"type":"webpage","title":"Advances and applications of nanoparticles in cancer therapy - Huang - 2024 - MedComm – Oncology - Wiley Online Library","URL":"https://onlinelibrary.wiley.com/doi/full/10.1002%2Fmog2.67","accessed":{"date-parts":[["2025",7,20]]}}}],"schema":"https://github.com/citation-style-language/schema/raw/master/csl-citation.json"}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[26]</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When STING and TLR are turned on, they can change non-inflamed tumors into forms that have T cells in them, making them more sensitive to PD-1/PD-L1 inhibition. Preclinical studies show that certain combinations work better together, and early-phase clinical trials are looking at them in a number of different types of tumors. It is important to note that giving STING or TLR agonists locally may assist avoid systemic toxicities while establishing a pro-inflammatory milieu that encourages adaptive immune involvement</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{"citationID":"d0QEz3iy","properties":{"formattedCitation":"[27]","plainCitation":"[27]","noteIndex":0},"citationItems":[{"id":5157,"uris":["http://zotero.org/users/16652950/items/QT994K28"],"itemData":{"id":5157,"type":"article-journal","abstract":"Immunotherapies such as checkpoint blocking antibodies and adoptive cell transfer are emerging as treatments for a growing number of cancers. Despite clinical activity of immunotherapies across a range of cancer types, the majority of patients fail to respond to these treatments and resistance mechanisms remain incompletely defined. Responses to immunotherapy preferentially occur in tumors with a pre-existing antitumor T-cell response that can most robustly be measured via expression of dendritic cell and CD8+ T cell–associated genes. The tumor subset with high expression of this signature has been described as the T cell–”inflamed” phenotype. Segregating tumors by expression of the inflamed signature may help predict immunotherapy responsiveness. Understanding mechanisms of resistance in both the T cell–inflamed and non-inflamed subsets of tumors will be critical in overcoming treatment failure and expanding the proportion of patients responding to current immunotherapies. To maximize the impact of immunotherapy drug development, pretreatment stratification of targets associated with either the T cell–inflamed or non-inflamed tumor microenvironment should be employed. Similarly, biomarkers predictive of responsiveness to specific immune-modulatory therapies should guide therapy selection in a growing landscape of treatment options. Combination strategies may ultimately require converting non-T cell–inflamed tumors into T cell–inflamed tumors as a means to sensitize tumors to therapies dependent on T-cell killing.","container-title":"Cancer immunology research","DOI":"10.1158/2326-6066.CIR-18-0277","ISSN":"2326-6066","issue":"9","journalAbbreviation":"Cancer Immunol Res","note":"PMID: 30181337\nPMCID: PMC6145135","page":"990-1000","source":"PubMed Central","title":"T cell–inflamed versus non-T cell–inflamed tumors: a conceptual framework for cancer immunotherapy drug development and combination therapy selection","title-short":"T cell–inflamed versus non-T cell–inflamed tumors","volume":"6","author":[{"family":"Trujillo","given":"Jonathan A."},{"family":"Sweis","given":"Randy F."},{"family":"Bao","given":"Riyue"},{"family":"Luke","given":"Jason J."}],"issued":{"date-parts":[["2018",9]]}}}],"schema":"https://github.com/citation-style-language/schema/raw/master/csl-citation.json"}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[27]</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p>
    <w:p w14:paraId="48799701" w14:textId="77777777" w:rsidR="0014656B" w:rsidRDefault="0014656B" w:rsidP="002734BF">
      <w:pPr>
        <w:spacing w:after="0" w:line="240" w:lineRule="auto"/>
        <w:jc w:val="both"/>
        <w:rPr>
          <w:rFonts w:ascii="Times New Roman" w:eastAsia="Times New Roman" w:hAnsi="Times New Roman" w:cs="Times New Roman"/>
          <w:sz w:val="24"/>
          <w:szCs w:val="24"/>
        </w:rPr>
      </w:pPr>
    </w:p>
    <w:p w14:paraId="60F10A6E" w14:textId="4E84673E" w:rsidR="00151DA1" w:rsidRPr="00151DA1"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on short, modifying innate immune sensors like STING and TLRs is a good area for small molecules to work on. These medicines are ready to play a big role in changing the TIME and increasing the therapeutic reach of immuno-oncology, thanks to new chemicals that make them more stable, easier to distribute, and safer.</w:t>
      </w:r>
    </w:p>
    <w:p w14:paraId="53FF37F3" w14:textId="77777777" w:rsidR="006222E8" w:rsidRPr="006222E8" w:rsidRDefault="006222E8" w:rsidP="002734BF">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5. Metabolic Modulation of the TIME by Small Molecules</w:t>
      </w:r>
    </w:p>
    <w:p w14:paraId="0688433E" w14:textId="1D7DA63C" w:rsidR="0014656B"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Tumor cells change metabolic pathways in a big way, not just to help them grow but also to create an immunological microenvironment that keeps the immune system from working. </w:t>
      </w:r>
      <w:proofErr w:type="spellStart"/>
      <w:r w:rsidRPr="00151DA1">
        <w:rPr>
          <w:rFonts w:ascii="Times New Roman" w:eastAsia="Times New Roman" w:hAnsi="Times New Roman" w:cs="Times New Roman"/>
          <w:sz w:val="24"/>
          <w:szCs w:val="24"/>
        </w:rPr>
        <w:t>Immunometabolic</w:t>
      </w:r>
      <w:proofErr w:type="spellEnd"/>
      <w:r w:rsidRPr="00151DA1">
        <w:rPr>
          <w:rFonts w:ascii="Times New Roman" w:eastAsia="Times New Roman" w:hAnsi="Times New Roman" w:cs="Times New Roman"/>
          <w:sz w:val="24"/>
          <w:szCs w:val="24"/>
        </w:rPr>
        <w:t xml:space="preserve"> reprogramming is a general term for this process. It makes a hostile environment for immunological effector cells by competing for nutrients, building up toxic metabolites, and changing redox states. Immuno-oncology is moving into a new area with small medicines that target important metabolic nodes in the tumor immune microenvironment (TIME)</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{"citationID":"UVJnBGvt","properties":{"formattedCitation":"[28,29]","plainCitation":"[28,29]","noteIndex":0},"citationItems":[{"id":5160,"uris":["http://zotero.org/users/16652950/items/YRQAC6WL"],"itemData":{"id":5160,"type":"article-journal","abstract":"Studies of immune system metabolism (“immunometabolism”) segregate along two paths. The first investigates the effects of immune cells on organs that regulate whole body metabolism, such as adipose tissue and liver. The second explores the role of metabolic pathways within immune cells and how this regulates immune response outcome. Distinct metabolic pathways diverge and converge at many levels and cells therefore face choices in how to achieve their metabolic goals. There is interest in fully understanding how and why immune cells commit to particular metabolic fates, and in elucidating the immunologic consequences of reaching a metabolic endpoint by one pathway versus another. This is particularly intriguing since metabolic commitment is influenced not only by substrate availability, but also by signaling pathways elicited by metabolites. Thus metabolic choices in cells enforce fate and function and this area will be the subject of this review.","container-title":"Immunity","DOI":"10.1016/j.immuni.2013.04.005","ISSN":"1074-7613","issue":"4","journalAbbreviation":"Immunity","note":"PMID: 23601682\nPMCID: PMC3654249","page":"633-643","source":"PubMed Central","title":"Metabolic Pathways In Immune Cell Activation And Quiescence","volume":"38","author":[{"family":"Pearce","given":"Erika L."},{"family":"Pearce","given":"Edward J."}],"issued":{"date-parts":[["2013",4,18]]}}},{"id":3602,"uris":["http://zotero.org/users/16652950/items/ZY4XC6G8"],"itemData":{"id":3602,"type":"article-journal","abstract":"Tuberculosis (TB) still presents a major threat to public health, and accurate diagnosis of tuberculosis, monitoring TB treatment, as well as TB drug resistance are still challenging goals. Research in biomarkers—both host, pathogen pathogen-derived—has led to novel frontiers in the diagnosis and management of TB. These advancements contribute to faster diagnosis, customized treatment plans, and better monitoring of response to therapy. Direct pathogen-based markers, such as M. tuberculosis DNA, lipoarabinomannan (LAM), and mycobacterial proteins, that directly demonstrate infection, have the most potential, particularly in resource-poor settings. Cytokines such as interferon-gamma (IFN-γ) and inflammatory markers, such as C-reactive protein (CRP), are endogenous biomarkers that mirror responses of the immune system and may play a role in the management of treatment, especially in immunocompromised populations, such as patients with HIV. These progresses notwithstanding, the application of a biomarker-centered approach on a large scale remains a major obstacle,  due to technical, economic, and regulatory constraints. Furthermore, various performances among the biomarkers in different populations limit clinical utility. Future studies in this area should aim to create point-of-care diagnostics, multi-biomarker panels, and to integrate the device with digital health technology platforms for real-time monitoring. These methods have the potential to substantially improve TB control, particularly in low- and middle-income countries. If current challenges can be overcome and research horizons broadened, biomarker-driven diagnosis and monitoring strategies may have key contributions in global TB control.","container-title":"Asian Journal of Microbiology and Biotechnology","DOI":"10.56557/ajmab/2025/v10i19351","ISSN":"2456-8341","issue":"1","language":"en","page":"115-130","source":"ikprress.org","title":"Biomarkers for Tuberculosis Diagnosis and Monitoring: A Review of Translational Progress","title-short":"Biomarkers for Tuberculosis Diagnosis and Monitoring","volume":"10","author":[{"family":"Lawal","given":"Olabisi Promise"},{"family":"Adedayo","given":"Olufemi Adesola"},{"family":"Dorcas","given":"Sokoya Itunuoluwa"},{"family":"Akanbi","given":"Olukunle O."},{"family":"Okafor","given":"Bostock Chinecherem"},{"family":"Kanu","given":"Ikechukwu"},{"family":"Sone","given":"Precious Esong"},{"family":"Patrick","given":"John Opeyemi"},{"family":"Fabiyi","given":"Taiwo Oluwole"},{"family":"Adeyemi","given":"Bankole Israel"},{"family":"Oziegbe","given":"Edo Elvis"},{"family":"Busari","given":"Abdullateef M."}],"issued":{"date-parts":[["2025",5,20]]}}}],"schema":"https://github.com/citation-style-language/schema/raw/master/csl-citation.json"}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[28,29]</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t xml:space="preserve">The development of indoleamine 2,3-dioxygenase 1 (IDO1) inhibitors, like </w:t>
      </w:r>
      <w:proofErr w:type="spellStart"/>
      <w:r w:rsidRPr="00151DA1">
        <w:rPr>
          <w:rFonts w:ascii="Times New Roman" w:eastAsia="Times New Roman" w:hAnsi="Times New Roman" w:cs="Times New Roman"/>
          <w:sz w:val="24"/>
          <w:szCs w:val="24"/>
        </w:rPr>
        <w:t>epacadostat</w:t>
      </w:r>
      <w:proofErr w:type="spellEnd"/>
      <w:r w:rsidRPr="00151DA1">
        <w:rPr>
          <w:rFonts w:ascii="Times New Roman" w:eastAsia="Times New Roman" w:hAnsi="Times New Roman" w:cs="Times New Roman"/>
          <w:sz w:val="24"/>
          <w:szCs w:val="24"/>
        </w:rPr>
        <w:t xml:space="preserve">, was one of the first and most sophisticated clinical methods. IDO1 breaks down tryptophan into kynurenine, a metabolite that is known to stop T cell growth and encourage the development of regulatory T cells. Preclinical studies showed that blocking PD-1 worked well with </w:t>
      </w:r>
      <w:proofErr w:type="spellStart"/>
      <w:r w:rsidRPr="00151DA1">
        <w:rPr>
          <w:rFonts w:ascii="Times New Roman" w:eastAsia="Times New Roman" w:hAnsi="Times New Roman" w:cs="Times New Roman"/>
          <w:sz w:val="24"/>
          <w:szCs w:val="24"/>
        </w:rPr>
        <w:t>epacadostat</w:t>
      </w:r>
      <w:proofErr w:type="spellEnd"/>
      <w:r w:rsidRPr="00151DA1">
        <w:rPr>
          <w:rFonts w:ascii="Times New Roman" w:eastAsia="Times New Roman" w:hAnsi="Times New Roman" w:cs="Times New Roman"/>
          <w:sz w:val="24"/>
          <w:szCs w:val="24"/>
        </w:rPr>
        <w:t>, but a Phase III trial (ECHO-301/KEYNOTE-252) showed that it didn't work at all. This brought up some important problems, such as metabolic redundancy (for example, TDO2's compensatory activity), a lack of predictive biomarkers, and not enough inhibition inside the tumor. This case shows how important it is to have a better understanding of the mechanisms involved and to carefully group patients in future metabolic IO attempts</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{"citationID":"B5VebZjU","properties":{"formattedCitation":"[30]","plainCitation":"[30]","noteIndex":0},"citationItems":[{"id":5163,"uris":["http://zotero.org/users/16652950/items/LUFQMINL"],"itemData":{"id":5163,"type":"article-journal","abstract":"For cancer treatment, in addition to the three standard therapies of surgery, chemotherapy, and radiotherapy, immunotherapy has become the fourth internationally-recognized alternative treatment. Indoleamine 2, 3-dioxygenase 1 (IDO1) catalyzes the conversion of tryptophan to kynurenine causing lysine depletion, which is an important target in the research and development of anticancer drugs. Epacadostat (INCB024360) is currently one of the most potent IDO1 inhibitors, nevertheless its inhibition mechanism still remains elusive. In this work, comparative molecular dynamics simulations were performed to reveal that the high inhibitory activity of INCB024360 mainly comes from two aspects: disturbing the ligand delivery tunnel and then preventing small molecules such as oxygen and water molecules from accessing the active site, as well as hindering the shuttle of substrate tryptophan with product kynurenine through the heme binding pocket. The scanning of key residues showed that L234 and R231 residues both were crucial to the catalytic activity of IDO1. With the association with INCB024360, L234 forms a stable hydrogen bond with G262, which significantly affects the spatial position of G262-A264 loop and then greatly disturbs the orderliness of ligand delivery tunnel. In addition, the cleavage of hydrogen bond between G380 and R231 increases the mobility of the GTGG conserved region, leading to the closure of the substrate tryptophan channel. This work provides new ideas for understanding action mechanism of amidoxime derivatives, improving its inhibitor activity and developing novel inhibitors of IDO1.","container-title":"Frontiers in Molecular Biosciences","DOI":"10.3389/fmolb.2019.00164","ISSN":"2296-889X","journalAbbreviation":"Front Mol Biosci","note":"PMID: 32047753\nPMCID: PMC6997135","page":"164","source":"PubMed Central","title":"Inhibition Mechanism of Indoleamine 2, 3-Dioxygenase 1 (IDO1) by Amidoxime Derivatives and Its Revelation in Drug Design: Comparative Molecular Dynamics Simulations","title-short":"Inhibition Mechanism of Indoleamine 2, 3-Dioxygenase 1 (IDO1) by Amidoxime Derivatives and Its Revelation in Drug Design","volume":"6","author":[{"family":"Liu","given":"Xinyu"},{"family":"Zhang","given":"Yiwen"},{"family":"Duan","given":"Huaichuan"},{"family":"Luo","given":"Qing"},{"family":"Liu","given":"Wei"},{"family":"Liang","given":"Li"},{"family":"Wan","given":"Hua"},{"family":"Chang","given":"Shan"},{"family":"Hu","given":"Jianping"},{"family":"Shi","given":"Hubing"}],"issued":{"date-parts":[["2020",1,28]]}}}],"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[30]</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72E5018E" w14:textId="62759C60" w:rsidR="0014656B"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br/>
        <w:t>Arginase is another immunosuppressive enzyme that is found in high amounts in tumor-associated myeloid cells, along with tryptophan metabolism. Arginase breaks down L-arginine, which is an important amino acid for T cell function. This makes it harder for T cells to grow and do their job. Researchers are testing small molecule arginase inhibitors like CB-1158 (INCB001158) in combination with checkpoint inhibitors in clinical trials to see whether they can restore T cell responses. The adenosine A2A receptor is also important for immunosuppression. It is activated by extracellular adenosine that is generated when there is low oxygen and stress. A2A receptor antagonists like CPI-444 and AZD4635 try to stop adenosine from stopping T and NK cells in the TIME. Several of these drugs are now in clinical development</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{"citationID":"I6ha3Xdy","properties":{"formattedCitation":"[31]","plainCitation":"[31]","noteIndex":0},"citationItems":[{"id":5166,"uris":["http://zotero.org/users/16652950/items/DLH4XHY3"],"itemData":{"id":5166,"type":"article-journal","abstract":"Amino acid metabolism is a critical regulator of the immune response, and its modulating becomes a promising approach in various forms of immunotherapy. Insufficient concentrations of essential amino acids restrict T-cells activation and proliferation. However, only arginases, that degrade ʟ-arginine, as well as enzymes that hydrolyze ʟ-tryptophan are substantially increased in cancer. Two arginase isoforms, ARG1 and ARG2, have been found to be present in tumors and their increased activity usually correlates with more advanced disease and worse clinical prognosis. Nearly all types of myeloid cells were reported to produce arginases and the increased numbers of various populations of myeloid-derived suppressor cells and macrophages correlate with inferior clinical outcomes of cancer patients. Here, we describe the role of arginases produced by myeloid cells in regulating various populations of immune cells, discuss molecular mechanisms of immunoregulatory processes involving ʟ-arginine metabolism and outline therapeutic approaches to mitigate the negative effects of arginases on antitumor immune response. Development of potent arginase inhibitors, with improved pharmacokinetic properties, may lead to the development of novel therapeutic strategies based on targeting immunoregulatory pathways controlled by ʟ-arginine degradation.","container-title":"Frontiers in Immunology","DOI":"10.3389/fimmu.2020.00938","ISSN":"1664-3224","journalAbbreviation":"Front. Immunol.","language":"English","note":"publisher: Frontiers","source":"Frontiers","title":"Myeloid Cell-Derived Arginase in Cancer Immune Response","URL":"https://www.frontiersin.org/journals/immunology/articles/10.3389/fimmu.2020.00938/full","volume":"11","author":[{"family":"Grzywa","given":"Tomasz M."},{"family":"Sosnowska","given":"Anna"},{"family":"Matryba","given":"Paweł"},{"family":"Rydzynska","given":"Zuzanna"},{"family":"Jasinski","given":"Marcin"},{"family":"Nowis","given":"Dominika"},{"family":"Golab","given":"Jakub"}],"accessed":{"date-parts":[["2025",7,20]]},"issued":{"date-parts":[["2020",5,15]]}}}],"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[31]</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p>
    <w:p w14:paraId="0F6F5C47" w14:textId="77777777" w:rsidR="0014656B" w:rsidRDefault="0014656B" w:rsidP="002734BF">
      <w:pPr>
        <w:spacing w:after="0" w:line="240" w:lineRule="auto"/>
        <w:jc w:val="both"/>
        <w:rPr>
          <w:rFonts w:ascii="Times New Roman" w:eastAsia="Times New Roman" w:hAnsi="Times New Roman" w:cs="Times New Roman"/>
          <w:sz w:val="24"/>
          <w:szCs w:val="24"/>
        </w:rPr>
      </w:pPr>
    </w:p>
    <w:p w14:paraId="1D69E079" w14:textId="23E38D5F" w:rsidR="0014656B"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lastRenderedPageBreak/>
        <w:t>Lactate metabolism, hypoxia signaling, and reactive oxygen species (ROS) dynamics are some of the new areas of metabolic IO research. Tumors produce a lot of lactate, which makes the microenvironment more acidic and makes it harder for immune cells to get in and work. Researchers are looking into small compounds that block lactate transporters (such MCT1/4) or target lactate dehydrogenase (LDH) as a way to bring tumor metabolism back to normal and boost immunological function. In the same way, hypoxia-inducible factors (HIFs) control angiogenesis and metabolic adaption in the TIME. Inhibitors like PT2385 have been used to stop these survival pathways</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{"citationID":"LFcV8cYv","properties":{"formattedCitation":"[32]","plainCitation":"[32]","noteIndex":0},"citationItems":[{"id":5168,"uris":["http://zotero.org/users/16652950/items/FUMPI23Q"],"itemData":{"id":5168,"type":"article-journal","abstract":"Simple Summary\nThe role of lactate in cancer described by Otto Warburg in 1927 states that cancer cells uptake high amount of glucose with a marked increase in lactate production, this is known as the “Warburg effect”. Since then lactate turn out to be a major signaling molecule in cancer progression. Its release from tumor cells is accompanied by acidification ranging from 6.3 to 6.9 in the tumor microenvironment (TME) which favors processes such as tumor promotion, angiogenesis, metastasis, tumor resistance and more importantly, immunosuppression which has been associated with a poor outcome. The goal of this review is to examine and discuss in deep detail the recent studies that address the role of lactate in all these cancerous processes. Lastly, we explore the efforts to target the lactate production and its transport as a promising approach for cancer therapeutics. \n\nAbstract\nCancer is a complex disease that includes the reprogramming of metabolic pathways by malignant proliferating cells, including those affecting the tumor microenvironment (TME). The “TME concept” was introduced in recognition of the roles played by factors other than tumor cells in cancer progression. In response to the hypoxic or semi-hypoxic characteristic of the TME, cancer cells generate a large amount of lactate via the metabolism of glucose and glutamine. Export of this newly generated lactate by the tumor cells together with H+ prevents intracellular acidification but acidifies the TME. In recent years, the importance of lactate and acidosis in carcinogenesis has gained increasing attention, including the role of lactate as a tumor-promoting metabolite. Here we review the existing literature on lactate metabolism in tumor cells and the ability of extracellular lactate to direct the metabolic reprogramming of those cells. Studies demonstrating the roles of lactate in biological processes that drive or sustain carcinogenesis (tumor promotion, angiogenesis, metastasis and tumor resistance) and lactate’s role as an immunosuppressor that contributes to tumor evasion are also considered. Finally, we consider recent therapeutic efforts using available drugs directed at and interfering with lactate production and transport in cancer treatment.","container-title":"Cancers","DOI":"10.3390/cancers12113244","ISSN":"2072-6694","issue":"11","journalAbbreviation":"Cancers (Basel)","note":"PMID: 33153193\nPMCID: PMC7693872","page":"3244","source":"PubMed Central","title":"Lactate in the Tumor Microenvironment: An Essential Molecule in Cancer Progression and Treatment","title-short":"Lactate in the Tumor Microenvironment","volume":"12","author":[{"family":"Pérez-Tomás","given":"Ricardo"},{"family":"Pérez-Guillén","given":"Isabel"}],"issued":{"date-parts":[["2020",11,3]]}}}],"schema":"https://github.com/citation-style-language/schema/raw/master/csl-citation.json"}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[32]</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1850F2D2" w14:textId="2D379E00" w:rsidR="00151DA1" w:rsidRPr="00151DA1"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t xml:space="preserve">Chemical methods have been very important in figuring out the complicated metabolism of the TIME. Isotope-labeled tracers, metabolic flux analysis, and activity-based probes let you watch how metabolites and enzymes change in real time. These methods let chemists and immunologists find metabolic bottlenecks and possible weaknesses that drugs could target. </w:t>
      </w:r>
      <w:r w:rsidRPr="00151DA1">
        <w:rPr>
          <w:rFonts w:ascii="Times New Roman" w:eastAsia="Times New Roman" w:hAnsi="Times New Roman" w:cs="Times New Roman"/>
          <w:sz w:val="24"/>
          <w:szCs w:val="24"/>
        </w:rPr>
        <w:br/>
        <w:t>The TIME's metabolic environment has a lot of druggable targets. Even though clinical translation is still hard, more chemical innovation and a better knowledge of immunometabolism at the systems level will be very important for unlocking the full therapeutic potential of this new method</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{"citationID":"dbckRej8","properties":{"formattedCitation":"[33]","plainCitation":"[33]","noteIndex":0},"citationItems":[{"id":5171,"uris":["http://zotero.org/users/16652950/items/X4YV8F7A"],"itemData":{"id":5171,"type":"article-journal","abstract":"Metabolic flux analysis (MFA) is an increasingly important tool to study metabolism quantitatively. Unlike the concentrations of metabolites, the fluxes, which are the rates at which intracellular metabolites interconvert, are not directly measurable. MFA uses stable isotope labeled tracers to reveal information related to the fluxes. The conceptual idea of MFA is that in tracer experiments the isotope labeling patterns of intracellular metabolites are determined by the fluxes, therefore by measuring the labeling patterns we can infer the fluxes in the network. In this review, we will discuss the basic concept of MFA using a simplified upper glycolysis network as an example. We will show how the fluxes are reflected in the isotope labeling patterns. The central idea we wish to deliver is that under metabolic and isotopic steady-state the labeling pattern of a metabolite is the flux-weighted average of the substrates’ labeling patterns. As a result, MFA can tell the relative contributions of converging metabolic pathways only when these pathways make substrates in different labeling patterns for the shared product. This is the fundamental principle guiding the design of isotope labeling experiment for MFA including tracer selection. In addition, we will also discuss the basic biochemical assumptions of MFA, and we will show the flux-solving procedure and result evaluation. Finally, we will highlight the link between isotopically stationary and nonstationary flux analysis.","container-title":"Metabolites","DOI":"10.3390/metabo10110447","ISSN":"2218-1989","issue":"11","journalAbbreviation":"Metabolites","note":"PMID: 33172051\nPMCID: PMC7694648","page":"447","source":"PubMed Central","title":"Metabolic Flux Analysis—Linking Isotope Labeling and Metabolic Fluxes","volume":"10","author":[{"family":"Wang","given":"Yujue"},{"family":"Wondisford","given":"Fredric E."},{"family":"Song","given":"Chi"},{"family":"Zhang","given":"Teng"},{"family":"Su","given":"Xiaoyang"}],"issued":{"date-parts":[["2020",11,6]]}}}],"schema":"https://github.com/citation-style-language/schema/raw/master/csl-citation.json"}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[33]</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4255D94C" w14:textId="77777777" w:rsidR="006222E8" w:rsidRPr="006222E8" w:rsidRDefault="006222E8" w:rsidP="002734BF">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6. Targeting Immunosuppressive Cells with Small Molecules</w:t>
      </w:r>
    </w:p>
    <w:p w14:paraId="02373FA8" w14:textId="3F831A88" w:rsidR="0014656B"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The tumor immune microenvironment (TIME) is full with immunosuppressive cell populations that stop the immune system from fighting the tumor. Regulatory T cells (Tregs), tumor-associated macrophages (TAMs), and myeloid-derived suppressor cells (MDSCs) are the most important of these. These cell types not only stop cytotoxic T lymphocyte (CTL) activity via cytokines like IL-10 and TGF-β, but they also help with angiogenesis, altering the extracellular matrix, and spreading cancer cells to other parts of the body</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{"citationID":"71eF7XK1","properties":{"formattedCitation":"[34,35]","plainCitation":"[34,35]","noteIndex":0},"citationItems":[{"id":5174,"uris":["http://zotero.org/users/16652950/items/3LSXFBZT"],"itemData":{"id":5174,"type":"article-journal","abstract":"Tumor immune microenvironment (TIME) include tumor cells, immune cells, cytokines, etc. The interactions between these components, which are divided into anti-tumor and pro-tumor, determine the trend of anti-tumor immunity. Although the immune system can eliminate tumor through the cancer-immune cycle, tumors appear to eventually evade from immune surveillance by shaping an immunosuppressive microenvironment. Immunotherapy reshapes the TIME and restores the tumor killing ability of anti-tumor immune cells. Herein, we review the function of immune cells within the TIME and discuss the contribution of current mainstream immunotherapeutic approaches to remolding the TIME. Changes in the immune microenvironment in different forms under the intervention of immunotherapy can shed light on better combination treatment strategies.","container-title":"Frontiers in Immunology","DOI":"10.3389/fimmu.2022.844142","ISSN":"1664-3224","journalAbbreviation":"Front Immunol","note":"PMID: 35874717\nPMCID: PMC9299092","page":"844142","source":"PubMed Central","title":"Immunotherapy: Reshape the Tumor Immune Microenvironment","title-short":"Immunotherapy","volume":"13","author":[{"family":"LV","given":"Bingzhe"},{"family":"Wang","given":"Yunpeng"},{"family":"Ma","given":"Dongjiang"},{"family":"Cheng","given":"Wei"},{"family":"Liu","given":"Jie"},{"family":"Yong","given":"Tao"},{"family":"Chen","given":"Hao"},{"family":"Wang","given":"Chen"}],"issued":{"date-parts":[["2022",7,6]]}}},{"id":2694,"uris":["http://zotero.org/users/16652950/items/QZIY76BU"],"itemData":{"id":2694,"type":"article-journal","abstract":"The emergence of antimicrobial resistance has necessitated the search for novel therapeutic agents from natural sources. This study evaluated the phytochemical composition of Ficus globosa latex and assessed its antimicrobial activity against selected pathogenic microorganisms. Latex was collected, authenticated, and processed through acetone precipitation followed by drying at 60°C for three weeks. Both fresh and dried latex samples underwent phytochemical screening using standard methods, revealing abundant quantities of resins, steroids, and terpenoids; moderate levels of flavonoids; and trace amounts of fats, oils, and hydrolysable glycosides. Antimicrobial activity was evaluated using the agar well diffusion method against eight pathogenic microorganisms. The dried latex demonstrated significant antimicrobial activity with minimum inhibitory concentrations (MICs) of 3.89 mg/mL against Bacillus subtilis, 14.79 mg/mL against Staphylococcus aureus, and 8.13 mg/mL against Aspergillus niger. In contrast, fresh latex showed activity only against B. subtilis. F. globosa latex exhibits promising antimicrobial activity, particularly against gram-positive bacteria, warranting further investigation for therapeutic applications. The presence of multiple bioactive compounds suggests potential mechanisms for its antimicrobial effects.","container-title":"Path of Science","DOI":"10.22178/pos.115-28","ISSN":"2413-9009, 2413-9009","issue":"3","language":"en","license":"Copyright (c) 2025 Kelechi Wisdom Elechi, Chukwuebuka Duke Igboaka, Bashir Bolaji Tiamiyu, Mary-Jane Ezinne Ugbor, Clinton Arthur, Ogochukwu Mercy Ezeh, Emmanuel Adetunji Faderin, Adepeju K Olowookere, Olabisi Promise Lawal","note":"number: 3","page":"9001-9010","source":"pathofscience.org","title":"Phytochemical Screening of Ficus globosa Latex (Moraceae) as a Source of Novel Antimicrobial Compounds","volume":"11","author":[{"family":"Elechi","given":"Kelechi Wisdom"},{"family":"Igboaka","given":"Chukwuebuka Duke"},{"family":"Tiamiyu","given":"Bashir Bolaji"},{"family":"Ugbor","given":"Mary-Jane Ezinne"},{"family":"Arthur","given":"Clinton"},{"family":"Ezeh","given":"Ogochukwu Mercy"},{"family":"Faderin","given":"Emmanuel Adetunji"},{"family":"Olowookere","given":"Adepeju"},{"family":"Lawal","given":"Olabisi Promise"},{"family":"Elechi","given":"Kelechi Wisdom"},{"family":"Igboaka","given":"Chukwuebuka Duke"},{"family":"Tiamiyu","given":"Bashir Bolaji"},{"family":"Ugbor","given":"Mary-Jane Ezinne"},{"family":"Arthur","given":"Clinton"},{"family":"Ezeh","given":"Ogochukwu Mercy"},{"family":"Faderin","given":"Emmanuel Adetunji"},{"family":"Olowookere","given":"Adepeju"},{"family":"Lawal","given":"Olabisi Promise"}],"issued":{"date-parts":[["2025",3,31]]}}}],"schema":"https://github.com/citation-style-language/schema/raw/master/csl-citation.json"}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[34,35]</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Targeting these immunosuppressive cells with specific small molecules is one way to "recondition" the TIME, which makes it more receptive to therapies that activate T cells</w:t>
      </w:r>
      <w:r w:rsidR="006B2E96">
        <w:rPr>
          <w:rFonts w:ascii="Times New Roman" w:eastAsia="Times New Roman" w:hAnsi="Times New Roman" w:cs="Times New Roman"/>
          <w:sz w:val="24"/>
          <w:szCs w:val="24"/>
        </w:rPr>
        <w:t xml:space="preserve"> (</w:t>
      </w:r>
      <w:r w:rsidR="006B2E96" w:rsidRPr="006B2E96">
        <w:rPr>
          <w:rFonts w:ascii="Times New Roman" w:eastAsia="Times New Roman" w:hAnsi="Times New Roman" w:cs="Times New Roman"/>
          <w:b/>
          <w:bCs/>
          <w:sz w:val="24"/>
          <w:szCs w:val="24"/>
        </w:rPr>
        <w:t>Table 1</w:t>
      </w:r>
      <w:r w:rsidR="006B2E96">
        <w:rPr>
          <w:rFonts w:ascii="Times New Roman" w:eastAsia="Times New Roman" w:hAnsi="Times New Roman" w:cs="Times New Roman"/>
          <w:sz w:val="24"/>
          <w:szCs w:val="24"/>
        </w:rPr>
        <w:t>)</w:t>
      </w: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r>
    </w:p>
    <w:p w14:paraId="4F3A01E9" w14:textId="4E399744" w:rsidR="0014656B"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Chemokine gradients commonly bring TAMs and MDSCs, which come from myeloid progenitors, into the tumor. Tumor-derived signals then teach them how to become suppressive phenotypes. The colony-stimulating factor 1 receptor (CSF1R) axis is one of the main pathways that controls their function. It is necessary for macrophage survival and polarization. Small molecule CSF1R inhibitors like </w:t>
      </w:r>
      <w:proofErr w:type="spellStart"/>
      <w:r w:rsidRPr="00151DA1">
        <w:rPr>
          <w:rFonts w:ascii="Times New Roman" w:eastAsia="Times New Roman" w:hAnsi="Times New Roman" w:cs="Times New Roman"/>
          <w:sz w:val="24"/>
          <w:szCs w:val="24"/>
        </w:rPr>
        <w:t>pexidartinib</w:t>
      </w:r>
      <w:proofErr w:type="spellEnd"/>
      <w:r w:rsidRPr="00151DA1">
        <w:rPr>
          <w:rFonts w:ascii="Times New Roman" w:eastAsia="Times New Roman" w:hAnsi="Times New Roman" w:cs="Times New Roman"/>
          <w:sz w:val="24"/>
          <w:szCs w:val="24"/>
        </w:rPr>
        <w:t xml:space="preserve"> and BLZ945 have been found to work by either killing TAMs or changing them to a pro-inflammatory (M1-like) phenotype. But completely removing macrophages can be bad because they are also important for presenting antigens and mending wounds. This shows that we need to change them in a more subtle way instead of just getting rid of them</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{"citationID":"zLxGJ1lf","properties":{"formattedCitation":"[36,37]","plainCitation":"[36,37]","noteIndex":0},"citationItems":[{"id":5177,"uris":["http://zotero.org/users/16652950/items/9A7USZBS"],"itemData":{"id":5177,"type":"article-journal","abstract":"Paradoxically, tumor development and progression can be inhibited and promoted by the immune system. After three stages of immune editing, namely, elimination, homeostasis and escape, tumor cells are no longer restricted by immune surveillance and thus develop into clinical tumors. The mechanisms of immune escape include abnormalities in antitumor-associated immune cells, selection for immune resistance to tumor cells, impaired transport of T cells, and the formation of an immunosuppressive tumor microenvironment. A population of distinct immature myeloid cells, myeloid-derived suppressor cells (MDSCs), mediate immune escape primarily by exerting immunosuppressive effects and participating in the constitution of an immunosuppressive microtumor environment. Clinical trials have found that the levels of MDSCs in the peripheral blood of cancer patients are strongly correlated with tumor stage, metastasis and prognosis. Moreover, animal experiments have confirmed that elimination of MDSCs inhibits tumor growth and metastasis to some extent. Therefore, MDSCs may become the target of immunotherapy for many cancers, and eliminating MDSCs can help improve the response rate to cancer treatment and patient survival. However, a clear definition of MDSCs and the specific mechanism involved in immune escape are lacking. In this paper, we review the role of the MDSCs population in tumor development and the mechanisms involved in immune escape in different tumor contexts. In addition, we discuss the use of these cells as targets for tumor immunotherapy. This review not only contributes to a systematic and comprehensive understanding of the essential role of MDSCs in immune system reactions against tumors but also provides information to guide the development of cancer therapies targeting MDSCs.","container-title":"Experimental Hematology &amp; Oncology","DOI":"10.1186/s40164-024-00505-7","ISSN":"2162-3619","journalAbbreviation":"Exp Hematol Oncol","note":"PMID: 38609997\nPMCID: PMC11010322","page":"39","source":"PubMed Central","title":"Myeloid-derived suppressor cells in cancer: therapeutic targets to overcome tumor immune evasion","title-short":"Myeloid-derived suppressor cells in cancer","volume":"13","author":[{"family":"Lu","given":"Junli"},{"family":"Luo","given":"Yiming"},{"family":"Rao","given":"Dean"},{"family":"Wang","given":"Tiantian"},{"family":"Lei","given":"Zhen"},{"family":"Chen","given":"Xiaoping"},{"family":"Zhang","given":"Bixiang"},{"family":"Li","given":"Yiwei"},{"family":"Liu","given":"Bifeng"},{"family":"Xia","given":"Limin"},{"family":"Huang","given":"Wenjie"}],"issued":{"date-parts":[["2024",4,12]]}}},{"id":861,"uris":["http://zotero.org/users/16652950/items/XNWDCXIS"],"itemData":{"id":861,"type":"article-journal","container-title":"Asian Journal of Research in Medical and Pharmaceutical Sciences","DOI":"10.9734/ajrimps/2024/v13i4270","ISSN":"2457-0745","issue":"4","language":"en","page":"9-27","source":"journalajrimps.com","title":"The Impact of Antimicrobial Resistance on Cancer Treatment: A Systematic Review of Current Evidence and Future Directions","title-short":"The Impact of Antimicrobial Resistance on Cancer Treatment","volume":"13","author":[{"family":"Lawal","given":"Olabisi Promise"},{"family":"Ahmed","given":"Nurain Kehinde"},{"family":"Ilesanmi","given":"Taiwo Ayomide"},{"family":"Anthony","given":"Godswill Imolele"},{"family":"Nwosu","given":"Samuel Nzube"},{"family":"Ogungbemiro","given":"Festus Oladayo"},{"family":"Olaide","given":"Zainab"},{"family":"Adeniyi","given":"Muritadoh Muritadoh"},{"family":"Okoye","given":"Uchechukwu Lilian"},{"family":"Olufunmilayo","given":"Adebiyi Mutiat"},{"family":"Christopher","given":"Adegbesan Abiodun"},{"family":"Oseghale","given":"Ikalo David"}],"issued":{"date-parts":[["2024",9,16]]}}}],"schema":"https://github.com/citation-style-language/schema/raw/master/csl-citation.json"}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[36,37]</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39B967B9" w14:textId="0A0B5802" w:rsidR="0014656B"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br/>
        <w:t>Another interesting path is to focus on phosphoinositide 3-kinase gamma (PI3Kγ), which is a signaling hub that controls immunosuppressive programs in myeloid cells. Researchers have found that PI3Kγ-selective inhibitors like IPI-549 can change TAMs from an M2-like state that promotes tumors to an M1-like state that stimulates the immune system. These drugs not only bring back T cell recruitment, but they also work better with immune checkpoint inhibitors in preclinical animals, showing that they could be useful in combination therapies</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{"citationID":"hZSgwdFD","properties":{"formattedCitation":"[38]","plainCitation":"[38]","noteIndex":0},"citationItems":[{"id":5180,"uris":["http://zotero.org/users/16652950/items/WZMFALKT"],"itemData":{"id":5180,"type":"article-journal","abstract":"The intricate interplay between immune and stromal cells within the tumour microenvironment (TME) significantly influences tumour progression. Myeloid cells, including tumour-associated macrophages (TAMs), neutrophils (TANs), and myeloid-derived suppressor cells (MDSCs), contribute to immune suppression in the TME (Nakamura and Smyth in Cell Mol Immunol 17(1):1–12 (2020). 10.1038/s41423-019-0306-1; DeNardo and Ruffell in Nat Rev Immunol 19(6):369–382 (2019). 10.1038/s41577-019-0127-6). This poses a significant challenge for novel immunotherapeutics that rely on host immunity to exert their effect. This systematic review explores the preclinical evidence surrounding the inhibition of phosphoinositide 3-kinase gamma (PI3Kγ) as a strategy to reverse myeloid-driven immune suppression in solid tumours. EMBASE, MEDLINE, and PubMed databases were searched on 6 October 2022 using keyword and subject heading terms to capture relevant studies. The studies, focusing on PI3Kγ inhibition in animal models, were subjected to predefined inclusion and exclusion criteria. Extracted data included tumour growth kinetics, survival endpoints, and immunological responses which were meta-analysed. PRISMA and MOOSE guidelines were followed. A total of 36 studies covering 73 animal models were included in the review and meta-analysis. Tumour models covered breast, colorectal, lung, skin, pancreas, brain, liver, prostate, head and neck, soft tissue, gastric, and oral cancer. The predominant PI3Kγ inhibitors were IPI-549 and TG100-115, demonstrating favourable specificity for the gamma isoform. Combination therapies, often involving chemotherapy, radiotherapy, immune checkpoint inhibitors, biological agents, or vaccines, were explored in 81% of studies. Analysis of tumour growth kinetics revealed a statistically significant though heterogeneous response to PI3Kγ monotherapy, whereas the tumour growth in combination treated groups were more consistently reduced. Survival analysis showed a pronounced increase in median overall survival with combination therapy. This systematic review provides a comprehensive analysis of preclinical studies investigating PI3Kγ inhibition in myeloid-driven tumour immune suppression. The identified studies underscore the potential of PI3Kγ inhibition in reshaping the TME by modulating myeloid cell functions. The combination of PI3Kγ inhibition with other therapeutic modalities demonstrated enhanced antitumour effects, suggesting a synergistic approach to overcome immune suppression. These findings support the potential of PI3Kγ-targeted therapies, particularly in combination regimens, as a promising avenue for future clinical exploration in diverse solid tumour types.","container-title":"Cancer Immunology, Immunotherapy : CII","DOI":"10.1007/s00262-024-03779-2","ISSN":"0340-7004","issue":"10","journalAbbreviation":"Cancer Immunol Immunother","note":"PMID: 39105848\nPMCID: PMC11303654","page":"204","source":"PubMed Central","title":"Targeting PI3K-gamma in myeloid driven tumour immune suppression: a systematic review and meta-analysis of the preclinical literature","title-short":"Targeting PI3K-gamma in myeloid driven tumour immune suppression","volume":"73","author":[{"family":"Xu","given":"Haonan"},{"family":"Russell","given":"Shannon Nicole"},{"family":"Steiner","given":"Katherine"},{"family":"O’Neill","given":"Eric"},{"family":"Jones","given":"Keaton Ian"}],"issued":{"date-parts":[["2024",8,6]]}}}],"schema":"https://github.com/citation-style-language/schema/raw/master/csl-citation.json"}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[38]</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r>
      <w:r w:rsidRPr="00151DA1">
        <w:rPr>
          <w:rFonts w:ascii="Times New Roman" w:eastAsia="Times New Roman" w:hAnsi="Times New Roman" w:cs="Times New Roman"/>
          <w:sz w:val="24"/>
          <w:szCs w:val="24"/>
        </w:rPr>
        <w:br/>
      </w:r>
      <w:r w:rsidRPr="00151DA1">
        <w:rPr>
          <w:rFonts w:ascii="Times New Roman" w:eastAsia="Times New Roman" w:hAnsi="Times New Roman" w:cs="Times New Roman"/>
          <w:sz w:val="24"/>
          <w:szCs w:val="24"/>
        </w:rPr>
        <w:lastRenderedPageBreak/>
        <w:t xml:space="preserve">Small medicines that target epigenetic regulators, especially histone deacetylases (HDACs) and EZH2, can change the stability and suppressive power of Tregs. Some HDAC inhibitors, such </w:t>
      </w:r>
      <w:proofErr w:type="spellStart"/>
      <w:r w:rsidRPr="00151DA1">
        <w:rPr>
          <w:rFonts w:ascii="Times New Roman" w:eastAsia="Times New Roman" w:hAnsi="Times New Roman" w:cs="Times New Roman"/>
          <w:sz w:val="24"/>
          <w:szCs w:val="24"/>
        </w:rPr>
        <w:t>entinostat</w:t>
      </w:r>
      <w:proofErr w:type="spellEnd"/>
      <w:r w:rsidRPr="00151DA1">
        <w:rPr>
          <w:rFonts w:ascii="Times New Roman" w:eastAsia="Times New Roman" w:hAnsi="Times New Roman" w:cs="Times New Roman"/>
          <w:sz w:val="24"/>
          <w:szCs w:val="24"/>
        </w:rPr>
        <w:t>, have been shown to selectively affect Tregs in tumors without affecting peripheral regulatory populations. This keeps systemic immunological tolerance while reducing local suppression</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{"citationID":"dRLdzXRo","properties":{"formattedCitation":"[39]","plainCitation":"[39]","noteIndex":0},"citationItems":[{"id":5183,"uris":["http://zotero.org/users/16652950/items/MGPCPU2N"],"itemData":{"id":5183,"type":"article-journal","abstract":"Histone deacetylase (HDAC) inhibitors are powerful epigenetic regulators that have enormous therapeutic potential and have pleiotropic effects at the cellular and systemic levels. To date, HDAC inhibitors are used clinically for a wide variety of disorders ranging from hematopoietic malignancies to psychiatric disorders, are known to have anti-inflammatory properties, and are in clinical trials for several other diseases. In addition to influencing gene expression, HDAC enzymes also function as part of large, multisubunit complexes which have many nonhistone targets, alter signaling at the cellular and systemic levels, and result in divergent and cell-type specific effects. Thus, the effects of HDAC inhibitor treatment are too intricate to completely understand with current knowledge but the ability of HDAC inhibitors to modulate the immune system presents intriguing therapeutic possibilities. This review will explore the complexity of HDAC inhibitor treatment at the cellular and systemic levels and suggest strategies for effective use of HDAC inhibitors in biomedical research, focusing on the ability of HDAC inhibitors to modulate the immune system. The possibility of combining the documented anticancer effects and newly emerging immunomodulatory effects of HDAC inhibitors represents a promising new combinatorial therapeutic approach for HDAC inhibitor treatments.","container-title":"BioMed Research International","DOI":"10.1155/2016/8797206","ISSN":"2314-6133","journalAbbreviation":"Biomed Res Int","note":"PMID: 27556043\nPMCID: PMC4983322","page":"8797206","source":"PubMed Central","title":"HDAC Inhibitors as Epigenetic Regulators of the Immune System: Impacts on Cancer Therapy and Inflammatory Diseases","title-short":"HDAC Inhibitors as Epigenetic Regulators of the Immune System","volume":"2016","author":[{"family":"Hull","given":"Elizabeth E."},{"family":"Montgomery","given":"McKale R."},{"family":"Leyva","given":"Kathryn J."}],"issued":{"date-parts":[["2016"]]}}}],"schema":"https://github.com/citation-style-language/schema/raw/master/csl-citation.json"}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[39]</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t>One of the biggest problems is still making chemical scaffolds that only affect immunosuppressive cells. Using distinct enzyme expression (such aldehyde dehydrogenase in MDSCs), transporter uptake, or the various redox conditions of these cell types are all good techniques. At the same time, prodrug methods that are triggered by tumor-associated enzymes (such cathepsins or β-glucuronidase) add another level of selectivity</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{"citationID":"vjG8YuZD","properties":{"formattedCitation":"[40]","plainCitation":"[40]","noteIndex":0},"citationItems":[{"id":5186,"uris":["http://zotero.org/users/16652950/items/8PMV63R4"],"itemData":{"id":5186,"type":"article-journal","abstract":"Cancer stem cells (CSCs), a small subset of cells in tumors that are characterized by self-renewal and continuous proliferation, lead to tumorigenesis, metastasis, and maintain tumor heterogeneity. Cancer continues to be a significant global disease burden. In the past, surgery, radiotherapy, and chemotherapy were the main cancer treatments. The technology of cancer treatments continues to develop and advance, and the emergence of targeted therapy, and immunotherapy provides more options for patients to a certain extent. However, the limitations of efficacy and treatment resistance are still inevitable. Our review begins with a brief introduction of the historical discoveries, original hypotheses, and pathways that regulate CSCs, such as WNT/β-Catenin, hedgehog, Notch, NF-κB, JAK/STAT, TGF-β, PI3K/AKT, PPAR pathway, and their crosstalk. We focus on the role of CSCs in various therapeutic outcomes and resistance, including how the treatments affect the content of CSCs and the alteration of related molecules, CSCs-mediated therapeutic resistance, and the clinical value of targeting CSCs in patients with refractory, progressed or advanced tumors. In summary, CSCs affect therapeutic efficacy, and the treatment method of targeting CSCs is still difficult to determine. Clarifying regulatory mechanisms and targeting biomarkers of CSCs is currently the mainstream idea.","container-title":"Signal Transduction and Targeted Therapy","DOI":"10.1038/s41392-024-01851-y","ISSN":"2095-9907","journalAbbreviation":"Signal Transduct Target Ther","note":"PMID: 38965243\nPMCID: PMC11224386","page":"170","source":"PubMed Central","title":"Cancer stem cells: advances in knowledge and implications for cancer therapy","title-short":"Cancer stem cells","volume":"9","author":[{"family":"Chu","given":"Xianjing"},{"family":"Tian","given":"Wentao"},{"family":"Ning","given":"Jiaoyang"},{"family":"Xiao","given":"Gang"},{"family":"Zhou","given":"Yunqi"},{"family":"Wang","given":"Ziqi"},{"family":"Zhai","given":"Zhuofan"},{"family":"Tanzhu","given":"Guilong"},{"family":"Yang","given":"Jie"},{"family":"Zhou","given":"Rongrong"}],"issued":{"date-parts":[["2024",7,5]]}}}],"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[40]</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3CCD7157" w14:textId="39698741" w:rsidR="00151DA1"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t>It is important to note that changing suppressive cells is rarely enough on its own. To get long-lasting responses, you often need to use many T cell-activating methods together, such as checkpoint inhibitors, cancer vaccines, and adoptive cell treatments. For example, using CSF1R or PI3Kγ inhibitors to reprogram TAMs has been demonstrated to make tumors more sensitive to PD-1 inhibition and allow CTLs to get into them more easily, even in mice that were resistant before</w:t>
      </w:r>
      <w:r w:rsidR="0014656B">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{"citationID":"R9SxO21P","properties":{"formattedCitation":"[41]","plainCitation":"[41]","noteIndex":0},"citationItems":[{"id":5189,"uris":["http://zotero.org/users/16652950/items/RXQXRGZN"],"itemData":{"id":5189,"type":"article-journal","abstract":"In recent years, there has been a surge of interest in tumor microenvironment-associated cancer vaccine therapies. These innovative treatments aim to activate and enhance the body’s natural immune response against cancer cells by utilizing specific antigens present in the tumor microenvironment. The goal is to achieve a complete clinical response, where all measurable cancer cells are either eliminated or greatly reduced in size. With their potential to revolutionize cancer treatment, these therapies represent a promising avenue for researchers and clinicians alike. Despite over 100 years of research, the success of therapeutic cancer vaccines has been variable, particularly in advanced cancer patients, with various limitations, including the heterogeneity of the tumor microenvironment, the presence of immunosuppressive cells, and the potential for tumor escape mechanisms. Additionally, the effectiveness of these therapies may be limited by the variability of the patient’s immune system response and the difficulty in identifying appropriate antigens for each patient. Despite these challenges, tumor microenvironment-targeted vaccine cancer therapies have shown promising results in preclinical and clinical studies and have the potential to become a valuable addition to current cancer treatment and “curative” options. While chemotherapeutic and monoclonal antibody treatments remain popular, ongoing research is needed to optimize the design and delivery of these therapies and to identify biomarkers that can predict response and guide patient selection. This comprehensive review explores the mechanisms of cancer vaccines, various delivery methods, and the role of adjuvants in improving treatment outcomes. It also discusses the historical background of cancer vaccine research and examines the current state of major cancer vaccination immunotherapies. Furthermore, the limitations and effectiveness of each vaccine type are analyzed, providing insights into the future of cancer vaccine development.","container-title":"Cells","DOI":"10.3390/cells12172159","ISSN":"2073-4409","issue":"17","journalAbbreviation":"Cells","note":"PMID: 37681891\nPMCID: PMC10486481","page":"2159","source":"PubMed Central","title":"Cancer Vaccine Therapeutics: Limitations and Effectiveness—A Literature Review","title-short":"Cancer Vaccine Therapeutics","volume":"12","author":[{"family":"Kaczmarek","given":"Mariusz"},{"family":"Poznańska","given":"Justyna"},{"family":"Fechner","given":"Filip"},{"family":"Michalska","given":"Natasza"},{"family":"Paszkowska","given":"Sara"},{"family":"Napierała","given":"Adrianna"},{"family":"Mackiewicz","given":"Andrzej"}],"issued":{"date-parts":[["2023",8,28]]}}}],"schema":"https://github.com/citation-style-language/schema/raw/master/csl-citation.json"} </w:instrText>
      </w:r>
      <w:r w:rsidR="0014656B">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[41]</w:t>
      </w:r>
      <w:r w:rsidR="0014656B">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t>In short, the deliberate targeting of immunosuppressive cells with tiny chemicals shows how chemistry can fine-tune cellular phenotypes inside the TIME. As we learn more about how cells might change, future methods will probably go beyond cell depletion to specific reprogramming, which will make the immune response more balanced and coordinated.</w:t>
      </w:r>
    </w:p>
    <w:p w14:paraId="7B1EB35C" w14:textId="77777777" w:rsidR="00924F01" w:rsidRDefault="00924F01" w:rsidP="002734BF">
      <w:pPr>
        <w:spacing w:after="0" w:line="240" w:lineRule="auto"/>
        <w:jc w:val="both"/>
        <w:rPr>
          <w:rFonts w:ascii="Times New Roman" w:eastAsia="Times New Roman" w:hAnsi="Times New Roman" w:cs="Times New Roman"/>
          <w:sz w:val="24"/>
          <w:szCs w:val="24"/>
        </w:rPr>
      </w:pPr>
    </w:p>
    <w:p w14:paraId="4F9B6002" w14:textId="77777777" w:rsidR="00924F01" w:rsidRDefault="00924F01" w:rsidP="002734BF">
      <w:pPr>
        <w:spacing w:after="0" w:line="240" w:lineRule="auto"/>
        <w:jc w:val="both"/>
        <w:rPr>
          <w:rFonts w:ascii="Times New Roman" w:eastAsia="Times New Roman" w:hAnsi="Times New Roman" w:cs="Times New Roman"/>
          <w:sz w:val="24"/>
          <w:szCs w:val="24"/>
        </w:rPr>
      </w:pPr>
    </w:p>
    <w:p w14:paraId="3CE9B221" w14:textId="77777777" w:rsidR="00924F01" w:rsidRDefault="00924F01" w:rsidP="002734BF">
      <w:pPr>
        <w:spacing w:after="0" w:line="240" w:lineRule="auto"/>
        <w:jc w:val="both"/>
        <w:rPr>
          <w:rFonts w:ascii="Times New Roman" w:eastAsia="Times New Roman" w:hAnsi="Times New Roman" w:cs="Times New Roman"/>
          <w:sz w:val="24"/>
          <w:szCs w:val="24"/>
        </w:rPr>
      </w:pPr>
    </w:p>
    <w:p w14:paraId="3C42137E" w14:textId="77777777" w:rsidR="00924F01" w:rsidRDefault="00924F01" w:rsidP="002734BF">
      <w:pPr>
        <w:spacing w:after="0" w:line="240" w:lineRule="auto"/>
        <w:jc w:val="both"/>
        <w:rPr>
          <w:rFonts w:ascii="Times New Roman" w:eastAsia="Times New Roman" w:hAnsi="Times New Roman" w:cs="Times New Roman"/>
          <w:sz w:val="24"/>
          <w:szCs w:val="24"/>
        </w:rPr>
      </w:pPr>
    </w:p>
    <w:p w14:paraId="70D3AD04" w14:textId="77777777" w:rsidR="00924F01" w:rsidRDefault="00924F01" w:rsidP="002734BF">
      <w:pPr>
        <w:spacing w:after="0" w:line="240" w:lineRule="auto"/>
        <w:jc w:val="both"/>
        <w:rPr>
          <w:rFonts w:ascii="Times New Roman" w:eastAsia="Times New Roman" w:hAnsi="Times New Roman" w:cs="Times New Roman"/>
          <w:sz w:val="24"/>
          <w:szCs w:val="24"/>
        </w:rPr>
      </w:pPr>
    </w:p>
    <w:p w14:paraId="5F79D9A9" w14:textId="77777777" w:rsidR="00924F01" w:rsidRDefault="00924F01" w:rsidP="002734BF">
      <w:pPr>
        <w:spacing w:after="0" w:line="240" w:lineRule="auto"/>
        <w:jc w:val="both"/>
        <w:rPr>
          <w:rFonts w:ascii="Times New Roman" w:eastAsia="Times New Roman" w:hAnsi="Times New Roman" w:cs="Times New Roman"/>
          <w:sz w:val="24"/>
          <w:szCs w:val="24"/>
        </w:rPr>
      </w:pPr>
    </w:p>
    <w:p w14:paraId="79F7B620" w14:textId="77777777" w:rsidR="00924F01" w:rsidRDefault="00924F01" w:rsidP="002734BF">
      <w:pPr>
        <w:spacing w:after="0" w:line="240" w:lineRule="auto"/>
        <w:jc w:val="both"/>
        <w:rPr>
          <w:rFonts w:ascii="Times New Roman" w:eastAsia="Times New Roman" w:hAnsi="Times New Roman" w:cs="Times New Roman"/>
          <w:sz w:val="24"/>
          <w:szCs w:val="24"/>
        </w:rPr>
      </w:pPr>
    </w:p>
    <w:p w14:paraId="7FD8876B" w14:textId="77777777" w:rsidR="00924F01" w:rsidRDefault="00924F01" w:rsidP="002734BF">
      <w:pPr>
        <w:spacing w:after="0" w:line="240" w:lineRule="auto"/>
        <w:jc w:val="both"/>
        <w:rPr>
          <w:rFonts w:ascii="Times New Roman" w:eastAsia="Times New Roman" w:hAnsi="Times New Roman" w:cs="Times New Roman"/>
          <w:sz w:val="24"/>
          <w:szCs w:val="24"/>
        </w:rPr>
      </w:pPr>
    </w:p>
    <w:p w14:paraId="370CAC57" w14:textId="77777777" w:rsidR="00924F01" w:rsidRDefault="00924F01" w:rsidP="002734BF">
      <w:pPr>
        <w:spacing w:after="0" w:line="240" w:lineRule="auto"/>
        <w:jc w:val="both"/>
        <w:rPr>
          <w:rFonts w:ascii="Times New Roman" w:eastAsia="Times New Roman" w:hAnsi="Times New Roman" w:cs="Times New Roman"/>
          <w:sz w:val="24"/>
          <w:szCs w:val="24"/>
        </w:rPr>
      </w:pPr>
    </w:p>
    <w:p w14:paraId="32DE8D52" w14:textId="77777777" w:rsidR="00924F01" w:rsidRDefault="00924F01" w:rsidP="002734BF">
      <w:pPr>
        <w:spacing w:after="0" w:line="240" w:lineRule="auto"/>
        <w:jc w:val="both"/>
        <w:rPr>
          <w:rFonts w:ascii="Times New Roman" w:eastAsia="Times New Roman" w:hAnsi="Times New Roman" w:cs="Times New Roman"/>
          <w:sz w:val="24"/>
          <w:szCs w:val="24"/>
        </w:rPr>
      </w:pPr>
    </w:p>
    <w:p w14:paraId="1E7133A1" w14:textId="77777777" w:rsidR="00924F01" w:rsidRDefault="00924F01" w:rsidP="002734BF">
      <w:pPr>
        <w:spacing w:after="0" w:line="240" w:lineRule="auto"/>
        <w:jc w:val="both"/>
        <w:rPr>
          <w:rFonts w:ascii="Times New Roman" w:eastAsia="Times New Roman" w:hAnsi="Times New Roman" w:cs="Times New Roman"/>
          <w:sz w:val="24"/>
          <w:szCs w:val="24"/>
        </w:rPr>
      </w:pPr>
    </w:p>
    <w:p w14:paraId="7A23D115" w14:textId="77777777" w:rsidR="00924F01" w:rsidRDefault="00924F01" w:rsidP="002734BF">
      <w:pPr>
        <w:spacing w:after="0" w:line="240" w:lineRule="auto"/>
        <w:jc w:val="both"/>
        <w:rPr>
          <w:rFonts w:ascii="Times New Roman" w:eastAsia="Times New Roman" w:hAnsi="Times New Roman" w:cs="Times New Roman"/>
          <w:sz w:val="24"/>
          <w:szCs w:val="24"/>
        </w:rPr>
      </w:pPr>
    </w:p>
    <w:p w14:paraId="1B3C4F68" w14:textId="77777777" w:rsidR="00924F01" w:rsidRDefault="00924F01" w:rsidP="002734BF">
      <w:pPr>
        <w:spacing w:after="0" w:line="240" w:lineRule="auto"/>
        <w:jc w:val="both"/>
        <w:rPr>
          <w:rFonts w:ascii="Times New Roman" w:eastAsia="Times New Roman" w:hAnsi="Times New Roman" w:cs="Times New Roman"/>
          <w:sz w:val="24"/>
          <w:szCs w:val="24"/>
        </w:rPr>
      </w:pPr>
    </w:p>
    <w:p w14:paraId="6A5AB1EB" w14:textId="77777777" w:rsidR="00924F01" w:rsidRDefault="00924F01" w:rsidP="002734BF">
      <w:pPr>
        <w:spacing w:after="0" w:line="240" w:lineRule="auto"/>
        <w:jc w:val="both"/>
        <w:rPr>
          <w:rFonts w:ascii="Times New Roman" w:eastAsia="Times New Roman" w:hAnsi="Times New Roman" w:cs="Times New Roman"/>
          <w:sz w:val="24"/>
          <w:szCs w:val="24"/>
        </w:rPr>
      </w:pPr>
    </w:p>
    <w:p w14:paraId="6C46672A" w14:textId="77777777" w:rsidR="00924F01" w:rsidRDefault="00924F01" w:rsidP="002734BF">
      <w:pPr>
        <w:spacing w:after="0" w:line="240" w:lineRule="auto"/>
        <w:jc w:val="both"/>
        <w:rPr>
          <w:rFonts w:ascii="Times New Roman" w:eastAsia="Times New Roman" w:hAnsi="Times New Roman" w:cs="Times New Roman"/>
          <w:b/>
          <w:bCs/>
          <w:sz w:val="24"/>
          <w:szCs w:val="24"/>
        </w:rPr>
        <w:sectPr w:rsidR="00924F0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B986F2D" w14:textId="77777777" w:rsidR="00924F01" w:rsidRDefault="00924F01" w:rsidP="002734BF">
      <w:pPr>
        <w:spacing w:after="0" w:line="240" w:lineRule="auto"/>
        <w:jc w:val="both"/>
        <w:rPr>
          <w:rFonts w:ascii="Times New Roman" w:eastAsia="Times New Roman" w:hAnsi="Times New Roman" w:cs="Times New Roman"/>
          <w:sz w:val="24"/>
          <w:szCs w:val="24"/>
        </w:rPr>
      </w:pPr>
    </w:p>
    <w:p w14:paraId="6A8D79D9" w14:textId="3B22873D" w:rsidR="00924F01" w:rsidRPr="001F0122" w:rsidRDefault="00A465E4" w:rsidP="002734BF">
      <w:pPr>
        <w:jc w:val="both"/>
        <w:rPr>
          <w:rFonts w:ascii="Times New Roman" w:eastAsia="Times New Roman" w:hAnsi="Times New Roman" w:cs="Times New Roman"/>
          <w:b/>
          <w:bCs/>
          <w:sz w:val="24"/>
          <w:szCs w:val="24"/>
        </w:rPr>
      </w:pPr>
      <w:r w:rsidRPr="001F0122">
        <w:rPr>
          <w:rFonts w:ascii="Times New Roman" w:eastAsia="Times New Roman" w:hAnsi="Times New Roman" w:cs="Times New Roman"/>
          <w:b/>
          <w:bCs/>
          <w:sz w:val="24"/>
          <w:szCs w:val="24"/>
        </w:rPr>
        <w:t xml:space="preserve">Table 1: </w:t>
      </w:r>
      <w:r w:rsidR="00924F01" w:rsidRPr="001F0122">
        <w:rPr>
          <w:rFonts w:ascii="Times New Roman" w:eastAsia="Times New Roman" w:hAnsi="Times New Roman" w:cs="Times New Roman"/>
          <w:b/>
          <w:bCs/>
          <w:sz w:val="24"/>
          <w:szCs w:val="24"/>
        </w:rPr>
        <w:t>Plethora of Small Molecules Modulating the Tumor Immune Microenvironment (TIME): classes, targets, mechanisms and translational attributes</w:t>
      </w:r>
      <w:r w:rsidR="00E25BE4" w:rsidRPr="001F0122">
        <w:rPr>
          <w:rFonts w:ascii="Times New Roman" w:eastAsia="Times New Roman" w:hAnsi="Times New Roman" w:cs="Times New Roman"/>
          <w:b/>
          <w:bCs/>
          <w:sz w:val="24"/>
          <w:szCs w:val="24"/>
          <w:vertAlign w:val="superscript"/>
        </w:rPr>
        <w:t>1</w:t>
      </w:r>
    </w:p>
    <w:tbl>
      <w:tblPr>
        <w:tblStyle w:val="GridTable5Dark-Accent4"/>
        <w:tblW w:w="0" w:type="auto"/>
        <w:tblLook w:val="04A0" w:firstRow="1" w:lastRow="0" w:firstColumn="1" w:lastColumn="0" w:noHBand="0" w:noVBand="1"/>
      </w:tblPr>
      <w:tblGrid>
        <w:gridCol w:w="1621"/>
        <w:gridCol w:w="1385"/>
        <w:gridCol w:w="1822"/>
        <w:gridCol w:w="1534"/>
        <w:gridCol w:w="1600"/>
        <w:gridCol w:w="1334"/>
        <w:gridCol w:w="1467"/>
        <w:gridCol w:w="2187"/>
      </w:tblGrid>
      <w:tr w:rsidR="00924F01" w:rsidRPr="00924F01" w14:paraId="225930BD" w14:textId="77777777" w:rsidTr="00924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3E49BA61"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Small Molecule Class</w:t>
            </w:r>
          </w:p>
        </w:tc>
        <w:tc>
          <w:tcPr>
            <w:tcW w:w="0" w:type="auto"/>
            <w:tcBorders>
              <w:top w:val="single" w:sz="4" w:space="0" w:color="auto"/>
              <w:bottom w:val="single" w:sz="4" w:space="0" w:color="auto"/>
            </w:tcBorders>
            <w:hideMark/>
          </w:tcPr>
          <w:p w14:paraId="2D7FE44B" w14:textId="77777777" w:rsidR="00924F01" w:rsidRPr="00924F01" w:rsidRDefault="00924F01" w:rsidP="002734B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Primary Targets</w:t>
            </w:r>
          </w:p>
        </w:tc>
        <w:tc>
          <w:tcPr>
            <w:tcW w:w="0" w:type="auto"/>
            <w:tcBorders>
              <w:top w:val="single" w:sz="4" w:space="0" w:color="auto"/>
              <w:bottom w:val="single" w:sz="4" w:space="0" w:color="auto"/>
            </w:tcBorders>
            <w:hideMark/>
          </w:tcPr>
          <w:p w14:paraId="1E65EEE9" w14:textId="77777777" w:rsidR="00924F01" w:rsidRPr="00924F01" w:rsidRDefault="00924F01" w:rsidP="002734B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Mechanism of Action</w:t>
            </w:r>
          </w:p>
        </w:tc>
        <w:tc>
          <w:tcPr>
            <w:tcW w:w="0" w:type="auto"/>
            <w:tcBorders>
              <w:top w:val="single" w:sz="4" w:space="0" w:color="auto"/>
              <w:bottom w:val="single" w:sz="4" w:space="0" w:color="auto"/>
            </w:tcBorders>
            <w:hideMark/>
          </w:tcPr>
          <w:p w14:paraId="478B1611" w14:textId="77777777" w:rsidR="00924F01" w:rsidRPr="00924F01" w:rsidRDefault="00924F01" w:rsidP="002734B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Example Compounds</w:t>
            </w:r>
          </w:p>
        </w:tc>
        <w:tc>
          <w:tcPr>
            <w:tcW w:w="0" w:type="auto"/>
            <w:tcBorders>
              <w:top w:val="single" w:sz="4" w:space="0" w:color="auto"/>
              <w:bottom w:val="single" w:sz="4" w:space="0" w:color="auto"/>
            </w:tcBorders>
            <w:hideMark/>
          </w:tcPr>
          <w:p w14:paraId="3DDA7792" w14:textId="77777777" w:rsidR="00924F01" w:rsidRPr="00924F01" w:rsidRDefault="00924F01" w:rsidP="002734B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Delivery Strategies</w:t>
            </w:r>
          </w:p>
        </w:tc>
        <w:tc>
          <w:tcPr>
            <w:tcW w:w="0" w:type="auto"/>
            <w:tcBorders>
              <w:top w:val="single" w:sz="4" w:space="0" w:color="auto"/>
              <w:bottom w:val="single" w:sz="4" w:space="0" w:color="auto"/>
            </w:tcBorders>
            <w:hideMark/>
          </w:tcPr>
          <w:p w14:paraId="0129FD60" w14:textId="77777777" w:rsidR="00924F01" w:rsidRPr="00924F01" w:rsidRDefault="00924F01" w:rsidP="002734B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Clinical Development Stage</w:t>
            </w:r>
          </w:p>
        </w:tc>
        <w:tc>
          <w:tcPr>
            <w:tcW w:w="0" w:type="auto"/>
            <w:tcBorders>
              <w:top w:val="single" w:sz="4" w:space="0" w:color="auto"/>
              <w:bottom w:val="single" w:sz="4" w:space="0" w:color="auto"/>
            </w:tcBorders>
            <w:hideMark/>
          </w:tcPr>
          <w:p w14:paraId="42E9FD7A" w14:textId="77777777" w:rsidR="00924F01" w:rsidRPr="00924F01" w:rsidRDefault="00924F01" w:rsidP="002734B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Therapeutic Combinations</w:t>
            </w:r>
          </w:p>
        </w:tc>
        <w:tc>
          <w:tcPr>
            <w:tcW w:w="0" w:type="auto"/>
            <w:tcBorders>
              <w:top w:val="single" w:sz="4" w:space="0" w:color="auto"/>
              <w:bottom w:val="single" w:sz="4" w:space="0" w:color="auto"/>
            </w:tcBorders>
            <w:hideMark/>
          </w:tcPr>
          <w:p w14:paraId="25AE149A" w14:textId="77777777" w:rsidR="00924F01" w:rsidRPr="00924F01" w:rsidRDefault="00924F01" w:rsidP="002734BF">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Key Limitations/Challenges</w:t>
            </w:r>
          </w:p>
        </w:tc>
      </w:tr>
      <w:tr w:rsidR="00924F01" w:rsidRPr="00924F01" w14:paraId="3539A489" w14:textId="77777777" w:rsidTr="00924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52AF7F80"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Checkpoint Inhibitors</w:t>
            </w:r>
          </w:p>
        </w:tc>
        <w:tc>
          <w:tcPr>
            <w:tcW w:w="0" w:type="auto"/>
            <w:tcBorders>
              <w:top w:val="single" w:sz="4" w:space="0" w:color="auto"/>
            </w:tcBorders>
            <w:hideMark/>
          </w:tcPr>
          <w:p w14:paraId="31BB3E39"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PD-L1, VISTA</w:t>
            </w:r>
          </w:p>
        </w:tc>
        <w:tc>
          <w:tcPr>
            <w:tcW w:w="0" w:type="auto"/>
            <w:tcBorders>
              <w:top w:val="single" w:sz="4" w:space="0" w:color="auto"/>
            </w:tcBorders>
            <w:hideMark/>
          </w:tcPr>
          <w:p w14:paraId="774ED9AF"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Disrupt PD-1/PD-L1 or VISTA interactions; dimerization or allosteric modulation</w:t>
            </w:r>
          </w:p>
        </w:tc>
        <w:tc>
          <w:tcPr>
            <w:tcW w:w="0" w:type="auto"/>
            <w:tcBorders>
              <w:top w:val="single" w:sz="4" w:space="0" w:color="auto"/>
            </w:tcBorders>
            <w:hideMark/>
          </w:tcPr>
          <w:p w14:paraId="27020BA2"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BMS-202, CA-170</w:t>
            </w:r>
          </w:p>
        </w:tc>
        <w:tc>
          <w:tcPr>
            <w:tcW w:w="0" w:type="auto"/>
            <w:tcBorders>
              <w:top w:val="single" w:sz="4" w:space="0" w:color="auto"/>
            </w:tcBorders>
            <w:hideMark/>
          </w:tcPr>
          <w:p w14:paraId="1484FF79"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Oral delivery, fragment-based design, structure-guided</w:t>
            </w:r>
          </w:p>
        </w:tc>
        <w:tc>
          <w:tcPr>
            <w:tcW w:w="0" w:type="auto"/>
            <w:tcBorders>
              <w:top w:val="single" w:sz="4" w:space="0" w:color="auto"/>
            </w:tcBorders>
            <w:hideMark/>
          </w:tcPr>
          <w:p w14:paraId="4D499295"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BMS-202 (Preclinical), CA-170 (Phase I)</w:t>
            </w:r>
          </w:p>
        </w:tc>
        <w:tc>
          <w:tcPr>
            <w:tcW w:w="0" w:type="auto"/>
            <w:tcBorders>
              <w:top w:val="single" w:sz="4" w:space="0" w:color="auto"/>
            </w:tcBorders>
            <w:hideMark/>
          </w:tcPr>
          <w:p w14:paraId="1A893EDD"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Checkpoint inhibitors (</w:t>
            </w:r>
            <w:proofErr w:type="spellStart"/>
            <w:r w:rsidRPr="00924F01">
              <w:rPr>
                <w:rFonts w:ascii="Times New Roman" w:eastAsia="Times New Roman" w:hAnsi="Times New Roman" w:cs="Times New Roman"/>
                <w:sz w:val="20"/>
                <w:szCs w:val="20"/>
              </w:rPr>
              <w:t>mAbs</w:t>
            </w:r>
            <w:proofErr w:type="spellEnd"/>
            <w:r w:rsidRPr="00924F01">
              <w:rPr>
                <w:rFonts w:ascii="Times New Roman" w:eastAsia="Times New Roman" w:hAnsi="Times New Roman" w:cs="Times New Roman"/>
                <w:sz w:val="20"/>
                <w:szCs w:val="20"/>
              </w:rPr>
              <w:t>), cancer vaccines</w:t>
            </w:r>
          </w:p>
        </w:tc>
        <w:tc>
          <w:tcPr>
            <w:tcW w:w="0" w:type="auto"/>
            <w:tcBorders>
              <w:top w:val="single" w:sz="4" w:space="0" w:color="auto"/>
            </w:tcBorders>
            <w:hideMark/>
          </w:tcPr>
          <w:p w14:paraId="1E3D6ADF"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Large flat interfaces difficult to drug; selectivity issues</w:t>
            </w:r>
          </w:p>
        </w:tc>
      </w:tr>
      <w:tr w:rsidR="00924F01" w:rsidRPr="00924F01" w14:paraId="061CCB8B" w14:textId="77777777" w:rsidTr="00483F49">
        <w:tc>
          <w:tcPr>
            <w:cnfStyle w:val="001000000000" w:firstRow="0" w:lastRow="0" w:firstColumn="1" w:lastColumn="0" w:oddVBand="0" w:evenVBand="0" w:oddHBand="0" w:evenHBand="0" w:firstRowFirstColumn="0" w:firstRowLastColumn="0" w:lastRowFirstColumn="0" w:lastRowLastColumn="0"/>
            <w:tcW w:w="0" w:type="auto"/>
            <w:hideMark/>
          </w:tcPr>
          <w:p w14:paraId="7F69E618"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STING Agonists</w:t>
            </w:r>
          </w:p>
        </w:tc>
        <w:tc>
          <w:tcPr>
            <w:tcW w:w="0" w:type="auto"/>
            <w:hideMark/>
          </w:tcPr>
          <w:p w14:paraId="1CAD2E1E"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STING (TMEM173)</w:t>
            </w:r>
          </w:p>
        </w:tc>
        <w:tc>
          <w:tcPr>
            <w:tcW w:w="0" w:type="auto"/>
            <w:hideMark/>
          </w:tcPr>
          <w:p w14:paraId="3ACEF111"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Activate type I IFN signaling in APCs, boost T cell priming</w:t>
            </w:r>
          </w:p>
        </w:tc>
        <w:tc>
          <w:tcPr>
            <w:tcW w:w="0" w:type="auto"/>
            <w:hideMark/>
          </w:tcPr>
          <w:p w14:paraId="3002ED8C"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924F01">
              <w:rPr>
                <w:rFonts w:ascii="Times New Roman" w:eastAsia="Times New Roman" w:hAnsi="Times New Roman" w:cs="Times New Roman"/>
                <w:sz w:val="20"/>
                <w:szCs w:val="20"/>
              </w:rPr>
              <w:t>diABZI</w:t>
            </w:r>
            <w:proofErr w:type="spellEnd"/>
            <w:r w:rsidRPr="00924F01">
              <w:rPr>
                <w:rFonts w:ascii="Times New Roman" w:eastAsia="Times New Roman" w:hAnsi="Times New Roman" w:cs="Times New Roman"/>
                <w:sz w:val="20"/>
                <w:szCs w:val="20"/>
              </w:rPr>
              <w:t xml:space="preserve">, MSA-2, </w:t>
            </w:r>
            <w:proofErr w:type="spellStart"/>
            <w:r w:rsidRPr="00924F01">
              <w:rPr>
                <w:rFonts w:ascii="Times New Roman" w:eastAsia="Times New Roman" w:hAnsi="Times New Roman" w:cs="Times New Roman"/>
                <w:sz w:val="20"/>
                <w:szCs w:val="20"/>
              </w:rPr>
              <w:t>cGAMP</w:t>
            </w:r>
            <w:proofErr w:type="spellEnd"/>
            <w:r w:rsidRPr="00924F01">
              <w:rPr>
                <w:rFonts w:ascii="Times New Roman" w:eastAsia="Times New Roman" w:hAnsi="Times New Roman" w:cs="Times New Roman"/>
                <w:sz w:val="20"/>
                <w:szCs w:val="20"/>
              </w:rPr>
              <w:t xml:space="preserve"> analogues</w:t>
            </w:r>
          </w:p>
        </w:tc>
        <w:tc>
          <w:tcPr>
            <w:tcW w:w="0" w:type="auto"/>
            <w:hideMark/>
          </w:tcPr>
          <w:p w14:paraId="7B5FDB90"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Prodrugs, phosphorothioate modification, nanoparticle encapsulation</w:t>
            </w:r>
          </w:p>
        </w:tc>
        <w:tc>
          <w:tcPr>
            <w:tcW w:w="0" w:type="auto"/>
            <w:hideMark/>
          </w:tcPr>
          <w:p w14:paraId="27771CFF"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924F01">
              <w:rPr>
                <w:rFonts w:ascii="Times New Roman" w:eastAsia="Times New Roman" w:hAnsi="Times New Roman" w:cs="Times New Roman"/>
                <w:sz w:val="20"/>
                <w:szCs w:val="20"/>
              </w:rPr>
              <w:t>diABZI</w:t>
            </w:r>
            <w:proofErr w:type="spellEnd"/>
            <w:r w:rsidRPr="00924F01">
              <w:rPr>
                <w:rFonts w:ascii="Times New Roman" w:eastAsia="Times New Roman" w:hAnsi="Times New Roman" w:cs="Times New Roman"/>
                <w:sz w:val="20"/>
                <w:szCs w:val="20"/>
              </w:rPr>
              <w:t xml:space="preserve"> (Preclinical)</w:t>
            </w:r>
          </w:p>
        </w:tc>
        <w:tc>
          <w:tcPr>
            <w:tcW w:w="0" w:type="auto"/>
            <w:hideMark/>
          </w:tcPr>
          <w:p w14:paraId="1FA03BE1"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Checkpoint blockade, radiation</w:t>
            </w:r>
          </w:p>
        </w:tc>
        <w:tc>
          <w:tcPr>
            <w:tcW w:w="0" w:type="auto"/>
            <w:hideMark/>
          </w:tcPr>
          <w:p w14:paraId="6125E706"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Systemic toxicity; enzymatic degradation; delivery barriers</w:t>
            </w:r>
          </w:p>
        </w:tc>
      </w:tr>
      <w:tr w:rsidR="00924F01" w:rsidRPr="00924F01" w14:paraId="450CFA42" w14:textId="77777777" w:rsidTr="00483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B9385D"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TLR Agonists</w:t>
            </w:r>
          </w:p>
        </w:tc>
        <w:tc>
          <w:tcPr>
            <w:tcW w:w="0" w:type="auto"/>
            <w:hideMark/>
          </w:tcPr>
          <w:p w14:paraId="71B40958"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TLR7, TLR8, TLR9</w:t>
            </w:r>
          </w:p>
        </w:tc>
        <w:tc>
          <w:tcPr>
            <w:tcW w:w="0" w:type="auto"/>
            <w:hideMark/>
          </w:tcPr>
          <w:p w14:paraId="22D772B3"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Activate innate sensing pathways, cytokine release, DC maturation</w:t>
            </w:r>
          </w:p>
        </w:tc>
        <w:tc>
          <w:tcPr>
            <w:tcW w:w="0" w:type="auto"/>
            <w:hideMark/>
          </w:tcPr>
          <w:p w14:paraId="3E580F13"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 xml:space="preserve">Imiquimod, </w:t>
            </w:r>
            <w:proofErr w:type="spellStart"/>
            <w:r w:rsidRPr="00924F01">
              <w:rPr>
                <w:rFonts w:ascii="Times New Roman" w:eastAsia="Times New Roman" w:hAnsi="Times New Roman" w:cs="Times New Roman"/>
                <w:sz w:val="20"/>
                <w:szCs w:val="20"/>
              </w:rPr>
              <w:t>Resiquimod</w:t>
            </w:r>
            <w:proofErr w:type="spellEnd"/>
            <w:r w:rsidRPr="00924F01">
              <w:rPr>
                <w:rFonts w:ascii="Times New Roman" w:eastAsia="Times New Roman" w:hAnsi="Times New Roman" w:cs="Times New Roman"/>
                <w:sz w:val="20"/>
                <w:szCs w:val="20"/>
              </w:rPr>
              <w:t>, CpG ODNs</w:t>
            </w:r>
          </w:p>
        </w:tc>
        <w:tc>
          <w:tcPr>
            <w:tcW w:w="0" w:type="auto"/>
            <w:hideMark/>
          </w:tcPr>
          <w:p w14:paraId="534721C5"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924F01">
              <w:rPr>
                <w:rFonts w:ascii="Times New Roman" w:eastAsia="Times New Roman" w:hAnsi="Times New Roman" w:cs="Times New Roman"/>
                <w:sz w:val="20"/>
                <w:szCs w:val="20"/>
              </w:rPr>
              <w:t>Intratumoral</w:t>
            </w:r>
            <w:proofErr w:type="spellEnd"/>
            <w:r w:rsidRPr="00924F01">
              <w:rPr>
                <w:rFonts w:ascii="Times New Roman" w:eastAsia="Times New Roman" w:hAnsi="Times New Roman" w:cs="Times New Roman"/>
                <w:sz w:val="20"/>
                <w:szCs w:val="20"/>
              </w:rPr>
              <w:t xml:space="preserve"> injection, pH-sensitive carriers</w:t>
            </w:r>
          </w:p>
        </w:tc>
        <w:tc>
          <w:tcPr>
            <w:tcW w:w="0" w:type="auto"/>
            <w:hideMark/>
          </w:tcPr>
          <w:p w14:paraId="6AE7628C"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Imiquimod (Approved), CpG (Clinical trials)</w:t>
            </w:r>
          </w:p>
        </w:tc>
        <w:tc>
          <w:tcPr>
            <w:tcW w:w="0" w:type="auto"/>
            <w:hideMark/>
          </w:tcPr>
          <w:p w14:paraId="49BC88D9"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With PD-1/PD-L1 or CTLA-4 inhibitors</w:t>
            </w:r>
          </w:p>
        </w:tc>
        <w:tc>
          <w:tcPr>
            <w:tcW w:w="0" w:type="auto"/>
            <w:hideMark/>
          </w:tcPr>
          <w:p w14:paraId="60DACD90"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Cytokine storm; poor systemic tolerability</w:t>
            </w:r>
          </w:p>
        </w:tc>
      </w:tr>
      <w:tr w:rsidR="00924F01" w:rsidRPr="00924F01" w14:paraId="44D45827" w14:textId="77777777" w:rsidTr="00483F49">
        <w:tc>
          <w:tcPr>
            <w:cnfStyle w:val="001000000000" w:firstRow="0" w:lastRow="0" w:firstColumn="1" w:lastColumn="0" w:oddVBand="0" w:evenVBand="0" w:oddHBand="0" w:evenHBand="0" w:firstRowFirstColumn="0" w:firstRowLastColumn="0" w:lastRowFirstColumn="0" w:lastRowLastColumn="0"/>
            <w:tcW w:w="0" w:type="auto"/>
            <w:hideMark/>
          </w:tcPr>
          <w:p w14:paraId="1DE993DD"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IDO1 Inhibitors</w:t>
            </w:r>
          </w:p>
        </w:tc>
        <w:tc>
          <w:tcPr>
            <w:tcW w:w="0" w:type="auto"/>
            <w:hideMark/>
          </w:tcPr>
          <w:p w14:paraId="24DA4F9E"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IDO1 (Indoleamine 2,3-dioxygenase 1)</w:t>
            </w:r>
          </w:p>
        </w:tc>
        <w:tc>
          <w:tcPr>
            <w:tcW w:w="0" w:type="auto"/>
            <w:hideMark/>
          </w:tcPr>
          <w:p w14:paraId="662D1B11"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Block tryptophan metabolism to reduce immunosuppression</w:t>
            </w:r>
          </w:p>
        </w:tc>
        <w:tc>
          <w:tcPr>
            <w:tcW w:w="0" w:type="auto"/>
            <w:hideMark/>
          </w:tcPr>
          <w:p w14:paraId="6B743DA1"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924F01">
              <w:rPr>
                <w:rFonts w:ascii="Times New Roman" w:eastAsia="Times New Roman" w:hAnsi="Times New Roman" w:cs="Times New Roman"/>
                <w:sz w:val="20"/>
                <w:szCs w:val="20"/>
              </w:rPr>
              <w:t>Epacadostat</w:t>
            </w:r>
            <w:proofErr w:type="spellEnd"/>
          </w:p>
        </w:tc>
        <w:tc>
          <w:tcPr>
            <w:tcW w:w="0" w:type="auto"/>
            <w:hideMark/>
          </w:tcPr>
          <w:p w14:paraId="656D3D40"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Oral small molecules</w:t>
            </w:r>
          </w:p>
        </w:tc>
        <w:tc>
          <w:tcPr>
            <w:tcW w:w="0" w:type="auto"/>
            <w:hideMark/>
          </w:tcPr>
          <w:p w14:paraId="2AD3B284"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Failed Phase III (ECHO-301)</w:t>
            </w:r>
          </w:p>
        </w:tc>
        <w:tc>
          <w:tcPr>
            <w:tcW w:w="0" w:type="auto"/>
            <w:hideMark/>
          </w:tcPr>
          <w:p w14:paraId="16744BDF"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With pembrolizumab or other CPIs</w:t>
            </w:r>
          </w:p>
        </w:tc>
        <w:tc>
          <w:tcPr>
            <w:tcW w:w="0" w:type="auto"/>
            <w:hideMark/>
          </w:tcPr>
          <w:p w14:paraId="068F5C4B"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Redundancy with TDO2; poor tumor-localized activity</w:t>
            </w:r>
          </w:p>
        </w:tc>
      </w:tr>
      <w:tr w:rsidR="00924F01" w:rsidRPr="00924F01" w14:paraId="107D0A37" w14:textId="77777777" w:rsidTr="00483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469EC5"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Arginase Inhibitors</w:t>
            </w:r>
          </w:p>
        </w:tc>
        <w:tc>
          <w:tcPr>
            <w:tcW w:w="0" w:type="auto"/>
            <w:hideMark/>
          </w:tcPr>
          <w:p w14:paraId="2D45B3CC"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Arginase-1 (ARG1) in MDSCs</w:t>
            </w:r>
          </w:p>
        </w:tc>
        <w:tc>
          <w:tcPr>
            <w:tcW w:w="0" w:type="auto"/>
            <w:hideMark/>
          </w:tcPr>
          <w:p w14:paraId="660F76D8"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Restore arginine availability, enhance T cell function</w:t>
            </w:r>
          </w:p>
        </w:tc>
        <w:tc>
          <w:tcPr>
            <w:tcW w:w="0" w:type="auto"/>
            <w:hideMark/>
          </w:tcPr>
          <w:p w14:paraId="7A4F1F39"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CB-1158 (INCB001158)</w:t>
            </w:r>
          </w:p>
        </w:tc>
        <w:tc>
          <w:tcPr>
            <w:tcW w:w="0" w:type="auto"/>
            <w:hideMark/>
          </w:tcPr>
          <w:p w14:paraId="486DB6FB"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Oral, systemically dosed</w:t>
            </w:r>
          </w:p>
        </w:tc>
        <w:tc>
          <w:tcPr>
            <w:tcW w:w="0" w:type="auto"/>
            <w:hideMark/>
          </w:tcPr>
          <w:p w14:paraId="34119CF7"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Phase I/II</w:t>
            </w:r>
          </w:p>
        </w:tc>
        <w:tc>
          <w:tcPr>
            <w:tcW w:w="0" w:type="auto"/>
            <w:hideMark/>
          </w:tcPr>
          <w:p w14:paraId="22BF8B25"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With CPIs and chemotherapy</w:t>
            </w:r>
          </w:p>
        </w:tc>
        <w:tc>
          <w:tcPr>
            <w:tcW w:w="0" w:type="auto"/>
            <w:hideMark/>
          </w:tcPr>
          <w:p w14:paraId="2949D4FF"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Heterogeneity of ARG1 expression in tumors</w:t>
            </w:r>
          </w:p>
        </w:tc>
      </w:tr>
      <w:tr w:rsidR="00924F01" w:rsidRPr="00924F01" w14:paraId="3577571E" w14:textId="77777777" w:rsidTr="00483F49">
        <w:tc>
          <w:tcPr>
            <w:cnfStyle w:val="001000000000" w:firstRow="0" w:lastRow="0" w:firstColumn="1" w:lastColumn="0" w:oddVBand="0" w:evenVBand="0" w:oddHBand="0" w:evenHBand="0" w:firstRowFirstColumn="0" w:firstRowLastColumn="0" w:lastRowFirstColumn="0" w:lastRowLastColumn="0"/>
            <w:tcW w:w="0" w:type="auto"/>
            <w:hideMark/>
          </w:tcPr>
          <w:p w14:paraId="27FD8FB6"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A2A Receptor Antagonists</w:t>
            </w:r>
          </w:p>
        </w:tc>
        <w:tc>
          <w:tcPr>
            <w:tcW w:w="0" w:type="auto"/>
            <w:hideMark/>
          </w:tcPr>
          <w:p w14:paraId="457F07A4"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Adenosine A2A receptor</w:t>
            </w:r>
          </w:p>
        </w:tc>
        <w:tc>
          <w:tcPr>
            <w:tcW w:w="0" w:type="auto"/>
            <w:hideMark/>
          </w:tcPr>
          <w:p w14:paraId="35550634"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Inhibit adenosine signaling to prevent T/NK cell suppression</w:t>
            </w:r>
          </w:p>
        </w:tc>
        <w:tc>
          <w:tcPr>
            <w:tcW w:w="0" w:type="auto"/>
            <w:hideMark/>
          </w:tcPr>
          <w:p w14:paraId="19DBDAC0"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CPI-444, AZD4635</w:t>
            </w:r>
          </w:p>
        </w:tc>
        <w:tc>
          <w:tcPr>
            <w:tcW w:w="0" w:type="auto"/>
            <w:hideMark/>
          </w:tcPr>
          <w:p w14:paraId="2263B3C5"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Oral administration, controlled PK</w:t>
            </w:r>
          </w:p>
        </w:tc>
        <w:tc>
          <w:tcPr>
            <w:tcW w:w="0" w:type="auto"/>
            <w:hideMark/>
          </w:tcPr>
          <w:p w14:paraId="65F452FF"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Phase I/II</w:t>
            </w:r>
          </w:p>
        </w:tc>
        <w:tc>
          <w:tcPr>
            <w:tcW w:w="0" w:type="auto"/>
            <w:hideMark/>
          </w:tcPr>
          <w:p w14:paraId="6920F6F2"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With IO and anti-angiogenic agents</w:t>
            </w:r>
          </w:p>
        </w:tc>
        <w:tc>
          <w:tcPr>
            <w:tcW w:w="0" w:type="auto"/>
            <w:hideMark/>
          </w:tcPr>
          <w:p w14:paraId="30AE9AD9"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Low tumor adenosine levels in some patients</w:t>
            </w:r>
          </w:p>
        </w:tc>
      </w:tr>
      <w:tr w:rsidR="00924F01" w:rsidRPr="00924F01" w14:paraId="024E0F5D" w14:textId="77777777" w:rsidTr="00483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55DD09"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Lactate/ROS Modulators</w:t>
            </w:r>
          </w:p>
        </w:tc>
        <w:tc>
          <w:tcPr>
            <w:tcW w:w="0" w:type="auto"/>
            <w:hideMark/>
          </w:tcPr>
          <w:p w14:paraId="7F0D7284"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MCT1/MCT4, LDH, HIF-1α, ROS-related enzymes</w:t>
            </w:r>
          </w:p>
        </w:tc>
        <w:tc>
          <w:tcPr>
            <w:tcW w:w="0" w:type="auto"/>
            <w:hideMark/>
          </w:tcPr>
          <w:p w14:paraId="41EF2066"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Reverse acidosis and metabolic suppression in TIME</w:t>
            </w:r>
          </w:p>
        </w:tc>
        <w:tc>
          <w:tcPr>
            <w:tcW w:w="0" w:type="auto"/>
            <w:hideMark/>
          </w:tcPr>
          <w:p w14:paraId="0DBAB902"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FX11 (LDH inhibitor), MCT blockers</w:t>
            </w:r>
          </w:p>
        </w:tc>
        <w:tc>
          <w:tcPr>
            <w:tcW w:w="0" w:type="auto"/>
            <w:hideMark/>
          </w:tcPr>
          <w:p w14:paraId="4F582DEF"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Tumor-targeted prodrugs; hypoxia-activated molecules</w:t>
            </w:r>
          </w:p>
        </w:tc>
        <w:tc>
          <w:tcPr>
            <w:tcW w:w="0" w:type="auto"/>
            <w:hideMark/>
          </w:tcPr>
          <w:p w14:paraId="04E70A1C"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Preclinical</w:t>
            </w:r>
          </w:p>
        </w:tc>
        <w:tc>
          <w:tcPr>
            <w:tcW w:w="0" w:type="auto"/>
            <w:hideMark/>
          </w:tcPr>
          <w:p w14:paraId="2E7B974F"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Under evaluation with checkpoint blockade</w:t>
            </w:r>
          </w:p>
        </w:tc>
        <w:tc>
          <w:tcPr>
            <w:tcW w:w="0" w:type="auto"/>
            <w:hideMark/>
          </w:tcPr>
          <w:p w14:paraId="566881F2"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Systemic pH disturbances; off-target metabolism</w:t>
            </w:r>
          </w:p>
        </w:tc>
      </w:tr>
      <w:tr w:rsidR="00924F01" w:rsidRPr="00924F01" w14:paraId="1B8FF5FA" w14:textId="77777777" w:rsidTr="00483F49">
        <w:tc>
          <w:tcPr>
            <w:cnfStyle w:val="001000000000" w:firstRow="0" w:lastRow="0" w:firstColumn="1" w:lastColumn="0" w:oddVBand="0" w:evenVBand="0" w:oddHBand="0" w:evenHBand="0" w:firstRowFirstColumn="0" w:firstRowLastColumn="0" w:lastRowFirstColumn="0" w:lastRowLastColumn="0"/>
            <w:tcW w:w="0" w:type="auto"/>
            <w:hideMark/>
          </w:tcPr>
          <w:p w14:paraId="07B00C39"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lastRenderedPageBreak/>
              <w:t xml:space="preserve">TAM </w:t>
            </w:r>
            <w:proofErr w:type="spellStart"/>
            <w:r w:rsidRPr="00924F01">
              <w:rPr>
                <w:rFonts w:ascii="Times New Roman" w:eastAsia="Times New Roman" w:hAnsi="Times New Roman" w:cs="Times New Roman"/>
                <w:color w:val="auto"/>
                <w:sz w:val="20"/>
                <w:szCs w:val="20"/>
              </w:rPr>
              <w:t>Reprogrammers</w:t>
            </w:r>
            <w:proofErr w:type="spellEnd"/>
            <w:r w:rsidRPr="00924F01">
              <w:rPr>
                <w:rFonts w:ascii="Times New Roman" w:eastAsia="Times New Roman" w:hAnsi="Times New Roman" w:cs="Times New Roman"/>
                <w:color w:val="auto"/>
                <w:sz w:val="20"/>
                <w:szCs w:val="20"/>
              </w:rPr>
              <w:t xml:space="preserve"> (CSF1R)</w:t>
            </w:r>
          </w:p>
        </w:tc>
        <w:tc>
          <w:tcPr>
            <w:tcW w:w="0" w:type="auto"/>
            <w:hideMark/>
          </w:tcPr>
          <w:p w14:paraId="07D1AB59"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CSF1R (macrophage survival), CD163, CCR2</w:t>
            </w:r>
          </w:p>
        </w:tc>
        <w:tc>
          <w:tcPr>
            <w:tcW w:w="0" w:type="auto"/>
            <w:hideMark/>
          </w:tcPr>
          <w:p w14:paraId="11A72821"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Kill TAMs or shift to pro-inflammatory M1 phenotype</w:t>
            </w:r>
          </w:p>
        </w:tc>
        <w:tc>
          <w:tcPr>
            <w:tcW w:w="0" w:type="auto"/>
            <w:hideMark/>
          </w:tcPr>
          <w:p w14:paraId="54BB240D"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924F01">
              <w:rPr>
                <w:rFonts w:ascii="Times New Roman" w:eastAsia="Times New Roman" w:hAnsi="Times New Roman" w:cs="Times New Roman"/>
                <w:sz w:val="20"/>
                <w:szCs w:val="20"/>
              </w:rPr>
              <w:t>Pexidartinib</w:t>
            </w:r>
            <w:proofErr w:type="spellEnd"/>
            <w:r w:rsidRPr="00924F01">
              <w:rPr>
                <w:rFonts w:ascii="Times New Roman" w:eastAsia="Times New Roman" w:hAnsi="Times New Roman" w:cs="Times New Roman"/>
                <w:sz w:val="20"/>
                <w:szCs w:val="20"/>
              </w:rPr>
              <w:t>, BLZ945</w:t>
            </w:r>
          </w:p>
        </w:tc>
        <w:tc>
          <w:tcPr>
            <w:tcW w:w="0" w:type="auto"/>
            <w:hideMark/>
          </w:tcPr>
          <w:p w14:paraId="2A62E429"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Systemic or liposomal formulations</w:t>
            </w:r>
          </w:p>
        </w:tc>
        <w:tc>
          <w:tcPr>
            <w:tcW w:w="0" w:type="auto"/>
            <w:hideMark/>
          </w:tcPr>
          <w:p w14:paraId="2ED7BFC7"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924F01">
              <w:rPr>
                <w:rFonts w:ascii="Times New Roman" w:eastAsia="Times New Roman" w:hAnsi="Times New Roman" w:cs="Times New Roman"/>
                <w:sz w:val="20"/>
                <w:szCs w:val="20"/>
              </w:rPr>
              <w:t>Pexidartinib</w:t>
            </w:r>
            <w:proofErr w:type="spellEnd"/>
            <w:r w:rsidRPr="00924F01">
              <w:rPr>
                <w:rFonts w:ascii="Times New Roman" w:eastAsia="Times New Roman" w:hAnsi="Times New Roman" w:cs="Times New Roman"/>
                <w:sz w:val="20"/>
                <w:szCs w:val="20"/>
              </w:rPr>
              <w:t xml:space="preserve"> (Approved for TGCT), BLZ945 (Trials)</w:t>
            </w:r>
          </w:p>
        </w:tc>
        <w:tc>
          <w:tcPr>
            <w:tcW w:w="0" w:type="auto"/>
            <w:hideMark/>
          </w:tcPr>
          <w:p w14:paraId="25E508B1"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With checkpoint inhibitors</w:t>
            </w:r>
          </w:p>
        </w:tc>
        <w:tc>
          <w:tcPr>
            <w:tcW w:w="0" w:type="auto"/>
            <w:hideMark/>
          </w:tcPr>
          <w:p w14:paraId="5E8B2825"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TAM depletion may hinder wound healing or antigen presentation</w:t>
            </w:r>
          </w:p>
        </w:tc>
      </w:tr>
      <w:tr w:rsidR="00924F01" w:rsidRPr="00924F01" w14:paraId="030D5823" w14:textId="77777777" w:rsidTr="00483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DC25D3"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Myeloid Modulators (PI3Kγ)</w:t>
            </w:r>
          </w:p>
        </w:tc>
        <w:tc>
          <w:tcPr>
            <w:tcW w:w="0" w:type="auto"/>
            <w:hideMark/>
          </w:tcPr>
          <w:p w14:paraId="24A3FDB9"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PI3Kγ in MDSCs and TAMs</w:t>
            </w:r>
          </w:p>
        </w:tc>
        <w:tc>
          <w:tcPr>
            <w:tcW w:w="0" w:type="auto"/>
            <w:hideMark/>
          </w:tcPr>
          <w:p w14:paraId="4249759A"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Block immunosuppressive signaling pathways in myeloid cells</w:t>
            </w:r>
          </w:p>
        </w:tc>
        <w:tc>
          <w:tcPr>
            <w:tcW w:w="0" w:type="auto"/>
            <w:hideMark/>
          </w:tcPr>
          <w:p w14:paraId="17317528"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IPI-549</w:t>
            </w:r>
          </w:p>
        </w:tc>
        <w:tc>
          <w:tcPr>
            <w:tcW w:w="0" w:type="auto"/>
            <w:hideMark/>
          </w:tcPr>
          <w:p w14:paraId="5F683BB2"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Oral; systemically bioavailable</w:t>
            </w:r>
          </w:p>
        </w:tc>
        <w:tc>
          <w:tcPr>
            <w:tcW w:w="0" w:type="auto"/>
            <w:hideMark/>
          </w:tcPr>
          <w:p w14:paraId="3CC71666"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Phase I/II</w:t>
            </w:r>
          </w:p>
        </w:tc>
        <w:tc>
          <w:tcPr>
            <w:tcW w:w="0" w:type="auto"/>
            <w:hideMark/>
          </w:tcPr>
          <w:p w14:paraId="3CB30EC3"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With anti-PD-1 and vaccines</w:t>
            </w:r>
          </w:p>
        </w:tc>
        <w:tc>
          <w:tcPr>
            <w:tcW w:w="0" w:type="auto"/>
            <w:hideMark/>
          </w:tcPr>
          <w:p w14:paraId="3C4A2229"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Targeting selectively in suppressive vs. inflammatory myeloid populations</w:t>
            </w:r>
          </w:p>
        </w:tc>
      </w:tr>
      <w:tr w:rsidR="00924F01" w:rsidRPr="00924F01" w14:paraId="4C6A5416" w14:textId="77777777" w:rsidTr="00483F49">
        <w:tc>
          <w:tcPr>
            <w:cnfStyle w:val="001000000000" w:firstRow="0" w:lastRow="0" w:firstColumn="1" w:lastColumn="0" w:oddVBand="0" w:evenVBand="0" w:oddHBand="0" w:evenHBand="0" w:firstRowFirstColumn="0" w:firstRowLastColumn="0" w:lastRowFirstColumn="0" w:lastRowLastColumn="0"/>
            <w:tcW w:w="0" w:type="auto"/>
            <w:hideMark/>
          </w:tcPr>
          <w:p w14:paraId="31FAF701"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Treg Epigenetic Modifiers</w:t>
            </w:r>
          </w:p>
        </w:tc>
        <w:tc>
          <w:tcPr>
            <w:tcW w:w="0" w:type="auto"/>
            <w:hideMark/>
          </w:tcPr>
          <w:p w14:paraId="03E2B55D"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HDACs (e.g., HDAC1), EZH2</w:t>
            </w:r>
          </w:p>
        </w:tc>
        <w:tc>
          <w:tcPr>
            <w:tcW w:w="0" w:type="auto"/>
            <w:hideMark/>
          </w:tcPr>
          <w:p w14:paraId="2B546CA8"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 xml:space="preserve">Suppress </w:t>
            </w:r>
            <w:proofErr w:type="spellStart"/>
            <w:r w:rsidRPr="00924F01">
              <w:rPr>
                <w:rFonts w:ascii="Times New Roman" w:eastAsia="Times New Roman" w:hAnsi="Times New Roman" w:cs="Times New Roman"/>
                <w:sz w:val="20"/>
                <w:szCs w:val="20"/>
              </w:rPr>
              <w:t>intratumoral</w:t>
            </w:r>
            <w:proofErr w:type="spellEnd"/>
            <w:r w:rsidRPr="00924F01">
              <w:rPr>
                <w:rFonts w:ascii="Times New Roman" w:eastAsia="Times New Roman" w:hAnsi="Times New Roman" w:cs="Times New Roman"/>
                <w:sz w:val="20"/>
                <w:szCs w:val="20"/>
              </w:rPr>
              <w:t xml:space="preserve"> </w:t>
            </w:r>
            <w:proofErr w:type="spellStart"/>
            <w:r w:rsidRPr="00924F01">
              <w:rPr>
                <w:rFonts w:ascii="Times New Roman" w:eastAsia="Times New Roman" w:hAnsi="Times New Roman" w:cs="Times New Roman"/>
                <w:sz w:val="20"/>
                <w:szCs w:val="20"/>
              </w:rPr>
              <w:t>Tregs</w:t>
            </w:r>
            <w:proofErr w:type="spellEnd"/>
            <w:r w:rsidRPr="00924F01">
              <w:rPr>
                <w:rFonts w:ascii="Times New Roman" w:eastAsia="Times New Roman" w:hAnsi="Times New Roman" w:cs="Times New Roman"/>
                <w:sz w:val="20"/>
                <w:szCs w:val="20"/>
              </w:rPr>
              <w:t xml:space="preserve"> while sparing systemic tolerance</w:t>
            </w:r>
          </w:p>
        </w:tc>
        <w:tc>
          <w:tcPr>
            <w:tcW w:w="0" w:type="auto"/>
            <w:hideMark/>
          </w:tcPr>
          <w:p w14:paraId="60D92187"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924F01">
              <w:rPr>
                <w:rFonts w:ascii="Times New Roman" w:eastAsia="Times New Roman" w:hAnsi="Times New Roman" w:cs="Times New Roman"/>
                <w:sz w:val="20"/>
                <w:szCs w:val="20"/>
              </w:rPr>
              <w:t>Entinostat</w:t>
            </w:r>
            <w:proofErr w:type="spellEnd"/>
            <w:r w:rsidRPr="00924F01">
              <w:rPr>
                <w:rFonts w:ascii="Times New Roman" w:eastAsia="Times New Roman" w:hAnsi="Times New Roman" w:cs="Times New Roman"/>
                <w:sz w:val="20"/>
                <w:szCs w:val="20"/>
              </w:rPr>
              <w:t>, CPI-1205</w:t>
            </w:r>
          </w:p>
        </w:tc>
        <w:tc>
          <w:tcPr>
            <w:tcW w:w="0" w:type="auto"/>
            <w:hideMark/>
          </w:tcPr>
          <w:p w14:paraId="04E8103D"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Oral HDAC inhibitors</w:t>
            </w:r>
          </w:p>
        </w:tc>
        <w:tc>
          <w:tcPr>
            <w:tcW w:w="0" w:type="auto"/>
            <w:hideMark/>
          </w:tcPr>
          <w:p w14:paraId="55C39F9E"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924F01">
              <w:rPr>
                <w:rFonts w:ascii="Times New Roman" w:eastAsia="Times New Roman" w:hAnsi="Times New Roman" w:cs="Times New Roman"/>
                <w:sz w:val="20"/>
                <w:szCs w:val="20"/>
              </w:rPr>
              <w:t>Entinostat</w:t>
            </w:r>
            <w:proofErr w:type="spellEnd"/>
            <w:r w:rsidRPr="00924F01">
              <w:rPr>
                <w:rFonts w:ascii="Times New Roman" w:eastAsia="Times New Roman" w:hAnsi="Times New Roman" w:cs="Times New Roman"/>
                <w:sz w:val="20"/>
                <w:szCs w:val="20"/>
              </w:rPr>
              <w:t xml:space="preserve"> (Phase III in breast cancer)</w:t>
            </w:r>
          </w:p>
        </w:tc>
        <w:tc>
          <w:tcPr>
            <w:tcW w:w="0" w:type="auto"/>
            <w:hideMark/>
          </w:tcPr>
          <w:p w14:paraId="4CCF57B9"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With checkpoint inhibitors</w:t>
            </w:r>
          </w:p>
        </w:tc>
        <w:tc>
          <w:tcPr>
            <w:tcW w:w="0" w:type="auto"/>
            <w:hideMark/>
          </w:tcPr>
          <w:p w14:paraId="4965408E"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Selectivity challenge; peripheral autoimmunity risk</w:t>
            </w:r>
          </w:p>
        </w:tc>
      </w:tr>
      <w:tr w:rsidR="00924F01" w:rsidRPr="00924F01" w14:paraId="3F893218" w14:textId="77777777" w:rsidTr="00483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8BB4B"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Covalent Modulators</w:t>
            </w:r>
          </w:p>
        </w:tc>
        <w:tc>
          <w:tcPr>
            <w:tcW w:w="0" w:type="auto"/>
            <w:hideMark/>
          </w:tcPr>
          <w:p w14:paraId="03A5E3EC"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ITK, BTK, redox enzymes, E3 ligases</w:t>
            </w:r>
          </w:p>
        </w:tc>
        <w:tc>
          <w:tcPr>
            <w:tcW w:w="0" w:type="auto"/>
            <w:hideMark/>
          </w:tcPr>
          <w:p w14:paraId="0E2586A4"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Irreversible inhibition of immune signaling regulators</w:t>
            </w:r>
          </w:p>
        </w:tc>
        <w:tc>
          <w:tcPr>
            <w:tcW w:w="0" w:type="auto"/>
            <w:hideMark/>
          </w:tcPr>
          <w:p w14:paraId="50AAF401"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Ibrutinib (BTK), PRN694 (ITK)</w:t>
            </w:r>
          </w:p>
        </w:tc>
        <w:tc>
          <w:tcPr>
            <w:tcW w:w="0" w:type="auto"/>
            <w:hideMark/>
          </w:tcPr>
          <w:p w14:paraId="495FAD91"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Oral; precision kinase design</w:t>
            </w:r>
          </w:p>
        </w:tc>
        <w:tc>
          <w:tcPr>
            <w:tcW w:w="0" w:type="auto"/>
            <w:hideMark/>
          </w:tcPr>
          <w:p w14:paraId="76928065"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Some approved, others preclinical</w:t>
            </w:r>
          </w:p>
        </w:tc>
        <w:tc>
          <w:tcPr>
            <w:tcW w:w="0" w:type="auto"/>
            <w:hideMark/>
          </w:tcPr>
          <w:p w14:paraId="6D549208"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With IO and kinase-targeted therapies</w:t>
            </w:r>
          </w:p>
        </w:tc>
        <w:tc>
          <w:tcPr>
            <w:tcW w:w="0" w:type="auto"/>
            <w:hideMark/>
          </w:tcPr>
          <w:p w14:paraId="60733A1C"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Off-target toxicity; resistance via mutations</w:t>
            </w:r>
          </w:p>
        </w:tc>
      </w:tr>
      <w:tr w:rsidR="00924F01" w:rsidRPr="00924F01" w14:paraId="1F5ED3A1" w14:textId="77777777" w:rsidTr="00483F49">
        <w:tc>
          <w:tcPr>
            <w:cnfStyle w:val="001000000000" w:firstRow="0" w:lastRow="0" w:firstColumn="1" w:lastColumn="0" w:oddVBand="0" w:evenVBand="0" w:oddHBand="0" w:evenHBand="0" w:firstRowFirstColumn="0" w:firstRowLastColumn="0" w:lastRowFirstColumn="0" w:lastRowLastColumn="0"/>
            <w:tcW w:w="0" w:type="auto"/>
            <w:hideMark/>
          </w:tcPr>
          <w:p w14:paraId="0D53881B"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PROTACs / Molecular Glues</w:t>
            </w:r>
          </w:p>
        </w:tc>
        <w:tc>
          <w:tcPr>
            <w:tcW w:w="0" w:type="auto"/>
            <w:hideMark/>
          </w:tcPr>
          <w:p w14:paraId="58992EED"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STAT3, BRD4, BCL6, HDACs</w:t>
            </w:r>
          </w:p>
        </w:tc>
        <w:tc>
          <w:tcPr>
            <w:tcW w:w="0" w:type="auto"/>
            <w:hideMark/>
          </w:tcPr>
          <w:p w14:paraId="07AA2001"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Targeted degradation of immune regulators using E3 ligases</w:t>
            </w:r>
          </w:p>
        </w:tc>
        <w:tc>
          <w:tcPr>
            <w:tcW w:w="0" w:type="auto"/>
            <w:hideMark/>
          </w:tcPr>
          <w:p w14:paraId="249A7B0A"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ARV-110, dBET1, NRX-252262</w:t>
            </w:r>
          </w:p>
        </w:tc>
        <w:tc>
          <w:tcPr>
            <w:tcW w:w="0" w:type="auto"/>
            <w:hideMark/>
          </w:tcPr>
          <w:p w14:paraId="556EFCB5"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Intracellularly active, catalytic dosing</w:t>
            </w:r>
          </w:p>
        </w:tc>
        <w:tc>
          <w:tcPr>
            <w:tcW w:w="0" w:type="auto"/>
            <w:hideMark/>
          </w:tcPr>
          <w:p w14:paraId="1DE18FEF"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Preclinical to Phase I</w:t>
            </w:r>
          </w:p>
        </w:tc>
        <w:tc>
          <w:tcPr>
            <w:tcW w:w="0" w:type="auto"/>
            <w:hideMark/>
          </w:tcPr>
          <w:p w14:paraId="715B980A"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Checkpoint inhibitors, radiation</w:t>
            </w:r>
          </w:p>
        </w:tc>
        <w:tc>
          <w:tcPr>
            <w:tcW w:w="0" w:type="auto"/>
            <w:hideMark/>
          </w:tcPr>
          <w:p w14:paraId="61E4BE21" w14:textId="77777777" w:rsidR="00924F01" w:rsidRPr="00924F01" w:rsidRDefault="00924F01" w:rsidP="002734B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Intracellular delivery complexity; E3 ligase availability</w:t>
            </w:r>
          </w:p>
        </w:tc>
      </w:tr>
      <w:tr w:rsidR="00924F01" w:rsidRPr="00924F01" w14:paraId="3FB7D49A" w14:textId="77777777" w:rsidTr="00483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E98096" w14:textId="77777777" w:rsidR="00924F01" w:rsidRPr="00924F01" w:rsidRDefault="00924F01" w:rsidP="002734BF">
            <w:pPr>
              <w:jc w:val="both"/>
              <w:rPr>
                <w:rFonts w:ascii="Times New Roman" w:eastAsia="Times New Roman" w:hAnsi="Times New Roman" w:cs="Times New Roman"/>
                <w:color w:val="auto"/>
                <w:sz w:val="20"/>
                <w:szCs w:val="20"/>
              </w:rPr>
            </w:pPr>
            <w:r w:rsidRPr="00924F01">
              <w:rPr>
                <w:rFonts w:ascii="Times New Roman" w:eastAsia="Times New Roman" w:hAnsi="Times New Roman" w:cs="Times New Roman"/>
                <w:color w:val="auto"/>
                <w:sz w:val="20"/>
                <w:szCs w:val="20"/>
              </w:rPr>
              <w:t>Smart Delivery Platforms</w:t>
            </w:r>
          </w:p>
        </w:tc>
        <w:tc>
          <w:tcPr>
            <w:tcW w:w="0" w:type="auto"/>
            <w:hideMark/>
          </w:tcPr>
          <w:p w14:paraId="7FF6BDB3"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Tumor-specific enzymes, pH, ROS, or light-sensitive linkers</w:t>
            </w:r>
          </w:p>
        </w:tc>
        <w:tc>
          <w:tcPr>
            <w:tcW w:w="0" w:type="auto"/>
            <w:hideMark/>
          </w:tcPr>
          <w:p w14:paraId="37D8799C"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Controlled drug activation only in the tumor microenvironment</w:t>
            </w:r>
          </w:p>
        </w:tc>
        <w:tc>
          <w:tcPr>
            <w:tcW w:w="0" w:type="auto"/>
            <w:hideMark/>
          </w:tcPr>
          <w:p w14:paraId="06BE19A3"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 xml:space="preserve">β-glucuronidase-triggered prodrugs, </w:t>
            </w:r>
            <w:proofErr w:type="spellStart"/>
            <w:r w:rsidRPr="00924F01">
              <w:rPr>
                <w:rFonts w:ascii="Times New Roman" w:eastAsia="Times New Roman" w:hAnsi="Times New Roman" w:cs="Times New Roman"/>
                <w:sz w:val="20"/>
                <w:szCs w:val="20"/>
              </w:rPr>
              <w:t>photoPROTACs</w:t>
            </w:r>
            <w:proofErr w:type="spellEnd"/>
          </w:p>
        </w:tc>
        <w:tc>
          <w:tcPr>
            <w:tcW w:w="0" w:type="auto"/>
            <w:hideMark/>
          </w:tcPr>
          <w:p w14:paraId="45EA2C06"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Liposomes, exosomes, light-controlled systems</w:t>
            </w:r>
          </w:p>
        </w:tc>
        <w:tc>
          <w:tcPr>
            <w:tcW w:w="0" w:type="auto"/>
            <w:hideMark/>
          </w:tcPr>
          <w:p w14:paraId="43A7C9A8"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Preclinical</w:t>
            </w:r>
          </w:p>
        </w:tc>
        <w:tc>
          <w:tcPr>
            <w:tcW w:w="0" w:type="auto"/>
            <w:hideMark/>
          </w:tcPr>
          <w:p w14:paraId="16F005F4"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Any small molecule class</w:t>
            </w:r>
          </w:p>
        </w:tc>
        <w:tc>
          <w:tcPr>
            <w:tcW w:w="0" w:type="auto"/>
            <w:hideMark/>
          </w:tcPr>
          <w:p w14:paraId="112125E7" w14:textId="77777777" w:rsidR="00924F01" w:rsidRPr="00924F01" w:rsidRDefault="00924F01" w:rsidP="002734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4F01">
              <w:rPr>
                <w:rFonts w:ascii="Times New Roman" w:eastAsia="Times New Roman" w:hAnsi="Times New Roman" w:cs="Times New Roman"/>
                <w:sz w:val="20"/>
                <w:szCs w:val="20"/>
              </w:rPr>
              <w:t>Limited penetration depth (for light); heterogeneity in enzyme expression</w:t>
            </w:r>
          </w:p>
        </w:tc>
      </w:tr>
    </w:tbl>
    <w:p w14:paraId="128CCAB8" w14:textId="281E144F" w:rsidR="00924F01" w:rsidRDefault="00E25BE4" w:rsidP="002734BF">
      <w:pPr>
        <w:jc w:val="both"/>
        <w:rPr>
          <w:rFonts w:ascii="Times New Roman" w:eastAsia="Times New Roman" w:hAnsi="Times New Roman" w:cs="Times New Roman"/>
          <w:sz w:val="24"/>
          <w:szCs w:val="24"/>
        </w:rPr>
      </w:pPr>
      <w:r w:rsidRPr="00E25BE4">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S</w:t>
      </w:r>
      <w:r w:rsidRPr="00E25BE4">
        <w:rPr>
          <w:rFonts w:ascii="Times New Roman" w:eastAsia="Times New Roman" w:hAnsi="Times New Roman" w:cs="Times New Roman"/>
          <w:sz w:val="24"/>
          <w:szCs w:val="24"/>
        </w:rPr>
        <w:t>ummarizes major classes of small molecule immuno-oncology agents and their roles in modulating the tumor immune microenvironment (TIME), highlighting their primary molecular targets, mechanisms of action, representative compounds, delivery strategies, clinical development stages, combination approaches, and key translational challenges.</w:t>
      </w:r>
    </w:p>
    <w:p w14:paraId="1AA54C26" w14:textId="77777777" w:rsidR="00924F01" w:rsidRDefault="00924F01" w:rsidP="002734BF">
      <w:pPr>
        <w:jc w:val="both"/>
        <w:rPr>
          <w:rFonts w:ascii="Times New Roman" w:eastAsia="Times New Roman" w:hAnsi="Times New Roman" w:cs="Times New Roman"/>
          <w:sz w:val="24"/>
          <w:szCs w:val="24"/>
        </w:rPr>
      </w:pPr>
    </w:p>
    <w:p w14:paraId="63F0B231" w14:textId="77777777" w:rsidR="00924F01" w:rsidRPr="00924F01" w:rsidRDefault="00924F01" w:rsidP="002734BF">
      <w:pPr>
        <w:jc w:val="both"/>
        <w:rPr>
          <w:rFonts w:ascii="Times New Roman" w:eastAsia="Times New Roman" w:hAnsi="Times New Roman" w:cs="Times New Roman"/>
          <w:sz w:val="24"/>
          <w:szCs w:val="24"/>
        </w:rPr>
        <w:sectPr w:rsidR="00924F01" w:rsidRPr="00924F01" w:rsidSect="00924F01">
          <w:pgSz w:w="15840" w:h="12240" w:orient="landscape"/>
          <w:pgMar w:top="630" w:right="1440" w:bottom="1440" w:left="1440" w:header="720" w:footer="720" w:gutter="0"/>
          <w:cols w:space="720"/>
          <w:docGrid w:linePitch="360"/>
        </w:sectPr>
      </w:pPr>
    </w:p>
    <w:p w14:paraId="1C3FCD6D" w14:textId="77777777" w:rsidR="00924F01" w:rsidRPr="00151DA1" w:rsidRDefault="00924F01" w:rsidP="002734BF">
      <w:pPr>
        <w:spacing w:after="0" w:line="240" w:lineRule="auto"/>
        <w:jc w:val="both"/>
        <w:rPr>
          <w:rFonts w:ascii="Times New Roman" w:eastAsia="Times New Roman" w:hAnsi="Times New Roman" w:cs="Times New Roman"/>
          <w:sz w:val="24"/>
          <w:szCs w:val="24"/>
        </w:rPr>
      </w:pPr>
    </w:p>
    <w:p w14:paraId="1FC63FCF" w14:textId="77777777" w:rsidR="006222E8" w:rsidRPr="006222E8" w:rsidRDefault="006222E8" w:rsidP="002734BF">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7. Emerging Chemical Modalities in Immuno-Oncology</w:t>
      </w:r>
    </w:p>
    <w:p w14:paraId="49E7F296" w14:textId="6C04D619" w:rsidR="001F0122"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While classic small molecules have laid the framework for influencing immunological checkpoints and metabolic enzymes within the tumor immune microenvironment (TIME), current developments in chemical biology have greatly increased the functional repertoire of therapeutic medicines. New methods, such as covalent inhibitors, targeted protein degraders, supramolecular delivery systems, and spatiotemporally regulated prodrugs, are currently making immuno-oncology (IO) more accurate, powerful, and flexible</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{"citationID":"HO4noxEz","properties":{"formattedCitation":"[42]","plainCitation":"[42]","noteIndex":0},"citationItems":[{"id":5192,"uris":["http://zotero.org/users/16652950/items/UDEFTVW2"],"itemData":{"id":5192,"type":"article-journal","abstract":"Immunotherapy has made significant strides in cancer treatment, particularly through immune checkpoint blockade (ICB), which has shown notable clinical benefits across various tumor types. Despite the transformative impact of ICB treatment in cancer therapy, only a minority of patients exhibit a positive response to it. In patients with solid tumors, those who respond well to ICB treatment typically demonstrate an active immune profile referred to as the “hot” (immune-inflamed) phenotype. On the other hand, non-responsive patients may exhibit a distinct “cold” (immune-desert) phenotype, differing from the features of “hot” tumors. Additionally, there is a more nuanced “excluded” immune phenotype, positioned between the “cold” and “hot” categories, known as the immune “excluded” type. Effective differentiation between “cold” and “hot” tumors, and understanding tumor intrinsic factors, immune characteristics, TME, and external factors are critical for predicting tumor response and treatment results. It is widely accepted that ICB therapy exerts a more profound effect on “hot” tumors, with limited efficacy against “cold” or “altered” tumors, necessitating combinations with other therapeutic modalities to enhance immune cell infiltration into tumor tissue and convert “cold” or “altered” tumors into “hot” ones. Therefore, aligning with the traits of “cold” and “hot” tumors, this review systematically delineates the respective immune characteristics, influencing factors, and extensively discusses varied treatment approaches and drug targets based on “cold” and “hot” tumors to assess clinical efficacy.","container-title":"Signal Transduction and Targeted Therapy","DOI":"10.1038/s41392-024-01979-x","ISSN":"2059-3635","issue":"1","journalAbbreviation":"Sig Transduct Target Ther","language":"en","license":"2024 The Author(s)","note":"publisher: Nature Publishing Group","page":"274","source":"www.nature.com","title":"Cold and hot tumors: from molecular mechanisms to targeted therapy","title-short":"Cold and hot tumors","volume":"9","author":[{"family":"Wu","given":"Bo"},{"family":"Zhang","given":"Bo"},{"family":"Li","given":"Bowen"},{"family":"Wu","given":"Haoqi"},{"family":"Jiang","given":"Meixi"}],"issued":{"date-parts":[["2024",10,18]]}}}],"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[42]</w:t>
      </w:r>
      <w:r w:rsidR="001F0122">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r w:rsidR="001F0122">
        <w:rPr>
          <w:rFonts w:ascii="Times New Roman" w:eastAsia="Times New Roman" w:hAnsi="Times New Roman" w:cs="Times New Roman"/>
          <w:sz w:val="24"/>
          <w:szCs w:val="24"/>
        </w:rPr>
        <w:t xml:space="preserve"> </w:t>
      </w:r>
    </w:p>
    <w:p w14:paraId="111E4DCF" w14:textId="0D6F323B" w:rsidR="001F0122"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t>When targeting immune-modulatory proteins with shallow or temporary binding pockets, like those that are part of protein–protein interactions or redox signaling, covalent inhibitors provide you a strategic edge. Covalent inhibitors can stay attached to their target for a long time, need less of the drug, and be more selective by creating an irreversible bond with a nucleophilic residue, usually a cysteine. Researchers are looking into a number of covalent modulators of T cell signaling kinases (including ITK and BTK) and E3 ligases to see how they can change the immune response in malignancies</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{"citationID":"6S4yveWb","properties":{"formattedCitation":"[43]","plainCitation":"[43]","noteIndex":0},"citationItems":[{"id":5194,"uris":["http://zotero.org/users/16652950/items/I82Z4S2H"],"itemData":{"id":5194,"type":"article-journal","abstract":"Small GTPases including Ras, Rho, Rab, Arf, and Ran are omnipresent molecular switches in regulating key cellular functions. Their dysregulation is a therapeutic target for tumors, neurodegeneration, cardiomyopathies, and infection. However, small GTPases have been historically recognized as “undruggable”. Targeting KRAS, one of the most frequently mutated oncogenes, has only come into reality in the last decade due to the development of breakthrough strategies such as fragment-based screening, covalent ligands, macromolecule inhibitors, and PROTACs. Two KRASG12C covalent inhibitors have obtained accelerated approval for treating KRASG12C mutant lung cancer, and allele-specific hotspot mutations on G12D/S/R have been demonstrated as viable targets. New methods of targeting KRAS are quickly evolving, including transcription, immunogenic neoepitopes, and combinatory targeting with immunotherapy. Nevertheless, the vast majority of small GTPases and hotspot mutations remain elusive, and clinical resistance to G12C inhibitors poses new challenges. In this article, we summarize diversified biological functions, shared structural properties, and complex regulatory mechanisms of small GTPases and their relationships with human diseases. Furthermore, we review the status of drug discovery for targeting small GTPases and the most recent strategic progress focused on targeting KRAS. The discovery of new regulatory mechanisms and development of targeting approaches will together promote drug discovery for small GTPases.","container-title":"Signal Transduction and Targeted Therapy","DOI":"10.1038/s41392-023-01441-4","ISSN":"2059-3635","issue":"1","journalAbbreviation":"Sig Transduct Target Ther","language":"en","license":"2023 The Author(s)","note":"publisher: Nature Publishing Group","page":"212","source":"www.nature.com","title":"Targeting small GTPases: emerging grasps on previously untamable targets, pioneered by KRAS","title-short":"Targeting small GTPases","volume":"8","author":[{"family":"Yin","given":"Guowei"},{"family":"Huang","given":"Jing"},{"family":"Petela","given":"Johnny"},{"family":"Jiang","given":"Hongmei"},{"family":"Zhang","given":"Yuetong"},{"family":"Gong","given":"Siqi"},{"family":"Wu","given":"Jiaxin"},{"family":"Liu","given":"Bei"},{"family":"Shi","given":"Jianyou"},{"family":"Gao","given":"Yijun"}],"issued":{"date-parts":[["2023",5,23]]}}}],"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[43]</w:t>
      </w:r>
      <w:r w:rsidR="001F0122">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r w:rsidR="007D1CE4">
        <w:rPr>
          <w:rFonts w:ascii="Times New Roman" w:eastAsia="Times New Roman" w:hAnsi="Times New Roman" w:cs="Times New Roman"/>
          <w:sz w:val="24"/>
          <w:szCs w:val="24"/>
        </w:rPr>
        <w:t xml:space="preserve"> (</w:t>
      </w:r>
      <w:r w:rsidR="007D1CE4" w:rsidRPr="007D1CE4">
        <w:rPr>
          <w:rFonts w:ascii="Times New Roman" w:eastAsia="Times New Roman" w:hAnsi="Times New Roman" w:cs="Times New Roman"/>
          <w:b/>
          <w:bCs/>
          <w:sz w:val="24"/>
          <w:szCs w:val="24"/>
        </w:rPr>
        <w:t>Figure 3</w:t>
      </w:r>
      <w:r w:rsidR="007D1CE4">
        <w:rPr>
          <w:rFonts w:ascii="Times New Roman" w:eastAsia="Times New Roman" w:hAnsi="Times New Roman" w:cs="Times New Roman"/>
          <w:sz w:val="24"/>
          <w:szCs w:val="24"/>
        </w:rPr>
        <w:t>)</w:t>
      </w:r>
    </w:p>
    <w:p w14:paraId="1ED747D8" w14:textId="0F4E3D7D" w:rsidR="001F0122"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br/>
        <w:t>The rise of proteolysis-targeting chimeras (PROTACs) and other molecular glue degraders is a big change in how drugs are made. Instead of stopping proteins from working, these chemicals use the ubiquitin-proteasome system to break down specific proteins. This method has already been used on transcriptional regulators (such STAT3 and BET proteins) and epigenetic modifiers that are thought to play a role in immune suppression. Because they work as catalysts and may be given in small doses, PROTACs are especially useful for changing intracellular immune regulators that are hard to stop otherwise</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{"citationID":"Ev7PWe4E","properties":{"formattedCitation":"[44]","plainCitation":"[44]","noteIndex":0},"citationItems":[{"id":5196,"uris":["http://zotero.org/users/16652950/items/T4JXBEZ7"],"itemData":{"id":5196,"type":"article-journal","abstract":"Proteolysis targeting chimeras (PROTACs) technology has emerged as a novel therapeutic paradigm in recent years. PROTACs are heterobifunctional molecules that degrade target proteins by hijacking the ubiquitin–proteasome system. Currently, about 20–25% of all protein targets are being studied, and most works focus on their enzymatic functions. Unlike small molecules, PROTACs inhibit the whole biological function of the target protein by binding to the target protein and inducing subsequent proteasomal degradation. PROTACs compensate for limitations that transcription factors, nuclear proteins, and other scaffolding proteins are difficult to handle with traditional small-molecule inhibitors. Currently, PROTACs have successfully degraded diverse proteins, such as BTK, BRD4, AR, ER, STAT3, IRAK4, tau, etc. And ARV-110 and ARV-471 exhibited excellent efficacy in clinical II trials. However, what targets are appropriate for PROTAC technology to achieve better benefits than small-molecule inhibitors are not fully understood. And how to rationally design an efficient PROTACs and optimize it to be orally effective poses big challenges for researchers. In this review, we summarize the features of PROTAC technology, analyze the detail of general principles for designing efficient PROTACs, and discuss the typical application of PROTACs targeting different protein categories. In addition, we also introduce the progress of relevant clinical trial results of representative PROTACs and assess the challenges and limitations that PROTACs may face. Collectively, our studies provide references for further application of PROTACs.","container-title":"Molecular Biomedicine","DOI":"10.1186/s43556-022-00112-0","ISSN":"2662-8651","journalAbbreviation":"Mol Biomed","note":"PMID: 36536188\nPMCID: PMC9763089","page":"46","source":"PubMed Central","title":"An overview of PROTACs: a promising drug discovery paradigm","title-short":"An overview of PROTACs","volume":"3","author":[{"family":"Liu","given":"Zi"},{"family":"Hu","given":"Mingxing"},{"family":"Yang","given":"Yu"},{"family":"Du","given":"Chenghao"},{"family":"Zhou","given":"Haoxuan"},{"family":"Liu","given":"Chengyali"},{"family":"Chen","given":"Yuanwei"},{"family":"Fan","given":"Lei"},{"family":"Ma","given":"Hongqun"},{"family":"Gong","given":"Youling"},{"family":"Xie","given":"Yongmei"}],"issued":{"date-parts":[["2022",12,20]]}}}],"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[44]</w:t>
      </w:r>
      <w:r w:rsidR="001F0122">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1E3D8B80" w14:textId="2B881696" w:rsidR="00FC57A9"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lastRenderedPageBreak/>
        <w:t xml:space="preserve"> </w:t>
      </w:r>
      <w:r w:rsidRPr="00151DA1">
        <w:rPr>
          <w:rFonts w:ascii="Times New Roman" w:eastAsia="Times New Roman" w:hAnsi="Times New Roman" w:cs="Times New Roman"/>
          <w:sz w:val="24"/>
          <w:szCs w:val="24"/>
        </w:rPr>
        <w:br/>
      </w:r>
      <w:r w:rsidR="00E70CA8">
        <w:rPr>
          <w:rFonts w:ascii="Times New Roman" w:eastAsia="Times New Roman" w:hAnsi="Times New Roman" w:cs="Times New Roman"/>
          <w:noProof/>
          <w:sz w:val="24"/>
          <w:szCs w:val="24"/>
        </w:rPr>
        <w:drawing>
          <wp:inline distT="0" distB="0" distL="0" distR="0" wp14:anchorId="1EAE1FDD" wp14:editId="15BEF4E4">
            <wp:extent cx="5940425" cy="3957955"/>
            <wp:effectExtent l="0" t="0" r="3175" b="4445"/>
            <wp:docPr id="546917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57955"/>
                    </a:xfrm>
                    <a:prstGeom prst="rect">
                      <a:avLst/>
                    </a:prstGeom>
                    <a:noFill/>
                    <a:ln>
                      <a:noFill/>
                    </a:ln>
                  </pic:spPr>
                </pic:pic>
              </a:graphicData>
            </a:graphic>
          </wp:inline>
        </w:drawing>
      </w:r>
    </w:p>
    <w:p w14:paraId="14365C6F" w14:textId="45574D4A" w:rsidR="00FC57A9" w:rsidRPr="00FC57A9" w:rsidRDefault="00FC57A9" w:rsidP="002734BF">
      <w:pPr>
        <w:spacing w:after="0" w:line="240" w:lineRule="auto"/>
        <w:jc w:val="both"/>
        <w:rPr>
          <w:rFonts w:ascii="Times New Roman" w:eastAsia="Times New Roman" w:hAnsi="Times New Roman" w:cs="Times New Roman"/>
          <w:sz w:val="24"/>
          <w:szCs w:val="24"/>
        </w:rPr>
      </w:pPr>
      <w:r w:rsidRPr="00FC57A9">
        <w:rPr>
          <w:rFonts w:ascii="Times New Roman" w:eastAsia="Times New Roman" w:hAnsi="Times New Roman" w:cs="Times New Roman"/>
          <w:sz w:val="24"/>
          <w:szCs w:val="24"/>
        </w:rPr>
        <w:t>Figure 3: Innovative Chemical Modalities Expanding the Therapeutic Toolbox of Immuno-Oncology</w:t>
      </w:r>
      <w:r>
        <w:rPr>
          <w:rFonts w:ascii="Times New Roman" w:eastAsia="Times New Roman" w:hAnsi="Times New Roman" w:cs="Times New Roman"/>
          <w:sz w:val="24"/>
          <w:szCs w:val="24"/>
        </w:rPr>
        <w:t xml:space="preserve"> </w:t>
      </w:r>
      <w:r w:rsidR="00F529CA">
        <w:rPr>
          <w:rFonts w:ascii="Times New Roman" w:eastAsia="Times New Roman" w:hAnsi="Times New Roman" w:cs="Times New Roman"/>
          <w:sz w:val="24"/>
          <w:szCs w:val="24"/>
        </w:rPr>
        <w:t xml:space="preserve">with five (5) </w:t>
      </w:r>
      <w:r w:rsidRPr="00FC57A9">
        <w:rPr>
          <w:rFonts w:ascii="Times New Roman" w:eastAsia="Times New Roman" w:hAnsi="Times New Roman" w:cs="Times New Roman"/>
          <w:sz w:val="24"/>
          <w:szCs w:val="24"/>
        </w:rPr>
        <w:t>emerging classes of chemical strategies that are redefining the precision and versatility of immuno-oncology interventions.</w:t>
      </w:r>
      <w:r w:rsidR="00F529CA">
        <w:rPr>
          <w:rFonts w:ascii="Times New Roman" w:eastAsia="Times New Roman" w:hAnsi="Times New Roman" w:cs="Times New Roman"/>
          <w:sz w:val="24"/>
          <w:szCs w:val="24"/>
        </w:rPr>
        <w:t xml:space="preserve"> (</w:t>
      </w:r>
      <w:proofErr w:type="spellStart"/>
      <w:r w:rsidR="00F529CA">
        <w:rPr>
          <w:rFonts w:ascii="Times New Roman" w:eastAsia="Times New Roman" w:hAnsi="Times New Roman" w:cs="Times New Roman"/>
          <w:sz w:val="24"/>
          <w:szCs w:val="24"/>
        </w:rPr>
        <w:t>i</w:t>
      </w:r>
      <w:proofErr w:type="spellEnd"/>
      <w:r w:rsidR="00F529CA">
        <w:rPr>
          <w:rFonts w:ascii="Times New Roman" w:eastAsia="Times New Roman" w:hAnsi="Times New Roman" w:cs="Times New Roman"/>
          <w:sz w:val="24"/>
          <w:szCs w:val="24"/>
        </w:rPr>
        <w:t xml:space="preserve">) </w:t>
      </w:r>
      <w:r w:rsidRPr="00FC57A9">
        <w:rPr>
          <w:rFonts w:ascii="Times New Roman" w:eastAsia="Times New Roman" w:hAnsi="Times New Roman" w:cs="Times New Roman"/>
          <w:sz w:val="24"/>
          <w:szCs w:val="24"/>
        </w:rPr>
        <w:t>Covalent inhibitors form irreversible bonds with target proteins, often kinases, to achieve sustained immune modulation.</w:t>
      </w:r>
      <w:r w:rsidR="00F529CA">
        <w:rPr>
          <w:rFonts w:ascii="Times New Roman" w:eastAsia="Times New Roman" w:hAnsi="Times New Roman" w:cs="Times New Roman"/>
          <w:sz w:val="24"/>
          <w:szCs w:val="24"/>
        </w:rPr>
        <w:t xml:space="preserve"> (ii) </w:t>
      </w:r>
      <w:r w:rsidRPr="00FC57A9">
        <w:rPr>
          <w:rFonts w:ascii="Times New Roman" w:eastAsia="Times New Roman" w:hAnsi="Times New Roman" w:cs="Times New Roman"/>
          <w:sz w:val="24"/>
          <w:szCs w:val="24"/>
        </w:rPr>
        <w:t>PROTACs (proteolysis-targeting chimeras) recruit E3 ubiquitin ligases via a linker to induce selective degradation of intracellular immune regulators.</w:t>
      </w:r>
      <w:r w:rsidR="00F529CA">
        <w:rPr>
          <w:rFonts w:ascii="Times New Roman" w:eastAsia="Times New Roman" w:hAnsi="Times New Roman" w:cs="Times New Roman"/>
          <w:sz w:val="24"/>
          <w:szCs w:val="24"/>
        </w:rPr>
        <w:t xml:space="preserve"> (iii) </w:t>
      </w:r>
      <w:r w:rsidRPr="00FC57A9">
        <w:rPr>
          <w:rFonts w:ascii="Times New Roman" w:eastAsia="Times New Roman" w:hAnsi="Times New Roman" w:cs="Times New Roman"/>
          <w:sz w:val="24"/>
          <w:szCs w:val="24"/>
        </w:rPr>
        <w:t>Stimuli-responsive nanocarriers exploit tumor-associated cues—such as enzymes, low pH, and reactive oxygen species (ROS)—to release immune-active agents at the tumor site.</w:t>
      </w:r>
      <w:r w:rsidR="00F529CA">
        <w:rPr>
          <w:rFonts w:ascii="Times New Roman" w:eastAsia="Times New Roman" w:hAnsi="Times New Roman" w:cs="Times New Roman"/>
          <w:sz w:val="24"/>
          <w:szCs w:val="24"/>
        </w:rPr>
        <w:t xml:space="preserve"> (iv) </w:t>
      </w:r>
      <w:proofErr w:type="spellStart"/>
      <w:r w:rsidRPr="00FC57A9">
        <w:rPr>
          <w:rFonts w:ascii="Times New Roman" w:eastAsia="Times New Roman" w:hAnsi="Times New Roman" w:cs="Times New Roman"/>
          <w:sz w:val="24"/>
          <w:szCs w:val="24"/>
        </w:rPr>
        <w:t>Photopharmacology</w:t>
      </w:r>
      <w:proofErr w:type="spellEnd"/>
      <w:r w:rsidRPr="00FC57A9">
        <w:rPr>
          <w:rFonts w:ascii="Times New Roman" w:eastAsia="Times New Roman" w:hAnsi="Times New Roman" w:cs="Times New Roman"/>
          <w:sz w:val="24"/>
          <w:szCs w:val="24"/>
        </w:rPr>
        <w:t xml:space="preserve"> utilizes light to activate or transform drug structures in a spatiotemporally controlled manner.</w:t>
      </w:r>
      <w:r w:rsidR="00F529CA">
        <w:rPr>
          <w:rFonts w:ascii="Times New Roman" w:eastAsia="Times New Roman" w:hAnsi="Times New Roman" w:cs="Times New Roman"/>
          <w:sz w:val="24"/>
          <w:szCs w:val="24"/>
        </w:rPr>
        <w:t xml:space="preserve"> (v) </w:t>
      </w:r>
      <w:proofErr w:type="spellStart"/>
      <w:r w:rsidRPr="00FC57A9">
        <w:rPr>
          <w:rFonts w:ascii="Times New Roman" w:eastAsia="Times New Roman" w:hAnsi="Times New Roman" w:cs="Times New Roman"/>
          <w:sz w:val="24"/>
          <w:szCs w:val="24"/>
        </w:rPr>
        <w:t>Bioorthogonal</w:t>
      </w:r>
      <w:proofErr w:type="spellEnd"/>
      <w:r w:rsidRPr="00FC57A9">
        <w:rPr>
          <w:rFonts w:ascii="Times New Roman" w:eastAsia="Times New Roman" w:hAnsi="Times New Roman" w:cs="Times New Roman"/>
          <w:sz w:val="24"/>
          <w:szCs w:val="24"/>
        </w:rPr>
        <w:t xml:space="preserve"> activation enables site-specific release of active agents through chemical reactions like tetrazine click chemistry, initiated exclusively within the tumor microenvironment.</w:t>
      </w:r>
    </w:p>
    <w:p w14:paraId="0C9E14D1" w14:textId="7E509185" w:rsidR="001F0122"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br/>
        <w:t>Supramolecular and nanomaterial-based delivery techniques are likewise becoming more popular in IO. Lipid nanoparticles, polymer-drug conjugates, and exosome mimetics can help deliver tiny chemicals, nucleic acids, or immune agonists to tumors while reducing exposure to the rest of the body. This tailored administration is especially helpful for strong innate immune modulators like STING or TLR agonists, which can have bad effects on healthy cells outside of the tumor. Nanocarriers can also be designed to respond to tumor-specific triggers like pH, enzymes, or ROS. This makes sure that the medicine is released exactly where it needs to be in the tumor microenvironment</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{"citationID":"kCxsS0Il","properties":{"formattedCitation":"[45,46]","plainCitation":"[45,46]","noteIndex":0},"citationItems":[{"id":5201,"uris":["http://zotero.org/users/16652950/items/6UX5JYQJ"],"itemData":{"id":5201,"type":"article-journal","abstract":"Exosomes are nanosized (size ~ 30–150 nm) natural vesicular structures released from cells by physiological processes or pathological circumstances. Exosomes are growing in popularity as a result of their many benefits over conventional nanovehicles, including their ability to escape homing in the liver or metabolic destruction and their lack of undesired accumulation before reaching their intended targets. Various therapeutic molecules, including nucleic acids, have been incorporated into exosomes by different techniques, many of which have shown satisfactory performance in various diseases. Surface-modified exosomes are a potentially effective strategy, and it increases the circulation time and produces the specific drug target vehicle. In this comprehensive review, we describe composition exosomes biogenesis and the role of exosomes in intercellular signaling and cell–cell communications, immune responses, cellular homeostasis, autophagy, and infectious diseases. In addition, we discuss the role of exosomes as diagnostic markers, and their therapeutic and clinical implications. Furthermore, we addressed the challenges and outstanding developments in exosome research and discuss future perspectives. In addition to the current status of exosomes as a therapeutic carrier, the lacuna in the clinical development lifecycles along with the possible strategies to fill the lacuna have been addressed.","container-title":"3 Biotech","DOI":"10.1007/s13205-023-03521-2","ISSN":"2190-572X","issue":"3","journalAbbreviation":"3 Biotech","note":"PMID: 36860361\nPMCID: PMC9970142","page":"101","source":"PubMed Central","title":"Exosomes as natural nanocarrier-based drug delivery system: recent insights and future perspectives","title-short":"Exosomes as natural nanocarrier-based drug delivery system","volume":"13","author":[{"family":"Sen","given":"Srijita"},{"family":"Xavier","given":"Joyal"},{"family":"Kumar","given":"Nitesh"},{"family":"Ahmad","given":"Mohammad Zaki"},{"family":"Ranjan","given":"Om Prakash"}],"issued":{"date-parts":[["2023",3]]}}},{"id":5199,"uris":["http://zotero.org/users/16652950/items/7T79D8FD"],"itemData":{"id":5199,"type":"article-journal","abstract":"Orphan drug development for rare diseases presents unique challenges that require targeted scientific, economic, and policy-based responses. With over 300 million individuals globally affected by rare diseases, the need for effective therapies is urgent. However, development is hindered by limited biological understanding, small patient populations, and difficulties in clinical trial recruitment. High research and development costs and inconsistent market incentives further discourage investment, especially in low- and middle-income countries (LMICs). Ethical concerns around access and affordability deepen disparities. To address these issues, legislative measures such as the U.S. Orphan Drug Act and similar policies in the EU and Japan offer benefits like market exclusivity and expedited regulatory review. Advances in genomic sequencing, artificial intelligence, and real-world data are enhancing diagnostics and drug discovery. Collaborative research models, adaptive trial designs, and decentralized clinical trials improve feasibility and inclusivity. Equity-driven frameworks such as tiered pricing and support for local manufacturing are critical to expanding access in LMICs.This article examines the interconnected challenges of orphan drug development and outlines evidence-based strategies to improve therapeutic innovation and global access. A coordinated, multisectoral effort is essential to ensure that the benefits of precision medicine and translational research extend beyond high-income countries and contribute to global health equity.","container-title":"Journal of Life Science and Public Health","DOI":"10.69739/jlsph.v1i1.538","issue":"1","language":"en","license":"Copyright (c) 2025 Olabisi Promise Lawal, Enibokun Theresa Orobator, Sokoya Itunuoluwa Dorcas, Victor Chiedozie Ezeamii, Evelyn Foster-Pagaebi, Muhammad Attahiru (Author)","note":"number: 1","page":"1-9","source":"journals.stecab.com","title":"Orphan Drug Development for Rare Diseases: Therapeutic Challenges, Translational Strategies, and Global Health Equity","title-short":"Orphan Drug Development for Rare Diseases","volume":"1","author":[{"family":"Lawal","given":"Olabisi Promise"},{"family":"Orobator","given":"Enibokun Theresa"},{"family":"Dorcas","given":"Sokoya Itunuoluwa"},{"family":"Ezeamii","given":"Victor Chiedozie"},{"family":"Foster-Pagaebi","given":"Evelyn"},{"family":"Attahiru","given":"Muhammad"}],"issued":{"date-parts":[["2025",6,30]]}}}],"schema":"https://github.com/citation-style-language/schema/raw/master/csl-citation.json"}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[45,46]</w:t>
      </w:r>
      <w:r w:rsidR="001F0122">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6BD20FC3" w14:textId="4BA6EC56" w:rsidR="001F0122"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r>
      <w:proofErr w:type="spellStart"/>
      <w:r w:rsidRPr="00151DA1">
        <w:rPr>
          <w:rFonts w:ascii="Times New Roman" w:eastAsia="Times New Roman" w:hAnsi="Times New Roman" w:cs="Times New Roman"/>
          <w:sz w:val="24"/>
          <w:szCs w:val="24"/>
        </w:rPr>
        <w:t>Photopharmacology</w:t>
      </w:r>
      <w:proofErr w:type="spellEnd"/>
      <w:r w:rsidRPr="00151DA1">
        <w:rPr>
          <w:rFonts w:ascii="Times New Roman" w:eastAsia="Times New Roman" w:hAnsi="Times New Roman" w:cs="Times New Roman"/>
          <w:sz w:val="24"/>
          <w:szCs w:val="24"/>
        </w:rPr>
        <w:t xml:space="preserve"> and </w:t>
      </w:r>
      <w:proofErr w:type="spellStart"/>
      <w:r w:rsidRPr="00151DA1">
        <w:rPr>
          <w:rFonts w:ascii="Times New Roman" w:eastAsia="Times New Roman" w:hAnsi="Times New Roman" w:cs="Times New Roman"/>
          <w:sz w:val="24"/>
          <w:szCs w:val="24"/>
        </w:rPr>
        <w:t>bioorthogonal</w:t>
      </w:r>
      <w:proofErr w:type="spellEnd"/>
      <w:r w:rsidRPr="00151DA1">
        <w:rPr>
          <w:rFonts w:ascii="Times New Roman" w:eastAsia="Times New Roman" w:hAnsi="Times New Roman" w:cs="Times New Roman"/>
          <w:sz w:val="24"/>
          <w:szCs w:val="24"/>
        </w:rPr>
        <w:t xml:space="preserve"> activation techniques provide us more control over immune regulation in both time and space. Using external light sources, photoactivatable small </w:t>
      </w:r>
      <w:r w:rsidRPr="00151DA1">
        <w:rPr>
          <w:rFonts w:ascii="Times New Roman" w:eastAsia="Times New Roman" w:hAnsi="Times New Roman" w:cs="Times New Roman"/>
          <w:sz w:val="24"/>
          <w:szCs w:val="24"/>
        </w:rPr>
        <w:lastRenderedPageBreak/>
        <w:t xml:space="preserve">molecules—either light-cleavable prodrugs or conformational switches—can be selectively turned on at the tumor site. This lowers systemic toxicity and off-target effects. </w:t>
      </w:r>
      <w:proofErr w:type="spellStart"/>
      <w:r w:rsidRPr="00151DA1">
        <w:rPr>
          <w:rFonts w:ascii="Times New Roman" w:eastAsia="Times New Roman" w:hAnsi="Times New Roman" w:cs="Times New Roman"/>
          <w:sz w:val="24"/>
          <w:szCs w:val="24"/>
        </w:rPr>
        <w:t>Bioorthogonal</w:t>
      </w:r>
      <w:proofErr w:type="spellEnd"/>
      <w:r w:rsidRPr="00151DA1">
        <w:rPr>
          <w:rFonts w:ascii="Times New Roman" w:eastAsia="Times New Roman" w:hAnsi="Times New Roman" w:cs="Times New Roman"/>
          <w:sz w:val="24"/>
          <w:szCs w:val="24"/>
        </w:rPr>
        <w:t xml:space="preserve"> processes, such tetrazine ligation or click chemistry, can also activate chemicals in place, turning inert precursors into active pharmaceuticals within the TIME</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{"citationID":"vSeVNYNC","properties":{"formattedCitation":"[47]","plainCitation":"[47]","noteIndex":0},"citationItems":[{"id":5204,"uris":["http://zotero.org/users/16652950/items/BRHJVAZE"],"itemData":{"id":5204,"type":"article-journal","abstract":"Cholinergic transmission plays a critical role in both the central and peripheral nervous systems, affecting processes such as learning, memory, and inflammation. Conventional cholinergic drugs generally suffer from poor selectivity and temporal precision, leading to undesired effects and limited therapeutic efficacy. Photopharmacology aims to overcome the limitations of traditional drugs using photocleavable or photoswitchable ligands and spatiotemporal patterns of illumination. Spanning from muscarinic and nicotinic modulators to cholinesterase inhibitors, this review explores the development and application of light‐activated compounds as tools for unraveling the role of cholinergic signaling in both physiological and pathological contexts, while also paving the way for innovative phototherapeutic approaches.","container-title":"Medicinal Research Reviews","DOI":"10.1002/med.22108","ISSN":"0198-6325","issue":"4","journalAbbreviation":"Med Res Rev","note":"PMID: 40123150\nPMCID: PMC12131668","page":"1251-1274","source":"PubMed Central","title":"Light‐Activated Pharmacological Tools for Exploring the Cholinergic System","volume":"45","author":[{"family":"Colleoni","given":"Alessio"},{"family":"Galli","given":"Giulia"},{"family":"Dallanoce","given":"Clelia"},{"family":"De Amici","given":"Marco"},{"family":"Gorostiza","given":"Pau"},{"family":"Matera","given":"Carlo"}],"issued":{"date-parts":[["2025",7]]}}}],"schema":"https://github.com/citation-style-language/schema/raw/master/csl-citation.json"}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[47]</w:t>
      </w:r>
      <w:r w:rsidR="001F0122">
        <w:rPr>
          <w:rFonts w:ascii="Times New Roman" w:eastAsia="Times New Roman" w:hAnsi="Times New Roman" w:cs="Times New Roman"/>
          <w:sz w:val="24"/>
          <w:szCs w:val="24"/>
        </w:rPr>
        <w:fldChar w:fldCharType="end"/>
      </w:r>
      <w:r w:rsidR="00A465E4">
        <w:rPr>
          <w:rFonts w:ascii="Times New Roman" w:eastAsia="Times New Roman" w:hAnsi="Times New Roman" w:cs="Times New Roman"/>
          <w:sz w:val="24"/>
          <w:szCs w:val="24"/>
        </w:rPr>
        <w:t xml:space="preserve"> (</w:t>
      </w:r>
      <w:r w:rsidR="00A465E4" w:rsidRPr="008A0E51">
        <w:rPr>
          <w:rFonts w:ascii="Times New Roman" w:eastAsia="Times New Roman" w:hAnsi="Times New Roman" w:cs="Times New Roman"/>
          <w:b/>
          <w:bCs/>
          <w:sz w:val="24"/>
          <w:szCs w:val="24"/>
        </w:rPr>
        <w:t>Figure 3</w:t>
      </w:r>
      <w:r w:rsidR="00A465E4">
        <w:rPr>
          <w:rFonts w:ascii="Times New Roman" w:eastAsia="Times New Roman" w:hAnsi="Times New Roman" w:cs="Times New Roman"/>
          <w:sz w:val="24"/>
          <w:szCs w:val="24"/>
        </w:rPr>
        <w:t>)</w:t>
      </w:r>
    </w:p>
    <w:p w14:paraId="27E70A52" w14:textId="31DB8647" w:rsidR="00151DA1" w:rsidRPr="00151DA1"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br/>
        <w:t xml:space="preserve">These new types of chemicals show a major change in IO therapies, moving from broad-spectrum modulators to precision-guided immune </w:t>
      </w:r>
      <w:proofErr w:type="spellStart"/>
      <w:r w:rsidRPr="00151DA1">
        <w:rPr>
          <w:rFonts w:ascii="Times New Roman" w:eastAsia="Times New Roman" w:hAnsi="Times New Roman" w:cs="Times New Roman"/>
          <w:sz w:val="24"/>
          <w:szCs w:val="24"/>
        </w:rPr>
        <w:t>reprogrammers</w:t>
      </w:r>
      <w:proofErr w:type="spellEnd"/>
      <w:r w:rsidRPr="00151DA1">
        <w:rPr>
          <w:rFonts w:ascii="Times New Roman" w:eastAsia="Times New Roman" w:hAnsi="Times New Roman" w:cs="Times New Roman"/>
          <w:sz w:val="24"/>
          <w:szCs w:val="24"/>
        </w:rPr>
        <w:t>. As the field moves further, combining them with genomic profiling, biomarker-guided patient selection, and rational combination therapy will be key to getting around current problems and making immuno-oncology work for more types of tumors</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{"citationID":"6gblV4XU","properties":{"formattedCitation":"[48]","plainCitation":"[48]","noteIndex":0},"citationItems":[{"id":5207,"uris":["http://zotero.org/users/16652950/items/UDE3UX4U"],"itemData":{"id":5207,"type":"article-journal","abstract":"Drug development in oncology commonly exploits the tools of molecular biology to gain therapeutic benefit through reprograming of cellular responses. In immuno‐oncology (IO) the aim is to direct the patient’s own immune system to fight cancer. After remarkable successes of antibodies targeting PD1/PD‐L1 and CTLA4 receptors in targeted patient populations, the focus of further development has shifted toward combination therapies. However, the current drug‐development approach of exploiting a vast number of possible combination targets and dosing regimens has proven to be challenging and is arguably inefficient. In particular, the unprecedented number of clinical trials testing different combinations may no longer be sustainable by the population of available patients. Further development in IO requires a step change in selection and validation of candidate therapies to decrease development attrition rate and limit the number of clinical trials. Quantitative systems pharmacology (QSP) proposes to tackle this challenge through mechanistic modeling and simulation. Compounds’ pharmacokinetics, target binding, and mechanisms of action as well as existing knowledge on the underlying tumor and immune system biology are described by quantitative, dynamic models aiming to predict clinical results for novel combinations. Here, we review the current QSP approaches, the legacy of mathematical models available to quantitative clinical pharmacologists describing interaction between tumor and immune system, and the recent development of IO QSP platform models. We argue that QSP and virtual patients can be integrated as a new tool in existing IO drug development approaches to increase the efficiency and effectiveness of the search for novel combination therapies.","container-title":"Clinical Pharmacology and Therapeutics","DOI":"10.1002/cpt.1987","ISSN":"0009-9236","issue":"3","journalAbbreviation":"Clin Pharmacol Ther","note":"PMID: 32686076\nPMCID: PMC7983940","page":"605-618","source":"PubMed Central","title":"Quantitative Systems Pharmacology Approaches for Immuno‐Oncology: Adding Virtual Patients to the Development Paradigm","title-short":"Quantitative Systems Pharmacology Approaches for Immuno‐Oncology","volume":"109","author":[{"family":"Chelliah","given":"Vijayalakshmi"},{"family":"Lazarou","given":"Georgia"},{"family":"Bhatnagar","given":"Sumit"},{"family":"Gibbs","given":"John P."},{"family":"Nijsen","given":"Marjoleen"},{"family":"Ray","given":"Avijit"},{"family":"Stoll","given":"Brian"},{"family":"Thompson","given":"R. Adam"},{"family":"Gulati","given":"Abhishek"},{"family":"Soukharev","given":"Serguei"},{"family":"Yamada","given":"Akihiro"},{"family":"Weddell","given":"Jared"},{"family":"Sayama","given":"Hiroyuki"},{"family":"Oishi","given":"Masayo"},{"family":"Wittemer‐Rump","given":"Sabine"},{"family":"Patel","given":"Chirag"},{"family":"Niederalt","given":"Christoph"},{"family":"Burghaus","given":"Rolf"},{"family":"Scheerans","given":"Christian"},{"family":"Lippert","given":"Jörg"},{"family":"Kabilan","given":"Senthil"},{"family":"Kareva","given":"Irina"},{"family":"Belousova","given":"Natalya"},{"family":"Rolfe","given":"Alex"},{"family":"Zutshi","given":"Anup"},{"family":"Chenel","given":"Marylore"},{"family":"Venezia","given":"Filippo"},{"family":"Fouliard","given":"Sylvain"},{"family":"Oberwittler","given":"Heike"},{"family":"Scholer‐Dahirel","given":"Alix"},{"family":"Lelievre","given":"Helene"},{"family":"Bottino","given":"Dean"},{"family":"Collins","given":"Sabrina C."},{"family":"Nguyen","given":"Hoa Q."},{"family":"Wang","given":"Haiqing"},{"family":"Yoneyama","given":"Tomoki"},{"family":"Zhu","given":"Andy Z.X."},{"family":"Graaf","given":"Piet H.","non-dropping-particle":"van der"},{"family":"Kierzek","given":"Andrzej M."}],"issued":{"date-parts":[["2021",3]]}}}],"schema":"https://github.com/citation-style-language/schema/raw/master/csl-citation.json"}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[48]</w:t>
      </w:r>
      <w:r w:rsidR="001F0122">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3D6FDB94" w14:textId="77777777" w:rsidR="006222E8" w:rsidRPr="006222E8" w:rsidRDefault="006222E8" w:rsidP="002734BF">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8. Challenges and Future Directions</w:t>
      </w:r>
    </w:p>
    <w:p w14:paraId="5AE1929F" w14:textId="67945DBB" w:rsidR="001F0122"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Even though there are more and more small molecule techniques for changing the tumor immune microenvironment (TIME), there are still big problems that need to be solved before they can be used in the clinic. The most important of these is the problem of selectivity vs systemic toxicity. Small compounds that target innate immune pathways, metabolic regulators, or immunosuppressive cells might cause immunological activation in the wrong place, which can lead to cytokine release syndrome or autoimmune-like side effects. To lower these dangers, it is still very important to design chemicals that preferentially accumulate in tumors, either by local activation, prodrug methods, or selective delivery vectors</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{"citationID":"2OzWlQ1r","properties":{"formattedCitation":"[49]","plainCitation":"[49]","noteIndex":0},"citationItems":[{"id":5210,"uris":["http://zotero.org/users/16652950/items/FPASLZQX"],"itemData":{"id":5210,"type":"article-journal","abstract":"Cancer is now considered a tumor microenvironment (TME) disease, although it was originally thought to be a cell and gene expression disorder. Over the past 20 years, significant advances have been made in understanding the complexity of the TME and its impact on responses to various anticancer therapies, including immunotherapies. Cancer immunotherapy can recognize and kill cancer cells by regulating the body's immune system. It has achieved good therapeutic effects in various solid tumors and hematological malignancies. Recently, blocking of programmed death‐1 (PD‐1), programmed death‐1 ligand‐1 (PD‐L1), and programmed death Ligand‐2 (PD‐L2), the construction of antigen chimeric T cells (CAR‐T) and tumor vaccines have become popular immunotherapies Tumorigenesis, progression, and metastasis are closely related to TME. Therefore, we review the characteristics of various cells and molecules in the TME, the interaction between PD‐1 and TME, and promising cancer immunotherapy therapeutics., In the past decades, the treatment methods for tumors have been changing rapidly. Traditional treatment methods, such as radiotherapy and chemotherapy regimens, have gradually revealed their shortcomings. As scientists continue to study the tumor microenvironment, new cellular properties, and immune checkpoints regarding TME are being discovered, and immunotherapy based on monoclonal antibodies, engineered cells, tumor vaccines, and other technologies have shown good therapeutic effects and lower risks. This review presents the latest research about TME and the latest progress in immunotherapy.","container-title":"Cancer Medicine","DOI":"10.1002/cam4.5698","ISSN":"2045-7634","issue":"10","journalAbbreviation":"Cancer Med","note":"PMID: 36807772\nPMCID: PMC10242329","page":"11149-11165","source":"PubMed Central","title":"Role of tumor microenvironment in cancer progression and therapeutic strategy","volume":"12","author":[{"family":"Wang","given":"Qingjing"},{"family":"Shao","given":"Xueting"},{"family":"Zhang","given":"Yuxuan"},{"family":"Zhu","given":"Miaojin"},{"family":"Wang","given":"Frederick X. C."},{"family":"Mu","given":"Jianjian"},{"family":"Li","given":"Jiaxuan"},{"family":"Yao","given":"Hangping"},{"family":"Chen","given":"Keda"}],"issued":{"date-parts":[["2023",2,21]]}}}],"schema":"https://github.com/citation-style-language/schema/raw/master/csl-citation.json"}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[49]</w:t>
      </w:r>
      <w:r w:rsidR="001F0122">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39E84871" w14:textId="562352D6" w:rsidR="001F0122"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t>Tumors also develop ways to resist and evade the immune system when it is under pressure. Tumors may turn down the machinery that presents antigens, turn up other immune checkpoints, or change the stromal and metabolic milieu to bring back immunosuppression. These adaptive responses need combinatorial regimens, which means that tiny medicines can work together with antibodies, cell treatments, or radiation to stop or get around resistance</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{"citationID":"iwPDnGQs","properties":{"formattedCitation":"[50,51]","plainCitation":"[50,51]","noteIndex":0},"citationItems":[{"id":5213,"uris":["http://zotero.org/users/16652950/items/8KCEWD9V"],"itemData":{"id":5213,"type":"article-journal","abstract":"Recently, in the field of cancer treatment, the paradigm has changed to immunotherapy that activates the immune system to induce cancer attacks. Among them, immune checkpoint inhibitors (ICI) are attracting attention as excellent and continuous clinical results. However, it shows not only limitations such as efficacy only in some patients or some indications, but also side-effects and resistance occur. Therefore, it is necessary to understand the factors of the tumor microenvironment (TME) that affect the efficacy of immunotherapy, that is, the mechanism by which cancer grows while evading or suppressing attacks from the immune system within the TME. Tumors can evade attacks from the immune system through various mechanisms such as restricting antigen recognition, inhibiting the immune system, and inducing T cell exhaustion. In addition, tumors inhibit or evade the immune system by accumulating specific metabolites and signal factors within the TME or limiting the nutrients available to immune cells. In order to overcome the limitations of immunotherapy and develop effective cancer treatments and therapeutic strategies, an approach is needed to understand the functions of cancer and immune cells in an integrated manner based on the TME. In this review, we will examine the effects of the TME on cancer cells and immune cells, especially how cancer cells evade the immune system, and examine anti-cancer strategies based on TME.","container-title":"Frontiers in Pharmacology","DOI":"10.3389/fphar.2022.868695","ISSN":"1663-9812","journalAbbreviation":"Front Pharmacol","note":"PMID: 35685630\nPMCID: PMC9171538","page":"868695","source":"PubMed Central","title":"The Evasion Mechanisms of Cancer Immunity and Drug Intervention in the Tumor Microenvironment","volume":"13","author":[{"family":"Kim","given":"Seong Keun"},{"family":"Cho","given":"Sun Wook"}],"issued":{"date-parts":[["2022",5,24]]}}},{"id":895,"uris":["http://zotero.org/users/16652950/items/GQKPY3KU"],"itemData":{"id":895,"type":"article-journal","container-title":"International Journal of Pathogen Research","DOI":"10.9734/ijpr/2024/v13i6326","ISSN":"2582-3876","issue":"6","language":"en","page":"117-128","source":"journalijpr.com","title":"The Impact of Antimicrobial Resistance on Co-INFECTIONS: Management Strategies for HIV, TB and Malaria","title-short":"The Impact of Antimicrobial Resistance on Co-INFECTIONS","volume":"13","author":[{"family":"Ayomide","given":"Ilesanmi Taiwo"},{"family":"Promise","given":"Lawal Olabisi"},{"family":"Christopher","given":"Adegbesan Abiodun"},{"family":"Okikiola","given":"Popoola Possible"},{"family":"Esther","given":"Akinola Dolapo"},{"family":"Favour","given":"Ani Charissa"},{"family":"Agbo","given":"Okabeonye Sunday"},{"family":"Sandra","given":"Owusu-Ansah"},{"family":"Chiagozie","given":"Okeke Jennifer"},{"family":"Precious","given":"Ani Chinaemerem"},{"family":"Ugonna","given":"Ugoagwu Kingsley"}],"issued":{"date-parts":[["2024",11,29]]}}}],"schema":"https://github.com/citation-style-language/schema/raw/master/csl-citation.json"}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[50,51]</w:t>
      </w:r>
      <w:r w:rsidR="001F0122">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07DC22D6" w14:textId="4924C0A1" w:rsidR="001F0122"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br/>
        <w:t>Another problem is that tumors are different in different patients and even in the same patient. The TIME's makeup and how it works are very different according on the type of tumor and where it is in the body. They can even change over time during treatment. This variety makes individualized immuno-oncology even more important. In this approach, immunological profile, genetic markers, and dynamic monitoring of the TIME lead the choice of small molecule treatments</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{"citationID":"NqYFTqJ6","properties":{"formattedCitation":"[52]","plainCitation":"[52]","noteIndex":0},"citationItems":[{"id":5216,"uris":["http://zotero.org/users/16652950/items/MAZHFVBF"],"itemData":{"id":5216,"type":"article-journal","abstract":"Cancer is an abnormal state of cells where they undergo uncontrolled proliferation and produce aggressive malignancies that causes millions of deaths every year. With the new understanding of the molecular mechanism(s) of disease progression, our knowledge about the disease is snowballing, leading to the evolution of many new therapeutic regimes and their successive trials. In the past few decades, various combinations of therapies have been proposed and are presently employed in the treatment of diverse cancers. Targeted drug therapy, immunotherapy, and personalized medicines are now largely being employed, which were not common a few years back. The field of cancer discoveries and therapeutics are evolving fast as cancer type-specific biomarkers are progressively being identified and several types of cancers are nowadays undergoing systematic therapies, extending patients' disease-free survival thereafter. Although growing evidence shows that a systematic and targeted approach could be the future of cancer medicine, chemotherapy remains a largely opted therapeutic option despite its known side effects on the patient's physical and psychological health. Chemotherapeutic agents/pharmaceuticals served a great purpose over the past few decades and have remained the frontline choice for advanced-stage malignancies where surgery and/or radiation therapy cannot be prescribed due to specific reasons. The present report succinctly reviews the existing and contemporary advancements in chemotherapy and assesses the status of the enrolled drugs/pharmaceuticals; it also comprehensively discusses the emerging role of specific/targeted therapeutic strategies that are presently being employed to achieve better clinical success/survival rate in cancer patients.","container-title":"Genes &amp; Diseases","DOI":"10.1016/j.gendis.2022.02.007","ISSN":"2352-4820","issue":"4","journalAbbreviation":"Genes Dis","note":"PMID: 37397557\nPMCID: PMC10310991","page":"1367-1401","source":"PubMed Central","title":"Cancer chemotherapy and beyond: Current status, drug candidates, associated risks and progress in targeted therapeutics","title-short":"Cancer chemotherapy and beyond","volume":"10","author":[{"family":"Anand","given":"Uttpal"},{"family":"Dey","given":"Abhijit"},{"family":"Chandel","given":"Arvind K. Singh"},{"family":"Sanyal","given":"Rupa"},{"family":"Mishra","given":"Amarnath"},{"family":"Pandey","given":"Devendra Kumar"},{"family":"De Falco","given":"Valentina"},{"family":"Upadhyay","given":"Arun"},{"family":"Kandimalla","given":"Ramesh"},{"family":"Chaudhary","given":"Anupama"},{"family":"Dhanjal","given":"Jaspreet Kaur"},{"family":"Dewanjee","given":"Saikat"},{"family":"Vallamkondu","given":"Jayalakshmi"},{"family":"Pérez de la Lastra","given":"José M."}],"issued":{"date-parts":[["2022",3,18]]}}}],"schema":"https://github.com/citation-style-language/schema/raw/master/csl-citation.json"}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[52]</w:t>
      </w:r>
      <w:r w:rsidR="001F0122">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r>
      <w:r w:rsidRPr="00151DA1">
        <w:rPr>
          <w:rFonts w:ascii="Times New Roman" w:eastAsia="Times New Roman" w:hAnsi="Times New Roman" w:cs="Times New Roman"/>
          <w:sz w:val="24"/>
          <w:szCs w:val="24"/>
        </w:rPr>
        <w:br/>
        <w:t>There is an urgent need for highly selective chemical probes that can precisely break down immunological signaling networks in space and time in order to speed up the discovery of new treatments and increase our understanding of how they work. These probes can be used to find biomarkers and validate targets, but they can also help us understand how immune modulation affects things in different situations. Next-generation probes, like activity-based sensors, real-time imaging agents, and proteomic tagging, will be very helpful in mapping the biochemical and cellular dynamics of the TIME</w:t>
      </w:r>
      <w:r w:rsidR="001F0122">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{"citationID":"woSfCCFr","properties":{"formattedCitation":"[53]","plainCitation":"[53]","noteIndex":0},"citationItems":[{"id":5219,"uris":["http://zotero.org/users/16652950/items/ZSLD4LB2"],"itemData":{"id":5219,"type":"article-journal","abstract":"The reconnection of the scientific community with phenotypic drug discovery has created exciting new possibilities to develop therapies for diseases with highly complex biology. It promises to revolutionise fields such as neurodegenerative disease and regenerative medicine, where the development of new drugs has consistently proved elusive. Arguably, the greatest challenge in readopting the phenotypic drug discovery approach exists in establishing a crucial chain of translatability between phenotype and benefit to patients in the clinic. This remains a key stumbling block for the field which needs to be overcome in order to fully realise the potential of phenotypic drug discovery. Excellent quality chemical probes and chemistry-based target deconvolution techniques will be a crucial part of this process. In this review, we discuss the current capabilities of chemical probes and chemistry-based target deconvolution methods and evaluate the next advances necessary in order to fully support phenotypic screening approaches in drug discovery., High quality chemical probes and chemistry-based target deconvolution techniques will be crucial to the advancement of phenotypic drug discovery, providing new hope for treatment of diseases with highly complex biology.","container-title":"RSC Medicinal Chemistry","DOI":"10.1039/d1md00022e","ISSN":"2632-8682","issue":"5","journalAbbreviation":"RSC Med Chem","note":"PMID: 34124668\nPMCID: PMC8152813","page":"646-665","source":"PubMed Central","title":"The right tools for the job: the central role for next generation chemical probes and chemistry-based target deconvolution methods in phenotypic drug discovery","title-short":"The right tools for the job","volume":"12","author":[{"family":"Jörg","given":"Manuela"},{"family":"Madden","given":"Katrina S."}]}}],"schema":"https://github.com/citation-style-language/schema/raw/master/csl-citation.json"} </w:instrText>
      </w:r>
      <w:r w:rsidR="001F0122">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[53]</w:t>
      </w:r>
      <w:r w:rsidR="001F0122">
        <w:rPr>
          <w:rFonts w:ascii="Times New Roman" w:eastAsia="Times New Roman" w:hAnsi="Times New Roman" w:cs="Times New Roman"/>
          <w:sz w:val="24"/>
          <w:szCs w:val="24"/>
        </w:rPr>
        <w:fldChar w:fldCharType="end"/>
      </w:r>
      <w:r w:rsidRPr="00151DA1">
        <w:rPr>
          <w:rFonts w:ascii="Times New Roman" w:eastAsia="Times New Roman" w:hAnsi="Times New Roman" w:cs="Times New Roman"/>
          <w:sz w:val="24"/>
          <w:szCs w:val="24"/>
        </w:rPr>
        <w:t>.</w:t>
      </w:r>
    </w:p>
    <w:p w14:paraId="79901619" w14:textId="77777777" w:rsidR="001F0122"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 xml:space="preserve"> </w:t>
      </w:r>
      <w:r w:rsidRPr="00151DA1">
        <w:rPr>
          <w:rFonts w:ascii="Times New Roman" w:eastAsia="Times New Roman" w:hAnsi="Times New Roman" w:cs="Times New Roman"/>
          <w:sz w:val="24"/>
          <w:szCs w:val="24"/>
        </w:rPr>
        <w:br/>
        <w:t xml:space="preserve">Finally, for small molecule IO therapies to be used in the clinic, we need to develop strong biomarkers, predictive assays, and well-thought-out trial designs. To find patient groups that will respond and to make the best therapy combinations, companion diagnostics that detect target engagement, pathway activation, or immunological markers will be very important. Bringing </w:t>
      </w:r>
      <w:r w:rsidRPr="00151DA1">
        <w:rPr>
          <w:rFonts w:ascii="Times New Roman" w:eastAsia="Times New Roman" w:hAnsi="Times New Roman" w:cs="Times New Roman"/>
          <w:sz w:val="24"/>
          <w:szCs w:val="24"/>
        </w:rPr>
        <w:lastRenderedPageBreak/>
        <w:t xml:space="preserve">together chemical biology, systems immunology, and clinical oncology will be very important for narrowing the translational gap. </w:t>
      </w:r>
    </w:p>
    <w:p w14:paraId="268AC66D" w14:textId="77777777" w:rsidR="001F0122" w:rsidRDefault="001F0122" w:rsidP="002734BF">
      <w:pPr>
        <w:spacing w:after="0" w:line="240" w:lineRule="auto"/>
        <w:jc w:val="both"/>
        <w:rPr>
          <w:rFonts w:ascii="Times New Roman" w:eastAsia="Times New Roman" w:hAnsi="Times New Roman" w:cs="Times New Roman"/>
          <w:sz w:val="24"/>
          <w:szCs w:val="24"/>
        </w:rPr>
      </w:pPr>
    </w:p>
    <w:p w14:paraId="1361AF05" w14:textId="27ACAD8D" w:rsidR="00151DA1" w:rsidRPr="00151DA1" w:rsidRDefault="00151DA1" w:rsidP="002734BF">
      <w:pPr>
        <w:spacing w:after="0" w:line="240" w:lineRule="auto"/>
        <w:jc w:val="both"/>
        <w:rPr>
          <w:rFonts w:ascii="Times New Roman" w:eastAsia="Times New Roman" w:hAnsi="Times New Roman" w:cs="Times New Roman"/>
          <w:sz w:val="24"/>
          <w:szCs w:val="24"/>
        </w:rPr>
      </w:pPr>
      <w:r w:rsidRPr="00151DA1">
        <w:rPr>
          <w:rFonts w:ascii="Times New Roman" w:eastAsia="Times New Roman" w:hAnsi="Times New Roman" w:cs="Times New Roman"/>
          <w:sz w:val="24"/>
          <w:szCs w:val="24"/>
        </w:rPr>
        <w:t>As the field grows, small molecules are likely to work well with biologics and even beat them in certain cases by providing flexible, modular, and multi-functional ways to change the immune system. We need to keep working to connect basic chemical research with the complicated field of human cancer immunology.</w:t>
      </w:r>
    </w:p>
    <w:p w14:paraId="302EF818" w14:textId="77777777" w:rsidR="006222E8" w:rsidRPr="006222E8" w:rsidRDefault="006222E8" w:rsidP="002734BF">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6222E8">
        <w:rPr>
          <w:rFonts w:ascii="Times New Roman" w:eastAsia="Times New Roman" w:hAnsi="Times New Roman" w:cs="Times New Roman"/>
          <w:b/>
          <w:bCs/>
          <w:sz w:val="36"/>
          <w:szCs w:val="36"/>
        </w:rPr>
        <w:t>9. Conclusion</w:t>
      </w:r>
    </w:p>
    <w:p w14:paraId="39459556" w14:textId="77777777" w:rsidR="001F0122" w:rsidRDefault="00256D33" w:rsidP="002734BF">
      <w:pPr>
        <w:spacing w:after="0" w:line="240" w:lineRule="auto"/>
        <w:jc w:val="both"/>
        <w:rPr>
          <w:rFonts w:ascii="Times New Roman" w:eastAsia="Times New Roman" w:hAnsi="Times New Roman" w:cs="Times New Roman"/>
          <w:sz w:val="24"/>
          <w:szCs w:val="24"/>
        </w:rPr>
      </w:pPr>
      <w:r w:rsidRPr="00256D33">
        <w:rPr>
          <w:rFonts w:ascii="Times New Roman" w:eastAsia="Times New Roman" w:hAnsi="Times New Roman" w:cs="Times New Roman"/>
          <w:sz w:val="24"/>
          <w:szCs w:val="24"/>
        </w:rPr>
        <w:t xml:space="preserve">The combination of synthetic chemistry with immuno-oncology has opened up a whole new world of treatment options. For the first time, tiny compounds can change the tumor immune microenvironment (TIME) with incredible ease. Small molecules have some big advantages over biologics: they can be taken by mouth, they can go deep into tissues, they are cheap to make, and they might be able to target cells inside cells. Chemically driven treatments, including as checkpoint inhibitors, innate immune agonists, metabolic regulators, and cellular </w:t>
      </w:r>
      <w:proofErr w:type="spellStart"/>
      <w:r w:rsidRPr="00256D33">
        <w:rPr>
          <w:rFonts w:ascii="Times New Roman" w:eastAsia="Times New Roman" w:hAnsi="Times New Roman" w:cs="Times New Roman"/>
          <w:sz w:val="24"/>
          <w:szCs w:val="24"/>
        </w:rPr>
        <w:t>reprogrammers</w:t>
      </w:r>
      <w:proofErr w:type="spellEnd"/>
      <w:r w:rsidRPr="00256D33">
        <w:rPr>
          <w:rFonts w:ascii="Times New Roman" w:eastAsia="Times New Roman" w:hAnsi="Times New Roman" w:cs="Times New Roman"/>
          <w:sz w:val="24"/>
          <w:szCs w:val="24"/>
        </w:rPr>
        <w:t xml:space="preserve">, are changing how we think about how the immune system controls malignancies. </w:t>
      </w:r>
      <w:r w:rsidRPr="00256D33">
        <w:rPr>
          <w:rFonts w:ascii="Times New Roman" w:eastAsia="Times New Roman" w:hAnsi="Times New Roman" w:cs="Times New Roman"/>
          <w:sz w:val="24"/>
          <w:szCs w:val="24"/>
        </w:rPr>
        <w:br/>
      </w:r>
    </w:p>
    <w:p w14:paraId="46A4C29A" w14:textId="7997D205" w:rsidR="001F0122" w:rsidRDefault="00256D33" w:rsidP="002734BF">
      <w:pPr>
        <w:spacing w:after="0" w:line="240" w:lineRule="auto"/>
        <w:jc w:val="both"/>
        <w:rPr>
          <w:rFonts w:ascii="Times New Roman" w:eastAsia="Times New Roman" w:hAnsi="Times New Roman" w:cs="Times New Roman"/>
          <w:sz w:val="24"/>
          <w:szCs w:val="24"/>
        </w:rPr>
      </w:pPr>
      <w:r w:rsidRPr="00256D33">
        <w:rPr>
          <w:rFonts w:ascii="Times New Roman" w:eastAsia="Times New Roman" w:hAnsi="Times New Roman" w:cs="Times New Roman"/>
          <w:sz w:val="24"/>
          <w:szCs w:val="24"/>
        </w:rPr>
        <w:t>As this field grows, tiny compounds will not only be useful tools, but also key players in the creation of new cancer immunotherapies. Their use in rational combination techniques, along with strong biomarkers and molecular diagnostics, could help patients who don't respond to current IO methods</w:t>
      </w:r>
      <w:r w:rsidR="0094503C">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{"citationID":"WybMuDKb","properties":{"formattedCitation":"[54]","plainCitation":"[54]","noteIndex":0},"citationItems":[{"id":5222,"uris":["http://zotero.org/users/16652950/items/KQDC5WCS"],"itemData":{"id":5222,"type":"article-journal","container-title":"Journal of Cancer and Tumor International","DOI":"10.9734/jcti/2025/v15i3299","ISSN":"2454-7360","issue":"3","language":"en","page":"10-25","source":"journaljcti.com","title":"Role of HLA Class I Molecule in Cancer: Implications for Cancer Immunotherapy","title-short":"Role of HLA Class I Molecule in Cancer","volume":"15","author":[{"family":"Stephen","given":"Josiah"},{"family":"Kanu","given":"Ikechukwu"},{"family":"Onyedum","given":"Nwamaka Nneka"},{"family":"Orobator","given":"Enibokun Theresa"},{"family":"Rono","given":"Catherine"},{"family":"Ngwoke","given":"Chinaza Faith"},{"family":"David","given":"Victor Omeiza"},{"family":"Anosike","given":"Wonderful Oluwatoyin"},{"family":"Ajutor","given":"Lawrence John"}],"issued":{"date-parts":[["2025",6,20]]}}}],"schema":"https://github.com/citation-style-language/schema/raw/master/csl-citation.json"} </w:instrText>
      </w:r>
      <w:r w:rsidR="0094503C">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[54]</w:t>
      </w:r>
      <w:r w:rsidR="0094503C">
        <w:rPr>
          <w:rFonts w:ascii="Times New Roman" w:eastAsia="Times New Roman" w:hAnsi="Times New Roman" w:cs="Times New Roman"/>
          <w:sz w:val="24"/>
          <w:szCs w:val="24"/>
        </w:rPr>
        <w:fldChar w:fldCharType="end"/>
      </w:r>
      <w:r w:rsidRPr="00256D33">
        <w:rPr>
          <w:rFonts w:ascii="Times New Roman" w:eastAsia="Times New Roman" w:hAnsi="Times New Roman" w:cs="Times New Roman"/>
          <w:sz w:val="24"/>
          <w:szCs w:val="24"/>
        </w:rPr>
        <w:t>.</w:t>
      </w:r>
      <w:r w:rsidRPr="00256D33">
        <w:rPr>
          <w:rFonts w:ascii="Times New Roman" w:eastAsia="Times New Roman" w:hAnsi="Times New Roman" w:cs="Times New Roman"/>
          <w:sz w:val="24"/>
          <w:szCs w:val="24"/>
        </w:rPr>
        <w:br/>
      </w:r>
    </w:p>
    <w:p w14:paraId="67818146" w14:textId="7FE08E68" w:rsidR="00256D33" w:rsidRDefault="00256D33" w:rsidP="002734BF">
      <w:pPr>
        <w:spacing w:after="0" w:line="240" w:lineRule="auto"/>
        <w:jc w:val="both"/>
        <w:rPr>
          <w:rFonts w:ascii="Times New Roman" w:eastAsia="Times New Roman" w:hAnsi="Times New Roman" w:cs="Times New Roman"/>
          <w:sz w:val="24"/>
          <w:szCs w:val="24"/>
        </w:rPr>
      </w:pPr>
      <w:r w:rsidRPr="00256D33">
        <w:rPr>
          <w:rFonts w:ascii="Times New Roman" w:eastAsia="Times New Roman" w:hAnsi="Times New Roman" w:cs="Times New Roman"/>
          <w:sz w:val="24"/>
          <w:szCs w:val="24"/>
        </w:rPr>
        <w:t>To move forward, we will need to keep coming up with new ideas that improve selectivity, lower toxicity, and accept the complexity of the TIME through systems-level thinking. With a chemist's eye and a translational attitude, tiny compounds are ready to become essential in the search for long-lasting, customized, and curative cancer immunotherapies</w:t>
      </w:r>
      <w:r w:rsidR="0094503C">
        <w:rPr>
          <w:rFonts w:ascii="Times New Roman" w:eastAsia="Times New Roman" w:hAnsi="Times New Roman" w:cs="Times New Roman"/>
          <w:sz w:val="24"/>
          <w:szCs w:val="24"/>
        </w:rPr>
        <w:fldChar w:fldCharType="begin"/>
      </w:r>
      <w:r w:rsidR="00A679FE">
        <w:rPr>
          <w:rFonts w:ascii="Times New Roman" w:eastAsia="Times New Roman" w:hAnsi="Times New Roman" w:cs="Times New Roman"/>
          <w:sz w:val="24"/>
          <w:szCs w:val="24"/>
        </w:rPr>
        <w:instrText xml:space="preserve"> ADDIN ZOTERO_ITEM CSL_CITATION {"citationID":"ENHtTa1y","properties":{"formattedCitation":"[55,56]","plainCitation":"[55,56]","noteIndex":0},"citationItems":[{"id":5228,"uris":["http://zotero.org/users/16652950/items/3642ANGQ"],"itemData":{"id":5228,"type":"article-journal","container-title":"Journal of Cancer and Tumor International","DOI":"10.9734/jcti/2025/v15i3307","ISSN":"2454-7360","issue":"3","language":"en","page":"124-136","source":"journaljcti.com","title":"Artificial Intelligence and Machine Learning in Personalized Medicine: Emerging Technologies and Applications","title-short":"Artificial Intelligence and Machine Learning in Personalized Medicine","volume":"15","author":[{"family":"Fabiyi","given":"Taiwo Oluwole"},{"family":"Oyebode","given":"Mary Oluwabunmi"},{"family":"Fabiyi","given":"Kehinde Oluwafemi"},{"family":"Akinwale","given":"Damilola Ayodeji"},{"family":"Adeoye","given":"Damilola Caroline"},{"family":"Ibekwe","given":"Paul-Miki Raluchukwu"},{"family":"Funke","given":"Olaitan Ololade"},{"family":"Okolo","given":"Onyinye Henrietta"},{"family":"Anderson","given":"Irene Adjoa"}],"issued":{"date-parts":[["2025",7,8]]}}},{"id":5226,"uris":["http://zotero.org/users/16652950/items/XGDN5M67"],"itemData":{"id":5226,"type":"article-journal","container-title":"Journal of Cancer and Tumor International","DOI":"10.9734/jcti/2025/v15i3306","ISSN":"2454-7360","issue":"3","language":"en","page":"113-123","source":"journaljcti.com","title":"Why Cancer Immunotherapy Fails?: Mechanisms of Resistance and Emerging Reversal Strategies","title-short":"Why Cancer Immunotherapy Fails?","volume":"15","author":[{"family":"Badru","given":"Muhydeen Damilola"},{"family":"Lawal","given":"Tobi Ayomide"},{"family":"Chidimma","given":"Udeichi Nnenna"},{"family":"Badmus","given":"Mayowa Josiah"},{"family":"Ene","given":"Francis Esther"},{"family":"Anyirionye","given":"Daniel Chinaza"},{"family":"Ajoniloju","given":"Naomi Ngozichukwuka"},{"family":"Christopher","given":"Adegbesan Abiodun"},{"family":"Afolabi","given":"Comfort Mary"}],"issued":{"date-parts":[["2025",7,8]]}}}],"schema":"https://github.com/citation-style-language/schema/raw/master/csl-citation.json"} </w:instrText>
      </w:r>
      <w:r w:rsidR="0094503C">
        <w:rPr>
          <w:rFonts w:ascii="Times New Roman" w:eastAsia="Times New Roman" w:hAnsi="Times New Roman" w:cs="Times New Roman"/>
          <w:sz w:val="24"/>
          <w:szCs w:val="24"/>
        </w:rPr>
        <w:fldChar w:fldCharType="separate"/>
      </w:r>
      <w:r w:rsidR="00A679FE" w:rsidRPr="00A679FE">
        <w:rPr>
          <w:rFonts w:ascii="Times New Roman" w:hAnsi="Times New Roman" w:cs="Times New Roman"/>
          <w:sz w:val="24"/>
        </w:rPr>
        <w:t>[55,56]</w:t>
      </w:r>
      <w:r w:rsidR="0094503C">
        <w:rPr>
          <w:rFonts w:ascii="Times New Roman" w:eastAsia="Times New Roman" w:hAnsi="Times New Roman" w:cs="Times New Roman"/>
          <w:sz w:val="24"/>
          <w:szCs w:val="24"/>
        </w:rPr>
        <w:fldChar w:fldCharType="end"/>
      </w:r>
      <w:r w:rsidRPr="00256D33">
        <w:rPr>
          <w:rFonts w:ascii="Times New Roman" w:eastAsia="Times New Roman" w:hAnsi="Times New Roman" w:cs="Times New Roman"/>
          <w:sz w:val="24"/>
          <w:szCs w:val="24"/>
        </w:rPr>
        <w:t>.</w:t>
      </w:r>
    </w:p>
    <w:p w14:paraId="71A6D14A" w14:textId="27B7E9A3" w:rsidR="00A679FE" w:rsidRDefault="00A679FE" w:rsidP="002734BF">
      <w:pPr>
        <w:spacing w:after="0" w:line="240" w:lineRule="auto"/>
        <w:jc w:val="both"/>
        <w:rPr>
          <w:rFonts w:ascii="Times New Roman" w:eastAsia="Times New Roman" w:hAnsi="Times New Roman" w:cs="Times New Roman"/>
          <w:sz w:val="24"/>
          <w:szCs w:val="24"/>
        </w:rPr>
      </w:pPr>
    </w:p>
    <w:p w14:paraId="558ADF77" w14:textId="30716D55" w:rsidR="00A679FE" w:rsidRDefault="00A679FE" w:rsidP="002734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REFRENCES</w:t>
      </w:r>
    </w:p>
    <w:p w14:paraId="0A7C284E" w14:textId="5822E451" w:rsidR="00A679FE" w:rsidRDefault="00A679FE" w:rsidP="002734BF">
      <w:pPr>
        <w:spacing w:after="0" w:line="240" w:lineRule="auto"/>
        <w:jc w:val="both"/>
        <w:rPr>
          <w:rFonts w:ascii="Times New Roman" w:eastAsia="Times New Roman" w:hAnsi="Times New Roman" w:cs="Times New Roman"/>
          <w:sz w:val="24"/>
          <w:szCs w:val="24"/>
        </w:rPr>
      </w:pPr>
    </w:p>
    <w:p w14:paraId="0449D621" w14:textId="77777777" w:rsidR="00A679FE" w:rsidRDefault="00A679FE" w:rsidP="00A679FE">
      <w:pPr>
        <w:pStyle w:val="Bibliography"/>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t xml:space="preserve">1. </w:t>
      </w:r>
      <w:r>
        <w:tab/>
        <w:t xml:space="preserve">Shen M, Du Y, Ye Y. Tumor-associated macrophages, dendritic cells, and neutrophils: biological roles, crosstalk, and therapeutic relevance. Med Rev (2021). 1(2):222–43. </w:t>
      </w:r>
    </w:p>
    <w:p w14:paraId="1FA86078" w14:textId="77777777" w:rsidR="00A679FE" w:rsidRDefault="00A679FE" w:rsidP="00A679FE">
      <w:pPr>
        <w:pStyle w:val="Bibliography"/>
      </w:pPr>
      <w:r>
        <w:t xml:space="preserve">2. </w:t>
      </w:r>
      <w:r>
        <w:tab/>
        <w:t xml:space="preserve">Yang K, Lu R, Mei J, Cao K, Zeng T, Hua Y, et al. The war between the immune system and the tumor - using immune biomarkers as tracers. Biomark Res. 2024 May 30;12:51. </w:t>
      </w:r>
    </w:p>
    <w:p w14:paraId="1989A314" w14:textId="77777777" w:rsidR="00A679FE" w:rsidRDefault="00A679FE" w:rsidP="00A679FE">
      <w:pPr>
        <w:pStyle w:val="Bibliography"/>
      </w:pPr>
      <w:r>
        <w:t xml:space="preserve">3. </w:t>
      </w:r>
      <w:r>
        <w:tab/>
        <w:t xml:space="preserve">Basudan AM. The Role of Immune Checkpoint Inhibitors in Cancer Therapy. Clin Pract. 2022 Dec 27;13(1):22–40. </w:t>
      </w:r>
    </w:p>
    <w:p w14:paraId="5041F4AE" w14:textId="77777777" w:rsidR="00A679FE" w:rsidRDefault="00A679FE" w:rsidP="00A679FE">
      <w:pPr>
        <w:pStyle w:val="Bibliography"/>
      </w:pPr>
      <w:r>
        <w:t xml:space="preserve">4. </w:t>
      </w:r>
      <w:r>
        <w:tab/>
        <w:t xml:space="preserve">Khan SU, Fatima K, Aisha S, Malik F. Unveiling the mechanisms and challenges of cancer drug resistance. Cell Communication and Signaling : CCS. 2024 Feb 12;22:109. </w:t>
      </w:r>
    </w:p>
    <w:p w14:paraId="0D549CD1" w14:textId="77777777" w:rsidR="00A679FE" w:rsidRDefault="00A679FE" w:rsidP="00A679FE">
      <w:pPr>
        <w:pStyle w:val="Bibliography"/>
      </w:pPr>
      <w:r>
        <w:t xml:space="preserve">5. </w:t>
      </w:r>
      <w:r>
        <w:tab/>
        <w:t xml:space="preserve">John R, Monpara J, Swaminathan S, Kalhapure R. Chemistry and Art of Developing Lipid Nanoparticles for Biologics Delivery: Focus on Development and Scale-Up. Pharmaceutics. 2024 Jan 19;16(1):131. </w:t>
      </w:r>
    </w:p>
    <w:p w14:paraId="0210BD18" w14:textId="77777777" w:rsidR="00A679FE" w:rsidRDefault="00A679FE" w:rsidP="00A679FE">
      <w:pPr>
        <w:pStyle w:val="Bibliography"/>
      </w:pPr>
      <w:r>
        <w:lastRenderedPageBreak/>
        <w:t xml:space="preserve">6. </w:t>
      </w:r>
      <w:r>
        <w:tab/>
        <w:t xml:space="preserve">Chen Y, Tandon I, Heelan W, Wang Y, Tang W, Hu Q. Proteolysis-Targeting Chimera (PROTAC) Delivery System: Advancing Protein Degraders towards Clinical Translation. Chem Soc Rev. 2022 Jul 4;51(13):5330–50. </w:t>
      </w:r>
    </w:p>
    <w:p w14:paraId="5732F9EA" w14:textId="77777777" w:rsidR="00A679FE" w:rsidRDefault="00A679FE" w:rsidP="00A679FE">
      <w:pPr>
        <w:pStyle w:val="Bibliography"/>
      </w:pPr>
      <w:r>
        <w:t xml:space="preserve">7. </w:t>
      </w:r>
      <w:r>
        <w:tab/>
        <w:t xml:space="preserve">Fu T, Dai LJ, Wu SY, Xiao Y, Ma D, Jiang YZ, et al. Spatial architecture of the immune microenvironment orchestrates tumor immunity and therapeutic response. J Hematol Oncol. 2021 Jun 25;14:98. </w:t>
      </w:r>
    </w:p>
    <w:p w14:paraId="59AA68B1" w14:textId="77777777" w:rsidR="00A679FE" w:rsidRDefault="00A679FE" w:rsidP="00A679FE">
      <w:pPr>
        <w:pStyle w:val="Bibliography"/>
      </w:pPr>
      <w:r>
        <w:t xml:space="preserve">8. </w:t>
      </w:r>
      <w:r>
        <w:tab/>
        <w:t xml:space="preserve">Oseghale ID, Lawal OP, Ubebe DO, Orjiewulu VC, Igunma AA, Odey OP, et al. Ethnomedicinal and Phytopharmacological Aspects of Vernonia amygdalina (Bitter Leaf) Utilized as a Traditional Medicinal Herb. Asian Journal of Research in Biochemistry. 2024 Oct 14;14(6):41–57. </w:t>
      </w:r>
    </w:p>
    <w:p w14:paraId="797F213E" w14:textId="77777777" w:rsidR="00A679FE" w:rsidRDefault="00A679FE" w:rsidP="00A679FE">
      <w:pPr>
        <w:pStyle w:val="Bibliography"/>
      </w:pPr>
      <w:r>
        <w:t xml:space="preserve">9. </w:t>
      </w:r>
      <w:r>
        <w:tab/>
        <w:t>Soto JA, Gálvez NMS, Andrade CA, Pacheco GA, Bohmwald K, Berrios RV, et al. The Role of Dendritic Cells During Infections Caused by Highly Prevalent Viruses. Front Immunol [Internet]. 2020 Jul 16 [cited 2025 Jul 19];11. Available from: https://www.frontiersin.org/journals/immunology/articles/10.3389/fimmu.2020.01513/full</w:t>
      </w:r>
    </w:p>
    <w:p w14:paraId="1D2B4AA7" w14:textId="77777777" w:rsidR="00A679FE" w:rsidRDefault="00A679FE" w:rsidP="00A679FE">
      <w:pPr>
        <w:pStyle w:val="Bibliography"/>
      </w:pPr>
      <w:r>
        <w:t xml:space="preserve">10. </w:t>
      </w:r>
      <w:r>
        <w:tab/>
        <w:t xml:space="preserve">Kumar RR, Agarwal N, Shree A, Gorain JK, Rahul E, Ganguly S, et al. Decoding the immune landscape in Ewing sarcoma pathogenesis: The role of tumor infiltrating immune cells and immune milieu. J Bone Oncol. 2025 Mar 31;52:100678. </w:t>
      </w:r>
    </w:p>
    <w:p w14:paraId="20DB975A" w14:textId="77777777" w:rsidR="00A679FE" w:rsidRDefault="00A679FE" w:rsidP="00A679FE">
      <w:pPr>
        <w:pStyle w:val="Bibliography"/>
      </w:pPr>
      <w:r>
        <w:t xml:space="preserve">11. </w:t>
      </w:r>
      <w:r>
        <w:tab/>
        <w:t xml:space="preserve">Arner EN, Rathmell JC. Metabolic Programming and Immune Suppression in the Tumor Microenvironment. Cancer Cell. 2023 Mar 13;41(3):421–33. </w:t>
      </w:r>
    </w:p>
    <w:p w14:paraId="234A1164" w14:textId="77777777" w:rsidR="00A679FE" w:rsidRDefault="00A679FE" w:rsidP="00A679FE">
      <w:pPr>
        <w:pStyle w:val="Bibliography"/>
      </w:pPr>
      <w:r>
        <w:t xml:space="preserve">12. </w:t>
      </w:r>
      <w: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6B89FDEB" w14:textId="77777777" w:rsidR="00A679FE" w:rsidRDefault="00A679FE" w:rsidP="00A679FE">
      <w:pPr>
        <w:pStyle w:val="Bibliography"/>
      </w:pPr>
      <w:r>
        <w:t xml:space="preserve">13. </w:t>
      </w:r>
      <w:r>
        <w:tab/>
        <w:t xml:space="preserve">Fu T, Dai LJ, Wu SY, Xiao Y, Ma D, Jiang YZ, et al. Spatial architecture of the immune microenvironment orchestrates tumor immunity and therapeutic response. J Hematol Oncol. 2021 Jun 25;14:98. </w:t>
      </w:r>
    </w:p>
    <w:p w14:paraId="27DF2359" w14:textId="77777777" w:rsidR="00A679FE" w:rsidRDefault="00A679FE" w:rsidP="00A679FE">
      <w:pPr>
        <w:pStyle w:val="Bibliography"/>
      </w:pPr>
      <w:r>
        <w:t xml:space="preserve">14. </w:t>
      </w:r>
      <w:r>
        <w:tab/>
        <w:t xml:space="preserve">Ibekwe PMR, Akintayo EA, Okuku CN, Muhammed I, Jeje FM, Okun O, et al. Decoding Tumor Heterogeneity through Multi Omics: Insights into Cancer Evolution, Microenvironment and Therapy Resistance. Journal of Cancer and Tumor International. 2025 Jul 7;15(3):91–112. </w:t>
      </w:r>
    </w:p>
    <w:p w14:paraId="365BD44A" w14:textId="77777777" w:rsidR="00A679FE" w:rsidRDefault="00A679FE" w:rsidP="00A679FE">
      <w:pPr>
        <w:pStyle w:val="Bibliography"/>
      </w:pPr>
      <w:r>
        <w:t xml:space="preserve">15. </w:t>
      </w:r>
      <w:r>
        <w:tab/>
        <w:t xml:space="preserve">Shiravand Y, Khodadadi F, Kashani SMA, Hosseini-Fard SR, Hosseini S, Sadeghirad H, et al. Immune Checkpoint Inhibitors in Cancer Therapy. Curr Oncol. 2022 Apr 24;29(5):3044–60. </w:t>
      </w:r>
    </w:p>
    <w:p w14:paraId="7BEBF53E" w14:textId="77777777" w:rsidR="00A679FE" w:rsidRDefault="00A679FE" w:rsidP="00A679FE">
      <w:pPr>
        <w:pStyle w:val="Bibliography"/>
      </w:pPr>
      <w:r>
        <w:t xml:space="preserve">16. </w:t>
      </w:r>
      <w:r>
        <w:tab/>
        <w:t xml:space="preserve">Onwuemelem LA, Orobator ET, Onyedum NN, Chibueze ES, Kanu I, Christopher AA, et al. Molecular Mechanisms of Clonal Hematopoiesis in Age-Related Cardiovascular Disease and Hematologic Malignancies: Review Article. Journal of Pharma Insights and Research. 2025 Apr 5;3(2):358–72. </w:t>
      </w:r>
    </w:p>
    <w:p w14:paraId="262C4DFA" w14:textId="77777777" w:rsidR="00A679FE" w:rsidRDefault="00A679FE" w:rsidP="00A679FE">
      <w:pPr>
        <w:pStyle w:val="Bibliography"/>
      </w:pPr>
      <w:r>
        <w:t xml:space="preserve">17. </w:t>
      </w:r>
      <w:r>
        <w:tab/>
        <w:t xml:space="preserve">Hu Z, Yu P, Du G, Wang W, Zhu H, Li N, et al. PCC0208025 (BMS202), a small molecule inhibitor of PD-L1, produces an antitumor effect in B16-F10 melanoma-bearing mice. PLoS One. 2020;15(3):e0228339. </w:t>
      </w:r>
    </w:p>
    <w:p w14:paraId="0CB82C71" w14:textId="77777777" w:rsidR="00A679FE" w:rsidRDefault="00A679FE" w:rsidP="00A679FE">
      <w:pPr>
        <w:pStyle w:val="Bibliography"/>
      </w:pPr>
      <w:r>
        <w:lastRenderedPageBreak/>
        <w:t xml:space="preserve">18. </w:t>
      </w:r>
      <w:r>
        <w:tab/>
        <w:t xml:space="preserve">Sasikumar PG, Sudarshan NS, Adurthi S, Ramachandra RK, Samiulla DS, Lakshminarasimhan A, et al. PD-1 derived CA-170 is an oral immune checkpoint inhibitor that exhibits preclinical anti-tumor efficacy. Commun Biol. 2021 Jun 8;4(1):699. </w:t>
      </w:r>
    </w:p>
    <w:p w14:paraId="108D9C82" w14:textId="77777777" w:rsidR="00A679FE" w:rsidRDefault="00A679FE" w:rsidP="00A679FE">
      <w:pPr>
        <w:pStyle w:val="Bibliography"/>
      </w:pPr>
      <w:r>
        <w:t xml:space="preserve">19. </w:t>
      </w:r>
      <w:r>
        <w:tab/>
        <w:t xml:space="preserve">Desai M, Kundu A, Hageman M, Lou H, Boisvert D. Monoclonal antibody and protein therapeutic formulations for subcutaneous delivery: high-concentration, low-volume vs. low-concentration, high-volume. mAbs. 2023 Nov 27;15(1):2285277. </w:t>
      </w:r>
    </w:p>
    <w:p w14:paraId="23B9D635" w14:textId="77777777" w:rsidR="00A679FE" w:rsidRDefault="00A679FE" w:rsidP="00A679FE">
      <w:pPr>
        <w:pStyle w:val="Bibliography"/>
      </w:pPr>
      <w:r>
        <w:t xml:space="preserve">20. </w:t>
      </w:r>
      <w:r>
        <w:tab/>
        <w:t xml:space="preserve">Nada H, Choi Y, Kim S, Jeong KS, Meanwell NA, Lee K. New insights into protein–protein interaction modulators in drug discovery and therapeutic advance. Signal Transduct Target Ther. 2024 Dec 6;9:341. </w:t>
      </w:r>
    </w:p>
    <w:p w14:paraId="2B5B84D3" w14:textId="77777777" w:rsidR="00A679FE" w:rsidRDefault="00A679FE" w:rsidP="00A679FE">
      <w:pPr>
        <w:pStyle w:val="Bibliography"/>
      </w:pPr>
      <w:r>
        <w:t xml:space="preserve">21. </w:t>
      </w:r>
      <w:r>
        <w:tab/>
        <w:t xml:space="preserve">Rameshbabu S, Labadie BW, Argulian A, Patnaik A. Targeting Innate Immunity in Cancer Therapy. Vaccines (Basel). 2021 Feb 9;9(2):138. </w:t>
      </w:r>
    </w:p>
    <w:p w14:paraId="710356C2" w14:textId="77777777" w:rsidR="00A679FE" w:rsidRDefault="00A679FE" w:rsidP="00A679FE">
      <w:pPr>
        <w:pStyle w:val="Bibliography"/>
      </w:pPr>
      <w:r>
        <w:t xml:space="preserve">22. </w:t>
      </w:r>
      <w:r>
        <w:tab/>
        <w:t xml:space="preserve">Qu S, Dai H. Conjugated STING agonists. Mol Ther Nucleic Acids. 2025 Mar 31;36(2):102530. </w:t>
      </w:r>
    </w:p>
    <w:p w14:paraId="282454F4" w14:textId="77777777" w:rsidR="00A679FE" w:rsidRDefault="00A679FE" w:rsidP="00A679FE">
      <w:pPr>
        <w:pStyle w:val="Bibliography"/>
      </w:pPr>
      <w:r>
        <w:t xml:space="preserve">23. </w:t>
      </w:r>
      <w:r>
        <w:tab/>
        <w:t xml:space="preserve">Lawal OP, Adekunle JF, Abiodun AV, Orobator ET, Agbo OS, Ugoagwu KU, et al. Modulating Gut Microbiota for Precision Medicine in Diabetes: A Paradigm Shift in Personalized Treatment Strategies. Asian Journal of Research and Reports in Endocrinology. 2025 May 21;8(1):94–109. </w:t>
      </w:r>
    </w:p>
    <w:p w14:paraId="14DBCD84" w14:textId="77777777" w:rsidR="00A679FE" w:rsidRDefault="00A679FE" w:rsidP="00A679FE">
      <w:pPr>
        <w:pStyle w:val="Bibliography"/>
      </w:pPr>
      <w:r>
        <w:t xml:space="preserve">24. </w:t>
      </w:r>
      <w:r>
        <w:tab/>
        <w:t xml:space="preserve">Chen S, Heendeniya SN, Le BT, Rahimizadeh K, Rabiee N, Zahra Q ul ain, et al. Splice-Modulating Antisense Oligonucleotides as Therapeutics for Inherited Metabolic Diseases. BioDrugs. 2024 Mar 1;38(2):177–203. </w:t>
      </w:r>
    </w:p>
    <w:p w14:paraId="4F67EF42" w14:textId="77777777" w:rsidR="00A679FE" w:rsidRDefault="00A679FE" w:rsidP="00A679FE">
      <w:pPr>
        <w:pStyle w:val="Bibliography"/>
      </w:pPr>
      <w:r>
        <w:t xml:space="preserve">25. </w:t>
      </w:r>
      <w:r>
        <w:tab/>
        <w:t xml:space="preserve">Mangla P, Vicentini Q, Biscans A. Therapeutic Oligonucleotides: An Outlook on Chemical Strategies to Improve Endosomal Trafficking. Cells. 2023 Sep 11;12(18):2253. </w:t>
      </w:r>
    </w:p>
    <w:p w14:paraId="61529A8E" w14:textId="77777777" w:rsidR="00A679FE" w:rsidRDefault="00A679FE" w:rsidP="00A679FE">
      <w:pPr>
        <w:pStyle w:val="Bibliography"/>
      </w:pPr>
      <w:r>
        <w:t xml:space="preserve">26. </w:t>
      </w:r>
      <w:r>
        <w:tab/>
        <w:t>Advances and applications of nanoparticles in cancer therapy - Huang - 2024 - MedComm – Oncology - Wiley Online Library [Internet]. [cited 2025 Jul 20]. Available from: https://onlinelibrary.wiley.com/doi/full/10.1002%2Fmog2.67</w:t>
      </w:r>
    </w:p>
    <w:p w14:paraId="390022C9" w14:textId="77777777" w:rsidR="00A679FE" w:rsidRDefault="00A679FE" w:rsidP="00A679FE">
      <w:pPr>
        <w:pStyle w:val="Bibliography"/>
      </w:pPr>
      <w:r>
        <w:t xml:space="preserve">27. </w:t>
      </w:r>
      <w:r>
        <w:tab/>
        <w:t xml:space="preserve">Trujillo JA, Sweis RF, Bao R, Luke JJ. T cell–inflamed versus non-T cell–inflamed tumors: a conceptual framework for cancer immunotherapy drug development and combination therapy selection. Cancer Immunol Res. 2018 Sep;6(9):990–1000. </w:t>
      </w:r>
    </w:p>
    <w:p w14:paraId="554353C2" w14:textId="77777777" w:rsidR="00A679FE" w:rsidRDefault="00A679FE" w:rsidP="00A679FE">
      <w:pPr>
        <w:pStyle w:val="Bibliography"/>
      </w:pPr>
      <w:r>
        <w:t xml:space="preserve">28. </w:t>
      </w:r>
      <w:r>
        <w:tab/>
        <w:t xml:space="preserve">Pearce EL, Pearce EJ. Metabolic Pathways In Immune Cell Activation And Quiescence. Immunity. 2013 Apr 18;38(4):633–43. </w:t>
      </w:r>
    </w:p>
    <w:p w14:paraId="12F1120B" w14:textId="77777777" w:rsidR="00A679FE" w:rsidRDefault="00A679FE" w:rsidP="00A679FE">
      <w:pPr>
        <w:pStyle w:val="Bibliography"/>
      </w:pPr>
      <w:r>
        <w:t xml:space="preserve">29. </w:t>
      </w:r>
      <w:r>
        <w:tab/>
        <w:t xml:space="preserve">Lawal OP, Adedayo OA, Dorcas SI, Akanbi OO, Okafor BC, Kanu I, et al. Biomarkers for Tuberculosis Diagnosis and Monitoring: A Review of Translational Progress. Asian Journal of Microbiology and Biotechnology. 2025 May 20;10(1):115–30. </w:t>
      </w:r>
    </w:p>
    <w:p w14:paraId="454DFE4C" w14:textId="77777777" w:rsidR="00A679FE" w:rsidRDefault="00A679FE" w:rsidP="00A679FE">
      <w:pPr>
        <w:pStyle w:val="Bibliography"/>
      </w:pPr>
      <w:r>
        <w:t xml:space="preserve">30. </w:t>
      </w:r>
      <w:r>
        <w:tab/>
        <w:t xml:space="preserve">Liu X, Zhang Y, Duan H, Luo Q, Liu W, Liang L, et al. Inhibition Mechanism of Indoleamine 2, 3-Dioxygenase 1 (IDO1) by Amidoxime Derivatives and Its Revelation in Drug Design: Comparative Molecular Dynamics Simulations. Front Mol Biosci. 2020 Jan 28;6:164. </w:t>
      </w:r>
    </w:p>
    <w:p w14:paraId="5C217C54" w14:textId="77777777" w:rsidR="00A679FE" w:rsidRDefault="00A679FE" w:rsidP="00A679FE">
      <w:pPr>
        <w:pStyle w:val="Bibliography"/>
      </w:pPr>
      <w:r>
        <w:t xml:space="preserve">31. </w:t>
      </w:r>
      <w:r>
        <w:tab/>
        <w:t xml:space="preserve">Grzywa TM, Sosnowska A, Matryba P, Rydzynska Z, Jasinski M, Nowis D, et al. Myeloid Cell-Derived Arginase in Cancer Immune Response. Front Immunol [Internet]. 2020 May 15 [cited 2025 Jul </w:t>
      </w:r>
      <w:r>
        <w:lastRenderedPageBreak/>
        <w:t>20];11. Available from: https://www.frontiersin.org/journals/immunology/articles/10.3389/fimmu.2020.00938/full</w:t>
      </w:r>
    </w:p>
    <w:p w14:paraId="0BAB90BD" w14:textId="77777777" w:rsidR="00A679FE" w:rsidRDefault="00A679FE" w:rsidP="00A679FE">
      <w:pPr>
        <w:pStyle w:val="Bibliography"/>
      </w:pPr>
      <w:r>
        <w:t xml:space="preserve">32. </w:t>
      </w:r>
      <w:r>
        <w:tab/>
        <w:t xml:space="preserve">Pérez-Tomás R, Pérez-Guillén I. Lactate in the Tumor Microenvironment: An Essential Molecule in Cancer Progression and Treatment. Cancers (Basel). 2020 Nov 3;12(11):3244. </w:t>
      </w:r>
    </w:p>
    <w:p w14:paraId="4FDC5D8E" w14:textId="77777777" w:rsidR="00A679FE" w:rsidRDefault="00A679FE" w:rsidP="00A679FE">
      <w:pPr>
        <w:pStyle w:val="Bibliography"/>
      </w:pPr>
      <w:r>
        <w:t xml:space="preserve">33. </w:t>
      </w:r>
      <w:r>
        <w:tab/>
        <w:t xml:space="preserve">Wang Y, Wondisford FE, Song C, Zhang T, Su X. Metabolic Flux Analysis—Linking Isotope Labeling and Metabolic Fluxes. Metabolites. 2020 Nov 6;10(11):447. </w:t>
      </w:r>
    </w:p>
    <w:p w14:paraId="53FDE195" w14:textId="77777777" w:rsidR="00A679FE" w:rsidRDefault="00A679FE" w:rsidP="00A679FE">
      <w:pPr>
        <w:pStyle w:val="Bibliography"/>
      </w:pPr>
      <w:r>
        <w:t xml:space="preserve">34. </w:t>
      </w:r>
      <w:r>
        <w:tab/>
        <w:t xml:space="preserve">LV B, Wang Y, Ma D, Cheng W, Liu J, Yong T, et al. Immunotherapy: Reshape the Tumor Immune Microenvironment. Front Immunol. 2022 Jul 6;13:844142. </w:t>
      </w:r>
    </w:p>
    <w:p w14:paraId="4DC3F888" w14:textId="77777777" w:rsidR="00A679FE" w:rsidRDefault="00A679FE" w:rsidP="00A679FE">
      <w:pPr>
        <w:pStyle w:val="Bibliography"/>
      </w:pPr>
      <w:r>
        <w:t xml:space="preserve">35. </w:t>
      </w:r>
      <w:r>
        <w:tab/>
        <w:t xml:space="preserve">Elechi KW, Igboaka CD, Tiamiyu BB, Ugbor MJE, Arthur C, Ezeh OM, et al. Phytochemical Screening of Ficus globosa Latex (Moraceae) as a Source of Novel Antimicrobial Compounds. Path of Science. 2025 Mar 31;11(3):9001–10. </w:t>
      </w:r>
    </w:p>
    <w:p w14:paraId="7222465B" w14:textId="77777777" w:rsidR="00A679FE" w:rsidRDefault="00A679FE" w:rsidP="00A679FE">
      <w:pPr>
        <w:pStyle w:val="Bibliography"/>
      </w:pPr>
      <w:r>
        <w:t xml:space="preserve">36. </w:t>
      </w:r>
      <w:r>
        <w:tab/>
        <w:t xml:space="preserve">Lu J, Luo Y, Rao D, Wang T, Lei Z, Chen X, et al. Myeloid-derived suppressor cells in cancer: therapeutic targets to overcome tumor immune evasion. Exp Hematol Oncol. 2024 Apr 12;13:39. </w:t>
      </w:r>
    </w:p>
    <w:p w14:paraId="27F1FFCE" w14:textId="77777777" w:rsidR="00A679FE" w:rsidRDefault="00A679FE" w:rsidP="00A679FE">
      <w:pPr>
        <w:pStyle w:val="Bibliography"/>
      </w:pPr>
      <w:r>
        <w:t xml:space="preserve">37. </w:t>
      </w:r>
      <w:r>
        <w:tab/>
        <w:t xml:space="preserve">Lawal OP, Ahmed NK, Ilesanmi TA, Anthony GI, Nwosu SN, Ogungbemiro FO, et al. The Impact of Antimicrobial Resistance on Cancer Treatment: A Systematic Review of Current Evidence and Future Directions. Asian Journal of Research in Medical and Pharmaceutical Sciences. 2024 Sep 16;13(4):9–27. </w:t>
      </w:r>
    </w:p>
    <w:p w14:paraId="09EF474C" w14:textId="77777777" w:rsidR="00A679FE" w:rsidRDefault="00A679FE" w:rsidP="00A679FE">
      <w:pPr>
        <w:pStyle w:val="Bibliography"/>
      </w:pPr>
      <w:r>
        <w:t xml:space="preserve">38. </w:t>
      </w:r>
      <w:r>
        <w:tab/>
        <w:t xml:space="preserve">Xu H, Russell SN, Steiner K, O’Neill E, Jones KI. Targeting PI3K-gamma in myeloid driven tumour immune suppression: a systematic review and meta-analysis of the preclinical literature. Cancer Immunol Immunother. 2024 Aug 6;73(10):204. </w:t>
      </w:r>
    </w:p>
    <w:p w14:paraId="3B8EF0B2" w14:textId="77777777" w:rsidR="00A679FE" w:rsidRDefault="00A679FE" w:rsidP="00A679FE">
      <w:pPr>
        <w:pStyle w:val="Bibliography"/>
      </w:pPr>
      <w:r>
        <w:t xml:space="preserve">39. </w:t>
      </w:r>
      <w:r>
        <w:tab/>
        <w:t xml:space="preserve">Hull EE, Montgomery MR, Leyva KJ. HDAC Inhibitors as Epigenetic Regulators of the Immune System: Impacts on Cancer Therapy and Inflammatory Diseases. Biomed Res Int. 2016;2016:8797206. </w:t>
      </w:r>
    </w:p>
    <w:p w14:paraId="75B4BE71" w14:textId="77777777" w:rsidR="00A679FE" w:rsidRDefault="00A679FE" w:rsidP="00A679FE">
      <w:pPr>
        <w:pStyle w:val="Bibliography"/>
      </w:pPr>
      <w:r>
        <w:t xml:space="preserve">40. </w:t>
      </w:r>
      <w:r>
        <w:tab/>
        <w:t xml:space="preserve">Chu X, Tian W, Ning J, Xiao G, Zhou Y, Wang Z, et al. Cancer stem cells: advances in knowledge and implications for cancer therapy. Signal Transduct Target Ther. 2024 Jul 5;9:170. </w:t>
      </w:r>
    </w:p>
    <w:p w14:paraId="31FAF6D4" w14:textId="77777777" w:rsidR="00A679FE" w:rsidRDefault="00A679FE" w:rsidP="00A679FE">
      <w:pPr>
        <w:pStyle w:val="Bibliography"/>
      </w:pPr>
      <w:r>
        <w:t xml:space="preserve">41. </w:t>
      </w:r>
      <w:r>
        <w:tab/>
        <w:t xml:space="preserve">Kaczmarek M, Poznańska J, Fechner F, Michalska N, Paszkowska S, Napierała A, et al. Cancer Vaccine Therapeutics: Limitations and Effectiveness—A Literature Review. Cells. 2023 Aug 28;12(17):2159. </w:t>
      </w:r>
    </w:p>
    <w:p w14:paraId="03DBED93" w14:textId="77777777" w:rsidR="00A679FE" w:rsidRDefault="00A679FE" w:rsidP="00A679FE">
      <w:pPr>
        <w:pStyle w:val="Bibliography"/>
      </w:pPr>
      <w:r>
        <w:t xml:space="preserve">42. </w:t>
      </w:r>
      <w:r>
        <w:tab/>
        <w:t xml:space="preserve">Wu B, Zhang B, Li B, Wu H, Jiang M. Cold and hot tumors: from molecular mechanisms to targeted therapy. Sig Transduct Target Ther. 2024 Oct 18;9(1):274. </w:t>
      </w:r>
    </w:p>
    <w:p w14:paraId="2735C99D" w14:textId="77777777" w:rsidR="00A679FE" w:rsidRDefault="00A679FE" w:rsidP="00A679FE">
      <w:pPr>
        <w:pStyle w:val="Bibliography"/>
      </w:pPr>
      <w:r>
        <w:t xml:space="preserve">43. </w:t>
      </w:r>
      <w:r>
        <w:tab/>
        <w:t xml:space="preserve">Yin G, Huang J, Petela J, Jiang H, Zhang Y, Gong S, et al. Targeting small GTPases: emerging grasps on previously untamable targets, pioneered by KRAS. Sig Transduct Target Ther. 2023 May 23;8(1):212. </w:t>
      </w:r>
    </w:p>
    <w:p w14:paraId="55846220" w14:textId="77777777" w:rsidR="00A679FE" w:rsidRDefault="00A679FE" w:rsidP="00A679FE">
      <w:pPr>
        <w:pStyle w:val="Bibliography"/>
      </w:pPr>
      <w:r>
        <w:t xml:space="preserve">44. </w:t>
      </w:r>
      <w:r>
        <w:tab/>
        <w:t xml:space="preserve">Liu Z, Hu M, Yang Y, Du C, Zhou H, Liu C, et al. An overview of PROTACs: a promising drug discovery paradigm. Mol Biomed. 2022 Dec 20;3:46. </w:t>
      </w:r>
    </w:p>
    <w:p w14:paraId="52B55A83" w14:textId="77777777" w:rsidR="00A679FE" w:rsidRDefault="00A679FE" w:rsidP="00A679FE">
      <w:pPr>
        <w:pStyle w:val="Bibliography"/>
      </w:pPr>
      <w:r>
        <w:lastRenderedPageBreak/>
        <w:t xml:space="preserve">45. </w:t>
      </w:r>
      <w:r>
        <w:tab/>
        <w:t xml:space="preserve">Sen S, Xavier J, Kumar N, Ahmad MZ, Ranjan OP. Exosomes as natural nanocarrier-based drug delivery system: recent insights and future perspectives. 3 Biotech. 2023 Mar;13(3):101. </w:t>
      </w:r>
    </w:p>
    <w:p w14:paraId="125E3B38" w14:textId="77777777" w:rsidR="00A679FE" w:rsidRDefault="00A679FE" w:rsidP="00A679FE">
      <w:pPr>
        <w:pStyle w:val="Bibliography"/>
      </w:pPr>
      <w:r>
        <w:t xml:space="preserve">46. </w:t>
      </w:r>
      <w:r>
        <w:tab/>
        <w:t xml:space="preserve">Lawal OP, Orobator ET, Dorcas SI, Ezeamii VC, Foster-Pagaebi E, Attahiru M. Orphan Drug Development for Rare Diseases: Therapeutic Challenges, Translational Strategies, and Global Health Equity. Journal of Life Science and Public Health. 2025 Jun 30;1(1):1–9. </w:t>
      </w:r>
    </w:p>
    <w:p w14:paraId="44128ED6" w14:textId="77777777" w:rsidR="00A679FE" w:rsidRDefault="00A679FE" w:rsidP="00A679FE">
      <w:pPr>
        <w:pStyle w:val="Bibliography"/>
      </w:pPr>
      <w:r>
        <w:t xml:space="preserve">47. </w:t>
      </w:r>
      <w:r>
        <w:tab/>
        <w:t xml:space="preserve">Colleoni A, Galli G, Dallanoce C, De Amici M, Gorostiza P, Matera C. Light‐Activated Pharmacological Tools for Exploring the Cholinergic System. Med Res Rev. 2025 Jul;45(4):1251–74. </w:t>
      </w:r>
    </w:p>
    <w:p w14:paraId="16FE8A20" w14:textId="77777777" w:rsidR="00A679FE" w:rsidRDefault="00A679FE" w:rsidP="00A679FE">
      <w:pPr>
        <w:pStyle w:val="Bibliography"/>
      </w:pPr>
      <w:r>
        <w:t xml:space="preserve">48. </w:t>
      </w:r>
      <w:r>
        <w:tab/>
        <w:t xml:space="preserve">Chelliah V, Lazarou G, Bhatnagar S, Gibbs JP, Nijsen M, Ray A, et al. Quantitative Systems Pharmacology Approaches for Immuno‐Oncology: Adding Virtual Patients to the Development Paradigm. Clin Pharmacol Ther. 2021 Mar;109(3):605–18. </w:t>
      </w:r>
    </w:p>
    <w:p w14:paraId="3E05B40F" w14:textId="77777777" w:rsidR="00A679FE" w:rsidRDefault="00A679FE" w:rsidP="00A679FE">
      <w:pPr>
        <w:pStyle w:val="Bibliography"/>
      </w:pPr>
      <w:r>
        <w:t xml:space="preserve">49. </w:t>
      </w:r>
      <w:r>
        <w:tab/>
        <w:t xml:space="preserve">Wang Q, Shao X, Zhang Y, Zhu M, Wang FXC, Mu J, et al. Role of tumor microenvironment in cancer progression and therapeutic strategy. Cancer Med. 2023 Feb 21;12(10):11149–65. </w:t>
      </w:r>
    </w:p>
    <w:p w14:paraId="7BD97365" w14:textId="77777777" w:rsidR="00A679FE" w:rsidRDefault="00A679FE" w:rsidP="00A679FE">
      <w:pPr>
        <w:pStyle w:val="Bibliography"/>
      </w:pPr>
      <w:r>
        <w:t xml:space="preserve">50. </w:t>
      </w:r>
      <w:r>
        <w:tab/>
        <w:t xml:space="preserve">Kim SK, Cho SW. The Evasion Mechanisms of Cancer Immunity and Drug Intervention in the Tumor Microenvironment. Front Pharmacol. 2022 May 24;13:868695. </w:t>
      </w:r>
    </w:p>
    <w:p w14:paraId="602CE2A0" w14:textId="77777777" w:rsidR="00A679FE" w:rsidRDefault="00A679FE" w:rsidP="00A679FE">
      <w:pPr>
        <w:pStyle w:val="Bibliography"/>
      </w:pPr>
      <w:r>
        <w:t xml:space="preserve">51. </w:t>
      </w:r>
      <w:r>
        <w:tab/>
        <w:t xml:space="preserve">Ayomide IT, Promise LO, Christopher AA, Okikiola PP, Esther AD, Favour AC, et al. The Impact of Antimicrobial Resistance on Co-INFECTIONS: Management Strategies for HIV, TB and Malaria. International Journal of Pathogen Research. 2024 Nov 29;13(6):117–28. </w:t>
      </w:r>
    </w:p>
    <w:p w14:paraId="34FEF48F" w14:textId="77777777" w:rsidR="00A679FE" w:rsidRDefault="00A679FE" w:rsidP="00A679FE">
      <w:pPr>
        <w:pStyle w:val="Bibliography"/>
      </w:pPr>
      <w:r>
        <w:t xml:space="preserve">52. </w:t>
      </w:r>
      <w:r>
        <w:tab/>
        <w:t xml:space="preserve">Anand U, Dey A, Chandel AKS, Sanyal R, Mishra A, Pandey DK, et al. Cancer chemotherapy and beyond: Current status, drug candidates, associated risks and progress in targeted therapeutics. Genes Dis. 2022 Mar 18;10(4):1367–401. </w:t>
      </w:r>
    </w:p>
    <w:p w14:paraId="33F8E306" w14:textId="77777777" w:rsidR="00A679FE" w:rsidRDefault="00A679FE" w:rsidP="00A679FE">
      <w:pPr>
        <w:pStyle w:val="Bibliography"/>
      </w:pPr>
      <w:r>
        <w:t xml:space="preserve">53. </w:t>
      </w:r>
      <w:r>
        <w:tab/>
        <w:t xml:space="preserve">Jörg M, Madden KS. The right tools for the job: the central role for next generation chemical probes and chemistry-based target deconvolution methods in phenotypic drug discovery. RSC Med Chem. 12(5):646–65. </w:t>
      </w:r>
    </w:p>
    <w:p w14:paraId="6E2A252F" w14:textId="77777777" w:rsidR="00A679FE" w:rsidRDefault="00A679FE" w:rsidP="00A679FE">
      <w:pPr>
        <w:pStyle w:val="Bibliography"/>
      </w:pPr>
      <w:r>
        <w:t xml:space="preserve">54. </w:t>
      </w:r>
      <w:r>
        <w:tab/>
        <w:t xml:space="preserve">Stephen J, Kanu I, Onyedum NN, Orobator ET, Rono C, Ngwoke CF, et al. Role of HLA Class I Molecule in Cancer: Implications for Cancer Immunotherapy. Journal of Cancer and Tumor International. 2025 Jun 20;15(3):10–25. </w:t>
      </w:r>
    </w:p>
    <w:p w14:paraId="61E16B44" w14:textId="77777777" w:rsidR="00A679FE" w:rsidRDefault="00A679FE" w:rsidP="00A679FE">
      <w:pPr>
        <w:pStyle w:val="Bibliography"/>
      </w:pPr>
      <w:r>
        <w:t xml:space="preserve">55. </w:t>
      </w:r>
      <w:r>
        <w:tab/>
        <w:t xml:space="preserve">Fabiyi TO, Oyebode MO, Fabiyi KO, Akinwale DA, Adeoye DC, Ibekwe PMR, et al. Artificial Intelligence and Machine Learning in Personalized Medicine: Emerging Technologies and Applications. Journal of Cancer and Tumor International. 2025 Jul 8;15(3):124–36. </w:t>
      </w:r>
    </w:p>
    <w:p w14:paraId="1FDCFED3" w14:textId="77777777" w:rsidR="00A679FE" w:rsidRDefault="00A679FE" w:rsidP="00A679FE">
      <w:pPr>
        <w:pStyle w:val="Bibliography"/>
      </w:pPr>
      <w:r>
        <w:t xml:space="preserve">56. </w:t>
      </w:r>
      <w:r>
        <w:tab/>
        <w:t xml:space="preserve">Badru MD, Lawal TA, Chidimma UN, Badmus MJ, Ene FE, Anyirionye DC, et al. Why Cancer Immunotherapy Fails?: Mechanisms of Resistance and Emerging Reversal Strategies. Journal of Cancer and Tumor International. 2025 Jul 8;15(3):113–23. </w:t>
      </w:r>
    </w:p>
    <w:p w14:paraId="4D9DE92B" w14:textId="3E8602F6" w:rsidR="00A679FE" w:rsidRDefault="00A679FE" w:rsidP="002734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41A7BE13" w14:textId="5B33AD0D" w:rsidR="00A679FE" w:rsidRDefault="00A679FE" w:rsidP="002734BF">
      <w:pPr>
        <w:spacing w:after="0" w:line="240" w:lineRule="auto"/>
        <w:jc w:val="both"/>
        <w:rPr>
          <w:rFonts w:ascii="Times New Roman" w:eastAsia="Times New Roman" w:hAnsi="Times New Roman" w:cs="Times New Roman"/>
          <w:sz w:val="24"/>
          <w:szCs w:val="24"/>
        </w:rPr>
      </w:pPr>
    </w:p>
    <w:p w14:paraId="6882B6DE" w14:textId="77777777" w:rsidR="00A679FE" w:rsidRPr="00256D33" w:rsidRDefault="00A679FE" w:rsidP="002734BF">
      <w:pPr>
        <w:spacing w:after="0" w:line="240" w:lineRule="auto"/>
        <w:jc w:val="both"/>
        <w:rPr>
          <w:rFonts w:ascii="Times New Roman" w:eastAsia="Times New Roman" w:hAnsi="Times New Roman" w:cs="Times New Roman"/>
          <w:sz w:val="24"/>
          <w:szCs w:val="24"/>
        </w:rPr>
      </w:pPr>
    </w:p>
    <w:p w14:paraId="08AF5CF5" w14:textId="77777777" w:rsidR="00AC2012" w:rsidRDefault="00AC2012" w:rsidP="002734BF">
      <w:pPr>
        <w:spacing w:before="100" w:beforeAutospacing="1" w:after="100" w:afterAutospacing="1" w:line="240" w:lineRule="auto"/>
        <w:jc w:val="both"/>
      </w:pPr>
    </w:p>
    <w:sectPr w:rsidR="00AC20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94265" w14:textId="77777777" w:rsidR="006C40D2" w:rsidRDefault="006C40D2" w:rsidP="00924F01">
      <w:pPr>
        <w:spacing w:after="0" w:line="240" w:lineRule="auto"/>
      </w:pPr>
      <w:r>
        <w:separator/>
      </w:r>
    </w:p>
  </w:endnote>
  <w:endnote w:type="continuationSeparator" w:id="0">
    <w:p w14:paraId="588B9843" w14:textId="77777777" w:rsidR="006C40D2" w:rsidRDefault="006C40D2" w:rsidP="00924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46230" w14:textId="77777777" w:rsidR="00B00422" w:rsidRDefault="00B00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4DA92" w14:textId="77777777" w:rsidR="00B00422" w:rsidRDefault="00B00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AC789" w14:textId="77777777" w:rsidR="00B00422" w:rsidRDefault="00B00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E426C" w14:textId="77777777" w:rsidR="006C40D2" w:rsidRDefault="006C40D2" w:rsidP="00924F01">
      <w:pPr>
        <w:spacing w:after="0" w:line="240" w:lineRule="auto"/>
      </w:pPr>
      <w:r>
        <w:separator/>
      </w:r>
    </w:p>
  </w:footnote>
  <w:footnote w:type="continuationSeparator" w:id="0">
    <w:p w14:paraId="24749F82" w14:textId="77777777" w:rsidR="006C40D2" w:rsidRDefault="006C40D2" w:rsidP="00924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E05E3" w14:textId="2B93BC51" w:rsidR="00B00422" w:rsidRDefault="00B00422">
    <w:pPr>
      <w:pStyle w:val="Header"/>
    </w:pPr>
    <w:r>
      <w:rPr>
        <w:noProof/>
      </w:rPr>
      <w:pict w14:anchorId="06815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609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0FE4" w14:textId="30FC8C9A" w:rsidR="00B00422" w:rsidRDefault="00B00422">
    <w:pPr>
      <w:pStyle w:val="Header"/>
    </w:pPr>
    <w:r>
      <w:rPr>
        <w:noProof/>
      </w:rPr>
      <w:pict w14:anchorId="74E93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60912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A8062" w14:textId="6E159A02" w:rsidR="00B00422" w:rsidRDefault="00B00422">
    <w:pPr>
      <w:pStyle w:val="Header"/>
    </w:pPr>
    <w:r>
      <w:rPr>
        <w:noProof/>
      </w:rPr>
      <w:pict w14:anchorId="2A287B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609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2E8"/>
    <w:rsid w:val="00005F2D"/>
    <w:rsid w:val="00080D2F"/>
    <w:rsid w:val="000A40F0"/>
    <w:rsid w:val="000B7B89"/>
    <w:rsid w:val="00131163"/>
    <w:rsid w:val="0014656B"/>
    <w:rsid w:val="00151DA1"/>
    <w:rsid w:val="001542CD"/>
    <w:rsid w:val="001C5D8E"/>
    <w:rsid w:val="001F0122"/>
    <w:rsid w:val="00256D33"/>
    <w:rsid w:val="002734BF"/>
    <w:rsid w:val="002D476C"/>
    <w:rsid w:val="002D76DF"/>
    <w:rsid w:val="00367B40"/>
    <w:rsid w:val="00401AEC"/>
    <w:rsid w:val="00411137"/>
    <w:rsid w:val="004579A3"/>
    <w:rsid w:val="004E14E9"/>
    <w:rsid w:val="00542EF2"/>
    <w:rsid w:val="00564006"/>
    <w:rsid w:val="0059773B"/>
    <w:rsid w:val="006222E8"/>
    <w:rsid w:val="006B2E96"/>
    <w:rsid w:val="006C40D2"/>
    <w:rsid w:val="006E05AF"/>
    <w:rsid w:val="007D1CE4"/>
    <w:rsid w:val="00816C87"/>
    <w:rsid w:val="008800A0"/>
    <w:rsid w:val="008A0E51"/>
    <w:rsid w:val="008C310E"/>
    <w:rsid w:val="00902235"/>
    <w:rsid w:val="00924F01"/>
    <w:rsid w:val="00943AF2"/>
    <w:rsid w:val="0094503C"/>
    <w:rsid w:val="00A465E4"/>
    <w:rsid w:val="00A679FE"/>
    <w:rsid w:val="00A94713"/>
    <w:rsid w:val="00AC2012"/>
    <w:rsid w:val="00B00422"/>
    <w:rsid w:val="00B3080C"/>
    <w:rsid w:val="00C67467"/>
    <w:rsid w:val="00D222C3"/>
    <w:rsid w:val="00D96C5F"/>
    <w:rsid w:val="00DE3698"/>
    <w:rsid w:val="00E175B4"/>
    <w:rsid w:val="00E25BE4"/>
    <w:rsid w:val="00E70CA8"/>
    <w:rsid w:val="00EB434C"/>
    <w:rsid w:val="00F529CA"/>
    <w:rsid w:val="00FC57A9"/>
    <w:rsid w:val="00FD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FA886F"/>
  <w15:chartTrackingRefBased/>
  <w15:docId w15:val="{E086E975-4A3F-44F3-A81C-081463A2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622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C57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22E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222E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22E8"/>
    <w:rPr>
      <w:b/>
      <w:bCs/>
    </w:rPr>
  </w:style>
  <w:style w:type="character" w:styleId="Emphasis">
    <w:name w:val="Emphasis"/>
    <w:basedOn w:val="DefaultParagraphFont"/>
    <w:uiPriority w:val="20"/>
    <w:qFormat/>
    <w:rsid w:val="006222E8"/>
    <w:rPr>
      <w:i/>
      <w:iCs/>
    </w:rPr>
  </w:style>
  <w:style w:type="paragraph" w:styleId="Header">
    <w:name w:val="header"/>
    <w:basedOn w:val="Normal"/>
    <w:link w:val="HeaderChar"/>
    <w:uiPriority w:val="99"/>
    <w:unhideWhenUsed/>
    <w:rsid w:val="00924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F01"/>
  </w:style>
  <w:style w:type="paragraph" w:styleId="Footer">
    <w:name w:val="footer"/>
    <w:basedOn w:val="Normal"/>
    <w:link w:val="FooterChar"/>
    <w:uiPriority w:val="99"/>
    <w:unhideWhenUsed/>
    <w:rsid w:val="00924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F01"/>
  </w:style>
  <w:style w:type="table" w:styleId="GridTable5Dark-Accent4">
    <w:name w:val="Grid Table 5 Dark Accent 4"/>
    <w:basedOn w:val="TableNormal"/>
    <w:uiPriority w:val="50"/>
    <w:rsid w:val="00924F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Hyperlink">
    <w:name w:val="Hyperlink"/>
    <w:basedOn w:val="DefaultParagraphFont"/>
    <w:uiPriority w:val="99"/>
    <w:unhideWhenUsed/>
    <w:rsid w:val="006E05AF"/>
    <w:rPr>
      <w:color w:val="0563C1" w:themeColor="hyperlink"/>
      <w:u w:val="single"/>
    </w:rPr>
  </w:style>
  <w:style w:type="character" w:styleId="UnresolvedMention">
    <w:name w:val="Unresolved Mention"/>
    <w:basedOn w:val="DefaultParagraphFont"/>
    <w:uiPriority w:val="99"/>
    <w:semiHidden/>
    <w:unhideWhenUsed/>
    <w:rsid w:val="006E05AF"/>
    <w:rPr>
      <w:color w:val="605E5C"/>
      <w:shd w:val="clear" w:color="auto" w:fill="E1DFDD"/>
    </w:rPr>
  </w:style>
  <w:style w:type="character" w:customStyle="1" w:styleId="Heading3Char">
    <w:name w:val="Heading 3 Char"/>
    <w:basedOn w:val="DefaultParagraphFont"/>
    <w:link w:val="Heading3"/>
    <w:uiPriority w:val="9"/>
    <w:semiHidden/>
    <w:rsid w:val="00FC57A9"/>
    <w:rPr>
      <w:rFonts w:asciiTheme="majorHAnsi" w:eastAsiaTheme="majorEastAsia" w:hAnsiTheme="majorHAnsi" w:cstheme="majorBidi"/>
      <w:color w:val="1F3763" w:themeColor="accent1" w:themeShade="7F"/>
      <w:sz w:val="24"/>
      <w:szCs w:val="24"/>
    </w:rPr>
  </w:style>
  <w:style w:type="paragraph" w:styleId="Bibliography">
    <w:name w:val="Bibliography"/>
    <w:basedOn w:val="Normal"/>
    <w:next w:val="Normal"/>
    <w:uiPriority w:val="37"/>
    <w:unhideWhenUsed/>
    <w:rsid w:val="00A679FE"/>
    <w:pPr>
      <w:tabs>
        <w:tab w:val="left" w:pos="504"/>
      </w:tabs>
      <w:spacing w:after="24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38445">
      <w:bodyDiv w:val="1"/>
      <w:marLeft w:val="0"/>
      <w:marRight w:val="0"/>
      <w:marTop w:val="0"/>
      <w:marBottom w:val="0"/>
      <w:divBdr>
        <w:top w:val="none" w:sz="0" w:space="0" w:color="auto"/>
        <w:left w:val="none" w:sz="0" w:space="0" w:color="auto"/>
        <w:bottom w:val="none" w:sz="0" w:space="0" w:color="auto"/>
        <w:right w:val="none" w:sz="0" w:space="0" w:color="auto"/>
      </w:divBdr>
    </w:div>
    <w:div w:id="68430576">
      <w:bodyDiv w:val="1"/>
      <w:marLeft w:val="0"/>
      <w:marRight w:val="0"/>
      <w:marTop w:val="0"/>
      <w:marBottom w:val="0"/>
      <w:divBdr>
        <w:top w:val="none" w:sz="0" w:space="0" w:color="auto"/>
        <w:left w:val="none" w:sz="0" w:space="0" w:color="auto"/>
        <w:bottom w:val="none" w:sz="0" w:space="0" w:color="auto"/>
        <w:right w:val="none" w:sz="0" w:space="0" w:color="auto"/>
      </w:divBdr>
    </w:div>
    <w:div w:id="78064490">
      <w:bodyDiv w:val="1"/>
      <w:marLeft w:val="0"/>
      <w:marRight w:val="0"/>
      <w:marTop w:val="0"/>
      <w:marBottom w:val="0"/>
      <w:divBdr>
        <w:top w:val="none" w:sz="0" w:space="0" w:color="auto"/>
        <w:left w:val="none" w:sz="0" w:space="0" w:color="auto"/>
        <w:bottom w:val="none" w:sz="0" w:space="0" w:color="auto"/>
        <w:right w:val="none" w:sz="0" w:space="0" w:color="auto"/>
      </w:divBdr>
    </w:div>
    <w:div w:id="359165190">
      <w:bodyDiv w:val="1"/>
      <w:marLeft w:val="0"/>
      <w:marRight w:val="0"/>
      <w:marTop w:val="0"/>
      <w:marBottom w:val="0"/>
      <w:divBdr>
        <w:top w:val="none" w:sz="0" w:space="0" w:color="auto"/>
        <w:left w:val="none" w:sz="0" w:space="0" w:color="auto"/>
        <w:bottom w:val="none" w:sz="0" w:space="0" w:color="auto"/>
        <w:right w:val="none" w:sz="0" w:space="0" w:color="auto"/>
      </w:divBdr>
    </w:div>
    <w:div w:id="382795839">
      <w:bodyDiv w:val="1"/>
      <w:marLeft w:val="0"/>
      <w:marRight w:val="0"/>
      <w:marTop w:val="0"/>
      <w:marBottom w:val="0"/>
      <w:divBdr>
        <w:top w:val="none" w:sz="0" w:space="0" w:color="auto"/>
        <w:left w:val="none" w:sz="0" w:space="0" w:color="auto"/>
        <w:bottom w:val="none" w:sz="0" w:space="0" w:color="auto"/>
        <w:right w:val="none" w:sz="0" w:space="0" w:color="auto"/>
      </w:divBdr>
    </w:div>
    <w:div w:id="551501255">
      <w:bodyDiv w:val="1"/>
      <w:marLeft w:val="0"/>
      <w:marRight w:val="0"/>
      <w:marTop w:val="0"/>
      <w:marBottom w:val="0"/>
      <w:divBdr>
        <w:top w:val="none" w:sz="0" w:space="0" w:color="auto"/>
        <w:left w:val="none" w:sz="0" w:space="0" w:color="auto"/>
        <w:bottom w:val="none" w:sz="0" w:space="0" w:color="auto"/>
        <w:right w:val="none" w:sz="0" w:space="0" w:color="auto"/>
      </w:divBdr>
    </w:div>
    <w:div w:id="626660437">
      <w:bodyDiv w:val="1"/>
      <w:marLeft w:val="0"/>
      <w:marRight w:val="0"/>
      <w:marTop w:val="0"/>
      <w:marBottom w:val="0"/>
      <w:divBdr>
        <w:top w:val="none" w:sz="0" w:space="0" w:color="auto"/>
        <w:left w:val="none" w:sz="0" w:space="0" w:color="auto"/>
        <w:bottom w:val="none" w:sz="0" w:space="0" w:color="auto"/>
        <w:right w:val="none" w:sz="0" w:space="0" w:color="auto"/>
      </w:divBdr>
    </w:div>
    <w:div w:id="909269604">
      <w:bodyDiv w:val="1"/>
      <w:marLeft w:val="0"/>
      <w:marRight w:val="0"/>
      <w:marTop w:val="0"/>
      <w:marBottom w:val="0"/>
      <w:divBdr>
        <w:top w:val="none" w:sz="0" w:space="0" w:color="auto"/>
        <w:left w:val="none" w:sz="0" w:space="0" w:color="auto"/>
        <w:bottom w:val="none" w:sz="0" w:space="0" w:color="auto"/>
        <w:right w:val="none" w:sz="0" w:space="0" w:color="auto"/>
      </w:divBdr>
    </w:div>
    <w:div w:id="988708719">
      <w:bodyDiv w:val="1"/>
      <w:marLeft w:val="0"/>
      <w:marRight w:val="0"/>
      <w:marTop w:val="0"/>
      <w:marBottom w:val="0"/>
      <w:divBdr>
        <w:top w:val="none" w:sz="0" w:space="0" w:color="auto"/>
        <w:left w:val="none" w:sz="0" w:space="0" w:color="auto"/>
        <w:bottom w:val="none" w:sz="0" w:space="0" w:color="auto"/>
        <w:right w:val="none" w:sz="0" w:space="0" w:color="auto"/>
      </w:divBdr>
    </w:div>
    <w:div w:id="1015234716">
      <w:bodyDiv w:val="1"/>
      <w:marLeft w:val="0"/>
      <w:marRight w:val="0"/>
      <w:marTop w:val="0"/>
      <w:marBottom w:val="0"/>
      <w:divBdr>
        <w:top w:val="none" w:sz="0" w:space="0" w:color="auto"/>
        <w:left w:val="none" w:sz="0" w:space="0" w:color="auto"/>
        <w:bottom w:val="none" w:sz="0" w:space="0" w:color="auto"/>
        <w:right w:val="none" w:sz="0" w:space="0" w:color="auto"/>
      </w:divBdr>
    </w:div>
    <w:div w:id="1159619741">
      <w:bodyDiv w:val="1"/>
      <w:marLeft w:val="0"/>
      <w:marRight w:val="0"/>
      <w:marTop w:val="0"/>
      <w:marBottom w:val="0"/>
      <w:divBdr>
        <w:top w:val="none" w:sz="0" w:space="0" w:color="auto"/>
        <w:left w:val="none" w:sz="0" w:space="0" w:color="auto"/>
        <w:bottom w:val="none" w:sz="0" w:space="0" w:color="auto"/>
        <w:right w:val="none" w:sz="0" w:space="0" w:color="auto"/>
      </w:divBdr>
    </w:div>
    <w:div w:id="1176768918">
      <w:bodyDiv w:val="1"/>
      <w:marLeft w:val="0"/>
      <w:marRight w:val="0"/>
      <w:marTop w:val="0"/>
      <w:marBottom w:val="0"/>
      <w:divBdr>
        <w:top w:val="none" w:sz="0" w:space="0" w:color="auto"/>
        <w:left w:val="none" w:sz="0" w:space="0" w:color="auto"/>
        <w:bottom w:val="none" w:sz="0" w:space="0" w:color="auto"/>
        <w:right w:val="none" w:sz="0" w:space="0" w:color="auto"/>
      </w:divBdr>
    </w:div>
    <w:div w:id="1267806042">
      <w:bodyDiv w:val="1"/>
      <w:marLeft w:val="0"/>
      <w:marRight w:val="0"/>
      <w:marTop w:val="0"/>
      <w:marBottom w:val="0"/>
      <w:divBdr>
        <w:top w:val="none" w:sz="0" w:space="0" w:color="auto"/>
        <w:left w:val="none" w:sz="0" w:space="0" w:color="auto"/>
        <w:bottom w:val="none" w:sz="0" w:space="0" w:color="auto"/>
        <w:right w:val="none" w:sz="0" w:space="0" w:color="auto"/>
      </w:divBdr>
    </w:div>
    <w:div w:id="1281454347">
      <w:bodyDiv w:val="1"/>
      <w:marLeft w:val="0"/>
      <w:marRight w:val="0"/>
      <w:marTop w:val="0"/>
      <w:marBottom w:val="0"/>
      <w:divBdr>
        <w:top w:val="none" w:sz="0" w:space="0" w:color="auto"/>
        <w:left w:val="none" w:sz="0" w:space="0" w:color="auto"/>
        <w:bottom w:val="none" w:sz="0" w:space="0" w:color="auto"/>
        <w:right w:val="none" w:sz="0" w:space="0" w:color="auto"/>
      </w:divBdr>
    </w:div>
    <w:div w:id="1437943571">
      <w:bodyDiv w:val="1"/>
      <w:marLeft w:val="0"/>
      <w:marRight w:val="0"/>
      <w:marTop w:val="0"/>
      <w:marBottom w:val="0"/>
      <w:divBdr>
        <w:top w:val="none" w:sz="0" w:space="0" w:color="auto"/>
        <w:left w:val="none" w:sz="0" w:space="0" w:color="auto"/>
        <w:bottom w:val="none" w:sz="0" w:space="0" w:color="auto"/>
        <w:right w:val="none" w:sz="0" w:space="0" w:color="auto"/>
      </w:divBdr>
    </w:div>
    <w:div w:id="1480923852">
      <w:bodyDiv w:val="1"/>
      <w:marLeft w:val="0"/>
      <w:marRight w:val="0"/>
      <w:marTop w:val="0"/>
      <w:marBottom w:val="0"/>
      <w:divBdr>
        <w:top w:val="none" w:sz="0" w:space="0" w:color="auto"/>
        <w:left w:val="none" w:sz="0" w:space="0" w:color="auto"/>
        <w:bottom w:val="none" w:sz="0" w:space="0" w:color="auto"/>
        <w:right w:val="none" w:sz="0" w:space="0" w:color="auto"/>
      </w:divBdr>
    </w:div>
    <w:div w:id="1485119847">
      <w:bodyDiv w:val="1"/>
      <w:marLeft w:val="0"/>
      <w:marRight w:val="0"/>
      <w:marTop w:val="0"/>
      <w:marBottom w:val="0"/>
      <w:divBdr>
        <w:top w:val="none" w:sz="0" w:space="0" w:color="auto"/>
        <w:left w:val="none" w:sz="0" w:space="0" w:color="auto"/>
        <w:bottom w:val="none" w:sz="0" w:space="0" w:color="auto"/>
        <w:right w:val="none" w:sz="0" w:space="0" w:color="auto"/>
      </w:divBdr>
    </w:div>
    <w:div w:id="1519351199">
      <w:bodyDiv w:val="1"/>
      <w:marLeft w:val="0"/>
      <w:marRight w:val="0"/>
      <w:marTop w:val="0"/>
      <w:marBottom w:val="0"/>
      <w:divBdr>
        <w:top w:val="none" w:sz="0" w:space="0" w:color="auto"/>
        <w:left w:val="none" w:sz="0" w:space="0" w:color="auto"/>
        <w:bottom w:val="none" w:sz="0" w:space="0" w:color="auto"/>
        <w:right w:val="none" w:sz="0" w:space="0" w:color="auto"/>
      </w:divBdr>
    </w:div>
    <w:div w:id="1542741400">
      <w:bodyDiv w:val="1"/>
      <w:marLeft w:val="0"/>
      <w:marRight w:val="0"/>
      <w:marTop w:val="0"/>
      <w:marBottom w:val="0"/>
      <w:divBdr>
        <w:top w:val="none" w:sz="0" w:space="0" w:color="auto"/>
        <w:left w:val="none" w:sz="0" w:space="0" w:color="auto"/>
        <w:bottom w:val="none" w:sz="0" w:space="0" w:color="auto"/>
        <w:right w:val="none" w:sz="0" w:space="0" w:color="auto"/>
      </w:divBdr>
    </w:div>
    <w:div w:id="1543635605">
      <w:bodyDiv w:val="1"/>
      <w:marLeft w:val="0"/>
      <w:marRight w:val="0"/>
      <w:marTop w:val="0"/>
      <w:marBottom w:val="0"/>
      <w:divBdr>
        <w:top w:val="none" w:sz="0" w:space="0" w:color="auto"/>
        <w:left w:val="none" w:sz="0" w:space="0" w:color="auto"/>
        <w:bottom w:val="none" w:sz="0" w:space="0" w:color="auto"/>
        <w:right w:val="none" w:sz="0" w:space="0" w:color="auto"/>
      </w:divBdr>
    </w:div>
    <w:div w:id="1660885184">
      <w:bodyDiv w:val="1"/>
      <w:marLeft w:val="0"/>
      <w:marRight w:val="0"/>
      <w:marTop w:val="0"/>
      <w:marBottom w:val="0"/>
      <w:divBdr>
        <w:top w:val="none" w:sz="0" w:space="0" w:color="auto"/>
        <w:left w:val="none" w:sz="0" w:space="0" w:color="auto"/>
        <w:bottom w:val="none" w:sz="0" w:space="0" w:color="auto"/>
        <w:right w:val="none" w:sz="0" w:space="0" w:color="auto"/>
      </w:divBdr>
    </w:div>
    <w:div w:id="1742631857">
      <w:bodyDiv w:val="1"/>
      <w:marLeft w:val="0"/>
      <w:marRight w:val="0"/>
      <w:marTop w:val="0"/>
      <w:marBottom w:val="0"/>
      <w:divBdr>
        <w:top w:val="none" w:sz="0" w:space="0" w:color="auto"/>
        <w:left w:val="none" w:sz="0" w:space="0" w:color="auto"/>
        <w:bottom w:val="none" w:sz="0" w:space="0" w:color="auto"/>
        <w:right w:val="none" w:sz="0" w:space="0" w:color="auto"/>
      </w:divBdr>
    </w:div>
    <w:div w:id="1783963162">
      <w:bodyDiv w:val="1"/>
      <w:marLeft w:val="0"/>
      <w:marRight w:val="0"/>
      <w:marTop w:val="0"/>
      <w:marBottom w:val="0"/>
      <w:divBdr>
        <w:top w:val="none" w:sz="0" w:space="0" w:color="auto"/>
        <w:left w:val="none" w:sz="0" w:space="0" w:color="auto"/>
        <w:bottom w:val="none" w:sz="0" w:space="0" w:color="auto"/>
        <w:right w:val="none" w:sz="0" w:space="0" w:color="auto"/>
      </w:divBdr>
    </w:div>
    <w:div w:id="1838426140">
      <w:bodyDiv w:val="1"/>
      <w:marLeft w:val="0"/>
      <w:marRight w:val="0"/>
      <w:marTop w:val="0"/>
      <w:marBottom w:val="0"/>
      <w:divBdr>
        <w:top w:val="none" w:sz="0" w:space="0" w:color="auto"/>
        <w:left w:val="none" w:sz="0" w:space="0" w:color="auto"/>
        <w:bottom w:val="none" w:sz="0" w:space="0" w:color="auto"/>
        <w:right w:val="none" w:sz="0" w:space="0" w:color="auto"/>
      </w:divBdr>
    </w:div>
    <w:div w:id="1865630567">
      <w:bodyDiv w:val="1"/>
      <w:marLeft w:val="0"/>
      <w:marRight w:val="0"/>
      <w:marTop w:val="0"/>
      <w:marBottom w:val="0"/>
      <w:divBdr>
        <w:top w:val="none" w:sz="0" w:space="0" w:color="auto"/>
        <w:left w:val="none" w:sz="0" w:space="0" w:color="auto"/>
        <w:bottom w:val="none" w:sz="0" w:space="0" w:color="auto"/>
        <w:right w:val="none" w:sz="0" w:space="0" w:color="auto"/>
      </w:divBdr>
    </w:div>
    <w:div w:id="2044474820">
      <w:bodyDiv w:val="1"/>
      <w:marLeft w:val="0"/>
      <w:marRight w:val="0"/>
      <w:marTop w:val="0"/>
      <w:marBottom w:val="0"/>
      <w:divBdr>
        <w:top w:val="none" w:sz="0" w:space="0" w:color="auto"/>
        <w:left w:val="none" w:sz="0" w:space="0" w:color="auto"/>
        <w:bottom w:val="none" w:sz="0" w:space="0" w:color="auto"/>
        <w:right w:val="none" w:sz="0" w:space="0" w:color="auto"/>
      </w:divBdr>
    </w:div>
    <w:div w:id="2117483346">
      <w:bodyDiv w:val="1"/>
      <w:marLeft w:val="0"/>
      <w:marRight w:val="0"/>
      <w:marTop w:val="0"/>
      <w:marBottom w:val="0"/>
      <w:divBdr>
        <w:top w:val="none" w:sz="0" w:space="0" w:color="auto"/>
        <w:left w:val="none" w:sz="0" w:space="0" w:color="auto"/>
        <w:bottom w:val="none" w:sz="0" w:space="0" w:color="auto"/>
        <w:right w:val="none" w:sz="0" w:space="0" w:color="auto"/>
      </w:divBdr>
    </w:div>
    <w:div w:id="214541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19</Pages>
  <Words>27172</Words>
  <Characters>154882</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39</cp:revision>
  <dcterms:created xsi:type="dcterms:W3CDTF">2025-07-19T08:37:00Z</dcterms:created>
  <dcterms:modified xsi:type="dcterms:W3CDTF">2025-07-22T13:07:00Z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id="rRDLI15i"/&gt;&lt;style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