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517BA" w14:textId="77777777" w:rsidR="004F1D60" w:rsidRDefault="004F1D60" w:rsidP="004F1D60">
      <w:pPr>
        <w:spacing w:line="360" w:lineRule="auto"/>
        <w:jc w:val="center"/>
        <w:rPr>
          <w:rFonts w:asciiTheme="majorBidi" w:hAnsiTheme="majorBidi" w:cstheme="majorBidi"/>
          <w:b/>
          <w:bCs/>
          <w:sz w:val="24"/>
          <w:szCs w:val="24"/>
        </w:rPr>
      </w:pPr>
      <w:r w:rsidRPr="004F1D60">
        <w:rPr>
          <w:rFonts w:asciiTheme="majorBidi" w:hAnsiTheme="majorBidi" w:cstheme="majorBidi"/>
          <w:b/>
          <w:bCs/>
          <w:sz w:val="24"/>
          <w:szCs w:val="24"/>
        </w:rPr>
        <w:t>The relationship between Fintech, Financial Regulation and Sustainable Development: Are Regulatory sandboxes the answer in allowing new Fintech to contribute to Sustainable development?</w:t>
      </w:r>
    </w:p>
    <w:p w14:paraId="212A5E5F" w14:textId="6DA80213" w:rsidR="00344209" w:rsidRDefault="00344209" w:rsidP="00173EF5">
      <w:pPr>
        <w:spacing w:line="360" w:lineRule="auto"/>
        <w:jc w:val="center"/>
        <w:rPr>
          <w:rFonts w:asciiTheme="majorBidi" w:hAnsiTheme="majorBidi" w:cstheme="majorBidi"/>
          <w:b/>
          <w:bCs/>
          <w:sz w:val="24"/>
          <w:szCs w:val="24"/>
        </w:rPr>
      </w:pPr>
    </w:p>
    <w:p w14:paraId="616492A7" w14:textId="77777777" w:rsidR="005D21C4" w:rsidRPr="00443E54" w:rsidRDefault="005D21C4" w:rsidP="00173EF5">
      <w:pPr>
        <w:spacing w:line="360" w:lineRule="auto"/>
        <w:jc w:val="center"/>
        <w:rPr>
          <w:rFonts w:asciiTheme="majorBidi" w:hAnsiTheme="majorBidi" w:cstheme="majorBidi"/>
          <w:b/>
          <w:bCs/>
          <w:sz w:val="24"/>
          <w:szCs w:val="24"/>
        </w:rPr>
      </w:pPr>
    </w:p>
    <w:p w14:paraId="497C18C1" w14:textId="5CEF16F2" w:rsidR="004F1D60" w:rsidRDefault="004F1D60" w:rsidP="00765A9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38CE8A51" w14:textId="77777777" w:rsidR="004F1D60" w:rsidRPr="004F1D60" w:rsidRDefault="004F1D60" w:rsidP="004F1D60">
      <w:pPr>
        <w:spacing w:line="360" w:lineRule="auto"/>
        <w:rPr>
          <w:rFonts w:asciiTheme="majorBidi" w:hAnsiTheme="majorBidi" w:cstheme="majorBidi"/>
          <w:sz w:val="24"/>
          <w:szCs w:val="24"/>
          <w:lang w:val="en-US"/>
        </w:rPr>
      </w:pPr>
      <w:r w:rsidRPr="004F1D60">
        <w:rPr>
          <w:rFonts w:asciiTheme="majorBidi" w:hAnsiTheme="majorBidi" w:cstheme="majorBidi"/>
          <w:sz w:val="24"/>
          <w:szCs w:val="24"/>
          <w:lang w:val="en-US"/>
        </w:rPr>
        <w:t>Financial technology holds significant potential to advance sustainable development goals, yet regulatory frameworks struggle to balance innovation with stability and inclusion. Regulatory sandboxes have emerged as a prominent tool to facilitate Fintech experimentation, but their effectiveness in consistently driving sustainability outcomes remains contested.</w:t>
      </w:r>
      <w:r>
        <w:rPr>
          <w:rFonts w:asciiTheme="majorBidi" w:hAnsiTheme="majorBidi" w:cstheme="majorBidi"/>
          <w:sz w:val="24"/>
          <w:szCs w:val="24"/>
          <w:lang w:val="en-US"/>
        </w:rPr>
        <w:t xml:space="preserve"> </w:t>
      </w:r>
      <w:r w:rsidRPr="004F1D60">
        <w:rPr>
          <w:rFonts w:asciiTheme="majorBidi" w:hAnsiTheme="majorBidi" w:cstheme="majorBidi"/>
          <w:sz w:val="24"/>
          <w:szCs w:val="24"/>
          <w:lang w:val="en-US"/>
        </w:rPr>
        <w:t>This analysis employs a qualitative assessment of global regulatory approaches, examining sandbox structures in jurisdictions like the UK, Singapore, Kenya, Sierra Leone, and Malaysia, alongside alternative strategies. It evaluates design elements, benefits, limitations, and real-world impacts on sustainability objectives, drawing on policy documents, regulatory reports, and empirical studies.</w:t>
      </w:r>
      <w:r>
        <w:rPr>
          <w:rFonts w:asciiTheme="majorBidi" w:hAnsiTheme="majorBidi" w:cstheme="majorBidi"/>
          <w:sz w:val="24"/>
          <w:szCs w:val="24"/>
          <w:lang w:val="en-US"/>
        </w:rPr>
        <w:t xml:space="preserve"> </w:t>
      </w:r>
      <w:r w:rsidRPr="004F1D60">
        <w:rPr>
          <w:rFonts w:asciiTheme="majorBidi" w:hAnsiTheme="majorBidi" w:cstheme="majorBidi"/>
          <w:sz w:val="24"/>
          <w:szCs w:val="24"/>
          <w:lang w:val="en-US"/>
        </w:rPr>
        <w:t>Findings indicate that while sandboxes can reduce time-to-market and foster dialogue, their impact on sustainability is often indirect and constrained by access barriers, operational costs, and scalability issues. Thematic sandboxes explicitly targeting specific Sustainable Development Goals, such as financial inclusion or green finance, demonstrate greater efficacy. Sustainable outcomes are significantly enhanced when sandboxes are integrated with supervisory technology (</w:t>
      </w:r>
      <w:proofErr w:type="spellStart"/>
      <w:r w:rsidRPr="004F1D60">
        <w:rPr>
          <w:rFonts w:asciiTheme="majorBidi" w:hAnsiTheme="majorBidi" w:cstheme="majorBidi"/>
          <w:sz w:val="24"/>
          <w:szCs w:val="24"/>
          <w:lang w:val="en-US"/>
        </w:rPr>
        <w:t>SupTech</w:t>
      </w:r>
      <w:proofErr w:type="spellEnd"/>
      <w:r w:rsidRPr="004F1D60">
        <w:rPr>
          <w:rFonts w:asciiTheme="majorBidi" w:hAnsiTheme="majorBidi" w:cstheme="majorBidi"/>
          <w:sz w:val="24"/>
          <w:szCs w:val="24"/>
          <w:lang w:val="en-US"/>
        </w:rPr>
        <w:t>) for real-time monitoring, cross-border regulatory cooperation, and the embedding of mandatory sustainability metrics within core prudential frameworks, as seen in Kenya and Malaysia.</w:t>
      </w:r>
      <w:r>
        <w:rPr>
          <w:rFonts w:asciiTheme="majorBidi" w:hAnsiTheme="majorBidi" w:cstheme="majorBidi"/>
          <w:sz w:val="24"/>
          <w:szCs w:val="24"/>
          <w:lang w:val="en-US"/>
        </w:rPr>
        <w:t xml:space="preserve"> </w:t>
      </w:r>
      <w:r w:rsidRPr="004F1D60">
        <w:rPr>
          <w:rFonts w:asciiTheme="majorBidi" w:hAnsiTheme="majorBidi" w:cstheme="majorBidi"/>
          <w:sz w:val="24"/>
          <w:szCs w:val="24"/>
          <w:lang w:val="en-US"/>
        </w:rPr>
        <w:t xml:space="preserve">Regulatory sandboxes alone are insufficient. Achieving meaningful Fintech contributions to sustainability requires a systemic approach combining targeted experimentation, technological oversight tools, international collaboration, and regulatory mandates that explicitly </w:t>
      </w:r>
      <w:proofErr w:type="spellStart"/>
      <w:r w:rsidRPr="004F1D60">
        <w:rPr>
          <w:rFonts w:asciiTheme="majorBidi" w:hAnsiTheme="majorBidi" w:cstheme="majorBidi"/>
          <w:sz w:val="24"/>
          <w:szCs w:val="24"/>
          <w:lang w:val="en-US"/>
        </w:rPr>
        <w:t>prioritise</w:t>
      </w:r>
      <w:proofErr w:type="spellEnd"/>
      <w:r w:rsidRPr="004F1D60">
        <w:rPr>
          <w:rFonts w:asciiTheme="majorBidi" w:hAnsiTheme="majorBidi" w:cstheme="majorBidi"/>
          <w:sz w:val="24"/>
          <w:szCs w:val="24"/>
          <w:lang w:val="en-US"/>
        </w:rPr>
        <w:t xml:space="preserve"> and measure sustainable outcomes.</w:t>
      </w:r>
    </w:p>
    <w:p w14:paraId="669D15F9" w14:textId="77777777" w:rsidR="004F1D60" w:rsidRPr="004F1D60" w:rsidRDefault="004F1D60" w:rsidP="004F1D60">
      <w:pPr>
        <w:spacing w:line="360" w:lineRule="auto"/>
        <w:jc w:val="center"/>
        <w:rPr>
          <w:rFonts w:asciiTheme="majorBidi" w:hAnsiTheme="majorBidi" w:cstheme="majorBidi"/>
          <w:i/>
          <w:iCs/>
          <w:sz w:val="24"/>
          <w:szCs w:val="24"/>
          <w:lang w:val="en-US"/>
        </w:rPr>
      </w:pPr>
      <w:r w:rsidRPr="004F1D60">
        <w:rPr>
          <w:rFonts w:asciiTheme="majorBidi" w:hAnsiTheme="majorBidi" w:cstheme="majorBidi"/>
          <w:i/>
          <w:iCs/>
          <w:sz w:val="24"/>
          <w:szCs w:val="24"/>
          <w:lang w:val="en-US"/>
        </w:rPr>
        <w:t>Keywords: Fintech regulation, Regulatory sandboxes, Sustainable development goals, Financial inclusion, Supervisory technology (</w:t>
      </w:r>
      <w:proofErr w:type="spellStart"/>
      <w:r w:rsidRPr="004F1D60">
        <w:rPr>
          <w:rFonts w:asciiTheme="majorBidi" w:hAnsiTheme="majorBidi" w:cstheme="majorBidi"/>
          <w:i/>
          <w:iCs/>
          <w:sz w:val="24"/>
          <w:szCs w:val="24"/>
          <w:lang w:val="en-US"/>
        </w:rPr>
        <w:t>SupTech</w:t>
      </w:r>
      <w:proofErr w:type="spellEnd"/>
      <w:r w:rsidRPr="004F1D60">
        <w:rPr>
          <w:rFonts w:asciiTheme="majorBidi" w:hAnsiTheme="majorBidi" w:cstheme="majorBidi"/>
          <w:i/>
          <w:iCs/>
          <w:sz w:val="24"/>
          <w:szCs w:val="24"/>
          <w:lang w:val="en-US"/>
        </w:rPr>
        <w:t>), Cross-border cooperation, Sustainability metrics.</w:t>
      </w:r>
    </w:p>
    <w:p w14:paraId="3360D56A" w14:textId="77777777" w:rsidR="009B5330" w:rsidRDefault="009B5330" w:rsidP="00765A9B">
      <w:pPr>
        <w:spacing w:line="360" w:lineRule="auto"/>
        <w:jc w:val="both"/>
        <w:rPr>
          <w:rFonts w:asciiTheme="majorBidi" w:hAnsiTheme="majorBidi" w:cstheme="majorBidi"/>
          <w:b/>
          <w:bCs/>
          <w:sz w:val="24"/>
          <w:szCs w:val="24"/>
        </w:rPr>
      </w:pPr>
    </w:p>
    <w:p w14:paraId="24E802D3" w14:textId="77777777" w:rsidR="009B5330" w:rsidRDefault="009B5330" w:rsidP="00765A9B">
      <w:pPr>
        <w:spacing w:line="360" w:lineRule="auto"/>
        <w:jc w:val="both"/>
        <w:rPr>
          <w:rFonts w:asciiTheme="majorBidi" w:hAnsiTheme="majorBidi" w:cstheme="majorBidi"/>
          <w:b/>
          <w:bCs/>
          <w:sz w:val="24"/>
          <w:szCs w:val="24"/>
        </w:rPr>
      </w:pPr>
    </w:p>
    <w:p w14:paraId="73C11EC8" w14:textId="77777777" w:rsidR="009B5330" w:rsidRDefault="009B5330" w:rsidP="00765A9B">
      <w:pPr>
        <w:spacing w:line="360" w:lineRule="auto"/>
        <w:jc w:val="both"/>
        <w:rPr>
          <w:rFonts w:asciiTheme="majorBidi" w:hAnsiTheme="majorBidi" w:cstheme="majorBidi"/>
          <w:b/>
          <w:bCs/>
          <w:sz w:val="24"/>
          <w:szCs w:val="24"/>
        </w:rPr>
      </w:pPr>
    </w:p>
    <w:p w14:paraId="52C6DF75" w14:textId="77777777" w:rsidR="00765A9B" w:rsidRPr="00765A9B" w:rsidRDefault="00765A9B" w:rsidP="00765A9B">
      <w:pPr>
        <w:spacing w:line="360" w:lineRule="auto"/>
        <w:jc w:val="both"/>
        <w:rPr>
          <w:rFonts w:asciiTheme="majorBidi" w:hAnsiTheme="majorBidi" w:cstheme="majorBidi"/>
          <w:b/>
          <w:bCs/>
          <w:sz w:val="24"/>
          <w:szCs w:val="24"/>
        </w:rPr>
      </w:pPr>
      <w:r w:rsidRPr="00765A9B">
        <w:rPr>
          <w:rFonts w:asciiTheme="majorBidi" w:hAnsiTheme="majorBidi" w:cstheme="majorBidi"/>
          <w:b/>
          <w:bCs/>
          <w:sz w:val="24"/>
          <w:szCs w:val="24"/>
        </w:rPr>
        <w:t>INTRODUCTION</w:t>
      </w:r>
    </w:p>
    <w:p w14:paraId="32776EA3" w14:textId="77777777" w:rsidR="00765A9B" w:rsidRPr="00765A9B" w:rsidRDefault="00765A9B" w:rsidP="00AE4030">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 xml:space="preserve">The transformative influence of financial technology (Fintech) on global economic structures represents one of the most significant developments in twenty-first-century finance. Following the systemic failures exposed during the 2008 Global Financial Crisis, Fintech emerged not merely as a technological novelty but as a fundamental restructuring agent within financial services </w:t>
      </w:r>
      <w:r>
        <w:rPr>
          <w:rFonts w:asciiTheme="majorBidi" w:hAnsiTheme="majorBidi" w:cstheme="majorBidi"/>
          <w:sz w:val="24"/>
          <w:szCs w:val="24"/>
        </w:rPr>
        <w:t>(</w:t>
      </w:r>
      <w:r w:rsidRPr="00765A9B">
        <w:rPr>
          <w:rFonts w:asciiTheme="majorBidi" w:hAnsiTheme="majorBidi" w:cstheme="majorBidi"/>
          <w:sz w:val="24"/>
          <w:szCs w:val="24"/>
        </w:rPr>
        <w:t>Bhattacharjee</w:t>
      </w:r>
      <w:r>
        <w:rPr>
          <w:rFonts w:asciiTheme="majorBidi" w:hAnsiTheme="majorBidi" w:cstheme="majorBidi"/>
          <w:sz w:val="24"/>
          <w:szCs w:val="24"/>
        </w:rPr>
        <w:t xml:space="preserve"> </w:t>
      </w:r>
      <w:r w:rsidRPr="00765A9B">
        <w:rPr>
          <w:rFonts w:asciiTheme="majorBidi" w:hAnsiTheme="majorBidi" w:cstheme="majorBidi"/>
          <w:i/>
          <w:iCs/>
          <w:sz w:val="24"/>
          <w:szCs w:val="24"/>
        </w:rPr>
        <w:t>et al.,</w:t>
      </w:r>
      <w:r>
        <w:rPr>
          <w:rFonts w:asciiTheme="majorBidi" w:hAnsiTheme="majorBidi" w:cstheme="majorBidi"/>
          <w:sz w:val="24"/>
          <w:szCs w:val="24"/>
        </w:rPr>
        <w:t xml:space="preserve"> 2024; Blakstad </w:t>
      </w:r>
      <w:r w:rsidRPr="00765A9B">
        <w:rPr>
          <w:rFonts w:asciiTheme="majorBidi" w:hAnsiTheme="majorBidi" w:cstheme="majorBidi"/>
          <w:sz w:val="24"/>
          <w:szCs w:val="24"/>
        </w:rPr>
        <w:t>&amp; Allen</w:t>
      </w:r>
      <w:r>
        <w:rPr>
          <w:rFonts w:asciiTheme="majorBidi" w:hAnsiTheme="majorBidi" w:cstheme="majorBidi"/>
          <w:sz w:val="24"/>
          <w:szCs w:val="24"/>
        </w:rPr>
        <w:t>, 2018</w:t>
      </w:r>
      <w:r w:rsidRPr="00765A9B">
        <w:rPr>
          <w:rFonts w:asciiTheme="majorBidi" w:hAnsiTheme="majorBidi" w:cstheme="majorBidi"/>
          <w:sz w:val="24"/>
          <w:szCs w:val="24"/>
        </w:rPr>
        <w:t>). Its acceleration, catalysed further by the digital imperative of the COVID-19 pandemic, has precipitated profound shifts in service delivery, consumer access,</w:t>
      </w:r>
      <w:r w:rsidR="00AE4030">
        <w:rPr>
          <w:rFonts w:asciiTheme="majorBidi" w:hAnsiTheme="majorBidi" w:cstheme="majorBidi"/>
          <w:sz w:val="24"/>
          <w:szCs w:val="24"/>
        </w:rPr>
        <w:t xml:space="preserve"> and market dynamics (Tut, 2023; </w:t>
      </w:r>
      <w:r w:rsidR="00AE4030" w:rsidRPr="00AE4030">
        <w:rPr>
          <w:rFonts w:asciiTheme="majorBidi" w:hAnsiTheme="majorBidi" w:cstheme="majorBidi"/>
          <w:sz w:val="24"/>
          <w:szCs w:val="24"/>
        </w:rPr>
        <w:t>Chowdhury</w:t>
      </w:r>
      <w:r w:rsidR="00AE4030">
        <w:rPr>
          <w:rFonts w:asciiTheme="majorBidi" w:hAnsiTheme="majorBidi" w:cstheme="majorBidi"/>
          <w:sz w:val="24"/>
          <w:szCs w:val="24"/>
        </w:rPr>
        <w:t xml:space="preserve"> </w:t>
      </w:r>
      <w:r w:rsidR="00AE4030" w:rsidRPr="00AE4030">
        <w:rPr>
          <w:rFonts w:asciiTheme="majorBidi" w:hAnsiTheme="majorBidi" w:cstheme="majorBidi"/>
          <w:i/>
          <w:iCs/>
          <w:sz w:val="24"/>
          <w:szCs w:val="24"/>
        </w:rPr>
        <w:t>et al.,</w:t>
      </w:r>
      <w:r w:rsidR="00AE4030">
        <w:rPr>
          <w:rFonts w:asciiTheme="majorBidi" w:hAnsiTheme="majorBidi" w:cstheme="majorBidi"/>
          <w:sz w:val="24"/>
          <w:szCs w:val="24"/>
        </w:rPr>
        <w:t xml:space="preserve"> 2022</w:t>
      </w:r>
      <w:r w:rsidRPr="00765A9B">
        <w:rPr>
          <w:rFonts w:asciiTheme="majorBidi" w:hAnsiTheme="majorBidi" w:cstheme="majorBidi"/>
          <w:sz w:val="24"/>
          <w:szCs w:val="24"/>
        </w:rPr>
        <w:t xml:space="preserve">). </w:t>
      </w:r>
      <w:r w:rsidR="00AE4030" w:rsidRPr="00AE4030">
        <w:rPr>
          <w:rFonts w:asciiTheme="majorBidi" w:hAnsiTheme="majorBidi" w:cstheme="majorBidi"/>
          <w:sz w:val="24"/>
          <w:szCs w:val="24"/>
        </w:rPr>
        <w:t xml:space="preserve">Global fintech investment surged from $87 billion in 2020 to approximately $98 billion in 2021, </w:t>
      </w:r>
      <w:r w:rsidR="00AE4030">
        <w:rPr>
          <w:rFonts w:asciiTheme="majorBidi" w:hAnsiTheme="majorBidi" w:cstheme="majorBidi"/>
          <w:sz w:val="24"/>
          <w:szCs w:val="24"/>
        </w:rPr>
        <w:t>highlighting</w:t>
      </w:r>
      <w:r w:rsidR="00AE4030" w:rsidRPr="00AE4030">
        <w:rPr>
          <w:rFonts w:asciiTheme="majorBidi" w:hAnsiTheme="majorBidi" w:cstheme="majorBidi"/>
          <w:sz w:val="24"/>
          <w:szCs w:val="24"/>
        </w:rPr>
        <w:t xml:space="preserve"> its entrenched and expanding role in the financial services ecosystem.</w:t>
      </w:r>
      <w:r w:rsidRPr="00765A9B">
        <w:rPr>
          <w:rFonts w:asciiTheme="majorBidi" w:hAnsiTheme="majorBidi" w:cstheme="majorBidi"/>
          <w:sz w:val="24"/>
          <w:szCs w:val="24"/>
        </w:rPr>
        <w:t xml:space="preserve"> (KPMG, 2021). Yet, this rapid evolution occurs against an urgent backdrop: the imperative to align financial innovation with the United Nations Sustainable Development Goals (SDGs), particularly within emerging and developing economies where financial exclusion and environmental vulnerabilities remain acute (United Nations, 2015).</w:t>
      </w:r>
    </w:p>
    <w:p w14:paraId="2ADC229B" w14:textId="77777777" w:rsidR="00765A9B" w:rsidRPr="00765A9B" w:rsidRDefault="00765A9B" w:rsidP="00BB6030">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Regulators confront a persistent tension. On one hand, Fintech offers demonstrable pathways towards sustainability objectives</w:t>
      </w:r>
      <w:r w:rsidR="00AE4030">
        <w:rPr>
          <w:rFonts w:asciiTheme="majorBidi" w:hAnsiTheme="majorBidi" w:cstheme="majorBidi"/>
          <w:sz w:val="24"/>
          <w:szCs w:val="24"/>
        </w:rPr>
        <w:t xml:space="preserve"> (Macchiavello</w:t>
      </w:r>
      <w:r w:rsidR="00AE4030" w:rsidRPr="00AE4030">
        <w:rPr>
          <w:rFonts w:asciiTheme="majorBidi" w:hAnsiTheme="majorBidi" w:cstheme="majorBidi"/>
          <w:sz w:val="24"/>
          <w:szCs w:val="24"/>
        </w:rPr>
        <w:t xml:space="preserve"> &amp; Siri</w:t>
      </w:r>
      <w:r w:rsidR="00AE4030">
        <w:rPr>
          <w:rFonts w:asciiTheme="majorBidi" w:hAnsiTheme="majorBidi" w:cstheme="majorBidi"/>
          <w:sz w:val="24"/>
          <w:szCs w:val="24"/>
        </w:rPr>
        <w:t>, 2021)</w:t>
      </w:r>
      <w:r w:rsidRPr="00765A9B">
        <w:rPr>
          <w:rFonts w:asciiTheme="majorBidi" w:hAnsiTheme="majorBidi" w:cstheme="majorBidi"/>
          <w:sz w:val="24"/>
          <w:szCs w:val="24"/>
        </w:rPr>
        <w:t>. Mobile money platforms, exemplified by Kenya’s M-PESA, have materially</w:t>
      </w:r>
      <w:r w:rsidR="00AE4030">
        <w:rPr>
          <w:rFonts w:asciiTheme="majorBidi" w:hAnsiTheme="majorBidi" w:cstheme="majorBidi"/>
          <w:sz w:val="24"/>
          <w:szCs w:val="24"/>
        </w:rPr>
        <w:t xml:space="preserve"> advanced financial inclusion, </w:t>
      </w:r>
      <w:r w:rsidRPr="00765A9B">
        <w:rPr>
          <w:rFonts w:asciiTheme="majorBidi" w:hAnsiTheme="majorBidi" w:cstheme="majorBidi"/>
          <w:sz w:val="24"/>
          <w:szCs w:val="24"/>
        </w:rPr>
        <w:t>directly supporting SDG 1 (No Poverty) and SDG 8 (De</w:t>
      </w:r>
      <w:r w:rsidR="00AE4030">
        <w:rPr>
          <w:rFonts w:asciiTheme="majorBidi" w:hAnsiTheme="majorBidi" w:cstheme="majorBidi"/>
          <w:sz w:val="24"/>
          <w:szCs w:val="24"/>
        </w:rPr>
        <w:t>cent Work and Economic Growth),</w:t>
      </w:r>
      <w:r w:rsidRPr="00765A9B">
        <w:rPr>
          <w:rFonts w:asciiTheme="majorBidi" w:hAnsiTheme="majorBidi" w:cstheme="majorBidi"/>
          <w:sz w:val="24"/>
          <w:szCs w:val="24"/>
        </w:rPr>
        <w:t xml:space="preserve"> by providing banking access to millions previously excluded from formal systems (Jack &amp; Suri, 2014). Similarly, India’s Aadhaar-enabled Payment System (</w:t>
      </w:r>
      <w:proofErr w:type="spellStart"/>
      <w:r w:rsidRPr="00765A9B">
        <w:rPr>
          <w:rFonts w:asciiTheme="majorBidi" w:hAnsiTheme="majorBidi" w:cstheme="majorBidi"/>
          <w:sz w:val="24"/>
          <w:szCs w:val="24"/>
        </w:rPr>
        <w:t>AePS</w:t>
      </w:r>
      <w:proofErr w:type="spellEnd"/>
      <w:r w:rsidRPr="00765A9B">
        <w:rPr>
          <w:rFonts w:asciiTheme="majorBidi" w:hAnsiTheme="majorBidi" w:cstheme="majorBidi"/>
          <w:sz w:val="24"/>
          <w:szCs w:val="24"/>
        </w:rPr>
        <w:t>) and Unified Payments Interface (UPI) have reduced spatial inequalities, contributing to SDG 10 (Reduced Inequ</w:t>
      </w:r>
      <w:r w:rsidR="00AE4030">
        <w:rPr>
          <w:rFonts w:asciiTheme="majorBidi" w:hAnsiTheme="majorBidi" w:cstheme="majorBidi"/>
          <w:sz w:val="24"/>
          <w:szCs w:val="24"/>
        </w:rPr>
        <w:t>alities) (Gelb &amp; Mukherjee, 2019</w:t>
      </w:r>
      <w:r w:rsidRPr="00765A9B">
        <w:rPr>
          <w:rFonts w:asciiTheme="majorBidi" w:hAnsiTheme="majorBidi" w:cstheme="majorBidi"/>
          <w:sz w:val="24"/>
          <w:szCs w:val="24"/>
        </w:rPr>
        <w:t xml:space="preserve">). On the other hand, the inherent velocity and disruptive nature of Fintech introduce </w:t>
      </w:r>
      <w:r w:rsidR="00BB6030">
        <w:rPr>
          <w:rFonts w:asciiTheme="majorBidi" w:hAnsiTheme="majorBidi" w:cstheme="majorBidi"/>
          <w:sz w:val="24"/>
          <w:szCs w:val="24"/>
        </w:rPr>
        <w:t>intensive</w:t>
      </w:r>
      <w:r w:rsidRPr="00765A9B">
        <w:rPr>
          <w:rFonts w:asciiTheme="majorBidi" w:hAnsiTheme="majorBidi" w:cstheme="majorBidi"/>
          <w:sz w:val="24"/>
          <w:szCs w:val="24"/>
        </w:rPr>
        <w:t xml:space="preserve"> systemic risks: vulnerabilities in decentralised networks, data privacy breaches under frameworks like the GDPR, anti-money laundering (AML) complexities</w:t>
      </w:r>
      <w:r w:rsidR="00BB6030">
        <w:rPr>
          <w:rFonts w:asciiTheme="majorBidi" w:hAnsiTheme="majorBidi" w:cstheme="majorBidi"/>
          <w:sz w:val="24"/>
          <w:szCs w:val="24"/>
        </w:rPr>
        <w:t>,</w:t>
      </w:r>
      <w:r w:rsidRPr="00765A9B">
        <w:rPr>
          <w:rFonts w:asciiTheme="majorBidi" w:hAnsiTheme="majorBidi" w:cstheme="majorBidi"/>
          <w:sz w:val="24"/>
          <w:szCs w:val="24"/>
        </w:rPr>
        <w:t xml:space="preserve"> particularly concerning cryptocurrencies, and significant regulatory capacity gaps, especially outside advanced economies (Magnuson, 2018; European Union, 2016).</w:t>
      </w:r>
    </w:p>
    <w:p w14:paraId="5A286169" w14:textId="77777777" w:rsidR="00765A9B" w:rsidRPr="00765A9B" w:rsidRDefault="00765A9B" w:rsidP="00F44E42">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lastRenderedPageBreak/>
        <w:t>Consequently, a central question arises: How can financial regulat</w:t>
      </w:r>
      <w:r w:rsidR="00BB6030">
        <w:rPr>
          <w:rFonts w:asciiTheme="majorBidi" w:hAnsiTheme="majorBidi" w:cstheme="majorBidi"/>
          <w:sz w:val="24"/>
          <w:szCs w:val="24"/>
        </w:rPr>
        <w:t>ion effectively channel Fintech’</w:t>
      </w:r>
      <w:r w:rsidRPr="00765A9B">
        <w:rPr>
          <w:rFonts w:asciiTheme="majorBidi" w:hAnsiTheme="majorBidi" w:cstheme="majorBidi"/>
          <w:sz w:val="24"/>
          <w:szCs w:val="24"/>
        </w:rPr>
        <w:t>s potential towards sustainable development outcomes without stifling innovation or compromising financial st</w:t>
      </w:r>
      <w:r w:rsidR="00BB6030">
        <w:rPr>
          <w:rFonts w:asciiTheme="majorBidi" w:hAnsiTheme="majorBidi" w:cstheme="majorBidi"/>
          <w:sz w:val="24"/>
          <w:szCs w:val="24"/>
        </w:rPr>
        <w:t xml:space="preserve">ability? Regulatory sandboxes, </w:t>
      </w:r>
      <w:r w:rsidRPr="00765A9B">
        <w:rPr>
          <w:rFonts w:asciiTheme="majorBidi" w:hAnsiTheme="majorBidi" w:cstheme="majorBidi"/>
          <w:sz w:val="24"/>
          <w:szCs w:val="24"/>
        </w:rPr>
        <w:t>controlled environments permitting live testing of innovations under tem</w:t>
      </w:r>
      <w:r w:rsidR="00BB6030">
        <w:rPr>
          <w:rFonts w:asciiTheme="majorBidi" w:hAnsiTheme="majorBidi" w:cstheme="majorBidi"/>
          <w:sz w:val="24"/>
          <w:szCs w:val="24"/>
        </w:rPr>
        <w:t xml:space="preserve">porary regulatory forbearance, </w:t>
      </w:r>
      <w:r w:rsidRPr="00765A9B">
        <w:rPr>
          <w:rFonts w:asciiTheme="majorBidi" w:hAnsiTheme="majorBidi" w:cstheme="majorBidi"/>
          <w:sz w:val="24"/>
          <w:szCs w:val="24"/>
        </w:rPr>
        <w:t xml:space="preserve">have gained prominence as a potential </w:t>
      </w:r>
      <w:r w:rsidR="00BB6030">
        <w:rPr>
          <w:rFonts w:asciiTheme="majorBidi" w:hAnsiTheme="majorBidi" w:cstheme="majorBidi"/>
          <w:sz w:val="24"/>
          <w:szCs w:val="24"/>
        </w:rPr>
        <w:t>solution (Brummer &amp; Yadav, 2018</w:t>
      </w:r>
      <w:r w:rsidRPr="00765A9B">
        <w:rPr>
          <w:rFonts w:asciiTheme="majorBidi" w:hAnsiTheme="majorBidi" w:cstheme="majorBidi"/>
          <w:sz w:val="24"/>
          <w:szCs w:val="24"/>
        </w:rPr>
        <w:t xml:space="preserve">). Jurisdictions from the United Kingdom and Singapore to Kenya and Sierra Leone have adopted variants, often citing financial inclusion and sustainable finance as core rationales (Wechsler </w:t>
      </w:r>
      <w:r w:rsidRPr="00FF00D7">
        <w:rPr>
          <w:rFonts w:asciiTheme="majorBidi" w:hAnsiTheme="majorBidi" w:cstheme="majorBidi"/>
          <w:i/>
          <w:iCs/>
          <w:sz w:val="24"/>
          <w:szCs w:val="24"/>
        </w:rPr>
        <w:t>et al.,</w:t>
      </w:r>
      <w:r w:rsidRPr="00765A9B">
        <w:rPr>
          <w:rFonts w:asciiTheme="majorBidi" w:hAnsiTheme="majorBidi" w:cstheme="majorBidi"/>
          <w:sz w:val="24"/>
          <w:szCs w:val="24"/>
        </w:rPr>
        <w:t xml:space="preserve"> 2018). Nevertheless, significant debate persists regarding their efficacy, accessibility, scalability, and potential unintended consequences, such as regulatory arbitrage or unequal competitive advantages (</w:t>
      </w:r>
      <w:proofErr w:type="spellStart"/>
      <w:r w:rsidRPr="00765A9B">
        <w:rPr>
          <w:rFonts w:asciiTheme="majorBidi" w:hAnsiTheme="majorBidi" w:cstheme="majorBidi"/>
          <w:sz w:val="24"/>
          <w:szCs w:val="24"/>
        </w:rPr>
        <w:t>Gurrea</w:t>
      </w:r>
      <w:proofErr w:type="spellEnd"/>
      <w:r w:rsidRPr="00765A9B">
        <w:rPr>
          <w:rFonts w:asciiTheme="majorBidi" w:hAnsiTheme="majorBidi" w:cstheme="majorBidi"/>
          <w:sz w:val="24"/>
          <w:szCs w:val="24"/>
        </w:rPr>
        <w:t xml:space="preserve">-Martinez &amp; </w:t>
      </w:r>
      <w:proofErr w:type="spellStart"/>
      <w:r w:rsidRPr="00765A9B">
        <w:rPr>
          <w:rFonts w:asciiTheme="majorBidi" w:hAnsiTheme="majorBidi" w:cstheme="majorBidi"/>
          <w:sz w:val="24"/>
          <w:szCs w:val="24"/>
        </w:rPr>
        <w:t>Remolina</w:t>
      </w:r>
      <w:proofErr w:type="spellEnd"/>
      <w:r w:rsidRPr="00765A9B">
        <w:rPr>
          <w:rFonts w:asciiTheme="majorBidi" w:hAnsiTheme="majorBidi" w:cstheme="majorBidi"/>
          <w:sz w:val="24"/>
          <w:szCs w:val="24"/>
        </w:rPr>
        <w:t>, 2020).</w:t>
      </w:r>
    </w:p>
    <w:p w14:paraId="5A2DCF76" w14:textId="77777777" w:rsidR="00765A9B" w:rsidRDefault="00765A9B" w:rsidP="00B5485D">
      <w:pPr>
        <w:spacing w:line="360" w:lineRule="auto"/>
        <w:jc w:val="both"/>
        <w:rPr>
          <w:rFonts w:asciiTheme="majorBidi" w:hAnsiTheme="majorBidi" w:cstheme="majorBidi"/>
          <w:sz w:val="24"/>
          <w:szCs w:val="24"/>
        </w:rPr>
      </w:pPr>
      <w:r w:rsidRPr="00765A9B">
        <w:rPr>
          <w:rFonts w:asciiTheme="majorBidi" w:hAnsiTheme="majorBidi" w:cstheme="majorBidi"/>
          <w:sz w:val="24"/>
          <w:szCs w:val="24"/>
        </w:rPr>
        <w:t xml:space="preserve">This </w:t>
      </w:r>
      <w:r w:rsidR="00F44E42">
        <w:rPr>
          <w:rFonts w:asciiTheme="majorBidi" w:hAnsiTheme="majorBidi" w:cstheme="majorBidi"/>
          <w:sz w:val="24"/>
          <w:szCs w:val="24"/>
        </w:rPr>
        <w:t>research</w:t>
      </w:r>
      <w:r w:rsidRPr="00765A9B">
        <w:rPr>
          <w:rFonts w:asciiTheme="majorBidi" w:hAnsiTheme="majorBidi" w:cstheme="majorBidi"/>
          <w:sz w:val="24"/>
          <w:szCs w:val="24"/>
        </w:rPr>
        <w:t xml:space="preserve"> critically examines whether regulatory sandboxes constitute the optimal mechanism for harnessing Fintech for sustainable development. It proceeds by first establishing the conceptual triad of Fintech, regulation, and sustainability. Subsequent analysis evaluates the design, benefits, and inherent limitations of sandboxes, drawing upon global case studies. The discussion then explores complementary and alte</w:t>
      </w:r>
      <w:r w:rsidR="00F44E42">
        <w:rPr>
          <w:rFonts w:asciiTheme="majorBidi" w:hAnsiTheme="majorBidi" w:cstheme="majorBidi"/>
          <w:sz w:val="24"/>
          <w:szCs w:val="24"/>
        </w:rPr>
        <w:t xml:space="preserve">rnative regulatory strategies, </w:t>
      </w:r>
      <w:r w:rsidRPr="00765A9B">
        <w:rPr>
          <w:rFonts w:asciiTheme="majorBidi" w:hAnsiTheme="majorBidi" w:cstheme="majorBidi"/>
          <w:sz w:val="24"/>
          <w:szCs w:val="24"/>
        </w:rPr>
        <w:t>including innovation hubs, test-and-learn approaches,</w:t>
      </w:r>
      <w:r w:rsidR="00F44E42">
        <w:rPr>
          <w:rFonts w:asciiTheme="majorBidi" w:hAnsiTheme="majorBidi" w:cstheme="majorBidi"/>
          <w:sz w:val="24"/>
          <w:szCs w:val="24"/>
        </w:rPr>
        <w:t xml:space="preserve"> and cross-border cooperation, </w:t>
      </w:r>
      <w:r w:rsidRPr="00765A9B">
        <w:rPr>
          <w:rFonts w:asciiTheme="majorBidi" w:hAnsiTheme="majorBidi" w:cstheme="majorBidi"/>
          <w:sz w:val="24"/>
          <w:szCs w:val="24"/>
        </w:rPr>
        <w:t xml:space="preserve">before considering the specific complexities within the United </w:t>
      </w:r>
      <w:r w:rsidR="00F44E42">
        <w:rPr>
          <w:rFonts w:asciiTheme="majorBidi" w:hAnsiTheme="majorBidi" w:cstheme="majorBidi"/>
          <w:sz w:val="24"/>
          <w:szCs w:val="24"/>
        </w:rPr>
        <w:t>States’</w:t>
      </w:r>
      <w:r w:rsidRPr="00765A9B">
        <w:rPr>
          <w:rFonts w:asciiTheme="majorBidi" w:hAnsiTheme="majorBidi" w:cstheme="majorBidi"/>
          <w:sz w:val="24"/>
          <w:szCs w:val="24"/>
        </w:rPr>
        <w:t xml:space="preserve"> regulatory landscape. Finally, the </w:t>
      </w:r>
      <w:r w:rsidR="00B5485D">
        <w:rPr>
          <w:rFonts w:asciiTheme="majorBidi" w:hAnsiTheme="majorBidi" w:cstheme="majorBidi"/>
          <w:sz w:val="24"/>
          <w:szCs w:val="24"/>
        </w:rPr>
        <w:t xml:space="preserve">research </w:t>
      </w:r>
      <w:r w:rsidRPr="00765A9B">
        <w:rPr>
          <w:rFonts w:asciiTheme="majorBidi" w:hAnsiTheme="majorBidi" w:cstheme="majorBidi"/>
          <w:sz w:val="24"/>
          <w:szCs w:val="24"/>
        </w:rPr>
        <w:t>synthesises findings to propose actionable pathways for regulators and policymakers seeking to leverage Fintech for a more equitable and resilient financial future.</w:t>
      </w:r>
    </w:p>
    <w:p w14:paraId="2A7CC54C" w14:textId="77777777" w:rsidR="00CC7AE1" w:rsidRPr="00CC7AE1" w:rsidRDefault="00CC7AE1" w:rsidP="00CC7AE1">
      <w:pPr>
        <w:spacing w:line="360" w:lineRule="auto"/>
        <w:jc w:val="both"/>
        <w:rPr>
          <w:rFonts w:asciiTheme="majorBidi" w:hAnsiTheme="majorBidi" w:cstheme="majorBidi"/>
          <w:b/>
          <w:bCs/>
          <w:sz w:val="24"/>
          <w:szCs w:val="24"/>
        </w:rPr>
      </w:pPr>
      <w:r w:rsidRPr="00CC7AE1">
        <w:rPr>
          <w:rFonts w:asciiTheme="majorBidi" w:hAnsiTheme="majorBidi" w:cstheme="majorBidi"/>
          <w:b/>
          <w:bCs/>
          <w:sz w:val="24"/>
          <w:szCs w:val="24"/>
        </w:rPr>
        <w:t>CONCEPTUAL FRAMEWORK: FINTECH, REGULATION, AND SUSTAINABILITY</w:t>
      </w:r>
    </w:p>
    <w:p w14:paraId="0FA9CFE0" w14:textId="77777777" w:rsidR="00CC7AE1" w:rsidRPr="00CC7AE1" w:rsidRDefault="00CC7AE1" w:rsidP="00490381">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Understanding the relationship between financial technology, regulatory frameworks, and sustainable development requires clear definitions and an appreciation of their synergistic potential. Fintech represents technology-enabled innovation in financial services, fundamentally altering business models, processes, and products with material effects on markets and service delivery (Nwoke</w:t>
      </w:r>
      <w:r>
        <w:rPr>
          <w:rFonts w:asciiTheme="majorBidi" w:hAnsiTheme="majorBidi" w:cstheme="majorBidi"/>
          <w:sz w:val="24"/>
          <w:szCs w:val="24"/>
        </w:rPr>
        <w:t>, 2024; Molla</w:t>
      </w:r>
      <w:r w:rsidRPr="00CC7AE1">
        <w:rPr>
          <w:rFonts w:asciiTheme="majorBidi" w:hAnsiTheme="majorBidi" w:cstheme="majorBidi"/>
          <w:sz w:val="24"/>
          <w:szCs w:val="24"/>
        </w:rPr>
        <w:t xml:space="preserve"> &amp; Biru</w:t>
      </w:r>
      <w:r>
        <w:rPr>
          <w:rFonts w:asciiTheme="majorBidi" w:hAnsiTheme="majorBidi" w:cstheme="majorBidi"/>
          <w:sz w:val="24"/>
          <w:szCs w:val="24"/>
        </w:rPr>
        <w:t>, 2023</w:t>
      </w:r>
      <w:r w:rsidRPr="00CC7AE1">
        <w:rPr>
          <w:rFonts w:asciiTheme="majorBidi" w:hAnsiTheme="majorBidi" w:cstheme="majorBidi"/>
          <w:sz w:val="24"/>
          <w:szCs w:val="24"/>
        </w:rPr>
        <w:t xml:space="preserve">). This encompasses digital payments, peer-to-peer lending platforms, blockchain applications, algorithmic credit scoring, and </w:t>
      </w:r>
      <w:proofErr w:type="spellStart"/>
      <w:r w:rsidRPr="00CC7AE1">
        <w:rPr>
          <w:rFonts w:asciiTheme="majorBidi" w:hAnsiTheme="majorBidi" w:cstheme="majorBidi"/>
          <w:sz w:val="24"/>
          <w:szCs w:val="24"/>
        </w:rPr>
        <w:t>insurtech</w:t>
      </w:r>
      <w:proofErr w:type="spellEnd"/>
      <w:r w:rsidRPr="00CC7AE1">
        <w:rPr>
          <w:rFonts w:asciiTheme="majorBidi" w:hAnsiTheme="majorBidi" w:cstheme="majorBidi"/>
          <w:sz w:val="24"/>
          <w:szCs w:val="24"/>
        </w:rPr>
        <w:t xml:space="preserve"> solutions, fundamentally reshaping financial intermediation (</w:t>
      </w:r>
      <w:r w:rsidR="008833E9" w:rsidRPr="008833E9">
        <w:rPr>
          <w:rFonts w:asciiTheme="majorBidi" w:hAnsiTheme="majorBidi" w:cstheme="majorBidi"/>
          <w:sz w:val="24"/>
          <w:szCs w:val="24"/>
        </w:rPr>
        <w:t>Giglio</w:t>
      </w:r>
      <w:r w:rsidR="008833E9">
        <w:rPr>
          <w:rFonts w:asciiTheme="majorBidi" w:hAnsiTheme="majorBidi" w:cstheme="majorBidi"/>
          <w:sz w:val="24"/>
          <w:szCs w:val="24"/>
        </w:rPr>
        <w:t xml:space="preserve">, 2021; </w:t>
      </w:r>
      <w:r w:rsidRPr="00CC7AE1">
        <w:rPr>
          <w:rFonts w:asciiTheme="majorBidi" w:hAnsiTheme="majorBidi" w:cstheme="majorBidi"/>
          <w:sz w:val="24"/>
          <w:szCs w:val="24"/>
        </w:rPr>
        <w:t xml:space="preserve">Arner </w:t>
      </w:r>
      <w:r w:rsidRPr="008833E9">
        <w:rPr>
          <w:rFonts w:asciiTheme="majorBidi" w:hAnsiTheme="majorBidi" w:cstheme="majorBidi"/>
          <w:i/>
          <w:iCs/>
          <w:sz w:val="24"/>
          <w:szCs w:val="24"/>
        </w:rPr>
        <w:t>et al.,</w:t>
      </w:r>
      <w:r w:rsidRPr="00CC7AE1">
        <w:rPr>
          <w:rFonts w:asciiTheme="majorBidi" w:hAnsiTheme="majorBidi" w:cstheme="majorBidi"/>
          <w:sz w:val="24"/>
          <w:szCs w:val="24"/>
        </w:rPr>
        <w:t xml:space="preserve"> 2020). Its growth trajectory, catalysed by post-2008 financial system distrust and accelerated by pandemic-induced digitalisation, positions Fintech as a critical force within contemporary finance (</w:t>
      </w:r>
      <w:r w:rsidR="008833E9">
        <w:rPr>
          <w:rFonts w:asciiTheme="majorBidi" w:hAnsiTheme="majorBidi" w:cstheme="majorBidi"/>
          <w:sz w:val="24"/>
          <w:szCs w:val="24"/>
        </w:rPr>
        <w:t>Barroso</w:t>
      </w:r>
      <w:r w:rsidR="008833E9" w:rsidRPr="008833E9">
        <w:rPr>
          <w:rFonts w:asciiTheme="majorBidi" w:hAnsiTheme="majorBidi" w:cstheme="majorBidi"/>
          <w:sz w:val="24"/>
          <w:szCs w:val="24"/>
        </w:rPr>
        <w:t xml:space="preserve"> &amp; Laborda</w:t>
      </w:r>
      <w:r w:rsidR="008833E9">
        <w:rPr>
          <w:rFonts w:asciiTheme="majorBidi" w:hAnsiTheme="majorBidi" w:cstheme="majorBidi"/>
          <w:sz w:val="24"/>
          <w:szCs w:val="24"/>
        </w:rPr>
        <w:t>, 2022</w:t>
      </w:r>
      <w:r w:rsidRPr="00CC7AE1">
        <w:rPr>
          <w:rFonts w:asciiTheme="majorBidi" w:hAnsiTheme="majorBidi" w:cstheme="majorBidi"/>
          <w:sz w:val="24"/>
          <w:szCs w:val="24"/>
        </w:rPr>
        <w:t xml:space="preserve">; Feyen </w:t>
      </w:r>
      <w:r w:rsidRPr="00227576">
        <w:rPr>
          <w:rFonts w:asciiTheme="majorBidi" w:hAnsiTheme="majorBidi" w:cstheme="majorBidi"/>
          <w:i/>
          <w:iCs/>
          <w:sz w:val="24"/>
          <w:szCs w:val="24"/>
        </w:rPr>
        <w:t>et al.,</w:t>
      </w:r>
      <w:r w:rsidRPr="00CC7AE1">
        <w:rPr>
          <w:rFonts w:asciiTheme="majorBidi" w:hAnsiTheme="majorBidi" w:cstheme="majorBidi"/>
          <w:sz w:val="24"/>
          <w:szCs w:val="24"/>
        </w:rPr>
        <w:t xml:space="preserve"> 2021</w:t>
      </w:r>
      <w:r w:rsidR="008833E9">
        <w:rPr>
          <w:rFonts w:asciiTheme="majorBidi" w:hAnsiTheme="majorBidi" w:cstheme="majorBidi"/>
          <w:sz w:val="24"/>
          <w:szCs w:val="24"/>
        </w:rPr>
        <w:t xml:space="preserve">; </w:t>
      </w:r>
      <w:r w:rsidR="008833E9" w:rsidRPr="00CC7AE1">
        <w:rPr>
          <w:rFonts w:asciiTheme="majorBidi" w:hAnsiTheme="majorBidi" w:cstheme="majorBidi"/>
          <w:sz w:val="24"/>
          <w:szCs w:val="24"/>
        </w:rPr>
        <w:t>Philippon, 2016</w:t>
      </w:r>
      <w:r w:rsidRPr="00CC7AE1">
        <w:rPr>
          <w:rFonts w:asciiTheme="majorBidi" w:hAnsiTheme="majorBidi" w:cstheme="majorBidi"/>
          <w:sz w:val="24"/>
          <w:szCs w:val="24"/>
        </w:rPr>
        <w:t>).</w:t>
      </w:r>
    </w:p>
    <w:p w14:paraId="009880FF" w14:textId="77777777" w:rsidR="00CC7AE1" w:rsidRPr="00CC7AE1" w:rsidRDefault="00CC7AE1" w:rsidP="00CA3248">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lastRenderedPageBreak/>
        <w:t>Sustainable development, formally articulated through the United Nations 2030 Agenda, demands meeting present needs without compromising future generations’ abilities (United Nations, 2015). Its seventeen Sustainable Development Goals (SDGs) integrate economic progress, social equity, and environmental stewardship. Finance acts as a pivotal enabler for this agenda, facilitating essential long-term investments in renewable energy, sustainable infrastructure, and inclusive financial systems (</w:t>
      </w:r>
      <w:proofErr w:type="spellStart"/>
      <w:r w:rsidR="00B36226" w:rsidRPr="00B36226">
        <w:rPr>
          <w:rFonts w:asciiTheme="majorBidi" w:hAnsiTheme="majorBidi" w:cstheme="majorBidi"/>
          <w:sz w:val="24"/>
          <w:szCs w:val="24"/>
        </w:rPr>
        <w:t>Lagoarde-Segot</w:t>
      </w:r>
      <w:proofErr w:type="spellEnd"/>
      <w:r w:rsidR="00B36226">
        <w:rPr>
          <w:rFonts w:asciiTheme="majorBidi" w:hAnsiTheme="majorBidi" w:cstheme="majorBidi"/>
          <w:sz w:val="24"/>
          <w:szCs w:val="24"/>
        </w:rPr>
        <w:t>, 2019</w:t>
      </w:r>
      <w:r w:rsidRPr="00CC7AE1">
        <w:rPr>
          <w:rFonts w:asciiTheme="majorBidi" w:hAnsiTheme="majorBidi" w:cstheme="majorBidi"/>
          <w:sz w:val="24"/>
          <w:szCs w:val="24"/>
        </w:rPr>
        <w:t>). Consequently, aligning the transformative power of Fintech</w:t>
      </w:r>
      <w:r w:rsidR="00227576">
        <w:rPr>
          <w:rFonts w:asciiTheme="majorBidi" w:hAnsiTheme="majorBidi" w:cstheme="majorBidi"/>
          <w:sz w:val="24"/>
          <w:szCs w:val="24"/>
        </w:rPr>
        <w:t xml:space="preserve"> with sustainability objectives, </w:t>
      </w:r>
      <w:r w:rsidRPr="00CC7AE1">
        <w:rPr>
          <w:rFonts w:asciiTheme="majorBidi" w:hAnsiTheme="majorBidi" w:cstheme="majorBidi"/>
          <w:sz w:val="24"/>
          <w:szCs w:val="24"/>
        </w:rPr>
        <w:t>particula</w:t>
      </w:r>
      <w:r w:rsidR="00227576">
        <w:rPr>
          <w:rFonts w:asciiTheme="majorBidi" w:hAnsiTheme="majorBidi" w:cstheme="majorBidi"/>
          <w:sz w:val="24"/>
          <w:szCs w:val="24"/>
        </w:rPr>
        <w:t>rly financial inclusion (SDG 1,</w:t>
      </w:r>
      <w:r w:rsidRPr="00CC7AE1">
        <w:rPr>
          <w:rFonts w:asciiTheme="majorBidi" w:hAnsiTheme="majorBidi" w:cstheme="majorBidi"/>
          <w:sz w:val="24"/>
          <w:szCs w:val="24"/>
        </w:rPr>
        <w:t>8), reduced inequalities (SDG 1</w:t>
      </w:r>
      <w:r w:rsidR="00227576">
        <w:rPr>
          <w:rFonts w:asciiTheme="majorBidi" w:hAnsiTheme="majorBidi" w:cstheme="majorBidi"/>
          <w:sz w:val="24"/>
          <w:szCs w:val="24"/>
        </w:rPr>
        <w:t xml:space="preserve">0), and climate action (SDG 13), </w:t>
      </w:r>
      <w:r w:rsidRPr="00CC7AE1">
        <w:rPr>
          <w:rFonts w:asciiTheme="majorBidi" w:hAnsiTheme="majorBidi" w:cstheme="majorBidi"/>
          <w:sz w:val="24"/>
          <w:szCs w:val="24"/>
        </w:rPr>
        <w:t xml:space="preserve">has become a strategic priority for global institutions like the World Bank and IMF (Feyen </w:t>
      </w:r>
      <w:r w:rsidRPr="00193DEC">
        <w:rPr>
          <w:rFonts w:asciiTheme="majorBidi" w:hAnsiTheme="majorBidi" w:cstheme="majorBidi"/>
          <w:i/>
          <w:iCs/>
          <w:sz w:val="24"/>
          <w:szCs w:val="24"/>
        </w:rPr>
        <w:t xml:space="preserve">et al., </w:t>
      </w:r>
      <w:r w:rsidRPr="00CC7AE1">
        <w:rPr>
          <w:rFonts w:asciiTheme="majorBidi" w:hAnsiTheme="majorBidi" w:cstheme="majorBidi"/>
          <w:sz w:val="24"/>
          <w:szCs w:val="24"/>
        </w:rPr>
        <w:t xml:space="preserve">2021; Sahay </w:t>
      </w:r>
      <w:r w:rsidRPr="00193DEC">
        <w:rPr>
          <w:rFonts w:asciiTheme="majorBidi" w:hAnsiTheme="majorBidi" w:cstheme="majorBidi"/>
          <w:i/>
          <w:iCs/>
          <w:sz w:val="24"/>
          <w:szCs w:val="24"/>
        </w:rPr>
        <w:t xml:space="preserve">et al., </w:t>
      </w:r>
      <w:r w:rsidRPr="00CC7AE1">
        <w:rPr>
          <w:rFonts w:asciiTheme="majorBidi" w:hAnsiTheme="majorBidi" w:cstheme="majorBidi"/>
          <w:sz w:val="24"/>
          <w:szCs w:val="24"/>
        </w:rPr>
        <w:t>2020).</w:t>
      </w:r>
    </w:p>
    <w:p w14:paraId="75996816" w14:textId="77777777" w:rsidR="00CC7AE1" w:rsidRPr="00CC7AE1" w:rsidRDefault="00CC7AE1" w:rsidP="0060220C">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The theoretical nexus lies in Fintech’s capacity to overcome traditional barriers to sustainable finance. Digital platforms drastically lower transaction costs and extend geographic reach, enabling services for previously excluded populations (</w:t>
      </w:r>
      <w:proofErr w:type="spellStart"/>
      <w:r w:rsidRPr="00CC7AE1">
        <w:rPr>
          <w:rFonts w:asciiTheme="majorBidi" w:hAnsiTheme="majorBidi" w:cstheme="majorBidi"/>
          <w:sz w:val="24"/>
          <w:szCs w:val="24"/>
        </w:rPr>
        <w:t>Demirgüç-Kunt</w:t>
      </w:r>
      <w:proofErr w:type="spellEnd"/>
      <w:r w:rsidRPr="00CC7AE1">
        <w:rPr>
          <w:rFonts w:asciiTheme="majorBidi" w:hAnsiTheme="majorBidi" w:cstheme="majorBidi"/>
          <w:sz w:val="24"/>
          <w:szCs w:val="24"/>
        </w:rPr>
        <w:t xml:space="preserve"> </w:t>
      </w:r>
      <w:r w:rsidRPr="0053649B">
        <w:rPr>
          <w:rFonts w:asciiTheme="majorBidi" w:hAnsiTheme="majorBidi" w:cstheme="majorBidi"/>
          <w:i/>
          <w:iCs/>
          <w:sz w:val="24"/>
          <w:szCs w:val="24"/>
        </w:rPr>
        <w:t>et al.,</w:t>
      </w:r>
      <w:r w:rsidRPr="00CC7AE1">
        <w:rPr>
          <w:rFonts w:asciiTheme="majorBidi" w:hAnsiTheme="majorBidi" w:cstheme="majorBidi"/>
          <w:sz w:val="24"/>
          <w:szCs w:val="24"/>
        </w:rPr>
        <w:t xml:space="preserve"> 2022). Alternative data analytics permit credit scoring for individuals lacking formal financial histories, fostering entrepreneurship (Berg </w:t>
      </w:r>
      <w:r w:rsidRPr="00CA4185">
        <w:rPr>
          <w:rFonts w:asciiTheme="majorBidi" w:hAnsiTheme="majorBidi" w:cstheme="majorBidi"/>
          <w:i/>
          <w:iCs/>
          <w:sz w:val="24"/>
          <w:szCs w:val="24"/>
        </w:rPr>
        <w:t>et al.,</w:t>
      </w:r>
      <w:r w:rsidRPr="00CC7AE1">
        <w:rPr>
          <w:rFonts w:asciiTheme="majorBidi" w:hAnsiTheme="majorBidi" w:cstheme="majorBidi"/>
          <w:sz w:val="24"/>
          <w:szCs w:val="24"/>
        </w:rPr>
        <w:t xml:space="preserve"> 2020). Blockchain technology enhances transparency in supply chains and green bond markets, supporting environmental goals (Tapscott, 2021). Examples substantiate this potential: Kenya’s M-PESA demonstrably increased household savings and resilience to economic shocks among low-income users (Suri &amp; Jack, 2016), whi</w:t>
      </w:r>
      <w:r w:rsidR="007C260F">
        <w:rPr>
          <w:rFonts w:asciiTheme="majorBidi" w:hAnsiTheme="majorBidi" w:cstheme="majorBidi"/>
          <w:sz w:val="24"/>
          <w:szCs w:val="24"/>
        </w:rPr>
        <w:t>le India’s UPI system processed</w:t>
      </w:r>
      <w:r w:rsidR="007C260F" w:rsidRPr="007C260F">
        <w:rPr>
          <w:rFonts w:asciiTheme="majorBidi" w:hAnsiTheme="majorBidi" w:cstheme="majorBidi"/>
          <w:sz w:val="24"/>
          <w:szCs w:val="24"/>
        </w:rPr>
        <w:t xml:space="preserve"> 117.6 billion</w:t>
      </w:r>
      <w:r w:rsidR="007C260F">
        <w:rPr>
          <w:rFonts w:asciiTheme="majorBidi" w:hAnsiTheme="majorBidi" w:cstheme="majorBidi"/>
          <w:sz w:val="24"/>
          <w:szCs w:val="24"/>
        </w:rPr>
        <w:t xml:space="preserve"> </w:t>
      </w:r>
      <w:r w:rsidRPr="00CC7AE1">
        <w:rPr>
          <w:rFonts w:asciiTheme="majorBidi" w:hAnsiTheme="majorBidi" w:cstheme="majorBidi"/>
          <w:sz w:val="24"/>
          <w:szCs w:val="24"/>
        </w:rPr>
        <w:t>transactions by 2023, integrating millions into the formal economy (</w:t>
      </w:r>
      <w:r w:rsidR="007C260F" w:rsidRPr="007C260F">
        <w:rPr>
          <w:rFonts w:asciiTheme="majorBidi" w:hAnsiTheme="majorBidi" w:cstheme="majorBidi"/>
          <w:sz w:val="24"/>
          <w:szCs w:val="24"/>
        </w:rPr>
        <w:t xml:space="preserve">European </w:t>
      </w:r>
      <w:r w:rsidR="007C260F">
        <w:rPr>
          <w:rFonts w:asciiTheme="majorBidi" w:hAnsiTheme="majorBidi" w:cstheme="majorBidi"/>
          <w:sz w:val="24"/>
          <w:szCs w:val="24"/>
        </w:rPr>
        <w:t>Payments Council</w:t>
      </w:r>
      <w:r w:rsidR="007C260F" w:rsidRPr="007C260F">
        <w:rPr>
          <w:rFonts w:asciiTheme="majorBidi" w:hAnsiTheme="majorBidi" w:cstheme="majorBidi"/>
          <w:sz w:val="24"/>
          <w:szCs w:val="24"/>
        </w:rPr>
        <w:t>, 2025</w:t>
      </w:r>
      <w:r w:rsidRPr="00CC7AE1">
        <w:rPr>
          <w:rFonts w:asciiTheme="majorBidi" w:hAnsiTheme="majorBidi" w:cstheme="majorBidi"/>
          <w:sz w:val="24"/>
          <w:szCs w:val="24"/>
        </w:rPr>
        <w:t>). Platforms like Tala utilise non-traditional data to provide microloans in emerging markets, directly targeting poverty reduction (CGAP, 2020).</w:t>
      </w:r>
    </w:p>
    <w:p w14:paraId="193B0FB4" w14:textId="77777777" w:rsidR="00CC7AE1" w:rsidRDefault="00CC7AE1" w:rsidP="003F00D1">
      <w:pPr>
        <w:spacing w:line="360" w:lineRule="auto"/>
        <w:jc w:val="both"/>
        <w:rPr>
          <w:rFonts w:asciiTheme="majorBidi" w:hAnsiTheme="majorBidi" w:cstheme="majorBidi"/>
          <w:sz w:val="24"/>
          <w:szCs w:val="24"/>
        </w:rPr>
      </w:pPr>
      <w:r w:rsidRPr="00CC7AE1">
        <w:rPr>
          <w:rFonts w:asciiTheme="majorBidi" w:hAnsiTheme="majorBidi" w:cstheme="majorBidi"/>
          <w:sz w:val="24"/>
          <w:szCs w:val="24"/>
        </w:rPr>
        <w:t>However, this alignment is not automatic. Financial regulation mediates the relationship, determining whether Fintech innovations advance or undermine sustainability. Effective regulation must simul</w:t>
      </w:r>
      <w:r w:rsidR="003F00D1">
        <w:rPr>
          <w:rFonts w:asciiTheme="majorBidi" w:hAnsiTheme="majorBidi" w:cstheme="majorBidi"/>
          <w:sz w:val="24"/>
          <w:szCs w:val="24"/>
        </w:rPr>
        <w:t xml:space="preserve">taneously manage inherent risks, </w:t>
      </w:r>
      <w:r w:rsidRPr="00CC7AE1">
        <w:rPr>
          <w:rFonts w:asciiTheme="majorBidi" w:hAnsiTheme="majorBidi" w:cstheme="majorBidi"/>
          <w:sz w:val="24"/>
          <w:szCs w:val="24"/>
        </w:rPr>
        <w:t>systemic vulnerabilities in decentralised networks (Magnuson, 2018), data privacy infringements under regimes like the GDPR (European Union, 2016), anti-money launderi</w:t>
      </w:r>
      <w:r w:rsidR="003F00D1">
        <w:rPr>
          <w:rFonts w:asciiTheme="majorBidi" w:hAnsiTheme="majorBidi" w:cstheme="majorBidi"/>
          <w:sz w:val="24"/>
          <w:szCs w:val="24"/>
        </w:rPr>
        <w:t>ng challenges in crypto-assets</w:t>
      </w:r>
      <w:r w:rsidRPr="00CC7AE1">
        <w:rPr>
          <w:rFonts w:asciiTheme="majorBidi" w:hAnsiTheme="majorBidi" w:cstheme="majorBidi"/>
          <w:sz w:val="24"/>
          <w:szCs w:val="24"/>
        </w:rPr>
        <w:t xml:space="preserve"> and the digital divide </w:t>
      </w:r>
      <w:r w:rsidR="003F00D1">
        <w:rPr>
          <w:rFonts w:asciiTheme="majorBidi" w:hAnsiTheme="majorBidi" w:cstheme="majorBidi"/>
          <w:sz w:val="24"/>
          <w:szCs w:val="24"/>
        </w:rPr>
        <w:t>compounding</w:t>
      </w:r>
      <w:r w:rsidRPr="00CC7AE1">
        <w:rPr>
          <w:rFonts w:asciiTheme="majorBidi" w:hAnsiTheme="majorBidi" w:cstheme="majorBidi"/>
          <w:sz w:val="24"/>
          <w:szCs w:val="24"/>
        </w:rPr>
        <w:t xml:space="preserve"> existing in</w:t>
      </w:r>
      <w:r w:rsidR="003F00D1">
        <w:rPr>
          <w:rFonts w:asciiTheme="majorBidi" w:hAnsiTheme="majorBidi" w:cstheme="majorBidi"/>
          <w:sz w:val="24"/>
          <w:szCs w:val="24"/>
        </w:rPr>
        <w:t xml:space="preserve">equalities (Allen </w:t>
      </w:r>
      <w:r w:rsidR="003F00D1" w:rsidRPr="003F00D1">
        <w:rPr>
          <w:rFonts w:asciiTheme="majorBidi" w:hAnsiTheme="majorBidi" w:cstheme="majorBidi"/>
          <w:i/>
          <w:iCs/>
          <w:sz w:val="24"/>
          <w:szCs w:val="24"/>
        </w:rPr>
        <w:t>et al.,</w:t>
      </w:r>
      <w:r w:rsidR="003F00D1">
        <w:rPr>
          <w:rFonts w:asciiTheme="majorBidi" w:hAnsiTheme="majorBidi" w:cstheme="majorBidi"/>
          <w:sz w:val="24"/>
          <w:szCs w:val="24"/>
        </w:rPr>
        <w:t xml:space="preserve"> 2022), </w:t>
      </w:r>
      <w:r w:rsidRPr="00CC7AE1">
        <w:rPr>
          <w:rFonts w:asciiTheme="majorBidi" w:hAnsiTheme="majorBidi" w:cstheme="majorBidi"/>
          <w:sz w:val="24"/>
          <w:szCs w:val="24"/>
        </w:rPr>
        <w:t>while fostering an environment conducive to beneficial innovation. Regulatory frameworks designed for traditional finance often prove ill-suited to dynamic Fintech models, creating uncertainty or stifling development (</w:t>
      </w:r>
      <w:proofErr w:type="spellStart"/>
      <w:r w:rsidRPr="00CC7AE1">
        <w:rPr>
          <w:rFonts w:asciiTheme="majorBidi" w:hAnsiTheme="majorBidi" w:cstheme="majorBidi"/>
          <w:sz w:val="24"/>
          <w:szCs w:val="24"/>
        </w:rPr>
        <w:t>Zetzsche</w:t>
      </w:r>
      <w:proofErr w:type="spellEnd"/>
      <w:r w:rsidRPr="00CC7AE1">
        <w:rPr>
          <w:rFonts w:asciiTheme="majorBidi" w:hAnsiTheme="majorBidi" w:cstheme="majorBidi"/>
          <w:sz w:val="24"/>
          <w:szCs w:val="24"/>
        </w:rPr>
        <w:t xml:space="preserve"> </w:t>
      </w:r>
      <w:r w:rsidRPr="001B71FD">
        <w:rPr>
          <w:rFonts w:asciiTheme="majorBidi" w:hAnsiTheme="majorBidi" w:cstheme="majorBidi"/>
          <w:i/>
          <w:iCs/>
          <w:sz w:val="24"/>
          <w:szCs w:val="24"/>
        </w:rPr>
        <w:t>et al.,</w:t>
      </w:r>
      <w:r w:rsidR="00853AE8">
        <w:rPr>
          <w:rFonts w:asciiTheme="majorBidi" w:hAnsiTheme="majorBidi" w:cstheme="majorBidi"/>
          <w:sz w:val="24"/>
          <w:szCs w:val="24"/>
        </w:rPr>
        <w:t xml:space="preserve"> 2017</w:t>
      </w:r>
      <w:r w:rsidRPr="00CC7AE1">
        <w:rPr>
          <w:rFonts w:asciiTheme="majorBidi" w:hAnsiTheme="majorBidi" w:cstheme="majorBidi"/>
          <w:sz w:val="24"/>
          <w:szCs w:val="24"/>
        </w:rPr>
        <w:t xml:space="preserve">). The conceptual challenge, therefore, involves designing proportionate, adaptive regulation that safeguards stability and consumers without extinguishing Fintech’s capacity to drive financial </w:t>
      </w:r>
      <w:r w:rsidRPr="00CC7AE1">
        <w:rPr>
          <w:rFonts w:asciiTheme="majorBidi" w:hAnsiTheme="majorBidi" w:cstheme="majorBidi"/>
          <w:sz w:val="24"/>
          <w:szCs w:val="24"/>
        </w:rPr>
        <w:lastRenderedPageBreak/>
        <w:t>inclusion, direct capital towards green investments, and enhance economic opportunity equitably (</w:t>
      </w:r>
      <w:proofErr w:type="spellStart"/>
      <w:r w:rsidRPr="00CC7AE1">
        <w:rPr>
          <w:rFonts w:asciiTheme="majorBidi" w:hAnsiTheme="majorBidi" w:cstheme="majorBidi"/>
          <w:sz w:val="24"/>
          <w:szCs w:val="24"/>
        </w:rPr>
        <w:t>Avgouleas</w:t>
      </w:r>
      <w:proofErr w:type="spellEnd"/>
      <w:r w:rsidRPr="00CC7AE1">
        <w:rPr>
          <w:rFonts w:asciiTheme="majorBidi" w:hAnsiTheme="majorBidi" w:cstheme="majorBidi"/>
          <w:sz w:val="24"/>
          <w:szCs w:val="24"/>
        </w:rPr>
        <w:t xml:space="preserve">, 2019). This necessitates moving beyond static rulebooks towards responsive governance capable of evolving alongside technological and market developments (Arner </w:t>
      </w:r>
      <w:r w:rsidRPr="00D745DB">
        <w:rPr>
          <w:rFonts w:asciiTheme="majorBidi" w:hAnsiTheme="majorBidi" w:cstheme="majorBidi"/>
          <w:i/>
          <w:iCs/>
          <w:sz w:val="24"/>
          <w:szCs w:val="24"/>
        </w:rPr>
        <w:t>et al.,</w:t>
      </w:r>
      <w:r w:rsidR="00D87657">
        <w:rPr>
          <w:rFonts w:asciiTheme="majorBidi" w:hAnsiTheme="majorBidi" w:cstheme="majorBidi"/>
          <w:sz w:val="24"/>
          <w:szCs w:val="24"/>
        </w:rPr>
        <w:t xml:space="preserve"> 2020</w:t>
      </w:r>
      <w:r w:rsidRPr="00CC7AE1">
        <w:rPr>
          <w:rFonts w:asciiTheme="majorBidi" w:hAnsiTheme="majorBidi" w:cstheme="majorBidi"/>
          <w:sz w:val="24"/>
          <w:szCs w:val="24"/>
        </w:rPr>
        <w:t>).</w:t>
      </w:r>
    </w:p>
    <w:p w14:paraId="09D62737" w14:textId="77777777" w:rsidR="00D87657" w:rsidRDefault="00D87657" w:rsidP="003F00D1">
      <w:pPr>
        <w:spacing w:line="360" w:lineRule="auto"/>
        <w:jc w:val="both"/>
        <w:rPr>
          <w:rFonts w:asciiTheme="majorBidi" w:hAnsiTheme="majorBidi" w:cstheme="majorBidi"/>
          <w:sz w:val="24"/>
          <w:szCs w:val="24"/>
        </w:rPr>
      </w:pPr>
    </w:p>
    <w:p w14:paraId="77AB0CA5" w14:textId="77777777" w:rsidR="00D87657" w:rsidRPr="006E6DA7" w:rsidRDefault="000D1880" w:rsidP="003F00D1">
      <w:pPr>
        <w:spacing w:line="360" w:lineRule="auto"/>
        <w:jc w:val="both"/>
        <w:rPr>
          <w:rFonts w:asciiTheme="majorBidi" w:hAnsiTheme="majorBidi" w:cstheme="majorBidi"/>
          <w:b/>
          <w:bCs/>
          <w:sz w:val="24"/>
          <w:szCs w:val="24"/>
        </w:rPr>
      </w:pPr>
      <w:r w:rsidRPr="006E6DA7">
        <w:rPr>
          <w:rFonts w:asciiTheme="majorBidi" w:hAnsiTheme="majorBidi" w:cstheme="majorBidi"/>
          <w:b/>
          <w:bCs/>
          <w:sz w:val="24"/>
          <w:szCs w:val="24"/>
        </w:rPr>
        <w:t>REGULATORY CHALLENGES IN THE FINTECH ERA</w:t>
      </w:r>
    </w:p>
    <w:p w14:paraId="78110176" w14:textId="77777777" w:rsidR="006E6DA7" w:rsidRPr="006E6DA7" w:rsidRDefault="006E6DA7" w:rsidP="006E6DA7">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t>The integration of advanced technologies into financial services generates distinct regulatory dilemmas that transcend traditional supervisory paradigms. Financial authorities face unprecedented pressure to reconcile innovation facilitation with systemic stability and consumer protection (</w:t>
      </w:r>
      <w:proofErr w:type="spellStart"/>
      <w:r w:rsidRPr="006E6DA7">
        <w:rPr>
          <w:rFonts w:asciiTheme="majorBidi" w:hAnsiTheme="majorBidi" w:cstheme="majorBidi"/>
          <w:sz w:val="24"/>
          <w:szCs w:val="24"/>
        </w:rPr>
        <w:t>Avgouleas</w:t>
      </w:r>
      <w:proofErr w:type="spellEnd"/>
      <w:r w:rsidRPr="006E6DA7">
        <w:rPr>
          <w:rFonts w:asciiTheme="majorBidi" w:hAnsiTheme="majorBidi" w:cstheme="majorBidi"/>
          <w:sz w:val="24"/>
          <w:szCs w:val="24"/>
        </w:rPr>
        <w:t>, 2019). Three primary categories of challenges emerge: novel risk vectors, structural governance limitations, and cross-jurisdictional inconsistencies.</w:t>
      </w:r>
    </w:p>
    <w:p w14:paraId="3F71FEE2" w14:textId="77777777" w:rsidR="006E6DA7" w:rsidRPr="006E6DA7" w:rsidRDefault="006E6DA7" w:rsidP="00C910A2">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t>Technologically-driven finance introduces unique systemic vulnerabilities. Decentralised peer-to-</w:t>
      </w:r>
      <w:r w:rsidR="005627B9">
        <w:rPr>
          <w:rFonts w:asciiTheme="majorBidi" w:hAnsiTheme="majorBidi" w:cstheme="majorBidi"/>
          <w:sz w:val="24"/>
          <w:szCs w:val="24"/>
        </w:rPr>
        <w:t xml:space="preserve">peer networks, whilst reducing </w:t>
      </w:r>
      <w:r w:rsidR="00630840">
        <w:rPr>
          <w:rFonts w:asciiTheme="majorBidi" w:hAnsiTheme="majorBidi" w:cstheme="majorBidi"/>
          <w:sz w:val="24"/>
          <w:szCs w:val="24"/>
        </w:rPr>
        <w:t>“</w:t>
      </w:r>
      <w:r w:rsidR="005627B9">
        <w:rPr>
          <w:rFonts w:asciiTheme="majorBidi" w:hAnsiTheme="majorBidi" w:cstheme="majorBidi"/>
          <w:sz w:val="24"/>
          <w:szCs w:val="24"/>
        </w:rPr>
        <w:t>too big to fail</w:t>
      </w:r>
      <w:r w:rsidR="00630840">
        <w:rPr>
          <w:rFonts w:asciiTheme="majorBidi" w:hAnsiTheme="majorBidi" w:cstheme="majorBidi"/>
          <w:sz w:val="24"/>
          <w:szCs w:val="24"/>
        </w:rPr>
        <w:t>”</w:t>
      </w:r>
      <w:r w:rsidRPr="006E6DA7">
        <w:rPr>
          <w:rFonts w:asciiTheme="majorBidi" w:hAnsiTheme="majorBidi" w:cstheme="majorBidi"/>
          <w:sz w:val="24"/>
          <w:szCs w:val="24"/>
        </w:rPr>
        <w:t xml:space="preserve"> concentrations, create opaque interconnections where localised failures risk cascading across platforms (Magnuson, 2018). The 2022 collapse of several algorithmic stablecoins demonstrated how automated protocols can amplify liquidity shocks during market stress (</w:t>
      </w:r>
      <w:proofErr w:type="spellStart"/>
      <w:r w:rsidR="00E453D6">
        <w:rPr>
          <w:rFonts w:asciiTheme="majorBidi" w:hAnsiTheme="majorBidi" w:cstheme="majorBidi"/>
          <w:sz w:val="24"/>
          <w:szCs w:val="24"/>
        </w:rPr>
        <w:t>Eichengreen</w:t>
      </w:r>
      <w:proofErr w:type="spellEnd"/>
      <w:r w:rsidR="00E453D6">
        <w:rPr>
          <w:rFonts w:asciiTheme="majorBidi" w:hAnsiTheme="majorBidi" w:cstheme="majorBidi"/>
          <w:sz w:val="24"/>
          <w:szCs w:val="24"/>
        </w:rPr>
        <w:t>, Nguyen</w:t>
      </w:r>
      <w:r w:rsidR="00E453D6" w:rsidRPr="00E453D6">
        <w:rPr>
          <w:rFonts w:asciiTheme="majorBidi" w:hAnsiTheme="majorBidi" w:cstheme="majorBidi"/>
          <w:sz w:val="24"/>
          <w:szCs w:val="24"/>
        </w:rPr>
        <w:t>, &amp; Viswanath-Natraj</w:t>
      </w:r>
      <w:r w:rsidR="00E453D6">
        <w:rPr>
          <w:rFonts w:asciiTheme="majorBidi" w:hAnsiTheme="majorBidi" w:cstheme="majorBidi"/>
          <w:sz w:val="24"/>
          <w:szCs w:val="24"/>
        </w:rPr>
        <w:t>, 2025</w:t>
      </w:r>
      <w:r w:rsidRPr="006E6DA7">
        <w:rPr>
          <w:rFonts w:asciiTheme="majorBidi" w:hAnsiTheme="majorBidi" w:cstheme="majorBidi"/>
          <w:sz w:val="24"/>
          <w:szCs w:val="24"/>
        </w:rPr>
        <w:t xml:space="preserve">). Simultaneously, digital finance intensifies data governance quandaries. Regulations like the GDPR impose stringent consent and processing requirements (European Union, 2016), yet </w:t>
      </w:r>
      <w:proofErr w:type="spellStart"/>
      <w:r w:rsidRPr="006E6DA7">
        <w:rPr>
          <w:rFonts w:asciiTheme="majorBidi" w:hAnsiTheme="majorBidi" w:cstheme="majorBidi"/>
          <w:sz w:val="24"/>
          <w:szCs w:val="24"/>
        </w:rPr>
        <w:t>Fintechs</w:t>
      </w:r>
      <w:proofErr w:type="spellEnd"/>
      <w:r w:rsidRPr="006E6DA7">
        <w:rPr>
          <w:rFonts w:asciiTheme="majorBidi" w:hAnsiTheme="majorBidi" w:cstheme="majorBidi"/>
          <w:sz w:val="24"/>
          <w:szCs w:val="24"/>
        </w:rPr>
        <w:t xml:space="preserve"> frequently aggrega</w:t>
      </w:r>
      <w:r w:rsidR="00C25CA7">
        <w:rPr>
          <w:rFonts w:asciiTheme="majorBidi" w:hAnsiTheme="majorBidi" w:cstheme="majorBidi"/>
          <w:sz w:val="24"/>
          <w:szCs w:val="24"/>
        </w:rPr>
        <w:t xml:space="preserve">te non-traditional data sources, </w:t>
      </w:r>
      <w:r w:rsidRPr="006E6DA7">
        <w:rPr>
          <w:rFonts w:asciiTheme="majorBidi" w:hAnsiTheme="majorBidi" w:cstheme="majorBidi"/>
          <w:sz w:val="24"/>
          <w:szCs w:val="24"/>
        </w:rPr>
        <w:t xml:space="preserve">social media activity, utility </w:t>
      </w:r>
      <w:r w:rsidR="00C25CA7">
        <w:rPr>
          <w:rFonts w:asciiTheme="majorBidi" w:hAnsiTheme="majorBidi" w:cstheme="majorBidi"/>
          <w:sz w:val="24"/>
          <w:szCs w:val="24"/>
        </w:rPr>
        <w:t xml:space="preserve">payments, </w:t>
      </w:r>
      <w:r w:rsidR="002C2581">
        <w:rPr>
          <w:rFonts w:asciiTheme="majorBidi" w:hAnsiTheme="majorBidi" w:cstheme="majorBidi"/>
          <w:sz w:val="24"/>
          <w:szCs w:val="24"/>
        </w:rPr>
        <w:t xml:space="preserve">and </w:t>
      </w:r>
      <w:r w:rsidR="00C25CA7">
        <w:rPr>
          <w:rFonts w:asciiTheme="majorBidi" w:hAnsiTheme="majorBidi" w:cstheme="majorBidi"/>
          <w:sz w:val="24"/>
          <w:szCs w:val="24"/>
        </w:rPr>
        <w:t xml:space="preserve">mobile usage patterns, </w:t>
      </w:r>
      <w:r w:rsidRPr="006E6DA7">
        <w:rPr>
          <w:rFonts w:asciiTheme="majorBidi" w:hAnsiTheme="majorBidi" w:cstheme="majorBidi"/>
          <w:sz w:val="24"/>
          <w:szCs w:val="24"/>
        </w:rPr>
        <w:t>raising concerns about informed consent mechanisms and discriminatory algorithmic out</w:t>
      </w:r>
      <w:r w:rsidR="00C25CA7">
        <w:rPr>
          <w:rFonts w:asciiTheme="majorBidi" w:hAnsiTheme="majorBidi" w:cstheme="majorBidi"/>
          <w:sz w:val="24"/>
          <w:szCs w:val="24"/>
        </w:rPr>
        <w:t>comes (Bamberger &amp; Mulligan, 201</w:t>
      </w:r>
      <w:r w:rsidRPr="006E6DA7">
        <w:rPr>
          <w:rFonts w:asciiTheme="majorBidi" w:hAnsiTheme="majorBidi" w:cstheme="majorBidi"/>
          <w:sz w:val="24"/>
          <w:szCs w:val="24"/>
        </w:rPr>
        <w:t xml:space="preserve">0). Liability attribution remains ambiguous when data breaches or algorithmic errors cause consumer harm, with courts struggling to assign responsibility across developers, platform operators, and integrated financial institutions (Claessens </w:t>
      </w:r>
      <w:r w:rsidRPr="00E55868">
        <w:rPr>
          <w:rFonts w:asciiTheme="majorBidi" w:hAnsiTheme="majorBidi" w:cstheme="majorBidi"/>
          <w:i/>
          <w:iCs/>
          <w:sz w:val="24"/>
          <w:szCs w:val="24"/>
        </w:rPr>
        <w:t>et al.,</w:t>
      </w:r>
      <w:r w:rsidRPr="006E6DA7">
        <w:rPr>
          <w:rFonts w:asciiTheme="majorBidi" w:hAnsiTheme="majorBidi" w:cstheme="majorBidi"/>
          <w:sz w:val="24"/>
          <w:szCs w:val="24"/>
        </w:rPr>
        <w:t xml:space="preserve"> 2018).</w:t>
      </w:r>
      <w:r w:rsidR="00B22E79">
        <w:rPr>
          <w:rFonts w:asciiTheme="majorBidi" w:hAnsiTheme="majorBidi" w:cstheme="majorBidi"/>
          <w:sz w:val="24"/>
          <w:szCs w:val="24"/>
        </w:rPr>
        <w:t xml:space="preserve"> </w:t>
      </w:r>
      <w:r w:rsidRPr="006E6DA7">
        <w:rPr>
          <w:rFonts w:asciiTheme="majorBidi" w:hAnsiTheme="majorBidi" w:cstheme="majorBidi"/>
          <w:sz w:val="24"/>
          <w:szCs w:val="24"/>
        </w:rPr>
        <w:t>Anti-money laundering (AML) frameworks face particular strain. Cryptocurrency transactions reached $1.2 trillion monthly v</w:t>
      </w:r>
      <w:r w:rsidR="004B27B7">
        <w:rPr>
          <w:rFonts w:asciiTheme="majorBidi" w:hAnsiTheme="majorBidi" w:cstheme="majorBidi"/>
          <w:sz w:val="24"/>
          <w:szCs w:val="24"/>
        </w:rPr>
        <w:t>olume in 2023 (</w:t>
      </w:r>
      <w:proofErr w:type="spellStart"/>
      <w:r w:rsidR="004B27B7">
        <w:rPr>
          <w:rFonts w:asciiTheme="majorBidi" w:hAnsiTheme="majorBidi" w:cstheme="majorBidi"/>
          <w:sz w:val="24"/>
          <w:szCs w:val="24"/>
        </w:rPr>
        <w:t>Borri</w:t>
      </w:r>
      <w:proofErr w:type="spellEnd"/>
      <w:r w:rsidR="004B27B7" w:rsidRPr="004B27B7">
        <w:rPr>
          <w:rFonts w:asciiTheme="majorBidi" w:hAnsiTheme="majorBidi" w:cstheme="majorBidi"/>
          <w:sz w:val="24"/>
          <w:szCs w:val="24"/>
        </w:rPr>
        <w:t xml:space="preserve"> &amp; </w:t>
      </w:r>
      <w:proofErr w:type="spellStart"/>
      <w:r w:rsidR="004B27B7" w:rsidRPr="004B27B7">
        <w:rPr>
          <w:rFonts w:asciiTheme="majorBidi" w:hAnsiTheme="majorBidi" w:cstheme="majorBidi"/>
          <w:sz w:val="24"/>
          <w:szCs w:val="24"/>
        </w:rPr>
        <w:t>Shakhnov</w:t>
      </w:r>
      <w:proofErr w:type="spellEnd"/>
      <w:r w:rsidR="004B27B7">
        <w:rPr>
          <w:rFonts w:asciiTheme="majorBidi" w:hAnsiTheme="majorBidi" w:cstheme="majorBidi"/>
          <w:sz w:val="24"/>
          <w:szCs w:val="24"/>
        </w:rPr>
        <w:t>, 2023</w:t>
      </w:r>
      <w:r w:rsidRPr="006E6DA7">
        <w:rPr>
          <w:rFonts w:asciiTheme="majorBidi" w:hAnsiTheme="majorBidi" w:cstheme="majorBidi"/>
          <w:sz w:val="24"/>
          <w:szCs w:val="24"/>
        </w:rPr>
        <w:t xml:space="preserve">), yet jurisdictional disparities in Virtual Asset Service Provider (VASP) regulations enable regulatory arbitrage. The Financial Action Task Force’s travel rule (Recommendation 16), mandating originator/beneficiary information sharing, suffers </w:t>
      </w:r>
      <w:r w:rsidR="00A37C02">
        <w:rPr>
          <w:rFonts w:asciiTheme="majorBidi" w:hAnsiTheme="majorBidi" w:cstheme="majorBidi"/>
          <w:sz w:val="24"/>
          <w:szCs w:val="24"/>
        </w:rPr>
        <w:t xml:space="preserve">from </w:t>
      </w:r>
      <w:r w:rsidRPr="006E6DA7">
        <w:rPr>
          <w:rFonts w:asciiTheme="majorBidi" w:hAnsiTheme="majorBidi" w:cstheme="majorBidi"/>
          <w:sz w:val="24"/>
          <w:szCs w:val="24"/>
        </w:rPr>
        <w:t>patchy global implementation (FATF, 2021). This divergence was evident when the European Union’s Markets in Crypto-Assets Regulation (</w:t>
      </w:r>
      <w:proofErr w:type="spellStart"/>
      <w:r w:rsidRPr="006E6DA7">
        <w:rPr>
          <w:rFonts w:asciiTheme="majorBidi" w:hAnsiTheme="majorBidi" w:cstheme="majorBidi"/>
          <w:sz w:val="24"/>
          <w:szCs w:val="24"/>
        </w:rPr>
        <w:t>MiCA</w:t>
      </w:r>
      <w:proofErr w:type="spellEnd"/>
      <w:r w:rsidRPr="006E6DA7">
        <w:rPr>
          <w:rFonts w:asciiTheme="majorBidi" w:hAnsiTheme="majorBidi" w:cstheme="majorBidi"/>
          <w:sz w:val="24"/>
          <w:szCs w:val="24"/>
        </w:rPr>
        <w:t xml:space="preserve">) established stricter custody requirements than several Asian jurisdictions, </w:t>
      </w:r>
      <w:r w:rsidR="00A37C02">
        <w:rPr>
          <w:rFonts w:asciiTheme="majorBidi" w:hAnsiTheme="majorBidi" w:cstheme="majorBidi"/>
          <w:sz w:val="24"/>
          <w:szCs w:val="24"/>
        </w:rPr>
        <w:t>creating compliance asymmetries.</w:t>
      </w:r>
    </w:p>
    <w:p w14:paraId="134BF70D" w14:textId="77777777" w:rsidR="006E6DA7" w:rsidRPr="006E6DA7" w:rsidRDefault="006E6DA7" w:rsidP="00BD0C5B">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lastRenderedPageBreak/>
        <w:t xml:space="preserve">Structural barriers further impede effective oversight. Many regulators lack sufficient technical expertise or resources to monitor rapidly evolving technologies like decentralised finance (DeFi) protocols (Arner </w:t>
      </w:r>
      <w:r w:rsidRPr="001778E9">
        <w:rPr>
          <w:rFonts w:asciiTheme="majorBidi" w:hAnsiTheme="majorBidi" w:cstheme="majorBidi"/>
          <w:i/>
          <w:iCs/>
          <w:sz w:val="24"/>
          <w:szCs w:val="24"/>
        </w:rPr>
        <w:t>et al.,</w:t>
      </w:r>
      <w:r w:rsidRPr="006E6DA7">
        <w:rPr>
          <w:rFonts w:asciiTheme="majorBidi" w:hAnsiTheme="majorBidi" w:cstheme="majorBidi"/>
          <w:sz w:val="24"/>
          <w:szCs w:val="24"/>
        </w:rPr>
        <w:t xml:space="preserve"> 2020). Developing economies face acute capacity constraints; a 2022 World Bank survey revealed 70% of sub-Saharan African regulators had fewer than five dedicated Fintech specialists (Feyen </w:t>
      </w:r>
      <w:r w:rsidRPr="001778E9">
        <w:rPr>
          <w:rFonts w:asciiTheme="majorBidi" w:hAnsiTheme="majorBidi" w:cstheme="majorBidi"/>
          <w:i/>
          <w:iCs/>
          <w:sz w:val="24"/>
          <w:szCs w:val="24"/>
        </w:rPr>
        <w:t xml:space="preserve">et al., </w:t>
      </w:r>
      <w:r w:rsidRPr="006E6DA7">
        <w:rPr>
          <w:rFonts w:asciiTheme="majorBidi" w:hAnsiTheme="majorBidi" w:cstheme="majorBidi"/>
          <w:sz w:val="24"/>
          <w:szCs w:val="24"/>
        </w:rPr>
        <w:t xml:space="preserve">2022). Regulatory fragmentation compounds these issues. </w:t>
      </w:r>
      <w:r w:rsidR="00520027">
        <w:rPr>
          <w:rFonts w:asciiTheme="majorBidi" w:hAnsiTheme="majorBidi" w:cstheme="majorBidi"/>
          <w:sz w:val="24"/>
          <w:szCs w:val="24"/>
        </w:rPr>
        <w:t xml:space="preserve">Multiple authorities, </w:t>
      </w:r>
      <w:r w:rsidRPr="006E6DA7">
        <w:rPr>
          <w:rFonts w:asciiTheme="majorBidi" w:hAnsiTheme="majorBidi" w:cstheme="majorBidi"/>
          <w:sz w:val="24"/>
          <w:szCs w:val="24"/>
        </w:rPr>
        <w:t>central banks, securities regulators,</w:t>
      </w:r>
      <w:r w:rsidR="00F05438">
        <w:rPr>
          <w:rFonts w:asciiTheme="majorBidi" w:hAnsiTheme="majorBidi" w:cstheme="majorBidi"/>
          <w:sz w:val="24"/>
          <w:szCs w:val="24"/>
        </w:rPr>
        <w:t xml:space="preserve"> and </w:t>
      </w:r>
      <w:r w:rsidRPr="006E6DA7">
        <w:rPr>
          <w:rFonts w:asciiTheme="majorBidi" w:hAnsiTheme="majorBidi" w:cstheme="majorBidi"/>
          <w:sz w:val="24"/>
          <w:szCs w:val="24"/>
        </w:rPr>
        <w:t>data protection agencies</w:t>
      </w:r>
      <w:r w:rsidR="00F05438">
        <w:rPr>
          <w:rFonts w:asciiTheme="majorBidi" w:hAnsiTheme="majorBidi" w:cstheme="majorBidi"/>
          <w:sz w:val="24"/>
          <w:szCs w:val="24"/>
        </w:rPr>
        <w:t xml:space="preserve"> </w:t>
      </w:r>
      <w:r w:rsidRPr="006E6DA7">
        <w:rPr>
          <w:rFonts w:asciiTheme="majorBidi" w:hAnsiTheme="majorBidi" w:cstheme="majorBidi"/>
          <w:sz w:val="24"/>
          <w:szCs w:val="24"/>
        </w:rPr>
        <w:t>often claim overlapping mandates, resulting in contradictory requirements. Nigeria’s Securities and Exchange Commission (SEC) 2020 crypto asset classification directly conflicted with Central Bank of Nigeria directives, causing market confusion (</w:t>
      </w:r>
      <w:proofErr w:type="spellStart"/>
      <w:r w:rsidR="00370B66" w:rsidRPr="00370B66">
        <w:rPr>
          <w:rFonts w:asciiTheme="majorBidi" w:hAnsiTheme="majorBidi" w:cstheme="majorBidi"/>
          <w:sz w:val="24"/>
          <w:szCs w:val="24"/>
        </w:rPr>
        <w:t>Opebiyi</w:t>
      </w:r>
      <w:proofErr w:type="spellEnd"/>
      <w:r w:rsidRPr="006E6DA7">
        <w:rPr>
          <w:rFonts w:asciiTheme="majorBidi" w:hAnsiTheme="majorBidi" w:cstheme="majorBidi"/>
          <w:sz w:val="24"/>
          <w:szCs w:val="24"/>
        </w:rPr>
        <w:t>,</w:t>
      </w:r>
      <w:r w:rsidR="00370B66">
        <w:rPr>
          <w:rFonts w:asciiTheme="majorBidi" w:hAnsiTheme="majorBidi" w:cstheme="majorBidi"/>
          <w:sz w:val="24"/>
          <w:szCs w:val="24"/>
        </w:rPr>
        <w:t xml:space="preserve"> 2022). </w:t>
      </w:r>
      <w:r w:rsidR="00BD0C5B">
        <w:rPr>
          <w:rFonts w:asciiTheme="majorBidi" w:hAnsiTheme="majorBidi" w:cstheme="majorBidi"/>
          <w:sz w:val="24"/>
          <w:szCs w:val="24"/>
        </w:rPr>
        <w:t>Such</w:t>
      </w:r>
      <w:r w:rsidRPr="006E6DA7">
        <w:rPr>
          <w:rFonts w:asciiTheme="majorBidi" w:hAnsiTheme="majorBidi" w:cstheme="majorBidi"/>
          <w:sz w:val="24"/>
          <w:szCs w:val="24"/>
        </w:rPr>
        <w:t xml:space="preserve"> fragmentation risks creating regulatory voids exploited by illicit actors or fostering 'race-to-the-bottom' dynamics as jurisdictions compete for Fintech investment (</w:t>
      </w:r>
      <w:proofErr w:type="spellStart"/>
      <w:r w:rsidRPr="006E6DA7">
        <w:rPr>
          <w:rFonts w:asciiTheme="majorBidi" w:hAnsiTheme="majorBidi" w:cstheme="majorBidi"/>
          <w:sz w:val="24"/>
          <w:szCs w:val="24"/>
        </w:rPr>
        <w:t>Zetzsche</w:t>
      </w:r>
      <w:proofErr w:type="spellEnd"/>
      <w:r w:rsidRPr="006E6DA7">
        <w:rPr>
          <w:rFonts w:asciiTheme="majorBidi" w:hAnsiTheme="majorBidi" w:cstheme="majorBidi"/>
          <w:sz w:val="24"/>
          <w:szCs w:val="24"/>
        </w:rPr>
        <w:t xml:space="preserve"> </w:t>
      </w:r>
      <w:r w:rsidRPr="00BD0C5B">
        <w:rPr>
          <w:rFonts w:asciiTheme="majorBidi" w:hAnsiTheme="majorBidi" w:cstheme="majorBidi"/>
          <w:i/>
          <w:iCs/>
          <w:sz w:val="24"/>
          <w:szCs w:val="24"/>
        </w:rPr>
        <w:t>et al.,</w:t>
      </w:r>
      <w:r w:rsidRPr="006E6DA7">
        <w:rPr>
          <w:rFonts w:asciiTheme="majorBidi" w:hAnsiTheme="majorBidi" w:cstheme="majorBidi"/>
          <w:sz w:val="24"/>
          <w:szCs w:val="24"/>
        </w:rPr>
        <w:t xml:space="preserve"> 2017).</w:t>
      </w:r>
    </w:p>
    <w:p w14:paraId="6451641E" w14:textId="77777777" w:rsidR="000D1880" w:rsidRDefault="006E6DA7" w:rsidP="00D508E6">
      <w:pPr>
        <w:spacing w:line="360" w:lineRule="auto"/>
        <w:jc w:val="both"/>
        <w:rPr>
          <w:rFonts w:asciiTheme="majorBidi" w:hAnsiTheme="majorBidi" w:cstheme="majorBidi"/>
          <w:sz w:val="24"/>
          <w:szCs w:val="24"/>
        </w:rPr>
      </w:pPr>
      <w:r w:rsidRPr="006E6DA7">
        <w:rPr>
          <w:rFonts w:asciiTheme="majorBidi" w:hAnsiTheme="majorBidi" w:cstheme="majorBidi"/>
          <w:sz w:val="24"/>
          <w:szCs w:val="24"/>
        </w:rPr>
        <w:t xml:space="preserve">These multifaceted challenges </w:t>
      </w:r>
      <w:r w:rsidR="00D508E6">
        <w:rPr>
          <w:rFonts w:asciiTheme="majorBidi" w:hAnsiTheme="majorBidi" w:cstheme="majorBidi"/>
          <w:sz w:val="24"/>
          <w:szCs w:val="24"/>
        </w:rPr>
        <w:t>highlight</w:t>
      </w:r>
      <w:r w:rsidRPr="006E6DA7">
        <w:rPr>
          <w:rFonts w:asciiTheme="majorBidi" w:hAnsiTheme="majorBidi" w:cstheme="majorBidi"/>
          <w:sz w:val="24"/>
          <w:szCs w:val="24"/>
        </w:rPr>
        <w:t xml:space="preserve"> the inadequacy of legacy regulatory models. Authorities must develop adaptive frameworks capable of addressing technological risks without suppressing Fintech’s potential to advance financial inclusio</w:t>
      </w:r>
      <w:r>
        <w:rPr>
          <w:rFonts w:asciiTheme="majorBidi" w:hAnsiTheme="majorBidi" w:cstheme="majorBidi"/>
          <w:sz w:val="24"/>
          <w:szCs w:val="24"/>
        </w:rPr>
        <w:t>n and sustainability objectives</w:t>
      </w:r>
      <w:r w:rsidR="005D7870">
        <w:rPr>
          <w:rFonts w:asciiTheme="majorBidi" w:hAnsiTheme="majorBidi" w:cstheme="majorBidi"/>
          <w:sz w:val="24"/>
          <w:szCs w:val="24"/>
        </w:rPr>
        <w:t>.</w:t>
      </w:r>
    </w:p>
    <w:p w14:paraId="217ACE28" w14:textId="77777777" w:rsidR="0000696F" w:rsidRPr="0000696F" w:rsidRDefault="0000696F" w:rsidP="0000696F">
      <w:pPr>
        <w:spacing w:line="360" w:lineRule="auto"/>
        <w:jc w:val="both"/>
        <w:rPr>
          <w:rFonts w:asciiTheme="majorBidi" w:hAnsiTheme="majorBidi" w:cstheme="majorBidi"/>
          <w:b/>
          <w:bCs/>
          <w:sz w:val="24"/>
          <w:szCs w:val="24"/>
        </w:rPr>
      </w:pPr>
      <w:r w:rsidRPr="0000696F">
        <w:rPr>
          <w:rFonts w:asciiTheme="majorBidi" w:hAnsiTheme="majorBidi" w:cstheme="majorBidi"/>
          <w:b/>
          <w:bCs/>
          <w:sz w:val="24"/>
          <w:szCs w:val="24"/>
        </w:rPr>
        <w:t>REGULATORY SANDBOXES: DESIGN, BENEFITS, AND LIMITATIONS</w:t>
      </w:r>
    </w:p>
    <w:p w14:paraId="7F43A6A6" w14:textId="77777777" w:rsidR="0000696F" w:rsidRPr="0000696F" w:rsidRDefault="0000696F" w:rsidP="0000696F">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Regulatory sandboxes have emerged as a prominent experimental tool for financial authorities seeking to foster responsible innovation. These frameworks permit selected firms to test novel financial products, services, or business models within a controlled environment under temporary regulatory adjustments, typically involving real consumers (Financial Conduct Authority, 2015). While structures vary globally, core operational phases remain consistent.</w:t>
      </w:r>
    </w:p>
    <w:p w14:paraId="615D3181" w14:textId="77777777" w:rsidR="0000696F" w:rsidRPr="0000696F" w:rsidRDefault="0000696F" w:rsidP="00702D4F">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The design process typically commences with a public framework outlining eligibility criteria, application procedures, testing parameters, and consumer safeguards. Jurisdictions like the United Kingdom’s Financial Conduct Authority (FCA) employ structured cohorts, accepting applications during specific windows and publishing participant lists to enhance transparency (</w:t>
      </w:r>
      <w:r w:rsidR="00702D4F" w:rsidRPr="00702D4F">
        <w:rPr>
          <w:rFonts w:asciiTheme="majorBidi" w:hAnsiTheme="majorBidi" w:cstheme="majorBidi"/>
          <w:sz w:val="24"/>
          <w:szCs w:val="24"/>
        </w:rPr>
        <w:t>Liu</w:t>
      </w:r>
      <w:r w:rsidR="00702D4F">
        <w:rPr>
          <w:rFonts w:asciiTheme="majorBidi" w:hAnsiTheme="majorBidi" w:cstheme="majorBidi"/>
          <w:sz w:val="24"/>
          <w:szCs w:val="24"/>
        </w:rPr>
        <w:t>, 2021</w:t>
      </w:r>
      <w:r w:rsidRPr="0000696F">
        <w:rPr>
          <w:rFonts w:asciiTheme="majorBidi" w:hAnsiTheme="majorBidi" w:cstheme="majorBidi"/>
          <w:sz w:val="24"/>
          <w:szCs w:val="24"/>
        </w:rPr>
        <w:t>). Admission often involves rigorous screening. Regulators assess whether the innovation addresses genuine market needs, demonstrates technological novelty, aligns with sandbox objectives like financial inclusion, and possesses managea</w:t>
      </w:r>
      <w:r w:rsidR="00141C4A">
        <w:rPr>
          <w:rFonts w:asciiTheme="majorBidi" w:hAnsiTheme="majorBidi" w:cstheme="majorBidi"/>
          <w:sz w:val="24"/>
          <w:szCs w:val="24"/>
        </w:rPr>
        <w:t>ble risks (Brummer &amp; Yadav, 2018</w:t>
      </w:r>
      <w:r w:rsidRPr="0000696F">
        <w:rPr>
          <w:rFonts w:asciiTheme="majorBidi" w:hAnsiTheme="majorBidi" w:cstheme="majorBidi"/>
          <w:sz w:val="24"/>
          <w:szCs w:val="24"/>
        </w:rPr>
        <w:t>). Successful applicants negotiate testing parameters, including participant caps, transaction limits, duration (typically 6-24 months), compensation mechanisms for consumer losses, and reporting ob</w:t>
      </w:r>
      <w:r w:rsidR="00FE6DD8">
        <w:rPr>
          <w:rFonts w:asciiTheme="majorBidi" w:hAnsiTheme="majorBidi" w:cstheme="majorBidi"/>
          <w:sz w:val="24"/>
          <w:szCs w:val="24"/>
        </w:rPr>
        <w:t>ligations (</w:t>
      </w:r>
      <w:proofErr w:type="spellStart"/>
      <w:r w:rsidR="00FE6DD8">
        <w:rPr>
          <w:rFonts w:asciiTheme="majorBidi" w:hAnsiTheme="majorBidi" w:cstheme="majorBidi"/>
          <w:sz w:val="24"/>
          <w:szCs w:val="24"/>
        </w:rPr>
        <w:t>Zetzsche</w:t>
      </w:r>
      <w:proofErr w:type="spellEnd"/>
      <w:r w:rsidR="00FE6DD8">
        <w:rPr>
          <w:rFonts w:asciiTheme="majorBidi" w:hAnsiTheme="majorBidi" w:cstheme="majorBidi"/>
          <w:sz w:val="24"/>
          <w:szCs w:val="24"/>
        </w:rPr>
        <w:t xml:space="preserve"> </w:t>
      </w:r>
      <w:r w:rsidR="00FE6DD8" w:rsidRPr="00FE6DD8">
        <w:rPr>
          <w:rFonts w:asciiTheme="majorBidi" w:hAnsiTheme="majorBidi" w:cstheme="majorBidi"/>
          <w:i/>
          <w:iCs/>
          <w:sz w:val="24"/>
          <w:szCs w:val="24"/>
        </w:rPr>
        <w:t>et al.,</w:t>
      </w:r>
      <w:r w:rsidR="00FE6DD8">
        <w:rPr>
          <w:rFonts w:asciiTheme="majorBidi" w:hAnsiTheme="majorBidi" w:cstheme="majorBidi"/>
          <w:sz w:val="24"/>
          <w:szCs w:val="24"/>
        </w:rPr>
        <w:t xml:space="preserve"> 2017</w:t>
      </w:r>
      <w:r w:rsidRPr="0000696F">
        <w:rPr>
          <w:rFonts w:asciiTheme="majorBidi" w:hAnsiTheme="majorBidi" w:cstheme="majorBidi"/>
          <w:sz w:val="24"/>
          <w:szCs w:val="24"/>
        </w:rPr>
        <w:t xml:space="preserve">). Post-testing, regulators evaluate outcomes to determine if full market </w:t>
      </w:r>
      <w:r w:rsidRPr="0000696F">
        <w:rPr>
          <w:rFonts w:asciiTheme="majorBidi" w:hAnsiTheme="majorBidi" w:cstheme="majorBidi"/>
          <w:sz w:val="24"/>
          <w:szCs w:val="24"/>
        </w:rPr>
        <w:lastRenderedPageBreak/>
        <w:t>authorisation, modifications, or cessation is warranted. Variations exist: Singapore’s Mon</w:t>
      </w:r>
      <w:r w:rsidR="008F73BB">
        <w:rPr>
          <w:rFonts w:asciiTheme="majorBidi" w:hAnsiTheme="majorBidi" w:cstheme="majorBidi"/>
          <w:sz w:val="24"/>
          <w:szCs w:val="24"/>
        </w:rPr>
        <w:t xml:space="preserve">etary Authority (MAS) offers a </w:t>
      </w:r>
      <w:r w:rsidR="00630840">
        <w:rPr>
          <w:rFonts w:asciiTheme="majorBidi" w:hAnsiTheme="majorBidi" w:cstheme="majorBidi"/>
          <w:sz w:val="24"/>
          <w:szCs w:val="24"/>
        </w:rPr>
        <w:t>“</w:t>
      </w:r>
      <w:r w:rsidR="008F73BB">
        <w:rPr>
          <w:rFonts w:asciiTheme="majorBidi" w:hAnsiTheme="majorBidi" w:cstheme="majorBidi"/>
          <w:sz w:val="24"/>
          <w:szCs w:val="24"/>
        </w:rPr>
        <w:t>sandbox express</w:t>
      </w:r>
      <w:r w:rsidR="00630840">
        <w:rPr>
          <w:rFonts w:asciiTheme="majorBidi" w:hAnsiTheme="majorBidi" w:cstheme="majorBidi"/>
          <w:sz w:val="24"/>
          <w:szCs w:val="24"/>
        </w:rPr>
        <w:t>”</w:t>
      </w:r>
      <w:r w:rsidRPr="0000696F">
        <w:rPr>
          <w:rFonts w:asciiTheme="majorBidi" w:hAnsiTheme="majorBidi" w:cstheme="majorBidi"/>
          <w:sz w:val="24"/>
          <w:szCs w:val="24"/>
        </w:rPr>
        <w:t xml:space="preserve"> for lower-risk propositions requiring lighter oversight (MAS, 2020), while Kenya’s Capital Markets Authority sandbox mandates explicit financial inclusion targets for participants (CMA, 2021).</w:t>
      </w:r>
    </w:p>
    <w:p w14:paraId="4F40FDCD" w14:textId="77777777" w:rsidR="0000696F" w:rsidRPr="0000696F" w:rsidRDefault="0000696F" w:rsidP="00434AC7">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 xml:space="preserve">Proponents highlight several significant benefits. Sandboxes can substantially reduce time-to-market and compliance costs for innovators. Early FCA cohorts reported average cost savings exceeding £50,000 per participant, accelerating product deployment (Jenik &amp; Lauer, 2017). </w:t>
      </w:r>
      <w:r w:rsidR="00EC7488">
        <w:rPr>
          <w:rFonts w:asciiTheme="majorBidi" w:hAnsiTheme="majorBidi" w:cstheme="majorBidi"/>
          <w:sz w:val="24"/>
          <w:szCs w:val="24"/>
        </w:rPr>
        <w:t>Specifically</w:t>
      </w:r>
      <w:r w:rsidRPr="0000696F">
        <w:rPr>
          <w:rFonts w:asciiTheme="majorBidi" w:hAnsiTheme="majorBidi" w:cstheme="majorBidi"/>
          <w:sz w:val="24"/>
          <w:szCs w:val="24"/>
        </w:rPr>
        <w:t>, they facilitate direct dialogue between regulators and innovators. This enables regulators to build expertise in emerging technologies and identify regulatory gaps. The case of Canada’s Lending Loop is illustrative. Initially suspended for non-compliance with securities registration, ongoing engagement within the regulatory framework led the Ontario Sec</w:t>
      </w:r>
      <w:r w:rsidR="00EC7488">
        <w:rPr>
          <w:rFonts w:asciiTheme="majorBidi" w:hAnsiTheme="majorBidi" w:cstheme="majorBidi"/>
          <w:sz w:val="24"/>
          <w:szCs w:val="24"/>
        </w:rPr>
        <w:t xml:space="preserve">urities Commission to grant an </w:t>
      </w:r>
      <w:r w:rsidR="00630840">
        <w:rPr>
          <w:rFonts w:asciiTheme="majorBidi" w:hAnsiTheme="majorBidi" w:cstheme="majorBidi"/>
          <w:sz w:val="24"/>
          <w:szCs w:val="24"/>
        </w:rPr>
        <w:t>“</w:t>
      </w:r>
      <w:r w:rsidR="00EC7488">
        <w:rPr>
          <w:rFonts w:asciiTheme="majorBidi" w:hAnsiTheme="majorBidi" w:cstheme="majorBidi"/>
          <w:sz w:val="24"/>
          <w:szCs w:val="24"/>
        </w:rPr>
        <w:t>exempt market dealer</w:t>
      </w:r>
      <w:r w:rsidR="00630840">
        <w:rPr>
          <w:rFonts w:asciiTheme="majorBidi" w:hAnsiTheme="majorBidi" w:cstheme="majorBidi"/>
          <w:sz w:val="24"/>
          <w:szCs w:val="24"/>
        </w:rPr>
        <w:t>”</w:t>
      </w:r>
      <w:r w:rsidRPr="0000696F">
        <w:rPr>
          <w:rFonts w:asciiTheme="majorBidi" w:hAnsiTheme="majorBidi" w:cstheme="majorBidi"/>
          <w:sz w:val="24"/>
          <w:szCs w:val="24"/>
        </w:rPr>
        <w:t xml:space="preserve"> status, enabling its peer-to-peer lending model to proceed under tailored oversight (</w:t>
      </w:r>
      <w:r w:rsidR="007305D8" w:rsidRPr="007305D8">
        <w:rPr>
          <w:rFonts w:asciiTheme="majorBidi" w:hAnsiTheme="majorBidi" w:cstheme="majorBidi"/>
          <w:sz w:val="24"/>
          <w:szCs w:val="24"/>
        </w:rPr>
        <w:t>Clements</w:t>
      </w:r>
      <w:r w:rsidR="007305D8">
        <w:rPr>
          <w:rFonts w:asciiTheme="majorBidi" w:hAnsiTheme="majorBidi" w:cstheme="majorBidi"/>
          <w:sz w:val="24"/>
          <w:szCs w:val="24"/>
        </w:rPr>
        <w:t>, 2020</w:t>
      </w:r>
      <w:r w:rsidRPr="0000696F">
        <w:rPr>
          <w:rFonts w:asciiTheme="majorBidi" w:hAnsiTheme="majorBidi" w:cstheme="majorBidi"/>
          <w:sz w:val="24"/>
          <w:szCs w:val="24"/>
        </w:rPr>
        <w:t xml:space="preserve">). Furthermore, sandboxes signal a jurisdiction’s openness to innovation, attracting investment. Post-launch, the UK FCA observed a 15% increase in Fintech venture capital inflow (Buchak </w:t>
      </w:r>
      <w:r w:rsidRPr="00533366">
        <w:rPr>
          <w:rFonts w:asciiTheme="majorBidi" w:hAnsiTheme="majorBidi" w:cstheme="majorBidi"/>
          <w:i/>
          <w:iCs/>
          <w:sz w:val="24"/>
          <w:szCs w:val="24"/>
        </w:rPr>
        <w:t>et al.,</w:t>
      </w:r>
      <w:r w:rsidRPr="0000696F">
        <w:rPr>
          <w:rFonts w:asciiTheme="majorBidi" w:hAnsiTheme="majorBidi" w:cstheme="majorBidi"/>
          <w:sz w:val="24"/>
          <w:szCs w:val="24"/>
        </w:rPr>
        <w:t xml:space="preserve"> 2018). For sustainable development, thematic sandboxes, such as Sierra Leone’s focus on rural financial access and Malaysia’s green finance initiatives, demonstrate their potential to channe</w:t>
      </w:r>
      <w:r w:rsidR="006C3A2A">
        <w:rPr>
          <w:rFonts w:asciiTheme="majorBidi" w:hAnsiTheme="majorBidi" w:cstheme="majorBidi"/>
          <w:sz w:val="24"/>
          <w:szCs w:val="24"/>
        </w:rPr>
        <w:t>l Fintech towards specific SDGs</w:t>
      </w:r>
      <w:r w:rsidRPr="0000696F">
        <w:rPr>
          <w:rFonts w:asciiTheme="majorBidi" w:hAnsiTheme="majorBidi" w:cstheme="majorBidi"/>
          <w:sz w:val="24"/>
          <w:szCs w:val="24"/>
        </w:rPr>
        <w:t>. Platforms like Nigeria’s Carbon accessed regulatory support through sandbox mechanisms, scaling digital credit servic</w:t>
      </w:r>
      <w:r w:rsidR="00434AC7">
        <w:rPr>
          <w:rFonts w:asciiTheme="majorBidi" w:hAnsiTheme="majorBidi" w:cstheme="majorBidi"/>
          <w:sz w:val="24"/>
          <w:szCs w:val="24"/>
        </w:rPr>
        <w:t>es for underbanked populations.</w:t>
      </w:r>
    </w:p>
    <w:p w14:paraId="0B557672" w14:textId="77777777" w:rsidR="0000696F" w:rsidRDefault="0000696F" w:rsidP="007A289E">
      <w:pPr>
        <w:spacing w:line="360" w:lineRule="auto"/>
        <w:jc w:val="both"/>
        <w:rPr>
          <w:rFonts w:asciiTheme="majorBidi" w:hAnsiTheme="majorBidi" w:cstheme="majorBidi"/>
          <w:sz w:val="24"/>
          <w:szCs w:val="24"/>
        </w:rPr>
      </w:pPr>
      <w:r w:rsidRPr="0000696F">
        <w:rPr>
          <w:rFonts w:asciiTheme="majorBidi" w:hAnsiTheme="majorBidi" w:cstheme="majorBidi"/>
          <w:sz w:val="24"/>
          <w:szCs w:val="24"/>
        </w:rPr>
        <w:t xml:space="preserve">However, significant limitations and risks persist. Access remains a primary constraint. Sandboxes operate with limited capacity; the FCA’s fifth cohort accepted only 24% of applicants (FCA, 2019). This exclusivity, coupled with infrequent cohort openings, creates delays incompatible with Fintech’s rapid development cycles, particularly disadvantaging smaller startups in developing economies (Wechsler </w:t>
      </w:r>
      <w:r w:rsidRPr="00D66994">
        <w:rPr>
          <w:rFonts w:asciiTheme="majorBidi" w:hAnsiTheme="majorBidi" w:cstheme="majorBidi"/>
          <w:i/>
          <w:iCs/>
          <w:sz w:val="24"/>
          <w:szCs w:val="24"/>
        </w:rPr>
        <w:t>et al.,</w:t>
      </w:r>
      <w:r w:rsidRPr="0000696F">
        <w:rPr>
          <w:rFonts w:asciiTheme="majorBidi" w:hAnsiTheme="majorBidi" w:cstheme="majorBidi"/>
          <w:sz w:val="24"/>
          <w:szCs w:val="24"/>
        </w:rPr>
        <w:t xml:space="preserve"> 2018). Operational costs burden regulators, especially in resource-constrained settings. Establishing a functional sandbox requires substantial investment in technical expertise and infrastructure, taking up to 18 months in some developing countries compared to six months in advanced markets (</w:t>
      </w:r>
      <w:proofErr w:type="spellStart"/>
      <w:r w:rsidR="00D66994">
        <w:rPr>
          <w:rFonts w:asciiTheme="majorBidi" w:hAnsiTheme="majorBidi" w:cstheme="majorBidi"/>
          <w:sz w:val="24"/>
          <w:szCs w:val="24"/>
        </w:rPr>
        <w:t>Kushchyk</w:t>
      </w:r>
      <w:proofErr w:type="spellEnd"/>
      <w:r w:rsidR="00D66994">
        <w:rPr>
          <w:rFonts w:asciiTheme="majorBidi" w:hAnsiTheme="majorBidi" w:cstheme="majorBidi"/>
          <w:sz w:val="24"/>
          <w:szCs w:val="24"/>
        </w:rPr>
        <w:t xml:space="preserve"> </w:t>
      </w:r>
      <w:r w:rsidR="00D66994" w:rsidRPr="00D66994">
        <w:rPr>
          <w:rFonts w:asciiTheme="majorBidi" w:hAnsiTheme="majorBidi" w:cstheme="majorBidi"/>
          <w:sz w:val="24"/>
          <w:szCs w:val="24"/>
        </w:rPr>
        <w:t xml:space="preserve">&amp; </w:t>
      </w:r>
      <w:proofErr w:type="spellStart"/>
      <w:r w:rsidR="00D66994" w:rsidRPr="00D66994">
        <w:rPr>
          <w:rFonts w:asciiTheme="majorBidi" w:hAnsiTheme="majorBidi" w:cstheme="majorBidi"/>
          <w:sz w:val="24"/>
          <w:szCs w:val="24"/>
        </w:rPr>
        <w:t>Kairachka</w:t>
      </w:r>
      <w:proofErr w:type="spellEnd"/>
      <w:r w:rsidR="00D66994">
        <w:rPr>
          <w:rFonts w:asciiTheme="majorBidi" w:hAnsiTheme="majorBidi" w:cstheme="majorBidi"/>
          <w:sz w:val="24"/>
          <w:szCs w:val="24"/>
        </w:rPr>
        <w:t>, 2023; Goo</w:t>
      </w:r>
      <w:r w:rsidR="00D66994" w:rsidRPr="00D66994">
        <w:rPr>
          <w:rFonts w:asciiTheme="majorBidi" w:hAnsiTheme="majorBidi" w:cstheme="majorBidi"/>
          <w:sz w:val="24"/>
          <w:szCs w:val="24"/>
        </w:rPr>
        <w:t xml:space="preserve"> &amp; Heo</w:t>
      </w:r>
      <w:r w:rsidRPr="0000696F">
        <w:rPr>
          <w:rFonts w:asciiTheme="majorBidi" w:hAnsiTheme="majorBidi" w:cstheme="majorBidi"/>
          <w:sz w:val="24"/>
          <w:szCs w:val="24"/>
        </w:rPr>
        <w:t>, 2020). The perception and reality of preferential treatment pose problems. Confidentiality surrounding participation agreements fuels concerns about unequal access and regulatory capture (</w:t>
      </w:r>
      <w:proofErr w:type="spellStart"/>
      <w:r w:rsidRPr="0000696F">
        <w:rPr>
          <w:rFonts w:asciiTheme="majorBidi" w:hAnsiTheme="majorBidi" w:cstheme="majorBidi"/>
          <w:sz w:val="24"/>
          <w:szCs w:val="24"/>
        </w:rPr>
        <w:t>Gurrea</w:t>
      </w:r>
      <w:proofErr w:type="spellEnd"/>
      <w:r w:rsidRPr="0000696F">
        <w:rPr>
          <w:rFonts w:asciiTheme="majorBidi" w:hAnsiTheme="majorBidi" w:cstheme="majorBidi"/>
          <w:sz w:val="24"/>
          <w:szCs w:val="24"/>
        </w:rPr>
        <w:t xml:space="preserve">-Martinez &amp; </w:t>
      </w:r>
      <w:proofErr w:type="spellStart"/>
      <w:r w:rsidRPr="0000696F">
        <w:rPr>
          <w:rFonts w:asciiTheme="majorBidi" w:hAnsiTheme="majorBidi" w:cstheme="majorBidi"/>
          <w:sz w:val="24"/>
          <w:szCs w:val="24"/>
        </w:rPr>
        <w:t>Remolina</w:t>
      </w:r>
      <w:proofErr w:type="spellEnd"/>
      <w:r w:rsidRPr="0000696F">
        <w:rPr>
          <w:rFonts w:asciiTheme="majorBidi" w:hAnsiTheme="majorBidi" w:cstheme="majorBidi"/>
          <w:sz w:val="24"/>
          <w:szCs w:val="24"/>
        </w:rPr>
        <w:t xml:space="preserve">, 2020). Sandbox participants benefit from relaxed rules and close regulator contact, </w:t>
      </w:r>
      <w:r w:rsidRPr="0000696F">
        <w:rPr>
          <w:rFonts w:asciiTheme="majorBidi" w:hAnsiTheme="majorBidi" w:cstheme="majorBidi"/>
          <w:sz w:val="24"/>
          <w:szCs w:val="24"/>
        </w:rPr>
        <w:lastRenderedPageBreak/>
        <w:t>distorting competition against firms navigating standard licens</w:t>
      </w:r>
      <w:r w:rsidR="00117367">
        <w:rPr>
          <w:rFonts w:asciiTheme="majorBidi" w:hAnsiTheme="majorBidi" w:cstheme="majorBidi"/>
          <w:sz w:val="24"/>
          <w:szCs w:val="24"/>
        </w:rPr>
        <w:t>ing (</w:t>
      </w:r>
      <w:r w:rsidR="00117367" w:rsidRPr="00117367">
        <w:rPr>
          <w:rFonts w:asciiTheme="majorBidi" w:hAnsiTheme="majorBidi" w:cstheme="majorBidi"/>
          <w:sz w:val="24"/>
          <w:szCs w:val="24"/>
        </w:rPr>
        <w:t>Markellos</w:t>
      </w:r>
      <w:r w:rsidR="00117367">
        <w:rPr>
          <w:rFonts w:asciiTheme="majorBidi" w:hAnsiTheme="majorBidi" w:cstheme="majorBidi"/>
          <w:sz w:val="24"/>
          <w:szCs w:val="24"/>
        </w:rPr>
        <w:t>, 2024</w:t>
      </w:r>
      <w:r w:rsidRPr="0000696F">
        <w:rPr>
          <w:rFonts w:asciiTheme="majorBidi" w:hAnsiTheme="majorBidi" w:cstheme="majorBidi"/>
          <w:sz w:val="24"/>
          <w:szCs w:val="24"/>
        </w:rPr>
        <w:t>). Predicting real-world performance post-sandbox proves difficult. Testing under artificial constraints, such as Australia’s ASIC sandbox limit of 200 retail clients, offers limited insight into scalability and systemic risks (</w:t>
      </w:r>
      <w:r w:rsidR="007A289E">
        <w:rPr>
          <w:rFonts w:asciiTheme="majorBidi" w:hAnsiTheme="majorBidi" w:cstheme="majorBidi"/>
          <w:sz w:val="24"/>
          <w:szCs w:val="24"/>
        </w:rPr>
        <w:t xml:space="preserve">Goo </w:t>
      </w:r>
      <w:r w:rsidR="007A289E" w:rsidRPr="007A289E">
        <w:rPr>
          <w:rFonts w:asciiTheme="majorBidi" w:hAnsiTheme="majorBidi" w:cstheme="majorBidi"/>
          <w:sz w:val="24"/>
          <w:szCs w:val="24"/>
        </w:rPr>
        <w:t>&amp; Heo</w:t>
      </w:r>
      <w:r w:rsidRPr="0000696F">
        <w:rPr>
          <w:rFonts w:asciiTheme="majorBidi" w:hAnsiTheme="majorBidi" w:cstheme="majorBidi"/>
          <w:sz w:val="24"/>
          <w:szCs w:val="24"/>
        </w:rPr>
        <w:t>, 2020). Furthermore, traditiona</w:t>
      </w:r>
      <w:r>
        <w:rPr>
          <w:rFonts w:asciiTheme="majorBidi" w:hAnsiTheme="majorBidi" w:cstheme="majorBidi"/>
          <w:sz w:val="24"/>
          <w:szCs w:val="24"/>
        </w:rPr>
        <w:t xml:space="preserve">l financial institutions often </w:t>
      </w:r>
      <w:r w:rsidR="00630840">
        <w:rPr>
          <w:rFonts w:asciiTheme="majorBidi" w:hAnsiTheme="majorBidi" w:cstheme="majorBidi"/>
          <w:sz w:val="24"/>
          <w:szCs w:val="24"/>
        </w:rPr>
        <w:t>“</w:t>
      </w:r>
      <w:r>
        <w:rPr>
          <w:rFonts w:asciiTheme="majorBidi" w:hAnsiTheme="majorBidi" w:cstheme="majorBidi"/>
          <w:sz w:val="24"/>
          <w:szCs w:val="24"/>
        </w:rPr>
        <w:t>de-risk</w:t>
      </w:r>
      <w:r w:rsidR="00630840">
        <w:rPr>
          <w:rFonts w:asciiTheme="majorBidi" w:hAnsiTheme="majorBidi" w:cstheme="majorBidi"/>
          <w:sz w:val="24"/>
          <w:szCs w:val="24"/>
        </w:rPr>
        <w:t>”</w:t>
      </w:r>
      <w:r w:rsidRPr="0000696F">
        <w:rPr>
          <w:rFonts w:asciiTheme="majorBidi" w:hAnsiTheme="majorBidi" w:cstheme="majorBidi"/>
          <w:sz w:val="24"/>
          <w:szCs w:val="24"/>
        </w:rPr>
        <w:t xml:space="preserve"> by denying banking services to sandbox participants, especially in higher-risk jurisdictions, hindering their viability (FCA, 2017). Intense global competition to attract Fintech fosters a reg</w:t>
      </w:r>
      <w:r>
        <w:rPr>
          <w:rFonts w:asciiTheme="majorBidi" w:hAnsiTheme="majorBidi" w:cstheme="majorBidi"/>
          <w:sz w:val="24"/>
          <w:szCs w:val="24"/>
        </w:rPr>
        <w:t xml:space="preserve">ulatory </w:t>
      </w:r>
      <w:r w:rsidR="00630840">
        <w:rPr>
          <w:rFonts w:asciiTheme="majorBidi" w:hAnsiTheme="majorBidi" w:cstheme="majorBidi"/>
          <w:sz w:val="24"/>
          <w:szCs w:val="24"/>
        </w:rPr>
        <w:t>“</w:t>
      </w:r>
      <w:r>
        <w:rPr>
          <w:rFonts w:asciiTheme="majorBidi" w:hAnsiTheme="majorBidi" w:cstheme="majorBidi"/>
          <w:sz w:val="24"/>
          <w:szCs w:val="24"/>
        </w:rPr>
        <w:t>race to the bottom,</w:t>
      </w:r>
      <w:r w:rsidR="00630840">
        <w:rPr>
          <w:rFonts w:asciiTheme="majorBidi" w:hAnsiTheme="majorBidi" w:cstheme="majorBidi"/>
          <w:sz w:val="24"/>
          <w:szCs w:val="24"/>
        </w:rPr>
        <w:t>”</w:t>
      </w:r>
      <w:r w:rsidRPr="0000696F">
        <w:rPr>
          <w:rFonts w:asciiTheme="majorBidi" w:hAnsiTheme="majorBidi" w:cstheme="majorBidi"/>
          <w:sz w:val="24"/>
          <w:szCs w:val="24"/>
        </w:rPr>
        <w:t xml:space="preserve"> potentially undermining consumer protection standards (</w:t>
      </w:r>
      <w:proofErr w:type="spellStart"/>
      <w:r w:rsidRPr="0000696F">
        <w:rPr>
          <w:rFonts w:asciiTheme="majorBidi" w:hAnsiTheme="majorBidi" w:cstheme="majorBidi"/>
          <w:sz w:val="24"/>
          <w:szCs w:val="24"/>
        </w:rPr>
        <w:t>Avgouleas</w:t>
      </w:r>
      <w:proofErr w:type="spellEnd"/>
      <w:r w:rsidRPr="0000696F">
        <w:rPr>
          <w:rFonts w:asciiTheme="majorBidi" w:hAnsiTheme="majorBidi" w:cstheme="majorBidi"/>
          <w:sz w:val="24"/>
          <w:szCs w:val="24"/>
        </w:rPr>
        <w:t>, 2019).</w:t>
      </w:r>
    </w:p>
    <w:p w14:paraId="68ADA623" w14:textId="77777777" w:rsidR="00A07A50" w:rsidRPr="00A07A50" w:rsidRDefault="00A07A50" w:rsidP="00A07A50">
      <w:pPr>
        <w:spacing w:line="360" w:lineRule="auto"/>
        <w:jc w:val="both"/>
        <w:rPr>
          <w:rFonts w:asciiTheme="majorBidi" w:hAnsiTheme="majorBidi" w:cstheme="majorBidi"/>
          <w:b/>
          <w:bCs/>
          <w:sz w:val="24"/>
          <w:szCs w:val="24"/>
        </w:rPr>
      </w:pPr>
      <w:r w:rsidRPr="00A07A50">
        <w:rPr>
          <w:rFonts w:asciiTheme="majorBidi" w:hAnsiTheme="majorBidi" w:cstheme="majorBidi"/>
          <w:b/>
          <w:bCs/>
          <w:sz w:val="24"/>
          <w:szCs w:val="24"/>
        </w:rPr>
        <w:t>ALTERNATIVE REGULATORY STRATEGIES</w:t>
      </w:r>
    </w:p>
    <w:p w14:paraId="68CB8BCB" w14:textId="77777777" w:rsidR="00A07A50" w:rsidRPr="00A07A50" w:rsidRDefault="00A07A50" w:rsidP="00A07A50">
      <w:pPr>
        <w:spacing w:line="360" w:lineRule="auto"/>
        <w:jc w:val="both"/>
        <w:rPr>
          <w:rFonts w:asciiTheme="majorBidi" w:hAnsiTheme="majorBidi" w:cstheme="majorBidi"/>
          <w:sz w:val="24"/>
          <w:szCs w:val="24"/>
        </w:rPr>
      </w:pPr>
      <w:r w:rsidRPr="00A07A50">
        <w:rPr>
          <w:rFonts w:asciiTheme="majorBidi" w:hAnsiTheme="majorBidi" w:cstheme="majorBidi"/>
          <w:sz w:val="24"/>
          <w:szCs w:val="24"/>
        </w:rPr>
        <w:t>While regulatory sandboxes attract significant attention, financial authorities possess diverse tools to foster Fintech innovation aligned with sustainable development objectives. These alternatives offer distinct advantages in flexibility, scalability, and resource efficiency, particularly where formal sandboxes prove impractical or insufficient.</w:t>
      </w:r>
    </w:p>
    <w:p w14:paraId="63BEC6FB" w14:textId="77777777" w:rsidR="00A07A50" w:rsidRPr="00A07A50" w:rsidRDefault="00A07A50" w:rsidP="00641F61">
      <w:pPr>
        <w:spacing w:line="360" w:lineRule="auto"/>
        <w:jc w:val="both"/>
        <w:rPr>
          <w:rFonts w:asciiTheme="majorBidi" w:hAnsiTheme="majorBidi" w:cstheme="majorBidi"/>
          <w:sz w:val="24"/>
          <w:szCs w:val="24"/>
        </w:rPr>
      </w:pPr>
      <w:r w:rsidRPr="00A07A50">
        <w:rPr>
          <w:rFonts w:asciiTheme="majorBidi" w:hAnsiTheme="majorBidi" w:cstheme="majorBidi"/>
          <w:sz w:val="24"/>
          <w:szCs w:val="24"/>
        </w:rPr>
        <w:t xml:space="preserve">A strategy of regulatory passivity, often termed </w:t>
      </w:r>
      <w:r w:rsidR="00630840">
        <w:rPr>
          <w:rFonts w:asciiTheme="majorBidi" w:hAnsiTheme="majorBidi" w:cstheme="majorBidi"/>
          <w:sz w:val="24"/>
          <w:szCs w:val="24"/>
        </w:rPr>
        <w:t>“</w:t>
      </w:r>
      <w:r w:rsidRPr="00A07A50">
        <w:rPr>
          <w:rFonts w:asciiTheme="majorBidi" w:hAnsiTheme="majorBidi" w:cstheme="majorBidi"/>
          <w:sz w:val="24"/>
          <w:szCs w:val="24"/>
        </w:rPr>
        <w:t>wait and see,</w:t>
      </w:r>
      <w:r w:rsidR="00630840">
        <w:rPr>
          <w:rFonts w:asciiTheme="majorBidi" w:hAnsiTheme="majorBidi" w:cstheme="majorBidi"/>
          <w:sz w:val="24"/>
          <w:szCs w:val="24"/>
        </w:rPr>
        <w:t>”</w:t>
      </w:r>
      <w:r w:rsidRPr="00A07A50">
        <w:rPr>
          <w:rFonts w:asciiTheme="majorBidi" w:hAnsiTheme="majorBidi" w:cstheme="majorBidi"/>
          <w:sz w:val="24"/>
          <w:szCs w:val="24"/>
        </w:rPr>
        <w:t xml:space="preserve"> involves applying existing frameworks to novel Fintech activities without immediate intervention. This approach allowed China’s peer-to-peer (P2P) lending market to expand dramatically from $5.56 billion in 2013 to over $101.7 billion by 2015, becoming a notable source of green financing for small enterprises (Huang </w:t>
      </w:r>
      <w:r w:rsidRPr="00A07A50">
        <w:rPr>
          <w:rFonts w:asciiTheme="majorBidi" w:hAnsiTheme="majorBidi" w:cstheme="majorBidi"/>
          <w:i/>
          <w:iCs/>
          <w:sz w:val="24"/>
          <w:szCs w:val="24"/>
        </w:rPr>
        <w:t>et al.,</w:t>
      </w:r>
      <w:r w:rsidRPr="00A07A50">
        <w:rPr>
          <w:rFonts w:asciiTheme="majorBidi" w:hAnsiTheme="majorBidi" w:cstheme="majorBidi"/>
          <w:sz w:val="24"/>
          <w:szCs w:val="24"/>
        </w:rPr>
        <w:t xml:space="preserve"> 2021). However, this absence of tailored oversight eventually contributed to systemic instability, with widespread platform failures eroding consumer trust and necessitating aggressive regulatory intervention (Arner </w:t>
      </w:r>
      <w:r w:rsidRPr="00076587">
        <w:rPr>
          <w:rFonts w:asciiTheme="majorBidi" w:hAnsiTheme="majorBidi" w:cstheme="majorBidi"/>
          <w:i/>
          <w:iCs/>
          <w:sz w:val="24"/>
          <w:szCs w:val="24"/>
        </w:rPr>
        <w:t>et al.,</w:t>
      </w:r>
      <w:r w:rsidRPr="00A07A50">
        <w:rPr>
          <w:rFonts w:asciiTheme="majorBidi" w:hAnsiTheme="majorBidi" w:cstheme="majorBidi"/>
          <w:sz w:val="24"/>
          <w:szCs w:val="24"/>
        </w:rPr>
        <w:t xml:space="preserve"> 2020). The approach risks consumer harm and creates unlevel playing fields where </w:t>
      </w:r>
      <w:proofErr w:type="spellStart"/>
      <w:r w:rsidRPr="00A07A50">
        <w:rPr>
          <w:rFonts w:asciiTheme="majorBidi" w:hAnsiTheme="majorBidi" w:cstheme="majorBidi"/>
          <w:sz w:val="24"/>
          <w:szCs w:val="24"/>
        </w:rPr>
        <w:t>Fintechs</w:t>
      </w:r>
      <w:proofErr w:type="spellEnd"/>
      <w:r w:rsidRPr="00A07A50">
        <w:rPr>
          <w:rFonts w:asciiTheme="majorBidi" w:hAnsiTheme="majorBidi" w:cstheme="majorBidi"/>
          <w:sz w:val="24"/>
          <w:szCs w:val="24"/>
        </w:rPr>
        <w:t xml:space="preserve"> operate with lighter constraints than traditional institutions providing comparable services (</w:t>
      </w:r>
      <w:proofErr w:type="spellStart"/>
      <w:r w:rsidRPr="00A07A50">
        <w:rPr>
          <w:rFonts w:asciiTheme="majorBidi" w:hAnsiTheme="majorBidi" w:cstheme="majorBidi"/>
          <w:sz w:val="24"/>
          <w:szCs w:val="24"/>
        </w:rPr>
        <w:t>Zetzsche</w:t>
      </w:r>
      <w:proofErr w:type="spellEnd"/>
      <w:r w:rsidRPr="00A07A50">
        <w:rPr>
          <w:rFonts w:asciiTheme="majorBidi" w:hAnsiTheme="majorBidi" w:cstheme="majorBidi"/>
          <w:sz w:val="24"/>
          <w:szCs w:val="24"/>
        </w:rPr>
        <w:t xml:space="preserve"> </w:t>
      </w:r>
      <w:r w:rsidRPr="00076587">
        <w:rPr>
          <w:rFonts w:asciiTheme="majorBidi" w:hAnsiTheme="majorBidi" w:cstheme="majorBidi"/>
          <w:i/>
          <w:iCs/>
          <w:sz w:val="24"/>
          <w:szCs w:val="24"/>
        </w:rPr>
        <w:t>et al.,</w:t>
      </w:r>
      <w:r w:rsidRPr="00A07A50">
        <w:rPr>
          <w:rFonts w:asciiTheme="majorBidi" w:hAnsiTheme="majorBidi" w:cstheme="majorBidi"/>
          <w:sz w:val="24"/>
          <w:szCs w:val="24"/>
        </w:rPr>
        <w:t xml:space="preserve"> 2020).</w:t>
      </w:r>
      <w:r w:rsidR="00641F61">
        <w:rPr>
          <w:rFonts w:asciiTheme="majorBidi" w:hAnsiTheme="majorBidi" w:cstheme="majorBidi"/>
          <w:sz w:val="24"/>
          <w:szCs w:val="24"/>
        </w:rPr>
        <w:t xml:space="preserve"> </w:t>
      </w:r>
      <w:r w:rsidRPr="00A07A50">
        <w:rPr>
          <w:rFonts w:asciiTheme="majorBidi" w:hAnsiTheme="majorBidi" w:cstheme="majorBidi"/>
          <w:sz w:val="24"/>
          <w:szCs w:val="24"/>
        </w:rPr>
        <w:t xml:space="preserve">The </w:t>
      </w:r>
      <w:r w:rsidR="00630840">
        <w:rPr>
          <w:rFonts w:asciiTheme="majorBidi" w:hAnsiTheme="majorBidi" w:cstheme="majorBidi"/>
          <w:sz w:val="24"/>
          <w:szCs w:val="24"/>
        </w:rPr>
        <w:t>“</w:t>
      </w:r>
      <w:r w:rsidRPr="00A07A50">
        <w:rPr>
          <w:rFonts w:asciiTheme="majorBidi" w:hAnsiTheme="majorBidi" w:cstheme="majorBidi"/>
          <w:sz w:val="24"/>
          <w:szCs w:val="24"/>
        </w:rPr>
        <w:t>test-and-learn</w:t>
      </w:r>
      <w:r w:rsidR="00630840">
        <w:rPr>
          <w:rFonts w:asciiTheme="majorBidi" w:hAnsiTheme="majorBidi" w:cstheme="majorBidi"/>
          <w:sz w:val="24"/>
          <w:szCs w:val="24"/>
        </w:rPr>
        <w:t>”</w:t>
      </w:r>
      <w:r w:rsidRPr="00A07A50">
        <w:rPr>
          <w:rFonts w:asciiTheme="majorBidi" w:hAnsiTheme="majorBidi" w:cstheme="majorBidi"/>
          <w:sz w:val="24"/>
          <w:szCs w:val="24"/>
        </w:rPr>
        <w:t xml:space="preserve"> methodology provides a more structured alternative. Regulators grant temporary, case-specific exemptions or issue </w:t>
      </w:r>
      <w:r w:rsidR="00630840">
        <w:rPr>
          <w:rFonts w:asciiTheme="majorBidi" w:hAnsiTheme="majorBidi" w:cstheme="majorBidi"/>
          <w:sz w:val="24"/>
          <w:szCs w:val="24"/>
        </w:rPr>
        <w:t>“</w:t>
      </w:r>
      <w:r w:rsidRPr="00A07A50">
        <w:rPr>
          <w:rFonts w:asciiTheme="majorBidi" w:hAnsiTheme="majorBidi" w:cstheme="majorBidi"/>
          <w:sz w:val="24"/>
          <w:szCs w:val="24"/>
        </w:rPr>
        <w:t>no objection</w:t>
      </w:r>
      <w:r w:rsidR="00630840">
        <w:rPr>
          <w:rFonts w:asciiTheme="majorBidi" w:hAnsiTheme="majorBidi" w:cstheme="majorBidi"/>
          <w:sz w:val="24"/>
          <w:szCs w:val="24"/>
        </w:rPr>
        <w:t>”</w:t>
      </w:r>
      <w:r w:rsidRPr="00A07A50">
        <w:rPr>
          <w:rFonts w:asciiTheme="majorBidi" w:hAnsiTheme="majorBidi" w:cstheme="majorBidi"/>
          <w:sz w:val="24"/>
          <w:szCs w:val="24"/>
        </w:rPr>
        <w:t xml:space="preserve"> letters permitting live testing under close supervision. Kenya’s Central Bank employed this strategy for M-PESA in 2005, allowing Safaricom to pilot mobile money services without full compliance with traditional banking regulations (</w:t>
      </w:r>
      <w:proofErr w:type="spellStart"/>
      <w:r w:rsidR="00641F61">
        <w:rPr>
          <w:rFonts w:asciiTheme="majorBidi" w:hAnsiTheme="majorBidi" w:cstheme="majorBidi"/>
          <w:sz w:val="24"/>
          <w:szCs w:val="24"/>
        </w:rPr>
        <w:t>Ndung’u</w:t>
      </w:r>
      <w:proofErr w:type="spellEnd"/>
      <w:r w:rsidR="00641F61" w:rsidRPr="00641F61">
        <w:rPr>
          <w:rFonts w:asciiTheme="majorBidi" w:hAnsiTheme="majorBidi" w:cstheme="majorBidi"/>
          <w:sz w:val="24"/>
          <w:szCs w:val="24"/>
        </w:rPr>
        <w:t xml:space="preserve"> &amp; </w:t>
      </w:r>
      <w:proofErr w:type="spellStart"/>
      <w:r w:rsidR="00641F61" w:rsidRPr="00641F61">
        <w:rPr>
          <w:rFonts w:asciiTheme="majorBidi" w:hAnsiTheme="majorBidi" w:cstheme="majorBidi"/>
          <w:sz w:val="24"/>
          <w:szCs w:val="24"/>
        </w:rPr>
        <w:t>Oguso</w:t>
      </w:r>
      <w:proofErr w:type="spellEnd"/>
      <w:r w:rsidR="00641F61">
        <w:rPr>
          <w:rFonts w:asciiTheme="majorBidi" w:hAnsiTheme="majorBidi" w:cstheme="majorBidi"/>
          <w:sz w:val="24"/>
          <w:szCs w:val="24"/>
        </w:rPr>
        <w:t>, 2021</w:t>
      </w:r>
      <w:r w:rsidRPr="00A07A50">
        <w:rPr>
          <w:rFonts w:asciiTheme="majorBidi" w:hAnsiTheme="majorBidi" w:cstheme="majorBidi"/>
          <w:sz w:val="24"/>
          <w:szCs w:val="24"/>
        </w:rPr>
        <w:t>). Similar forbearance enabled SMART Money’s development in the Philippines. This ad hoc flexibility facilitates rapid scaling of inclusive financial solutions but suffers from opacity. The discretionary nature of exemptions, without published criteria, can foster perceptions of regulatory arbitrage or favouritism (</w:t>
      </w:r>
      <w:r w:rsidR="00641F61" w:rsidRPr="0000696F">
        <w:rPr>
          <w:rFonts w:asciiTheme="majorBidi" w:hAnsiTheme="majorBidi" w:cstheme="majorBidi"/>
          <w:sz w:val="24"/>
          <w:szCs w:val="24"/>
        </w:rPr>
        <w:t>Jenik &amp; Lauer, 2017</w:t>
      </w:r>
      <w:r w:rsidRPr="00A07A50">
        <w:rPr>
          <w:rFonts w:asciiTheme="majorBidi" w:hAnsiTheme="majorBidi" w:cstheme="majorBidi"/>
          <w:sz w:val="24"/>
          <w:szCs w:val="24"/>
        </w:rPr>
        <w:t>).</w:t>
      </w:r>
    </w:p>
    <w:p w14:paraId="28E47C07" w14:textId="77777777" w:rsidR="00A07A50" w:rsidRDefault="00A07A50" w:rsidP="007F616B">
      <w:pPr>
        <w:spacing w:line="360" w:lineRule="auto"/>
        <w:jc w:val="both"/>
        <w:rPr>
          <w:rFonts w:asciiTheme="majorBidi" w:hAnsiTheme="majorBidi" w:cstheme="majorBidi"/>
          <w:sz w:val="24"/>
          <w:szCs w:val="24"/>
        </w:rPr>
      </w:pPr>
      <w:r w:rsidRPr="00A07A50">
        <w:rPr>
          <w:rFonts w:asciiTheme="majorBidi" w:hAnsiTheme="majorBidi" w:cstheme="majorBidi"/>
          <w:sz w:val="24"/>
          <w:szCs w:val="24"/>
        </w:rPr>
        <w:lastRenderedPageBreak/>
        <w:t>Innovation hubs represent a proactive strategy. These dedicated units within regulatory bodies offer guidance, technical assistance, and policy feedback to innovators navigating regulatory frameworks. The Lab CFTC within the U.S. Commodity Futures Trading Commission exemplifies this model, providing a formal channel for Fintech firms to discuss compliance pathways and regulatory interpretati</w:t>
      </w:r>
      <w:r w:rsidR="00B97B70">
        <w:rPr>
          <w:rFonts w:asciiTheme="majorBidi" w:hAnsiTheme="majorBidi" w:cstheme="majorBidi"/>
          <w:sz w:val="24"/>
          <w:szCs w:val="24"/>
        </w:rPr>
        <w:t>ons (</w:t>
      </w:r>
      <w:r w:rsidR="00B97B70" w:rsidRPr="00B97B70">
        <w:rPr>
          <w:rFonts w:asciiTheme="majorBidi" w:hAnsiTheme="majorBidi" w:cstheme="majorBidi"/>
          <w:sz w:val="24"/>
          <w:szCs w:val="24"/>
        </w:rPr>
        <w:t>Moffett</w:t>
      </w:r>
      <w:r w:rsidR="00B97B70">
        <w:rPr>
          <w:rFonts w:asciiTheme="majorBidi" w:hAnsiTheme="majorBidi" w:cstheme="majorBidi"/>
          <w:sz w:val="24"/>
          <w:szCs w:val="24"/>
        </w:rPr>
        <w:t>, 2022</w:t>
      </w:r>
      <w:r w:rsidRPr="00A07A50">
        <w:rPr>
          <w:rFonts w:asciiTheme="majorBidi" w:hAnsiTheme="majorBidi" w:cstheme="majorBidi"/>
          <w:sz w:val="24"/>
          <w:szCs w:val="24"/>
        </w:rPr>
        <w:t xml:space="preserve">). Innovation hubs typically require fewer resources than sandboxes and prioritise regulatory education and framework adaptation. The World Bank identifies them as particularly effective for building regulator capacity and safely integrating digital finance, especially in markets with limited supervisory bandwidth (Feyen </w:t>
      </w:r>
      <w:r w:rsidRPr="00496C4B">
        <w:rPr>
          <w:rFonts w:asciiTheme="majorBidi" w:hAnsiTheme="majorBidi" w:cstheme="majorBidi"/>
          <w:i/>
          <w:iCs/>
          <w:sz w:val="24"/>
          <w:szCs w:val="24"/>
        </w:rPr>
        <w:t xml:space="preserve">et al., </w:t>
      </w:r>
      <w:r w:rsidRPr="00A07A50">
        <w:rPr>
          <w:rFonts w:asciiTheme="majorBidi" w:hAnsiTheme="majorBidi" w:cstheme="majorBidi"/>
          <w:sz w:val="24"/>
          <w:szCs w:val="24"/>
        </w:rPr>
        <w:t>2022). Their focus can be directed towards specific sustainability challenges, such as promoting green Fintech solutions or enhancing financial resilience in vulnerable communities.</w:t>
      </w:r>
      <w:r w:rsidR="00B07D24">
        <w:rPr>
          <w:rFonts w:asciiTheme="majorBidi" w:hAnsiTheme="majorBidi" w:cstheme="majorBidi"/>
          <w:sz w:val="24"/>
          <w:szCs w:val="24"/>
        </w:rPr>
        <w:t xml:space="preserve"> Furthermore, f</w:t>
      </w:r>
      <w:r w:rsidRPr="00A07A50">
        <w:rPr>
          <w:rFonts w:asciiTheme="majorBidi" w:hAnsiTheme="majorBidi" w:cstheme="majorBidi"/>
          <w:sz w:val="24"/>
          <w:szCs w:val="24"/>
        </w:rPr>
        <w:t>or cross-border Fintech activities, multi-jurisdictional cooperation offers promise. Initiatives like the Global Financial Innovation Network (GFIN) facilitate information sharing, joint policy development, and even cross-border testing of innovations, helping address regu</w:t>
      </w:r>
      <w:r w:rsidR="007F616B">
        <w:rPr>
          <w:rFonts w:asciiTheme="majorBidi" w:hAnsiTheme="majorBidi" w:cstheme="majorBidi"/>
          <w:sz w:val="24"/>
          <w:szCs w:val="24"/>
        </w:rPr>
        <w:t>latory fragmentation (</w:t>
      </w:r>
      <w:r w:rsidR="007F616B" w:rsidRPr="007F616B">
        <w:rPr>
          <w:rFonts w:asciiTheme="majorBidi" w:hAnsiTheme="majorBidi" w:cstheme="majorBidi"/>
          <w:sz w:val="24"/>
          <w:szCs w:val="24"/>
        </w:rPr>
        <w:t>Martin</w:t>
      </w:r>
      <w:r w:rsidR="007F616B">
        <w:rPr>
          <w:rFonts w:asciiTheme="majorBidi" w:hAnsiTheme="majorBidi" w:cstheme="majorBidi"/>
          <w:sz w:val="24"/>
          <w:szCs w:val="24"/>
        </w:rPr>
        <w:t>, 2017</w:t>
      </w:r>
      <w:r w:rsidRPr="00A07A50">
        <w:rPr>
          <w:rFonts w:asciiTheme="majorBidi" w:hAnsiTheme="majorBidi" w:cstheme="majorBidi"/>
          <w:sz w:val="24"/>
          <w:szCs w:val="24"/>
        </w:rPr>
        <w:t>). This collaborative approach is vital for Fintech solutions targeting global sustainability challenges, such as climate finance or remittance cost reduction, which inherently transcend national borders.</w:t>
      </w:r>
    </w:p>
    <w:p w14:paraId="6076E126" w14:textId="77777777" w:rsidR="00E02A4B" w:rsidRPr="00E02A4B" w:rsidRDefault="00E02A4B" w:rsidP="00E02A4B">
      <w:pPr>
        <w:spacing w:line="360" w:lineRule="auto"/>
        <w:jc w:val="both"/>
        <w:rPr>
          <w:rFonts w:asciiTheme="majorBidi" w:hAnsiTheme="majorBidi" w:cstheme="majorBidi"/>
          <w:b/>
          <w:bCs/>
          <w:sz w:val="24"/>
          <w:szCs w:val="24"/>
        </w:rPr>
      </w:pPr>
      <w:r w:rsidRPr="00E02A4B">
        <w:rPr>
          <w:rFonts w:asciiTheme="majorBidi" w:hAnsiTheme="majorBidi" w:cstheme="majorBidi"/>
          <w:b/>
          <w:bCs/>
          <w:sz w:val="24"/>
          <w:szCs w:val="24"/>
        </w:rPr>
        <w:t>CASE STUDY: U.S. FINTECH REGULATION - SANDBOXES IN A COMPLEX LANDSCAPE</w:t>
      </w:r>
    </w:p>
    <w:p w14:paraId="4BA84905" w14:textId="77777777" w:rsidR="006673D2" w:rsidRDefault="009D5B6D" w:rsidP="006673D2">
      <w:pPr>
        <w:spacing w:line="360" w:lineRule="auto"/>
        <w:jc w:val="both"/>
        <w:rPr>
          <w:rFonts w:asciiTheme="majorBidi" w:hAnsiTheme="majorBidi" w:cstheme="majorBidi"/>
          <w:sz w:val="24"/>
          <w:szCs w:val="24"/>
        </w:rPr>
      </w:pPr>
      <w:r w:rsidRPr="009D5B6D">
        <w:rPr>
          <w:rFonts w:asciiTheme="majorBidi" w:hAnsiTheme="majorBidi" w:cstheme="majorBidi"/>
          <w:sz w:val="24"/>
          <w:szCs w:val="24"/>
        </w:rPr>
        <w:t>The United States exemplifies the challenges of implementing regulatory sandboxes within a fragmented, multi-layered financial oversight system. Unlike jurisdictions with unified frameworks, the US lacks a centralised national regulatory sandbox. Regulatory authority is d</w:t>
      </w:r>
      <w:r>
        <w:rPr>
          <w:rFonts w:asciiTheme="majorBidi" w:hAnsiTheme="majorBidi" w:cstheme="majorBidi"/>
          <w:sz w:val="24"/>
          <w:szCs w:val="24"/>
        </w:rPr>
        <w:t xml:space="preserve">ivided between federal agencies, </w:t>
      </w:r>
      <w:r w:rsidRPr="009D5B6D">
        <w:rPr>
          <w:rFonts w:asciiTheme="majorBidi" w:hAnsiTheme="majorBidi" w:cstheme="majorBidi"/>
          <w:sz w:val="24"/>
          <w:szCs w:val="24"/>
        </w:rPr>
        <w:t>including the Office of the Comptroller of the Currency (OCC), Securities and Exchange Commission (SEC), and Consumer Fin</w:t>
      </w:r>
      <w:r>
        <w:rPr>
          <w:rFonts w:asciiTheme="majorBidi" w:hAnsiTheme="majorBidi" w:cstheme="majorBidi"/>
          <w:sz w:val="24"/>
          <w:szCs w:val="24"/>
        </w:rPr>
        <w:t xml:space="preserve">ancial Protection Bureau (CFPB), </w:t>
      </w:r>
      <w:r w:rsidRPr="009D5B6D">
        <w:rPr>
          <w:rFonts w:asciiTheme="majorBidi" w:hAnsiTheme="majorBidi" w:cstheme="majorBidi"/>
          <w:sz w:val="24"/>
          <w:szCs w:val="24"/>
        </w:rPr>
        <w:t>and individual state regulators, each possessing distinct mandates (Congressional Research Service, 2023). Consequently, sandbox initiatives have emerged primarily at the state level. State</w:t>
      </w:r>
      <w:r w:rsidR="006673D2">
        <w:rPr>
          <w:rFonts w:asciiTheme="majorBidi" w:hAnsiTheme="majorBidi" w:cstheme="majorBidi"/>
          <w:sz w:val="24"/>
          <w:szCs w:val="24"/>
        </w:rPr>
        <w:t>s like Arizona (2018)</w:t>
      </w:r>
      <w:r w:rsidRPr="009D5B6D">
        <w:rPr>
          <w:rFonts w:asciiTheme="majorBidi" w:hAnsiTheme="majorBidi" w:cstheme="majorBidi"/>
          <w:sz w:val="24"/>
          <w:szCs w:val="24"/>
        </w:rPr>
        <w:t>, Utah (2019), Florida (2020), and West Virginia (2021) established programmes offering temporary regulatory relief for Fintech testing (</w:t>
      </w:r>
      <w:r w:rsidR="006673D2" w:rsidRPr="006673D2">
        <w:rPr>
          <w:rFonts w:asciiTheme="majorBidi" w:hAnsiTheme="majorBidi" w:cstheme="majorBidi"/>
          <w:sz w:val="24"/>
          <w:szCs w:val="24"/>
        </w:rPr>
        <w:t>The Buckeye Institute, 2021</w:t>
      </w:r>
      <w:r w:rsidRPr="009D5B6D">
        <w:rPr>
          <w:rFonts w:asciiTheme="majorBidi" w:hAnsiTheme="majorBidi" w:cstheme="majorBidi"/>
          <w:sz w:val="24"/>
          <w:szCs w:val="24"/>
        </w:rPr>
        <w:t>). Arizona’s sandbox, reporting 47 admitted companies by 2023, focuses on payments, lending, and blockchain, demonstrating state-level ap</w:t>
      </w:r>
      <w:r w:rsidR="006673D2">
        <w:rPr>
          <w:rFonts w:asciiTheme="majorBidi" w:hAnsiTheme="majorBidi" w:cstheme="majorBidi"/>
          <w:sz w:val="24"/>
          <w:szCs w:val="24"/>
        </w:rPr>
        <w:t>petite for fostering innovation.</w:t>
      </w:r>
    </w:p>
    <w:p w14:paraId="120612F8" w14:textId="77777777" w:rsidR="009D5B6D" w:rsidRPr="009D5B6D" w:rsidRDefault="009D5B6D" w:rsidP="006673D2">
      <w:pPr>
        <w:spacing w:line="360" w:lineRule="auto"/>
        <w:jc w:val="both"/>
        <w:rPr>
          <w:rFonts w:asciiTheme="majorBidi" w:hAnsiTheme="majorBidi" w:cstheme="majorBidi"/>
          <w:sz w:val="24"/>
          <w:szCs w:val="24"/>
        </w:rPr>
      </w:pPr>
      <w:r w:rsidRPr="009D5B6D">
        <w:rPr>
          <w:rFonts w:asciiTheme="majorBidi" w:hAnsiTheme="majorBidi" w:cstheme="majorBidi"/>
          <w:sz w:val="24"/>
          <w:szCs w:val="24"/>
        </w:rPr>
        <w:lastRenderedPageBreak/>
        <w:t xml:space="preserve">Federal agencies adopted alternative innovation facilitation mechanisms rather than formal sandboxes. The OCC’s Office of Innovation (2016) provides guidance and </w:t>
      </w:r>
      <w:r w:rsidR="006831A7">
        <w:rPr>
          <w:rFonts w:asciiTheme="majorBidi" w:hAnsiTheme="majorBidi" w:cstheme="majorBidi"/>
          <w:sz w:val="24"/>
          <w:szCs w:val="24"/>
        </w:rPr>
        <w:t>grants</w:t>
      </w:r>
      <w:r w:rsidRPr="009D5B6D">
        <w:rPr>
          <w:rFonts w:asciiTheme="majorBidi" w:hAnsiTheme="majorBidi" w:cstheme="majorBidi"/>
          <w:sz w:val="24"/>
          <w:szCs w:val="24"/>
        </w:rPr>
        <w:t xml:space="preserve"> </w:t>
      </w:r>
      <w:r w:rsidR="006831A7">
        <w:rPr>
          <w:rFonts w:asciiTheme="majorBidi" w:hAnsiTheme="majorBidi" w:cstheme="majorBidi"/>
          <w:sz w:val="24"/>
          <w:szCs w:val="24"/>
        </w:rPr>
        <w:t>special-purpose</w:t>
      </w:r>
      <w:r w:rsidRPr="009D5B6D">
        <w:rPr>
          <w:rFonts w:asciiTheme="majorBidi" w:hAnsiTheme="majorBidi" w:cstheme="majorBidi"/>
          <w:sz w:val="24"/>
          <w:szCs w:val="24"/>
        </w:rPr>
        <w:t xml:space="preserve"> national bank charters to firms like Varo Money and Figure Technologies (OCC, 2023). The SEC’s </w:t>
      </w:r>
      <w:proofErr w:type="spellStart"/>
      <w:r w:rsidRPr="009D5B6D">
        <w:rPr>
          <w:rFonts w:asciiTheme="majorBidi" w:hAnsiTheme="majorBidi" w:cstheme="majorBidi"/>
          <w:sz w:val="24"/>
          <w:szCs w:val="24"/>
        </w:rPr>
        <w:t>FinHub</w:t>
      </w:r>
      <w:proofErr w:type="spellEnd"/>
      <w:r w:rsidRPr="009D5B6D">
        <w:rPr>
          <w:rFonts w:asciiTheme="majorBidi" w:hAnsiTheme="majorBidi" w:cstheme="majorBidi"/>
          <w:sz w:val="24"/>
          <w:szCs w:val="24"/>
        </w:rPr>
        <w:t xml:space="preserve"> offers interpretative advice for digital assets (SEC, 2024). The CFPB’s approach evolved significantly; initial policies like the Compliance Assistance Sandbox (CAS) were replaced in 2024 by a narrower </w:t>
      </w:r>
      <w:r w:rsidR="00630840">
        <w:rPr>
          <w:rFonts w:asciiTheme="majorBidi" w:hAnsiTheme="majorBidi" w:cstheme="majorBidi"/>
          <w:sz w:val="24"/>
          <w:szCs w:val="24"/>
        </w:rPr>
        <w:t>“</w:t>
      </w:r>
      <w:r w:rsidRPr="009D5B6D">
        <w:rPr>
          <w:rFonts w:asciiTheme="majorBidi" w:hAnsiTheme="majorBidi" w:cstheme="majorBidi"/>
          <w:sz w:val="24"/>
          <w:szCs w:val="24"/>
        </w:rPr>
        <w:t>Policy on No-Action Letters and Bilateral Sandboxes</w:t>
      </w:r>
      <w:r w:rsidR="00630840">
        <w:rPr>
          <w:rFonts w:asciiTheme="majorBidi" w:hAnsiTheme="majorBidi" w:cstheme="majorBidi"/>
          <w:sz w:val="24"/>
          <w:szCs w:val="24"/>
        </w:rPr>
        <w:t>”</w:t>
      </w:r>
      <w:r w:rsidRPr="009D5B6D">
        <w:rPr>
          <w:rFonts w:asciiTheme="majorBidi" w:hAnsiTheme="majorBidi" w:cstheme="majorBidi"/>
          <w:sz w:val="24"/>
          <w:szCs w:val="24"/>
        </w:rPr>
        <w:t>, demanding greater transparency and demonstrable public benefit, particularly for underserved communities (</w:t>
      </w:r>
      <w:proofErr w:type="spellStart"/>
      <w:r w:rsidR="00A160CE" w:rsidRPr="00A160CE">
        <w:rPr>
          <w:rFonts w:asciiTheme="majorBidi" w:hAnsiTheme="majorBidi" w:cstheme="majorBidi"/>
          <w:sz w:val="24"/>
          <w:szCs w:val="24"/>
        </w:rPr>
        <w:t>Hutukka</w:t>
      </w:r>
      <w:proofErr w:type="spellEnd"/>
      <w:r w:rsidR="00A160CE">
        <w:rPr>
          <w:rFonts w:asciiTheme="majorBidi" w:hAnsiTheme="majorBidi" w:cstheme="majorBidi"/>
          <w:sz w:val="24"/>
          <w:szCs w:val="24"/>
        </w:rPr>
        <w:t>, 2024</w:t>
      </w:r>
      <w:r w:rsidRPr="009D5B6D">
        <w:rPr>
          <w:rFonts w:asciiTheme="majorBidi" w:hAnsiTheme="majorBidi" w:cstheme="majorBidi"/>
          <w:sz w:val="24"/>
          <w:szCs w:val="24"/>
        </w:rPr>
        <w:t>).</w:t>
      </w:r>
    </w:p>
    <w:p w14:paraId="0E1278E2" w14:textId="77777777" w:rsidR="00C2692B" w:rsidRDefault="009D5B6D" w:rsidP="00356607">
      <w:pPr>
        <w:spacing w:line="360" w:lineRule="auto"/>
        <w:jc w:val="both"/>
        <w:rPr>
          <w:rFonts w:asciiTheme="majorBidi" w:hAnsiTheme="majorBidi" w:cstheme="majorBidi"/>
          <w:sz w:val="24"/>
          <w:szCs w:val="24"/>
        </w:rPr>
      </w:pPr>
      <w:r w:rsidRPr="009D5B6D">
        <w:rPr>
          <w:rFonts w:asciiTheme="majorBidi" w:hAnsiTheme="majorBidi" w:cstheme="majorBidi"/>
          <w:sz w:val="24"/>
          <w:szCs w:val="24"/>
        </w:rPr>
        <w:t>Federal policy under the Trump Administration further shaped the environment. Executive Order 14067 (March 2022) prioritised US digital asset leadership, leading to initiatives like the Strategic Bitcoin Reserve and directives for supporti</w:t>
      </w:r>
      <w:r w:rsidR="001E54AC">
        <w:rPr>
          <w:rFonts w:asciiTheme="majorBidi" w:hAnsiTheme="majorBidi" w:cstheme="majorBidi"/>
          <w:sz w:val="24"/>
          <w:szCs w:val="24"/>
        </w:rPr>
        <w:t>ve frameworks (White House, 2025</w:t>
      </w:r>
      <w:r w:rsidRPr="009D5B6D">
        <w:rPr>
          <w:rFonts w:asciiTheme="majorBidi" w:hAnsiTheme="majorBidi" w:cstheme="majorBidi"/>
          <w:sz w:val="24"/>
          <w:szCs w:val="24"/>
        </w:rPr>
        <w:t>). This prompted actions such as the OCC permitting certain crypto custody activities (OCC Interpretive Letter 1179, 2023) and Congress repealing controversial DeFi broker reporting rules via the Keep Innovation in America Act (2025) (</w:t>
      </w:r>
      <w:r w:rsidR="00356607" w:rsidRPr="00356607">
        <w:rPr>
          <w:rFonts w:asciiTheme="majorBidi" w:hAnsiTheme="majorBidi" w:cstheme="majorBidi"/>
          <w:sz w:val="24"/>
          <w:szCs w:val="24"/>
        </w:rPr>
        <w:t>Steele</w:t>
      </w:r>
      <w:r w:rsidR="00356607">
        <w:rPr>
          <w:rFonts w:asciiTheme="majorBidi" w:hAnsiTheme="majorBidi" w:cstheme="majorBidi"/>
          <w:sz w:val="24"/>
          <w:szCs w:val="24"/>
        </w:rPr>
        <w:t>, 2024</w:t>
      </w:r>
      <w:r w:rsidRPr="009D5B6D">
        <w:rPr>
          <w:rFonts w:asciiTheme="majorBidi" w:hAnsiTheme="majorBidi" w:cstheme="majorBidi"/>
          <w:sz w:val="24"/>
          <w:szCs w:val="24"/>
        </w:rPr>
        <w:t xml:space="preserve">). This deregulatory emphasis, including the Department of </w:t>
      </w:r>
      <w:r w:rsidR="00630840">
        <w:rPr>
          <w:rFonts w:asciiTheme="majorBidi" w:hAnsiTheme="majorBidi" w:cstheme="majorBidi"/>
          <w:sz w:val="24"/>
          <w:szCs w:val="24"/>
        </w:rPr>
        <w:t>Justice’s</w:t>
      </w:r>
      <w:r w:rsidRPr="009D5B6D">
        <w:rPr>
          <w:rFonts w:asciiTheme="majorBidi" w:hAnsiTheme="majorBidi" w:cstheme="majorBidi"/>
          <w:sz w:val="24"/>
          <w:szCs w:val="24"/>
        </w:rPr>
        <w:t xml:space="preserve"> disbanding its National Crypto</w:t>
      </w:r>
      <w:r w:rsidR="00F1524F">
        <w:rPr>
          <w:rFonts w:asciiTheme="majorBidi" w:hAnsiTheme="majorBidi" w:cstheme="majorBidi"/>
          <w:sz w:val="24"/>
          <w:szCs w:val="24"/>
        </w:rPr>
        <w:t>currency Enforcement Team</w:t>
      </w:r>
      <w:r w:rsidRPr="009D5B6D">
        <w:rPr>
          <w:rFonts w:asciiTheme="majorBidi" w:hAnsiTheme="majorBidi" w:cstheme="majorBidi"/>
          <w:sz w:val="24"/>
          <w:szCs w:val="24"/>
        </w:rPr>
        <w:t>, creates tension with mandates like the CFPB’s consumer protection focus and the U.S. National Strategy for Financial Inclusion’s goals of equitable access (</w:t>
      </w:r>
      <w:r w:rsidR="00470B7B" w:rsidRPr="00470B7B">
        <w:rPr>
          <w:rFonts w:asciiTheme="majorBidi" w:hAnsiTheme="majorBidi" w:cstheme="majorBidi"/>
          <w:sz w:val="24"/>
          <w:szCs w:val="24"/>
        </w:rPr>
        <w:t>National Strategy for Financial Inclusion</w:t>
      </w:r>
      <w:r w:rsidRPr="009D5B6D">
        <w:rPr>
          <w:rFonts w:asciiTheme="majorBidi" w:hAnsiTheme="majorBidi" w:cstheme="majorBidi"/>
          <w:sz w:val="24"/>
          <w:szCs w:val="24"/>
        </w:rPr>
        <w:t>, 2024). The resulting patchwork of state sandboxes and diverse federal initiatives tests the system’s capacity to coherently foster sustainable Fintech innovation.</w:t>
      </w:r>
    </w:p>
    <w:p w14:paraId="75B41FD5" w14:textId="77777777" w:rsidR="00F1524F" w:rsidRPr="00006ECB" w:rsidRDefault="00F1524F" w:rsidP="00356607">
      <w:pPr>
        <w:spacing w:line="360" w:lineRule="auto"/>
        <w:jc w:val="both"/>
        <w:rPr>
          <w:rFonts w:asciiTheme="majorBidi" w:hAnsiTheme="majorBidi" w:cstheme="majorBidi"/>
          <w:b/>
          <w:bCs/>
          <w:sz w:val="24"/>
          <w:szCs w:val="24"/>
        </w:rPr>
      </w:pPr>
      <w:r w:rsidRPr="00006ECB">
        <w:rPr>
          <w:rFonts w:asciiTheme="majorBidi" w:hAnsiTheme="majorBidi" w:cstheme="majorBidi"/>
          <w:b/>
          <w:bCs/>
          <w:sz w:val="24"/>
          <w:szCs w:val="24"/>
        </w:rPr>
        <w:t>DISCUSSION: PATHWAYS TO SUSTAINABLE FINTECH REGULATION</w:t>
      </w:r>
    </w:p>
    <w:p w14:paraId="1A363541" w14:textId="77777777" w:rsidR="00006ECB" w:rsidRPr="00006ECB" w:rsidRDefault="00006ECB" w:rsidP="00006ECB">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Regulatory sandboxes alone are insufficient for fully harnessing Fintech’s potential to advance sustainable development. Their efficacy is constrained by jurisdictional capacity, access limitations, and scalability challenges. Evidence suggests four integrated pathways can more effectively align Fintech innovation with sustainability imperatives.</w:t>
      </w:r>
      <w:r>
        <w:rPr>
          <w:rFonts w:asciiTheme="majorBidi" w:hAnsiTheme="majorBidi" w:cstheme="majorBidi"/>
          <w:sz w:val="24"/>
          <w:szCs w:val="24"/>
        </w:rPr>
        <w:t xml:space="preserve"> </w:t>
      </w:r>
    </w:p>
    <w:p w14:paraId="2CA5B04B" w14:textId="77777777" w:rsidR="00006ECB" w:rsidRPr="00006ECB" w:rsidRDefault="00006ECB" w:rsidP="00893340">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Firstly, thematic regulatory sandboxes explicitly targeting specific Sustainable Development Goals show greater impact. Malaysia’s dedicated Financial Inclusion Sandbox mandates solutions for rural communities and micro-enterprises, demonstrating focused outcomes superior to general framew</w:t>
      </w:r>
      <w:r>
        <w:rPr>
          <w:rFonts w:asciiTheme="majorBidi" w:hAnsiTheme="majorBidi" w:cstheme="majorBidi"/>
          <w:sz w:val="24"/>
          <w:szCs w:val="24"/>
        </w:rPr>
        <w:t>orks (Bank Negara Malaysia, 2023</w:t>
      </w:r>
      <w:r w:rsidRPr="00006ECB">
        <w:rPr>
          <w:rFonts w:asciiTheme="majorBidi" w:hAnsiTheme="majorBidi" w:cstheme="majorBidi"/>
          <w:sz w:val="24"/>
          <w:szCs w:val="24"/>
        </w:rPr>
        <w:t>). Sierra Leone’s sandbox prioritises innovations reducing costs for low-income users, directly supporting SDG 1 (</w:t>
      </w:r>
      <w:r w:rsidR="00893340">
        <w:rPr>
          <w:rFonts w:asciiTheme="majorBidi" w:hAnsiTheme="majorBidi" w:cstheme="majorBidi"/>
          <w:sz w:val="24"/>
          <w:szCs w:val="24"/>
        </w:rPr>
        <w:t>UNCDF</w:t>
      </w:r>
      <w:r w:rsidR="00893340" w:rsidRPr="00893340">
        <w:rPr>
          <w:rFonts w:asciiTheme="majorBidi" w:hAnsiTheme="majorBidi" w:cstheme="majorBidi"/>
          <w:sz w:val="24"/>
          <w:szCs w:val="24"/>
        </w:rPr>
        <w:t>, 2018</w:t>
      </w:r>
      <w:r w:rsidRPr="00006ECB">
        <w:rPr>
          <w:rFonts w:asciiTheme="majorBidi" w:hAnsiTheme="majorBidi" w:cstheme="majorBidi"/>
          <w:sz w:val="24"/>
          <w:szCs w:val="24"/>
        </w:rPr>
        <w:t xml:space="preserve">). Such specificity </w:t>
      </w:r>
      <w:r w:rsidRPr="00006ECB">
        <w:rPr>
          <w:rFonts w:asciiTheme="majorBidi" w:hAnsiTheme="majorBidi" w:cstheme="majorBidi"/>
          <w:sz w:val="24"/>
          <w:szCs w:val="24"/>
        </w:rPr>
        <w:lastRenderedPageBreak/>
        <w:t>prevents mission drift where initiatives targeting marginalised groups shift towards more profitable markets (Jenik &amp; Lauer, 2017).</w:t>
      </w:r>
    </w:p>
    <w:p w14:paraId="6B68F121" w14:textId="77777777" w:rsidR="00006ECB" w:rsidRPr="00006ECB" w:rsidRDefault="00006ECB" w:rsidP="00CC79D9">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Secondly, Supervisory Technology (</w:t>
      </w:r>
      <w:proofErr w:type="spellStart"/>
      <w:r w:rsidRPr="00006ECB">
        <w:rPr>
          <w:rFonts w:asciiTheme="majorBidi" w:hAnsiTheme="majorBidi" w:cstheme="majorBidi"/>
          <w:sz w:val="24"/>
          <w:szCs w:val="24"/>
        </w:rPr>
        <w:t>SupTech</w:t>
      </w:r>
      <w:proofErr w:type="spellEnd"/>
      <w:r w:rsidRPr="00006ECB">
        <w:rPr>
          <w:rFonts w:asciiTheme="majorBidi" w:hAnsiTheme="majorBidi" w:cstheme="majorBidi"/>
          <w:sz w:val="24"/>
          <w:szCs w:val="24"/>
        </w:rPr>
        <w:t>) must complement sandboxes to enable real-time oversight at scale. Projects like the BIS Innovation Hub’s Aurora, using privacy-preserving analytics to detect illicit financial flows, illustrate how AI-driven tools can monitor systemic risks beyon</w:t>
      </w:r>
      <w:r w:rsidR="00CC79D9">
        <w:rPr>
          <w:rFonts w:asciiTheme="majorBidi" w:hAnsiTheme="majorBidi" w:cstheme="majorBidi"/>
          <w:sz w:val="24"/>
          <w:szCs w:val="24"/>
        </w:rPr>
        <w:t>d experimental phases (</w:t>
      </w:r>
      <w:r w:rsidR="00CC79D9" w:rsidRPr="00CC79D9">
        <w:rPr>
          <w:rFonts w:asciiTheme="majorBidi" w:hAnsiTheme="majorBidi" w:cstheme="majorBidi"/>
          <w:sz w:val="24"/>
          <w:szCs w:val="24"/>
        </w:rPr>
        <w:t>Foucault</w:t>
      </w:r>
      <w:r w:rsidR="00CC79D9">
        <w:rPr>
          <w:rFonts w:asciiTheme="majorBidi" w:hAnsiTheme="majorBidi" w:cstheme="majorBidi"/>
          <w:sz w:val="24"/>
          <w:szCs w:val="24"/>
        </w:rPr>
        <w:t xml:space="preserve"> </w:t>
      </w:r>
      <w:r w:rsidR="00CC79D9" w:rsidRPr="00CC79D9">
        <w:rPr>
          <w:rFonts w:asciiTheme="majorBidi" w:hAnsiTheme="majorBidi" w:cstheme="majorBidi"/>
          <w:i/>
          <w:iCs/>
          <w:sz w:val="24"/>
          <w:szCs w:val="24"/>
        </w:rPr>
        <w:t>et al.,</w:t>
      </w:r>
      <w:r w:rsidR="00CC79D9">
        <w:rPr>
          <w:rFonts w:asciiTheme="majorBidi" w:hAnsiTheme="majorBidi" w:cstheme="majorBidi"/>
          <w:sz w:val="24"/>
          <w:szCs w:val="24"/>
        </w:rPr>
        <w:t xml:space="preserve"> 2025</w:t>
      </w:r>
      <w:r w:rsidRPr="00006ECB">
        <w:rPr>
          <w:rFonts w:asciiTheme="majorBidi" w:hAnsiTheme="majorBidi" w:cstheme="majorBidi"/>
          <w:sz w:val="24"/>
          <w:szCs w:val="24"/>
        </w:rPr>
        <w:t xml:space="preserve">). Cloud-based </w:t>
      </w:r>
      <w:proofErr w:type="spellStart"/>
      <w:r w:rsidRPr="00006ECB">
        <w:rPr>
          <w:rFonts w:asciiTheme="majorBidi" w:hAnsiTheme="majorBidi" w:cstheme="majorBidi"/>
          <w:sz w:val="24"/>
          <w:szCs w:val="24"/>
        </w:rPr>
        <w:t>SupTech</w:t>
      </w:r>
      <w:proofErr w:type="spellEnd"/>
      <w:r w:rsidRPr="00006ECB">
        <w:rPr>
          <w:rFonts w:asciiTheme="majorBidi" w:hAnsiTheme="majorBidi" w:cstheme="majorBidi"/>
          <w:sz w:val="24"/>
          <w:szCs w:val="24"/>
        </w:rPr>
        <w:t xml:space="preserve"> platforms, accessible via initiatives like the World Bank’s Financial Inclusion Global Initiative, offer cost-effective solutions for developing economies (World Bank, 2022).</w:t>
      </w:r>
    </w:p>
    <w:p w14:paraId="33F76E8F" w14:textId="77777777" w:rsidR="00006ECB" w:rsidRPr="00006ECB" w:rsidRDefault="00801F9D" w:rsidP="00801F9D">
      <w:pPr>
        <w:spacing w:line="360" w:lineRule="auto"/>
        <w:jc w:val="both"/>
        <w:rPr>
          <w:rFonts w:asciiTheme="majorBidi" w:hAnsiTheme="majorBidi" w:cstheme="majorBidi"/>
          <w:sz w:val="24"/>
          <w:szCs w:val="24"/>
        </w:rPr>
      </w:pPr>
      <w:r>
        <w:rPr>
          <w:rFonts w:asciiTheme="majorBidi" w:hAnsiTheme="majorBidi" w:cstheme="majorBidi"/>
          <w:sz w:val="24"/>
          <w:szCs w:val="24"/>
        </w:rPr>
        <w:t>Finally</w:t>
      </w:r>
      <w:r w:rsidR="00006ECB" w:rsidRPr="00006ECB">
        <w:rPr>
          <w:rFonts w:asciiTheme="majorBidi" w:hAnsiTheme="majorBidi" w:cstheme="majorBidi"/>
          <w:sz w:val="24"/>
          <w:szCs w:val="24"/>
        </w:rPr>
        <w:t>, strengthened cross-border cooperation addresses regulatory fragmentation. Expanding networks like the Global Financial Innovation Network (GFIN) to include emerging markets could standardise sustainability assessment criteria and enable joint testing (</w:t>
      </w:r>
      <w:r w:rsidRPr="007F616B">
        <w:rPr>
          <w:rFonts w:asciiTheme="majorBidi" w:hAnsiTheme="majorBidi" w:cstheme="majorBidi"/>
          <w:sz w:val="24"/>
          <w:szCs w:val="24"/>
        </w:rPr>
        <w:t>Martin</w:t>
      </w:r>
      <w:r>
        <w:rPr>
          <w:rFonts w:asciiTheme="majorBidi" w:hAnsiTheme="majorBidi" w:cstheme="majorBidi"/>
          <w:sz w:val="24"/>
          <w:szCs w:val="24"/>
        </w:rPr>
        <w:t>, 2017</w:t>
      </w:r>
      <w:r w:rsidR="00006ECB" w:rsidRPr="00006ECB">
        <w:rPr>
          <w:rFonts w:asciiTheme="majorBidi" w:hAnsiTheme="majorBidi" w:cstheme="majorBidi"/>
          <w:sz w:val="24"/>
          <w:szCs w:val="24"/>
        </w:rPr>
        <w:t>). Regional models such as ASEAN’s Financial Innovation Network demonstrate viability in harmo</w:t>
      </w:r>
      <w:r>
        <w:rPr>
          <w:rFonts w:asciiTheme="majorBidi" w:hAnsiTheme="majorBidi" w:cstheme="majorBidi"/>
          <w:sz w:val="24"/>
          <w:szCs w:val="24"/>
        </w:rPr>
        <w:t xml:space="preserve">nising green Fintech standards. </w:t>
      </w:r>
    </w:p>
    <w:p w14:paraId="36592942" w14:textId="77777777" w:rsidR="00F1524F" w:rsidRDefault="00006ECB" w:rsidP="00006ECB">
      <w:pPr>
        <w:spacing w:line="360" w:lineRule="auto"/>
        <w:jc w:val="both"/>
        <w:rPr>
          <w:rFonts w:asciiTheme="majorBidi" w:hAnsiTheme="majorBidi" w:cstheme="majorBidi"/>
          <w:sz w:val="24"/>
          <w:szCs w:val="24"/>
        </w:rPr>
      </w:pPr>
      <w:r w:rsidRPr="00006ECB">
        <w:rPr>
          <w:rFonts w:asciiTheme="majorBidi" w:hAnsiTheme="majorBidi" w:cstheme="majorBidi"/>
          <w:sz w:val="24"/>
          <w:szCs w:val="24"/>
        </w:rPr>
        <w:t>These pathways require regulators to cultivate specialised sustainability expertise, allocate sufficient resources, and foster deeper public-private dialogue. Only through such systemic approaches can Fintech genuinely catalyse equitable and resilient financial systems.</w:t>
      </w:r>
    </w:p>
    <w:p w14:paraId="1590A37E" w14:textId="77777777" w:rsidR="00207B02" w:rsidRPr="00207B02" w:rsidRDefault="00207B02" w:rsidP="00207B02">
      <w:pPr>
        <w:spacing w:line="360" w:lineRule="auto"/>
        <w:jc w:val="both"/>
        <w:rPr>
          <w:rFonts w:asciiTheme="majorBidi" w:hAnsiTheme="majorBidi" w:cstheme="majorBidi"/>
          <w:b/>
          <w:bCs/>
          <w:sz w:val="24"/>
          <w:szCs w:val="24"/>
        </w:rPr>
      </w:pPr>
      <w:r w:rsidRPr="00207B02">
        <w:rPr>
          <w:rFonts w:asciiTheme="majorBidi" w:hAnsiTheme="majorBidi" w:cstheme="majorBidi"/>
          <w:b/>
          <w:bCs/>
          <w:sz w:val="24"/>
          <w:szCs w:val="24"/>
        </w:rPr>
        <w:t>CONCLUSION</w:t>
      </w:r>
    </w:p>
    <w:p w14:paraId="68DCDC6E" w14:textId="77777777" w:rsidR="00207B02" w:rsidRPr="00207B02" w:rsidRDefault="00207B02" w:rsidP="00207B02">
      <w:pPr>
        <w:spacing w:line="360" w:lineRule="auto"/>
        <w:jc w:val="both"/>
        <w:rPr>
          <w:rFonts w:asciiTheme="majorBidi" w:hAnsiTheme="majorBidi" w:cstheme="majorBidi"/>
          <w:sz w:val="24"/>
          <w:szCs w:val="24"/>
        </w:rPr>
      </w:pPr>
      <w:r w:rsidRPr="00207B02">
        <w:rPr>
          <w:rFonts w:asciiTheme="majorBidi" w:hAnsiTheme="majorBidi" w:cstheme="majorBidi"/>
          <w:sz w:val="24"/>
          <w:szCs w:val="24"/>
        </w:rPr>
        <w:t>Regulatory sandboxes offer valuable testing environments</w:t>
      </w:r>
      <w:r>
        <w:rPr>
          <w:rFonts w:asciiTheme="majorBidi" w:hAnsiTheme="majorBidi" w:cstheme="majorBidi"/>
          <w:sz w:val="24"/>
          <w:szCs w:val="24"/>
        </w:rPr>
        <w:t>,</w:t>
      </w:r>
      <w:r w:rsidRPr="00207B02">
        <w:rPr>
          <w:rFonts w:asciiTheme="majorBidi" w:hAnsiTheme="majorBidi" w:cstheme="majorBidi"/>
          <w:sz w:val="24"/>
          <w:szCs w:val="24"/>
        </w:rPr>
        <w:t xml:space="preserve"> but cannot singularly ensure Fintech advances sustainable development. Their effectiveness remains constrained by jurisdictional capacity, access limitations, and inherent scalability challenges. As demonstrated, sandboxes function best when integrated within broader, adaptive regulatory strategies explicitly prioritising sustainability outcomes.  </w:t>
      </w:r>
    </w:p>
    <w:p w14:paraId="7C0168FC" w14:textId="77777777" w:rsidR="00207B02" w:rsidRPr="00207B02" w:rsidRDefault="00207B02" w:rsidP="00207B02">
      <w:pPr>
        <w:spacing w:line="360" w:lineRule="auto"/>
        <w:jc w:val="both"/>
        <w:rPr>
          <w:rFonts w:asciiTheme="majorBidi" w:hAnsiTheme="majorBidi" w:cstheme="majorBidi"/>
          <w:sz w:val="24"/>
          <w:szCs w:val="24"/>
        </w:rPr>
      </w:pPr>
      <w:r w:rsidRPr="00207B02">
        <w:rPr>
          <w:rFonts w:asciiTheme="majorBidi" w:hAnsiTheme="majorBidi" w:cstheme="majorBidi"/>
          <w:sz w:val="24"/>
          <w:szCs w:val="24"/>
        </w:rPr>
        <w:t xml:space="preserve">The evidence </w:t>
      </w:r>
      <w:r>
        <w:rPr>
          <w:rFonts w:asciiTheme="majorBidi" w:hAnsiTheme="majorBidi" w:cstheme="majorBidi"/>
          <w:sz w:val="24"/>
          <w:szCs w:val="24"/>
        </w:rPr>
        <w:t>highlights</w:t>
      </w:r>
      <w:r w:rsidRPr="00207B02">
        <w:rPr>
          <w:rFonts w:asciiTheme="majorBidi" w:hAnsiTheme="majorBidi" w:cstheme="majorBidi"/>
          <w:sz w:val="24"/>
          <w:szCs w:val="24"/>
        </w:rPr>
        <w:t xml:space="preserve"> four critical imperatives. First, thematic sandboxes targeting specific Sustainable Development Goals, such as Malaysia’s focus on rural financial inclusion or Sierra Leone’s cost-reduction mandate, deliver more tangible impacts than general frameworks. Second, supervisory technology (</w:t>
      </w:r>
      <w:proofErr w:type="spellStart"/>
      <w:r w:rsidRPr="00207B02">
        <w:rPr>
          <w:rFonts w:asciiTheme="majorBidi" w:hAnsiTheme="majorBidi" w:cstheme="majorBidi"/>
          <w:sz w:val="24"/>
          <w:szCs w:val="24"/>
        </w:rPr>
        <w:t>SupTech</w:t>
      </w:r>
      <w:proofErr w:type="spellEnd"/>
      <w:r w:rsidRPr="00207B02">
        <w:rPr>
          <w:rFonts w:asciiTheme="majorBidi" w:hAnsiTheme="majorBidi" w:cstheme="majorBidi"/>
          <w:sz w:val="24"/>
          <w:szCs w:val="24"/>
        </w:rPr>
        <w:t xml:space="preserve">) must be deployed to enable real-time, scalable oversight beyond sandbox experiments, leveraging tools like the BIS Innovation Hub’s Project Aurora. Third, robust cross-border collaboration through expanded networks such as GFIN or ASEAN’s Financial Innovation Network is essential to harmonise standards and share resources. Finally, </w:t>
      </w:r>
      <w:r w:rsidRPr="00207B02">
        <w:rPr>
          <w:rFonts w:asciiTheme="majorBidi" w:hAnsiTheme="majorBidi" w:cstheme="majorBidi"/>
          <w:sz w:val="24"/>
          <w:szCs w:val="24"/>
        </w:rPr>
        <w:lastRenderedPageBreak/>
        <w:t xml:space="preserve">embedding sustainability metrics directly into licensing and prudential rules, exemplified by Kenya’s mandatory reporting on loans to women-owned enterprises or NGFS climate risk scenarios, ensures lasting alignment beyond temporary testing phases.  </w:t>
      </w:r>
    </w:p>
    <w:p w14:paraId="5D258381" w14:textId="77777777" w:rsidR="00A264CF" w:rsidRDefault="00207B02" w:rsidP="00207B02">
      <w:pPr>
        <w:spacing w:line="360" w:lineRule="auto"/>
        <w:jc w:val="both"/>
        <w:rPr>
          <w:rFonts w:asciiTheme="majorBidi" w:hAnsiTheme="majorBidi" w:cstheme="majorBidi"/>
          <w:sz w:val="24"/>
          <w:szCs w:val="24"/>
        </w:rPr>
      </w:pPr>
      <w:r w:rsidRPr="00207B02">
        <w:rPr>
          <w:rFonts w:asciiTheme="majorBidi" w:hAnsiTheme="majorBidi" w:cstheme="majorBidi"/>
          <w:sz w:val="24"/>
          <w:szCs w:val="24"/>
        </w:rPr>
        <w:t>Achieving genuinely sustainable Fintech ecosystems demands more than isolated regulatory experiments. It necessitates sustained commitment from policymakers to cultivate specialised expertise, allocate adequate resources, and foster inclusive public-private dialogue. Only through such systemic, globally coordinated efforts can Fintech fulfil its transformative potential in building equitable financial systems that serve both people and planet. The imperative for regulators is clear: move beyond sandboxes towards comprehensive frameworks that mandate and measure Fintech’s contribution to a resilient, inclusive future.</w:t>
      </w:r>
    </w:p>
    <w:p w14:paraId="0057D7C8" w14:textId="77777777" w:rsidR="00A264CF" w:rsidRDefault="00A264CF" w:rsidP="00207B02">
      <w:pPr>
        <w:spacing w:line="360" w:lineRule="auto"/>
        <w:jc w:val="both"/>
        <w:rPr>
          <w:rFonts w:asciiTheme="majorBidi" w:hAnsiTheme="majorBidi" w:cstheme="majorBidi"/>
          <w:sz w:val="24"/>
          <w:szCs w:val="24"/>
        </w:rPr>
      </w:pPr>
    </w:p>
    <w:p w14:paraId="4001B430" w14:textId="77777777" w:rsidR="007A7B53" w:rsidRPr="003A29C6" w:rsidRDefault="007A7B53" w:rsidP="007A7B53">
      <w:pPr>
        <w:jc w:val="both"/>
        <w:outlineLvl w:val="0"/>
        <w:rPr>
          <w:rFonts w:ascii="Arial" w:hAnsi="Arial" w:cs="Arial"/>
        </w:rPr>
      </w:pPr>
      <w:r w:rsidRPr="003A29C6">
        <w:rPr>
          <w:rFonts w:ascii="Arial" w:hAnsi="Arial" w:cs="Arial"/>
          <w:b/>
          <w:bCs/>
        </w:rPr>
        <w:t>COMPETING INTERESTS DISCLAIMER:</w:t>
      </w:r>
    </w:p>
    <w:p w14:paraId="1C6A7D4A" w14:textId="77777777" w:rsidR="007A7B53" w:rsidRDefault="007A7B53" w:rsidP="007A7B53">
      <w:r w:rsidRPr="00A10EDE">
        <w:t>Authors have declared that they have no known competing financial interests OR non-financial interests OR personal relationships that could have appeared to influence the work reported in this paper.</w:t>
      </w:r>
    </w:p>
    <w:p w14:paraId="5CDA69D8" w14:textId="77777777" w:rsidR="00A264CF" w:rsidRDefault="00A264CF" w:rsidP="00207B02">
      <w:pPr>
        <w:spacing w:line="360" w:lineRule="auto"/>
        <w:jc w:val="both"/>
        <w:rPr>
          <w:rFonts w:asciiTheme="majorBidi" w:hAnsiTheme="majorBidi" w:cstheme="majorBidi"/>
          <w:sz w:val="24"/>
          <w:szCs w:val="24"/>
        </w:rPr>
      </w:pPr>
      <w:bookmarkStart w:id="0" w:name="_GoBack"/>
      <w:bookmarkEnd w:id="0"/>
    </w:p>
    <w:p w14:paraId="421B5B6F" w14:textId="77777777" w:rsidR="00A264CF" w:rsidRDefault="00A264CF" w:rsidP="00207B02">
      <w:pPr>
        <w:spacing w:line="360" w:lineRule="auto"/>
        <w:jc w:val="both"/>
        <w:rPr>
          <w:rFonts w:asciiTheme="majorBidi" w:hAnsiTheme="majorBidi" w:cstheme="majorBidi"/>
          <w:sz w:val="24"/>
          <w:szCs w:val="24"/>
        </w:rPr>
      </w:pPr>
    </w:p>
    <w:p w14:paraId="2E8F949B" w14:textId="77777777" w:rsidR="00A264CF" w:rsidRPr="00A264CF" w:rsidRDefault="00A264CF" w:rsidP="00207B02">
      <w:pPr>
        <w:spacing w:line="360" w:lineRule="auto"/>
        <w:jc w:val="both"/>
        <w:rPr>
          <w:rFonts w:asciiTheme="majorBidi" w:hAnsiTheme="majorBidi" w:cstheme="majorBidi"/>
          <w:b/>
          <w:bCs/>
          <w:sz w:val="24"/>
          <w:szCs w:val="24"/>
        </w:rPr>
      </w:pPr>
      <w:r w:rsidRPr="00A264CF">
        <w:rPr>
          <w:rFonts w:asciiTheme="majorBidi" w:hAnsiTheme="majorBidi" w:cstheme="majorBidi"/>
          <w:b/>
          <w:bCs/>
          <w:sz w:val="24"/>
          <w:szCs w:val="24"/>
        </w:rPr>
        <w:t>REFERENCES</w:t>
      </w:r>
    </w:p>
    <w:p w14:paraId="5544CBA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Allen, F., Gu, X., &amp; Jagtiani, J. (2022). Fintech, cryptocurrencies, and CBDC: Financial structural transformation in China. </w:t>
      </w:r>
      <w:r w:rsidRPr="009523C4">
        <w:rPr>
          <w:rFonts w:ascii="Times New Roman" w:eastAsia="Times New Roman" w:hAnsi="Times New Roman" w:cs="Times New Roman"/>
          <w:i/>
          <w:iCs/>
          <w:sz w:val="24"/>
          <w:szCs w:val="24"/>
          <w:lang w:val="en-US"/>
        </w:rPr>
        <w:t>Journal of International Money and Finance, 124</w:t>
      </w:r>
      <w:r w:rsidRPr="009523C4">
        <w:rPr>
          <w:rFonts w:ascii="Times New Roman" w:eastAsia="Times New Roman" w:hAnsi="Times New Roman" w:cs="Times New Roman"/>
          <w:sz w:val="24"/>
          <w:szCs w:val="24"/>
          <w:lang w:val="en-US"/>
        </w:rPr>
        <w:t xml:space="preserve">, 102625. </w:t>
      </w:r>
      <w:hyperlink r:id="rId6" w:tgtFrame="_new" w:history="1">
        <w:r w:rsidRPr="009523C4">
          <w:rPr>
            <w:rFonts w:ascii="Times New Roman" w:eastAsia="Times New Roman" w:hAnsi="Times New Roman" w:cs="Times New Roman"/>
            <w:color w:val="0000FF"/>
            <w:sz w:val="24"/>
            <w:szCs w:val="24"/>
            <w:u w:val="single"/>
            <w:lang w:val="en-US"/>
          </w:rPr>
          <w:t>https://doi.org/10.1016/j.jimonfin.2022.102625</w:t>
        </w:r>
      </w:hyperlink>
      <w:r>
        <w:rPr>
          <w:rFonts w:ascii="Times New Roman" w:eastAsia="Times New Roman" w:hAnsi="Times New Roman" w:cs="Times New Roman"/>
          <w:sz w:val="24"/>
          <w:szCs w:val="24"/>
          <w:lang w:val="en-US"/>
        </w:rPr>
        <w:t xml:space="preserve"> [Accessed 25</w:t>
      </w:r>
      <w:r w:rsidRPr="00570227">
        <w:rPr>
          <w:rFonts w:ascii="Times New Roman" w:eastAsia="Times New Roman" w:hAnsi="Times New Roman" w:cs="Times New Roman"/>
          <w:sz w:val="24"/>
          <w:szCs w:val="24"/>
          <w:lang w:val="en-US"/>
        </w:rPr>
        <w:t xml:space="preserve"> July 2025].</w:t>
      </w:r>
    </w:p>
    <w:p w14:paraId="4B44F11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Arner, D. W., Barberis, J., &amp; Buckley, R. P. (2017). FinTech and </w:t>
      </w:r>
      <w:proofErr w:type="spellStart"/>
      <w:r w:rsidRPr="009523C4">
        <w:rPr>
          <w:rFonts w:ascii="Times New Roman" w:eastAsia="Times New Roman" w:hAnsi="Times New Roman" w:cs="Times New Roman"/>
          <w:sz w:val="24"/>
          <w:szCs w:val="24"/>
          <w:lang w:val="en-US"/>
        </w:rPr>
        <w:t>RegTech</w:t>
      </w:r>
      <w:proofErr w:type="spellEnd"/>
      <w:r w:rsidRPr="009523C4">
        <w:rPr>
          <w:rFonts w:ascii="Times New Roman" w:eastAsia="Times New Roman" w:hAnsi="Times New Roman" w:cs="Times New Roman"/>
          <w:sz w:val="24"/>
          <w:szCs w:val="24"/>
          <w:lang w:val="en-US"/>
        </w:rPr>
        <w:t xml:space="preserve"> in a nutshell, and the future in a sandbox. </w:t>
      </w:r>
      <w:r w:rsidRPr="009523C4">
        <w:rPr>
          <w:rFonts w:ascii="Times New Roman" w:eastAsia="Times New Roman" w:hAnsi="Times New Roman" w:cs="Times New Roman"/>
          <w:i/>
          <w:iCs/>
          <w:sz w:val="24"/>
          <w:szCs w:val="24"/>
          <w:lang w:val="en-US"/>
        </w:rPr>
        <w:t>CFA Institute Research Foundation</w:t>
      </w:r>
      <w:r w:rsidRPr="009523C4">
        <w:rPr>
          <w:rFonts w:ascii="Times New Roman" w:eastAsia="Times New Roman" w:hAnsi="Times New Roman" w:cs="Times New Roman"/>
          <w:sz w:val="24"/>
          <w:szCs w:val="24"/>
          <w:lang w:val="en-US"/>
        </w:rPr>
        <w:t xml:space="preserve">. </w:t>
      </w:r>
      <w:hyperlink r:id="rId7" w:history="1">
        <w:r w:rsidRPr="005B075D">
          <w:rPr>
            <w:rStyle w:val="Hyperlink"/>
            <w:rFonts w:ascii="Times New Roman" w:eastAsia="Times New Roman" w:hAnsi="Times New Roman" w:cs="Times New Roman"/>
            <w:sz w:val="24"/>
            <w:szCs w:val="24"/>
            <w:lang w:val="en-US"/>
          </w:rPr>
          <w:t>https://doi.org/10.2139/ssrn.3088303</w:t>
        </w:r>
      </w:hyperlink>
      <w:r>
        <w:rPr>
          <w:rFonts w:ascii="Times New Roman" w:eastAsia="Times New Roman" w:hAnsi="Times New Roman" w:cs="Times New Roman"/>
          <w:sz w:val="24"/>
          <w:szCs w:val="24"/>
          <w:lang w:val="en-US"/>
        </w:rPr>
        <w:t xml:space="preserve"> [Accessed 25</w:t>
      </w:r>
      <w:r w:rsidRPr="00570227">
        <w:rPr>
          <w:rFonts w:ascii="Times New Roman" w:eastAsia="Times New Roman" w:hAnsi="Times New Roman" w:cs="Times New Roman"/>
          <w:sz w:val="24"/>
          <w:szCs w:val="24"/>
          <w:lang w:val="en-US"/>
        </w:rPr>
        <w:t xml:space="preserve"> July 2025].</w:t>
      </w:r>
    </w:p>
    <w:p w14:paraId="2EE13CF8"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Avgouleas</w:t>
      </w:r>
      <w:proofErr w:type="spellEnd"/>
      <w:r w:rsidRPr="009523C4">
        <w:rPr>
          <w:rFonts w:ascii="Times New Roman" w:eastAsia="Times New Roman" w:hAnsi="Times New Roman" w:cs="Times New Roman"/>
          <w:sz w:val="24"/>
          <w:szCs w:val="24"/>
          <w:lang w:val="en-US"/>
        </w:rPr>
        <w:t xml:space="preserve">, E., &amp; Donald, D. C. (Eds.). (2019). </w:t>
      </w:r>
      <w:r w:rsidRPr="009523C4">
        <w:rPr>
          <w:rFonts w:ascii="Times New Roman" w:eastAsia="Times New Roman" w:hAnsi="Times New Roman" w:cs="Times New Roman"/>
          <w:i/>
          <w:iCs/>
          <w:sz w:val="24"/>
          <w:szCs w:val="24"/>
          <w:lang w:val="en-US"/>
        </w:rPr>
        <w:t>The political economy of financial regulation</w:t>
      </w:r>
      <w:r w:rsidRPr="009523C4">
        <w:rPr>
          <w:rFonts w:ascii="Times New Roman" w:eastAsia="Times New Roman" w:hAnsi="Times New Roman" w:cs="Times New Roman"/>
          <w:sz w:val="24"/>
          <w:szCs w:val="24"/>
          <w:lang w:val="en-US"/>
        </w:rPr>
        <w:t>. Cambridge University Press.</w:t>
      </w:r>
    </w:p>
    <w:p w14:paraId="11ECD27C"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Bamberger, K. A., &amp; Mulligan, D. K. (2010). Privacy on the books and on the ground. </w:t>
      </w:r>
      <w:r w:rsidRPr="009523C4">
        <w:rPr>
          <w:rFonts w:ascii="Times New Roman" w:eastAsia="Times New Roman" w:hAnsi="Times New Roman" w:cs="Times New Roman"/>
          <w:i/>
          <w:iCs/>
          <w:sz w:val="24"/>
          <w:szCs w:val="24"/>
          <w:lang w:val="en-US"/>
        </w:rPr>
        <w:t>Stanford Law Review, 63</w:t>
      </w:r>
      <w:r w:rsidRPr="009523C4">
        <w:rPr>
          <w:rFonts w:ascii="Times New Roman" w:eastAsia="Times New Roman" w:hAnsi="Times New Roman" w:cs="Times New Roman"/>
          <w:sz w:val="24"/>
          <w:szCs w:val="24"/>
          <w:lang w:val="en-US"/>
        </w:rPr>
        <w:t>, 247.</w:t>
      </w:r>
    </w:p>
    <w:p w14:paraId="4553911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Bank Negara Malaysia. (2023). </w:t>
      </w:r>
      <w:r w:rsidRPr="009523C4">
        <w:rPr>
          <w:rFonts w:ascii="Times New Roman" w:eastAsia="Times New Roman" w:hAnsi="Times New Roman" w:cs="Times New Roman"/>
          <w:i/>
          <w:iCs/>
          <w:sz w:val="24"/>
          <w:szCs w:val="24"/>
          <w:lang w:val="en-US"/>
        </w:rPr>
        <w:t>Financial inclusion framework 2023–2026: Strategy paper</w:t>
      </w:r>
      <w:r w:rsidRPr="009523C4">
        <w:rPr>
          <w:rFonts w:ascii="Times New Roman" w:eastAsia="Times New Roman" w:hAnsi="Times New Roman" w:cs="Times New Roman"/>
          <w:sz w:val="24"/>
          <w:szCs w:val="24"/>
          <w:lang w:val="en-US"/>
        </w:rPr>
        <w:t xml:space="preserve">. </w:t>
      </w:r>
      <w:hyperlink r:id="rId8" w:tgtFrame="_new" w:history="1">
        <w:r w:rsidRPr="009523C4">
          <w:rPr>
            <w:rFonts w:ascii="Times New Roman" w:eastAsia="Times New Roman" w:hAnsi="Times New Roman" w:cs="Times New Roman"/>
            <w:color w:val="0000FF"/>
            <w:sz w:val="24"/>
            <w:szCs w:val="24"/>
            <w:u w:val="single"/>
            <w:lang w:val="en-US"/>
          </w:rPr>
          <w:t>https://www.bnm.gov.my/documents/20124/55792/SP-2nd-fin-incl-framework.pdf</w:t>
        </w:r>
      </w:hyperlink>
      <w:r>
        <w:rPr>
          <w:rFonts w:ascii="Times New Roman" w:eastAsia="Times New Roman" w:hAnsi="Times New Roman" w:cs="Times New Roman"/>
          <w:sz w:val="24"/>
          <w:szCs w:val="24"/>
          <w:lang w:val="en-US"/>
        </w:rPr>
        <w:t xml:space="preserve"> [Accessed 25</w:t>
      </w:r>
      <w:r w:rsidRPr="00570227">
        <w:rPr>
          <w:rFonts w:ascii="Times New Roman" w:eastAsia="Times New Roman" w:hAnsi="Times New Roman" w:cs="Times New Roman"/>
          <w:sz w:val="24"/>
          <w:szCs w:val="24"/>
          <w:lang w:val="en-US"/>
        </w:rPr>
        <w:t xml:space="preserve"> July 2025].</w:t>
      </w:r>
    </w:p>
    <w:p w14:paraId="31F252C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Barroso, M., &amp; Laborda, J. (2022). Digital transformation and the emergence of the Fintech sector: Systematic literature review. </w:t>
      </w:r>
      <w:r w:rsidRPr="009523C4">
        <w:rPr>
          <w:rFonts w:ascii="Times New Roman" w:eastAsia="Times New Roman" w:hAnsi="Times New Roman" w:cs="Times New Roman"/>
          <w:i/>
          <w:iCs/>
          <w:sz w:val="24"/>
          <w:szCs w:val="24"/>
          <w:lang w:val="en-US"/>
        </w:rPr>
        <w:t>Digital Business, 2</w:t>
      </w:r>
      <w:r w:rsidRPr="009523C4">
        <w:rPr>
          <w:rFonts w:ascii="Times New Roman" w:eastAsia="Times New Roman" w:hAnsi="Times New Roman" w:cs="Times New Roman"/>
          <w:sz w:val="24"/>
          <w:szCs w:val="24"/>
          <w:lang w:val="en-US"/>
        </w:rPr>
        <w:t xml:space="preserve">(2), 100028. </w:t>
      </w:r>
      <w:hyperlink r:id="rId9" w:tgtFrame="_new" w:history="1">
        <w:r w:rsidRPr="009523C4">
          <w:rPr>
            <w:rFonts w:ascii="Times New Roman" w:eastAsia="Times New Roman" w:hAnsi="Times New Roman" w:cs="Times New Roman"/>
            <w:color w:val="0000FF"/>
            <w:sz w:val="24"/>
            <w:szCs w:val="24"/>
            <w:u w:val="single"/>
            <w:lang w:val="en-US"/>
          </w:rPr>
          <w:t>https://doi.org/10.1016/j.digbus.2022.100028</w:t>
        </w:r>
      </w:hyperlink>
      <w:r>
        <w:rPr>
          <w:rFonts w:ascii="Times New Roman" w:eastAsia="Times New Roman" w:hAnsi="Times New Roman" w:cs="Times New Roman"/>
          <w:sz w:val="24"/>
          <w:szCs w:val="24"/>
          <w:lang w:val="en-US"/>
        </w:rPr>
        <w:t xml:space="preserve"> [Accessed 24</w:t>
      </w:r>
      <w:r w:rsidRPr="00570227">
        <w:rPr>
          <w:rFonts w:ascii="Times New Roman" w:eastAsia="Times New Roman" w:hAnsi="Times New Roman" w:cs="Times New Roman"/>
          <w:sz w:val="24"/>
          <w:szCs w:val="24"/>
          <w:lang w:val="en-US"/>
        </w:rPr>
        <w:t xml:space="preserve"> July 2025].</w:t>
      </w:r>
    </w:p>
    <w:p w14:paraId="385FAA2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Berg, T., Burg, V., </w:t>
      </w:r>
      <w:proofErr w:type="spellStart"/>
      <w:r w:rsidRPr="009523C4">
        <w:rPr>
          <w:rFonts w:ascii="Times New Roman" w:eastAsia="Times New Roman" w:hAnsi="Times New Roman" w:cs="Times New Roman"/>
          <w:sz w:val="24"/>
          <w:szCs w:val="24"/>
          <w:lang w:val="en-US"/>
        </w:rPr>
        <w:t>Gombović</w:t>
      </w:r>
      <w:proofErr w:type="spellEnd"/>
      <w:r w:rsidRPr="009523C4">
        <w:rPr>
          <w:rFonts w:ascii="Times New Roman" w:eastAsia="Times New Roman" w:hAnsi="Times New Roman" w:cs="Times New Roman"/>
          <w:sz w:val="24"/>
          <w:szCs w:val="24"/>
          <w:lang w:val="en-US"/>
        </w:rPr>
        <w:t xml:space="preserve">, A., &amp; Puri, M. (2020). On the rise of </w:t>
      </w:r>
      <w:proofErr w:type="spellStart"/>
      <w:r w:rsidRPr="009523C4">
        <w:rPr>
          <w:rFonts w:ascii="Times New Roman" w:eastAsia="Times New Roman" w:hAnsi="Times New Roman" w:cs="Times New Roman"/>
          <w:sz w:val="24"/>
          <w:szCs w:val="24"/>
          <w:lang w:val="en-US"/>
        </w:rPr>
        <w:t>FinTechs</w:t>
      </w:r>
      <w:proofErr w:type="spellEnd"/>
      <w:r w:rsidRPr="009523C4">
        <w:rPr>
          <w:rFonts w:ascii="Times New Roman" w:eastAsia="Times New Roman" w:hAnsi="Times New Roman" w:cs="Times New Roman"/>
          <w:sz w:val="24"/>
          <w:szCs w:val="24"/>
          <w:lang w:val="en-US"/>
        </w:rPr>
        <w:t xml:space="preserve">: Credit scoring using digital footprints. </w:t>
      </w:r>
      <w:r w:rsidRPr="009523C4">
        <w:rPr>
          <w:rFonts w:ascii="Times New Roman" w:eastAsia="Times New Roman" w:hAnsi="Times New Roman" w:cs="Times New Roman"/>
          <w:i/>
          <w:iCs/>
          <w:sz w:val="24"/>
          <w:szCs w:val="24"/>
          <w:lang w:val="en-US"/>
        </w:rPr>
        <w:t>The Review of Financial Studies, 33</w:t>
      </w:r>
      <w:r w:rsidRPr="009523C4">
        <w:rPr>
          <w:rFonts w:ascii="Times New Roman" w:eastAsia="Times New Roman" w:hAnsi="Times New Roman" w:cs="Times New Roman"/>
          <w:sz w:val="24"/>
          <w:szCs w:val="24"/>
          <w:lang w:val="en-US"/>
        </w:rPr>
        <w:t xml:space="preserve">(7), 2845–2897. </w:t>
      </w:r>
      <w:hyperlink r:id="rId10" w:tgtFrame="_new" w:history="1">
        <w:r w:rsidRPr="009523C4">
          <w:rPr>
            <w:rFonts w:ascii="Times New Roman" w:eastAsia="Times New Roman" w:hAnsi="Times New Roman" w:cs="Times New Roman"/>
            <w:color w:val="0000FF"/>
            <w:sz w:val="24"/>
            <w:szCs w:val="24"/>
            <w:u w:val="single"/>
            <w:lang w:val="en-US"/>
          </w:rPr>
          <w:t>https://doi.org/10.1093/rfs/hhz099</w:t>
        </w:r>
      </w:hyperlink>
      <w:r w:rsidR="000A3B15">
        <w:rPr>
          <w:rFonts w:ascii="Times New Roman" w:eastAsia="Times New Roman" w:hAnsi="Times New Roman" w:cs="Times New Roman"/>
          <w:sz w:val="24"/>
          <w:szCs w:val="24"/>
          <w:lang w:val="en-US"/>
        </w:rPr>
        <w:t xml:space="preserve"> [Accessed 23</w:t>
      </w:r>
      <w:r w:rsidR="000A3B15" w:rsidRPr="00570227">
        <w:rPr>
          <w:rFonts w:ascii="Times New Roman" w:eastAsia="Times New Roman" w:hAnsi="Times New Roman" w:cs="Times New Roman"/>
          <w:sz w:val="24"/>
          <w:szCs w:val="24"/>
          <w:lang w:val="en-US"/>
        </w:rPr>
        <w:t xml:space="preserve"> July 2025].</w:t>
      </w:r>
    </w:p>
    <w:p w14:paraId="490FD45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Bhattacharjee, I., Srivastava, N., Mishra, A., Adhav, S., &amp; Singh, M. N. (2024). The rise of fintech: Disrupting traditional financial services. </w:t>
      </w:r>
      <w:r w:rsidRPr="009523C4">
        <w:rPr>
          <w:rFonts w:ascii="Times New Roman" w:eastAsia="Times New Roman" w:hAnsi="Times New Roman" w:cs="Times New Roman"/>
          <w:i/>
          <w:iCs/>
          <w:sz w:val="24"/>
          <w:szCs w:val="24"/>
          <w:lang w:val="en-US"/>
        </w:rPr>
        <w:t>Educational Administration: Theory and Practice, 30</w:t>
      </w:r>
      <w:r w:rsidRPr="009523C4">
        <w:rPr>
          <w:rFonts w:ascii="Times New Roman" w:eastAsia="Times New Roman" w:hAnsi="Times New Roman" w:cs="Times New Roman"/>
          <w:sz w:val="24"/>
          <w:szCs w:val="24"/>
          <w:lang w:val="en-US"/>
        </w:rPr>
        <w:t xml:space="preserve">(4), 89–97. </w:t>
      </w:r>
      <w:hyperlink r:id="rId11" w:history="1">
        <w:r w:rsidR="000A3B15" w:rsidRPr="005B075D">
          <w:rPr>
            <w:rStyle w:val="Hyperlink"/>
            <w:rFonts w:ascii="Times New Roman" w:eastAsia="Times New Roman" w:hAnsi="Times New Roman" w:cs="Times New Roman"/>
            <w:sz w:val="24"/>
            <w:szCs w:val="24"/>
            <w:lang w:val="en-US"/>
          </w:rPr>
          <w:t>https://doi.org/10.53555/kuey.v30i4.1408</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7F52DC15"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Blakstad, S., &amp; Allen, R. (2018). </w:t>
      </w:r>
      <w:r w:rsidRPr="009523C4">
        <w:rPr>
          <w:rFonts w:ascii="Times New Roman" w:eastAsia="Times New Roman" w:hAnsi="Times New Roman" w:cs="Times New Roman"/>
          <w:i/>
          <w:iCs/>
          <w:sz w:val="24"/>
          <w:szCs w:val="24"/>
          <w:lang w:val="en-US"/>
        </w:rPr>
        <w:t>FinTech revolution</w:t>
      </w:r>
      <w:r w:rsidRPr="009523C4">
        <w:rPr>
          <w:rFonts w:ascii="Times New Roman" w:eastAsia="Times New Roman" w:hAnsi="Times New Roman" w:cs="Times New Roman"/>
          <w:sz w:val="24"/>
          <w:szCs w:val="24"/>
          <w:lang w:val="en-US"/>
        </w:rPr>
        <w:t xml:space="preserve"> (pp. 121, 132). Springer.</w:t>
      </w:r>
    </w:p>
    <w:p w14:paraId="28D20BD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Borri, N., &amp; </w:t>
      </w:r>
      <w:proofErr w:type="spellStart"/>
      <w:r w:rsidRPr="009523C4">
        <w:rPr>
          <w:rFonts w:ascii="Times New Roman" w:eastAsia="Times New Roman" w:hAnsi="Times New Roman" w:cs="Times New Roman"/>
          <w:sz w:val="24"/>
          <w:szCs w:val="24"/>
          <w:lang w:val="en-US"/>
        </w:rPr>
        <w:t>Shakhnov</w:t>
      </w:r>
      <w:proofErr w:type="spellEnd"/>
      <w:r w:rsidRPr="009523C4">
        <w:rPr>
          <w:rFonts w:ascii="Times New Roman" w:eastAsia="Times New Roman" w:hAnsi="Times New Roman" w:cs="Times New Roman"/>
          <w:sz w:val="24"/>
          <w:szCs w:val="24"/>
          <w:lang w:val="en-US"/>
        </w:rPr>
        <w:t xml:space="preserve">, K. (2023). </w:t>
      </w:r>
      <w:proofErr w:type="spellStart"/>
      <w:r w:rsidRPr="009523C4">
        <w:rPr>
          <w:rFonts w:ascii="Times New Roman" w:eastAsia="Times New Roman" w:hAnsi="Times New Roman" w:cs="Times New Roman"/>
          <w:sz w:val="24"/>
          <w:szCs w:val="24"/>
          <w:lang w:val="en-US"/>
        </w:rPr>
        <w:t>Cryptomarket</w:t>
      </w:r>
      <w:proofErr w:type="spellEnd"/>
      <w:r w:rsidRPr="009523C4">
        <w:rPr>
          <w:rFonts w:ascii="Times New Roman" w:eastAsia="Times New Roman" w:hAnsi="Times New Roman" w:cs="Times New Roman"/>
          <w:sz w:val="24"/>
          <w:szCs w:val="24"/>
          <w:lang w:val="en-US"/>
        </w:rPr>
        <w:t xml:space="preserve"> discounts. </w:t>
      </w:r>
      <w:r w:rsidRPr="009523C4">
        <w:rPr>
          <w:rFonts w:ascii="Times New Roman" w:eastAsia="Times New Roman" w:hAnsi="Times New Roman" w:cs="Times New Roman"/>
          <w:i/>
          <w:iCs/>
          <w:sz w:val="24"/>
          <w:szCs w:val="24"/>
          <w:lang w:val="en-US"/>
        </w:rPr>
        <w:t>Journal of International Money and Finance, 139</w:t>
      </w:r>
      <w:r w:rsidRPr="009523C4">
        <w:rPr>
          <w:rFonts w:ascii="Times New Roman" w:eastAsia="Times New Roman" w:hAnsi="Times New Roman" w:cs="Times New Roman"/>
          <w:sz w:val="24"/>
          <w:szCs w:val="24"/>
          <w:lang w:val="en-US"/>
        </w:rPr>
        <w:t xml:space="preserve">, 102963. </w:t>
      </w:r>
      <w:hyperlink r:id="rId12" w:tgtFrame="_new" w:history="1">
        <w:r w:rsidRPr="009523C4">
          <w:rPr>
            <w:rFonts w:ascii="Times New Roman" w:eastAsia="Times New Roman" w:hAnsi="Times New Roman" w:cs="Times New Roman"/>
            <w:color w:val="0000FF"/>
            <w:sz w:val="24"/>
            <w:szCs w:val="24"/>
            <w:u w:val="single"/>
            <w:lang w:val="en-US"/>
          </w:rPr>
          <w:t>https://doi.org/10.1016/j.jimonfin.2023.102963</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1D1CF47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Brummer, C., &amp; Yadav, Y. (2018). Fintech and the innovation trilemma. </w:t>
      </w:r>
      <w:r w:rsidRPr="009523C4">
        <w:rPr>
          <w:rFonts w:ascii="Times New Roman" w:eastAsia="Times New Roman" w:hAnsi="Times New Roman" w:cs="Times New Roman"/>
          <w:i/>
          <w:iCs/>
          <w:sz w:val="24"/>
          <w:szCs w:val="24"/>
          <w:lang w:val="en-US"/>
        </w:rPr>
        <w:t>Georgetown Law Journal, 107</w:t>
      </w:r>
      <w:r w:rsidRPr="009523C4">
        <w:rPr>
          <w:rFonts w:ascii="Times New Roman" w:eastAsia="Times New Roman" w:hAnsi="Times New Roman" w:cs="Times New Roman"/>
          <w:sz w:val="24"/>
          <w:szCs w:val="24"/>
          <w:lang w:val="en-US"/>
        </w:rPr>
        <w:t>, 235–294.</w:t>
      </w:r>
    </w:p>
    <w:p w14:paraId="7ADB96B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Buchak, G., Matvos, G., Piskorski, T., &amp; Seru, A. (2018). Fintech, regulatory arbitrage, and the rise of shadow banks. </w:t>
      </w:r>
      <w:r w:rsidRPr="009523C4">
        <w:rPr>
          <w:rFonts w:ascii="Times New Roman" w:eastAsia="Times New Roman" w:hAnsi="Times New Roman" w:cs="Times New Roman"/>
          <w:i/>
          <w:iCs/>
          <w:sz w:val="24"/>
          <w:szCs w:val="24"/>
          <w:lang w:val="en-US"/>
        </w:rPr>
        <w:t>Journal of Financial Economics, 130</w:t>
      </w:r>
      <w:r w:rsidRPr="009523C4">
        <w:rPr>
          <w:rFonts w:ascii="Times New Roman" w:eastAsia="Times New Roman" w:hAnsi="Times New Roman" w:cs="Times New Roman"/>
          <w:sz w:val="24"/>
          <w:szCs w:val="24"/>
          <w:lang w:val="en-US"/>
        </w:rPr>
        <w:t xml:space="preserve">(3), 453–483. </w:t>
      </w:r>
      <w:hyperlink r:id="rId13" w:tgtFrame="_new" w:history="1">
        <w:r w:rsidRPr="009523C4">
          <w:rPr>
            <w:rFonts w:ascii="Times New Roman" w:eastAsia="Times New Roman" w:hAnsi="Times New Roman" w:cs="Times New Roman"/>
            <w:color w:val="0000FF"/>
            <w:sz w:val="24"/>
            <w:szCs w:val="24"/>
            <w:u w:val="single"/>
            <w:lang w:val="en-US"/>
          </w:rPr>
          <w:t>https://doi.org/10.1016/j.jfineco.2018.03.011</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5532566E"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Capital Markets Authority Kenya (CMA). (2021). </w:t>
      </w:r>
      <w:r w:rsidRPr="009523C4">
        <w:rPr>
          <w:rFonts w:ascii="Times New Roman" w:eastAsia="Times New Roman" w:hAnsi="Times New Roman" w:cs="Times New Roman"/>
          <w:i/>
          <w:iCs/>
          <w:sz w:val="24"/>
          <w:szCs w:val="24"/>
          <w:lang w:val="en-US"/>
        </w:rPr>
        <w:t xml:space="preserve">Guidance </w:t>
      </w:r>
      <w:proofErr w:type="gramStart"/>
      <w:r w:rsidRPr="009523C4">
        <w:rPr>
          <w:rFonts w:ascii="Times New Roman" w:eastAsia="Times New Roman" w:hAnsi="Times New Roman" w:cs="Times New Roman"/>
          <w:i/>
          <w:iCs/>
          <w:sz w:val="24"/>
          <w:szCs w:val="24"/>
          <w:lang w:val="en-US"/>
        </w:rPr>
        <w:t>note</w:t>
      </w:r>
      <w:proofErr w:type="gramEnd"/>
      <w:r w:rsidRPr="009523C4">
        <w:rPr>
          <w:rFonts w:ascii="Times New Roman" w:eastAsia="Times New Roman" w:hAnsi="Times New Roman" w:cs="Times New Roman"/>
          <w:i/>
          <w:iCs/>
          <w:sz w:val="24"/>
          <w:szCs w:val="24"/>
          <w:lang w:val="en-US"/>
        </w:rPr>
        <w:t xml:space="preserve"> on regulatory sandbox</w:t>
      </w:r>
      <w:r w:rsidRPr="009523C4">
        <w:rPr>
          <w:rFonts w:ascii="Times New Roman" w:eastAsia="Times New Roman" w:hAnsi="Times New Roman" w:cs="Times New Roman"/>
          <w:sz w:val="24"/>
          <w:szCs w:val="24"/>
          <w:lang w:val="en-US"/>
        </w:rPr>
        <w:t xml:space="preserve">. </w:t>
      </w:r>
      <w:hyperlink r:id="rId14" w:tgtFrame="_new" w:history="1">
        <w:r w:rsidRPr="009523C4">
          <w:rPr>
            <w:rFonts w:ascii="Times New Roman" w:eastAsia="Times New Roman" w:hAnsi="Times New Roman" w:cs="Times New Roman"/>
            <w:color w:val="0000FF"/>
            <w:sz w:val="24"/>
            <w:szCs w:val="24"/>
            <w:u w:val="single"/>
            <w:lang w:val="en-US"/>
          </w:rPr>
          <w:t>https://www.cma.or.ke/regulatory-sandbox/</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072A935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Chowdhury, T. E. C. T. E., Chowdhury, R. C. R., Rahman, M. M. R. M. M., &amp; Sunny, A. R. S. A. R. (2022). From crisis to opportunity: How Covid-19 accelerated the global shift to online business. </w:t>
      </w:r>
      <w:r w:rsidRPr="009523C4">
        <w:rPr>
          <w:rFonts w:ascii="Times New Roman" w:eastAsia="Times New Roman" w:hAnsi="Times New Roman" w:cs="Times New Roman"/>
          <w:i/>
          <w:iCs/>
          <w:sz w:val="24"/>
          <w:szCs w:val="24"/>
          <w:lang w:val="en-US"/>
        </w:rPr>
        <w:t>Pathfinder of Research, 3</w:t>
      </w:r>
      <w:r w:rsidRPr="009523C4">
        <w:rPr>
          <w:rFonts w:ascii="Times New Roman" w:eastAsia="Times New Roman" w:hAnsi="Times New Roman" w:cs="Times New Roman"/>
          <w:sz w:val="24"/>
          <w:szCs w:val="24"/>
          <w:lang w:val="en-US"/>
        </w:rPr>
        <w:t>(1), 18.</w:t>
      </w:r>
    </w:p>
    <w:p w14:paraId="0763B1E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Claessens, S., Frost, J., Turner, G., &amp; Zhu, F. (2018). Fintech credit markets around the world: Size, drivers and policy issues. </w:t>
      </w:r>
      <w:r w:rsidRPr="009523C4">
        <w:rPr>
          <w:rFonts w:ascii="Times New Roman" w:eastAsia="Times New Roman" w:hAnsi="Times New Roman" w:cs="Times New Roman"/>
          <w:i/>
          <w:iCs/>
          <w:sz w:val="24"/>
          <w:szCs w:val="24"/>
          <w:lang w:val="en-US"/>
        </w:rPr>
        <w:t>BIS Quarterly Review</w:t>
      </w:r>
      <w:r w:rsidRPr="009523C4">
        <w:rPr>
          <w:rFonts w:ascii="Times New Roman" w:eastAsia="Times New Roman" w:hAnsi="Times New Roman" w:cs="Times New Roman"/>
          <w:sz w:val="24"/>
          <w:szCs w:val="24"/>
          <w:lang w:val="en-US"/>
        </w:rPr>
        <w:t xml:space="preserve">. </w:t>
      </w:r>
      <w:hyperlink r:id="rId15" w:tgtFrame="_new" w:history="1">
        <w:r w:rsidRPr="009523C4">
          <w:rPr>
            <w:rFonts w:ascii="Times New Roman" w:eastAsia="Times New Roman" w:hAnsi="Times New Roman" w:cs="Times New Roman"/>
            <w:color w:val="0000FF"/>
            <w:sz w:val="24"/>
            <w:szCs w:val="24"/>
            <w:u w:val="single"/>
            <w:lang w:val="en-US"/>
          </w:rPr>
          <w:t>https://econpapers.repec.org/article/bisbisqtr/1809e.html</w:t>
        </w:r>
      </w:hyperlink>
      <w:r w:rsidR="000A3B15">
        <w:rPr>
          <w:rFonts w:ascii="Times New Roman" w:eastAsia="Times New Roman" w:hAnsi="Times New Roman" w:cs="Times New Roman"/>
          <w:sz w:val="24"/>
          <w:szCs w:val="24"/>
          <w:lang w:val="en-US"/>
        </w:rPr>
        <w:t xml:space="preserve"> [Accessed 26</w:t>
      </w:r>
      <w:r w:rsidR="000A3B15" w:rsidRPr="00570227">
        <w:rPr>
          <w:rFonts w:ascii="Times New Roman" w:eastAsia="Times New Roman" w:hAnsi="Times New Roman" w:cs="Times New Roman"/>
          <w:sz w:val="24"/>
          <w:szCs w:val="24"/>
          <w:lang w:val="en-US"/>
        </w:rPr>
        <w:t xml:space="preserve"> July 2025].</w:t>
      </w:r>
    </w:p>
    <w:p w14:paraId="16AD767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Clements, R. (2020, March 19). </w:t>
      </w:r>
      <w:r w:rsidRPr="009523C4">
        <w:rPr>
          <w:rFonts w:ascii="Times New Roman" w:eastAsia="Times New Roman" w:hAnsi="Times New Roman" w:cs="Times New Roman"/>
          <w:i/>
          <w:iCs/>
          <w:sz w:val="24"/>
          <w:szCs w:val="24"/>
          <w:lang w:val="en-US"/>
        </w:rPr>
        <w:t>Regulating Fintech in Canada and the United States: Comparison, challenges and opportunities</w:t>
      </w:r>
      <w:r w:rsidRPr="009523C4">
        <w:rPr>
          <w:rFonts w:ascii="Times New Roman" w:eastAsia="Times New Roman" w:hAnsi="Times New Roman" w:cs="Times New Roman"/>
          <w:sz w:val="24"/>
          <w:szCs w:val="24"/>
          <w:lang w:val="en-US"/>
        </w:rPr>
        <w:t xml:space="preserve">. Forthcoming in </w:t>
      </w:r>
      <w:r w:rsidRPr="009523C4">
        <w:rPr>
          <w:rFonts w:ascii="Times New Roman" w:eastAsia="Times New Roman" w:hAnsi="Times New Roman" w:cs="Times New Roman"/>
          <w:i/>
          <w:iCs/>
          <w:sz w:val="24"/>
          <w:szCs w:val="24"/>
          <w:lang w:val="en-US"/>
        </w:rPr>
        <w:t>The Routledge Handbook of FinTech</w:t>
      </w:r>
      <w:r w:rsidRPr="009523C4">
        <w:rPr>
          <w:rFonts w:ascii="Times New Roman" w:eastAsia="Times New Roman" w:hAnsi="Times New Roman" w:cs="Times New Roman"/>
          <w:sz w:val="24"/>
          <w:szCs w:val="24"/>
          <w:lang w:val="en-US"/>
        </w:rPr>
        <w:t xml:space="preserve">. </w:t>
      </w:r>
      <w:hyperlink r:id="rId16" w:tgtFrame="_new" w:history="1">
        <w:r w:rsidRPr="009523C4">
          <w:rPr>
            <w:rFonts w:ascii="Times New Roman" w:eastAsia="Times New Roman" w:hAnsi="Times New Roman" w:cs="Times New Roman"/>
            <w:color w:val="0000FF"/>
            <w:sz w:val="24"/>
            <w:szCs w:val="24"/>
            <w:u w:val="single"/>
            <w:lang w:val="en-US"/>
          </w:rPr>
          <w:t>https://dx.doi.org/10.2139/ssrn.3557576</w:t>
        </w:r>
      </w:hyperlink>
      <w:r w:rsidR="000A3B15">
        <w:rPr>
          <w:rFonts w:ascii="Times New Roman" w:eastAsia="Times New Roman" w:hAnsi="Times New Roman" w:cs="Times New Roman"/>
          <w:sz w:val="24"/>
          <w:szCs w:val="24"/>
          <w:lang w:val="en-US"/>
        </w:rPr>
        <w:t xml:space="preserve"> [Accessed 23</w:t>
      </w:r>
      <w:r w:rsidR="000A3B15" w:rsidRPr="00570227">
        <w:rPr>
          <w:rFonts w:ascii="Times New Roman" w:eastAsia="Times New Roman" w:hAnsi="Times New Roman" w:cs="Times New Roman"/>
          <w:sz w:val="24"/>
          <w:szCs w:val="24"/>
          <w:lang w:val="en-US"/>
        </w:rPr>
        <w:t xml:space="preserve"> July 2025].</w:t>
      </w:r>
    </w:p>
    <w:p w14:paraId="17A76564"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Congressional Research Service. (2023). </w:t>
      </w:r>
      <w:r w:rsidRPr="009523C4">
        <w:rPr>
          <w:rFonts w:ascii="Times New Roman" w:eastAsia="Times New Roman" w:hAnsi="Times New Roman" w:cs="Times New Roman"/>
          <w:i/>
          <w:iCs/>
          <w:sz w:val="24"/>
          <w:szCs w:val="24"/>
          <w:lang w:val="en-US"/>
        </w:rPr>
        <w:t>Who regulates whom? An overview of the U.S. financial regulatory framework</w:t>
      </w:r>
      <w:r w:rsidRPr="009523C4">
        <w:rPr>
          <w:rFonts w:ascii="Times New Roman" w:eastAsia="Times New Roman" w:hAnsi="Times New Roman" w:cs="Times New Roman"/>
          <w:sz w:val="24"/>
          <w:szCs w:val="24"/>
          <w:lang w:val="en-US"/>
        </w:rPr>
        <w:t xml:space="preserve">. </w:t>
      </w:r>
      <w:hyperlink r:id="rId17" w:tgtFrame="_new" w:history="1">
        <w:r w:rsidRPr="009523C4">
          <w:rPr>
            <w:rFonts w:ascii="Times New Roman" w:eastAsia="Times New Roman" w:hAnsi="Times New Roman" w:cs="Times New Roman"/>
            <w:color w:val="0000FF"/>
            <w:sz w:val="24"/>
            <w:szCs w:val="24"/>
            <w:u w:val="single"/>
            <w:lang w:val="en-US"/>
          </w:rPr>
          <w:t>https://sgp.fas.org/crs/misc/R44918.pdf</w:t>
        </w:r>
      </w:hyperlink>
      <w:r w:rsidR="000A3B15">
        <w:rPr>
          <w:rFonts w:ascii="Times New Roman" w:eastAsia="Times New Roman" w:hAnsi="Times New Roman" w:cs="Times New Roman"/>
          <w:sz w:val="24"/>
          <w:szCs w:val="24"/>
          <w:lang w:val="en-US"/>
        </w:rPr>
        <w:t xml:space="preserve"> [Accessed 24</w:t>
      </w:r>
      <w:r w:rsidR="000A3B15" w:rsidRPr="00570227">
        <w:rPr>
          <w:rFonts w:ascii="Times New Roman" w:eastAsia="Times New Roman" w:hAnsi="Times New Roman" w:cs="Times New Roman"/>
          <w:sz w:val="24"/>
          <w:szCs w:val="24"/>
          <w:lang w:val="en-US"/>
        </w:rPr>
        <w:t xml:space="preserve"> July 2025].</w:t>
      </w:r>
    </w:p>
    <w:p w14:paraId="0BE967D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Demirgüç-Kunt</w:t>
      </w:r>
      <w:proofErr w:type="spellEnd"/>
      <w:r w:rsidRPr="009523C4">
        <w:rPr>
          <w:rFonts w:ascii="Times New Roman" w:eastAsia="Times New Roman" w:hAnsi="Times New Roman" w:cs="Times New Roman"/>
          <w:sz w:val="24"/>
          <w:szCs w:val="24"/>
          <w:lang w:val="en-US"/>
        </w:rPr>
        <w:t xml:space="preserve">, A., Klapper, L., Singer, D., &amp; Ansar, S. (2022). </w:t>
      </w:r>
      <w:r w:rsidRPr="009523C4">
        <w:rPr>
          <w:rFonts w:ascii="Times New Roman" w:eastAsia="Times New Roman" w:hAnsi="Times New Roman" w:cs="Times New Roman"/>
          <w:i/>
          <w:iCs/>
          <w:sz w:val="24"/>
          <w:szCs w:val="24"/>
          <w:lang w:val="en-US"/>
        </w:rPr>
        <w:t>The Global Findex Database 2021: Financial inclusion, digital payments, and resilience in the age of COVID-19</w:t>
      </w:r>
      <w:r w:rsidRPr="009523C4">
        <w:rPr>
          <w:rFonts w:ascii="Times New Roman" w:eastAsia="Times New Roman" w:hAnsi="Times New Roman" w:cs="Times New Roman"/>
          <w:sz w:val="24"/>
          <w:szCs w:val="24"/>
          <w:lang w:val="en-US"/>
        </w:rPr>
        <w:t xml:space="preserve">. World Bank Publications. </w:t>
      </w:r>
      <w:hyperlink r:id="rId18" w:tgtFrame="_new" w:history="1">
        <w:r w:rsidRPr="009523C4">
          <w:rPr>
            <w:rFonts w:ascii="Times New Roman" w:eastAsia="Times New Roman" w:hAnsi="Times New Roman" w:cs="Times New Roman"/>
            <w:color w:val="0000FF"/>
            <w:sz w:val="24"/>
            <w:szCs w:val="24"/>
            <w:u w:val="single"/>
            <w:lang w:val="en-US"/>
          </w:rPr>
          <w:t>https://openknowledge.worldbank.org/handle/10986/37578</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1441C45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Dylan. (2023). </w:t>
      </w:r>
      <w:r w:rsidRPr="009523C4">
        <w:rPr>
          <w:rFonts w:ascii="Times New Roman" w:eastAsia="Times New Roman" w:hAnsi="Times New Roman" w:cs="Times New Roman"/>
          <w:i/>
          <w:iCs/>
          <w:sz w:val="24"/>
          <w:szCs w:val="24"/>
          <w:lang w:val="en-US"/>
        </w:rPr>
        <w:t>Regulatory sandboxes in Africa</w:t>
      </w:r>
      <w:r w:rsidR="000A3B15">
        <w:rPr>
          <w:rFonts w:ascii="Times New Roman" w:eastAsia="Times New Roman" w:hAnsi="Times New Roman" w:cs="Times New Roman"/>
          <w:sz w:val="24"/>
          <w:szCs w:val="24"/>
          <w:lang w:val="en-US"/>
        </w:rPr>
        <w:t xml:space="preserve">. </w:t>
      </w:r>
      <w:hyperlink r:id="rId19" w:tgtFrame="_new" w:history="1">
        <w:r w:rsidRPr="009523C4">
          <w:rPr>
            <w:rFonts w:ascii="Times New Roman" w:eastAsia="Times New Roman" w:hAnsi="Times New Roman" w:cs="Times New Roman"/>
            <w:color w:val="0000FF"/>
            <w:sz w:val="24"/>
            <w:szCs w:val="24"/>
            <w:u w:val="single"/>
            <w:lang w:val="en-US"/>
          </w:rPr>
          <w:t>https://www.openbankproject.com/blog/regulatory-sandboxes-in-africa/</w:t>
        </w:r>
      </w:hyperlink>
      <w:r w:rsidR="000A3B15">
        <w:rPr>
          <w:rFonts w:ascii="Times New Roman" w:eastAsia="Times New Roman" w:hAnsi="Times New Roman" w:cs="Times New Roman"/>
          <w:sz w:val="24"/>
          <w:szCs w:val="24"/>
          <w:lang w:val="en-US"/>
        </w:rPr>
        <w:t xml:space="preserve"> [Accessed 25</w:t>
      </w:r>
      <w:r w:rsidR="000A3B15" w:rsidRPr="00570227">
        <w:rPr>
          <w:rFonts w:ascii="Times New Roman" w:eastAsia="Times New Roman" w:hAnsi="Times New Roman" w:cs="Times New Roman"/>
          <w:sz w:val="24"/>
          <w:szCs w:val="24"/>
          <w:lang w:val="en-US"/>
        </w:rPr>
        <w:t xml:space="preserve"> July 2025].</w:t>
      </w:r>
    </w:p>
    <w:p w14:paraId="3A16865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Eichengreen</w:t>
      </w:r>
      <w:proofErr w:type="spellEnd"/>
      <w:r w:rsidRPr="009523C4">
        <w:rPr>
          <w:rFonts w:ascii="Times New Roman" w:eastAsia="Times New Roman" w:hAnsi="Times New Roman" w:cs="Times New Roman"/>
          <w:sz w:val="24"/>
          <w:szCs w:val="24"/>
          <w:lang w:val="en-US"/>
        </w:rPr>
        <w:t xml:space="preserve">, B., Nguyen, M. T., &amp; Viswanath-Natraj, G. (2025). Stablecoin devaluation risk. </w:t>
      </w:r>
      <w:r w:rsidRPr="009523C4">
        <w:rPr>
          <w:rFonts w:ascii="Times New Roman" w:eastAsia="Times New Roman" w:hAnsi="Times New Roman" w:cs="Times New Roman"/>
          <w:i/>
          <w:iCs/>
          <w:sz w:val="24"/>
          <w:szCs w:val="24"/>
          <w:lang w:val="en-US"/>
        </w:rPr>
        <w:t>The European Journal of Finance</w:t>
      </w:r>
      <w:r w:rsidR="000A3B15">
        <w:rPr>
          <w:rFonts w:ascii="Times New Roman" w:eastAsia="Times New Roman" w:hAnsi="Times New Roman" w:cs="Times New Roman"/>
          <w:sz w:val="24"/>
          <w:szCs w:val="24"/>
          <w:lang w:val="en-US"/>
        </w:rPr>
        <w:t xml:space="preserve">, 1–28. </w:t>
      </w:r>
      <w:hyperlink r:id="rId20" w:tgtFrame="_new" w:history="1">
        <w:r w:rsidRPr="009523C4">
          <w:rPr>
            <w:rFonts w:ascii="Times New Roman" w:eastAsia="Times New Roman" w:hAnsi="Times New Roman" w:cs="Times New Roman"/>
            <w:color w:val="0000FF"/>
            <w:sz w:val="24"/>
            <w:szCs w:val="24"/>
            <w:u w:val="single"/>
            <w:lang w:val="en-US"/>
          </w:rPr>
          <w:t>https://doi.org/10.1080/1351847X.2025.2505757</w:t>
        </w:r>
      </w:hyperlink>
      <w:r w:rsidR="000A3B15">
        <w:rPr>
          <w:rFonts w:ascii="Times New Roman" w:eastAsia="Times New Roman" w:hAnsi="Times New Roman" w:cs="Times New Roman"/>
          <w:sz w:val="24"/>
          <w:szCs w:val="24"/>
          <w:lang w:val="en-US"/>
        </w:rPr>
        <w:t xml:space="preserve"> [Accessed 26</w:t>
      </w:r>
      <w:r w:rsidR="000A3B15" w:rsidRPr="00570227">
        <w:rPr>
          <w:rFonts w:ascii="Times New Roman" w:eastAsia="Times New Roman" w:hAnsi="Times New Roman" w:cs="Times New Roman"/>
          <w:sz w:val="24"/>
          <w:szCs w:val="24"/>
          <w:lang w:val="en-US"/>
        </w:rPr>
        <w:t xml:space="preserve"> July 2025].</w:t>
      </w:r>
    </w:p>
    <w:p w14:paraId="0D2C82B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European Payments Council. (2025). UPI: </w:t>
      </w:r>
      <w:proofErr w:type="spellStart"/>
      <w:r w:rsidRPr="009523C4">
        <w:rPr>
          <w:rFonts w:ascii="Times New Roman" w:eastAsia="Times New Roman" w:hAnsi="Times New Roman" w:cs="Times New Roman"/>
          <w:sz w:val="24"/>
          <w:szCs w:val="24"/>
          <w:lang w:val="en-US"/>
        </w:rPr>
        <w:t>revolutionising</w:t>
      </w:r>
      <w:proofErr w:type="spellEnd"/>
      <w:r w:rsidRPr="009523C4">
        <w:rPr>
          <w:rFonts w:ascii="Times New Roman" w:eastAsia="Times New Roman" w:hAnsi="Times New Roman" w:cs="Times New Roman"/>
          <w:sz w:val="24"/>
          <w:szCs w:val="24"/>
          <w:lang w:val="en-US"/>
        </w:rPr>
        <w:t xml:space="preserve"> real-time digital payments in India. </w:t>
      </w:r>
      <w:hyperlink r:id="rId21" w:tgtFrame="_new" w:history="1">
        <w:r w:rsidRPr="009523C4">
          <w:rPr>
            <w:rFonts w:ascii="Times New Roman" w:eastAsia="Times New Roman" w:hAnsi="Times New Roman" w:cs="Times New Roman"/>
            <w:color w:val="0000FF"/>
            <w:sz w:val="24"/>
            <w:szCs w:val="24"/>
            <w:u w:val="single"/>
            <w:lang w:val="en-US"/>
          </w:rPr>
          <w:t>https://www.europeanpaymentscouncil.eu/news-insights/insight/upi-revolutionising-real-time-digital-payments-india</w:t>
        </w:r>
      </w:hyperlink>
      <w:r w:rsidR="000A3B15">
        <w:rPr>
          <w:rFonts w:ascii="Times New Roman" w:eastAsia="Times New Roman" w:hAnsi="Times New Roman" w:cs="Times New Roman"/>
          <w:sz w:val="24"/>
          <w:szCs w:val="24"/>
          <w:lang w:val="en-US"/>
        </w:rPr>
        <w:t xml:space="preserve"> [Accessed 23</w:t>
      </w:r>
      <w:r w:rsidR="000A3B15" w:rsidRPr="00570227">
        <w:rPr>
          <w:rFonts w:ascii="Times New Roman" w:eastAsia="Times New Roman" w:hAnsi="Times New Roman" w:cs="Times New Roman"/>
          <w:sz w:val="24"/>
          <w:szCs w:val="24"/>
          <w:lang w:val="en-US"/>
        </w:rPr>
        <w:t xml:space="preserve"> July 2025].</w:t>
      </w:r>
    </w:p>
    <w:p w14:paraId="7F9E4D8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European Union. (2016). </w:t>
      </w:r>
      <w:r w:rsidRPr="009523C4">
        <w:rPr>
          <w:rFonts w:ascii="Times New Roman" w:eastAsia="Times New Roman" w:hAnsi="Times New Roman" w:cs="Times New Roman"/>
          <w:i/>
          <w:iCs/>
          <w:sz w:val="24"/>
          <w:szCs w:val="24"/>
          <w:lang w:val="en-US"/>
        </w:rPr>
        <w:t>Regulation (EU) 2016/679 of the European Parliament and of the Council</w:t>
      </w:r>
      <w:r w:rsidRPr="009523C4">
        <w:rPr>
          <w:rFonts w:ascii="Times New Roman" w:eastAsia="Times New Roman" w:hAnsi="Times New Roman" w:cs="Times New Roman"/>
          <w:sz w:val="24"/>
          <w:szCs w:val="24"/>
          <w:lang w:val="en-US"/>
        </w:rPr>
        <w:t>. Regulation (EU), 679(2016), 10–13.</w:t>
      </w:r>
    </w:p>
    <w:p w14:paraId="77126CE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Feyen, E., Frost, J., Gambacorta, L., Natarajan, H., &amp; Saal, M. (2021). </w:t>
      </w:r>
      <w:r w:rsidRPr="009523C4">
        <w:rPr>
          <w:rFonts w:ascii="Times New Roman" w:eastAsia="Times New Roman" w:hAnsi="Times New Roman" w:cs="Times New Roman"/>
          <w:i/>
          <w:iCs/>
          <w:sz w:val="24"/>
          <w:szCs w:val="24"/>
          <w:lang w:val="en-US"/>
        </w:rPr>
        <w:t>Fintech and the digital transformation of financial services: Implications for market structure and public policy</w:t>
      </w:r>
      <w:r w:rsidRPr="009523C4">
        <w:rPr>
          <w:rFonts w:ascii="Times New Roman" w:eastAsia="Times New Roman" w:hAnsi="Times New Roman" w:cs="Times New Roman"/>
          <w:sz w:val="24"/>
          <w:szCs w:val="24"/>
          <w:lang w:val="en-US"/>
        </w:rPr>
        <w:t>. BIS Papers.</w:t>
      </w:r>
    </w:p>
    <w:p w14:paraId="18E96AE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Financial Action Task Force (FATF). (2021). </w:t>
      </w:r>
      <w:r w:rsidRPr="009523C4">
        <w:rPr>
          <w:rFonts w:ascii="Times New Roman" w:eastAsia="Times New Roman" w:hAnsi="Times New Roman" w:cs="Times New Roman"/>
          <w:i/>
          <w:iCs/>
          <w:sz w:val="24"/>
          <w:szCs w:val="24"/>
          <w:lang w:val="en-US"/>
        </w:rPr>
        <w:t>Updated guidance for a risk-based approach to virtual assets and virtual asset service providers</w:t>
      </w:r>
      <w:r w:rsidRPr="009523C4">
        <w:rPr>
          <w:rFonts w:ascii="Times New Roman" w:eastAsia="Times New Roman" w:hAnsi="Times New Roman" w:cs="Times New Roman"/>
          <w:sz w:val="24"/>
          <w:szCs w:val="24"/>
          <w:lang w:val="en-US"/>
        </w:rPr>
        <w:t>.</w:t>
      </w:r>
    </w:p>
    <w:p w14:paraId="4DB62F2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Financial Conduct Authority (FCA). (2015). </w:t>
      </w:r>
      <w:r w:rsidRPr="009523C4">
        <w:rPr>
          <w:rFonts w:ascii="Times New Roman" w:eastAsia="Times New Roman" w:hAnsi="Times New Roman" w:cs="Times New Roman"/>
          <w:i/>
          <w:iCs/>
          <w:sz w:val="24"/>
          <w:szCs w:val="24"/>
          <w:lang w:val="en-US"/>
        </w:rPr>
        <w:t>Regulatory sandbox</w:t>
      </w:r>
      <w:r w:rsidRPr="009523C4">
        <w:rPr>
          <w:rFonts w:ascii="Times New Roman" w:eastAsia="Times New Roman" w:hAnsi="Times New Roman" w:cs="Times New Roman"/>
          <w:sz w:val="24"/>
          <w:szCs w:val="24"/>
          <w:lang w:val="en-US"/>
        </w:rPr>
        <w:t xml:space="preserve">. </w:t>
      </w:r>
      <w:hyperlink r:id="rId22" w:tgtFrame="_new" w:history="1">
        <w:r w:rsidRPr="009523C4">
          <w:rPr>
            <w:rFonts w:ascii="Times New Roman" w:eastAsia="Times New Roman" w:hAnsi="Times New Roman" w:cs="Times New Roman"/>
            <w:color w:val="0000FF"/>
            <w:sz w:val="24"/>
            <w:szCs w:val="24"/>
            <w:u w:val="single"/>
            <w:lang w:val="en-US"/>
          </w:rPr>
          <w:t>https://www.fca.org.uk/publication/research/regulatory-sandbox.pdf</w:t>
        </w:r>
      </w:hyperlink>
      <w:r w:rsidR="00D95435">
        <w:rPr>
          <w:rFonts w:ascii="Times New Roman" w:eastAsia="Times New Roman" w:hAnsi="Times New Roman" w:cs="Times New Roman"/>
          <w:sz w:val="24"/>
          <w:szCs w:val="24"/>
          <w:lang w:val="en-US"/>
        </w:rPr>
        <w:t xml:space="preserve"> [Accessed 26</w:t>
      </w:r>
      <w:r w:rsidR="000A3B15" w:rsidRPr="00570227">
        <w:rPr>
          <w:rFonts w:ascii="Times New Roman" w:eastAsia="Times New Roman" w:hAnsi="Times New Roman" w:cs="Times New Roman"/>
          <w:sz w:val="24"/>
          <w:szCs w:val="24"/>
          <w:lang w:val="en-US"/>
        </w:rPr>
        <w:t xml:space="preserve"> July 2025].</w:t>
      </w:r>
    </w:p>
    <w:p w14:paraId="613BB6D8"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Financial Conduct Authority (FCA). (2017, October 20). </w:t>
      </w:r>
      <w:r w:rsidRPr="009523C4">
        <w:rPr>
          <w:rFonts w:ascii="Times New Roman" w:eastAsia="Times New Roman" w:hAnsi="Times New Roman" w:cs="Times New Roman"/>
          <w:i/>
          <w:iCs/>
          <w:sz w:val="24"/>
          <w:szCs w:val="24"/>
          <w:lang w:val="en-US"/>
        </w:rPr>
        <w:t>Financial Conduct Authority outlines lessons learned in year one of its regulatory sandbox</w:t>
      </w:r>
      <w:r w:rsidRPr="009523C4">
        <w:rPr>
          <w:rFonts w:ascii="Times New Roman" w:eastAsia="Times New Roman" w:hAnsi="Times New Roman" w:cs="Times New Roman"/>
          <w:sz w:val="24"/>
          <w:szCs w:val="24"/>
          <w:lang w:val="en-US"/>
        </w:rPr>
        <w:t xml:space="preserve"> [Press release]. </w:t>
      </w:r>
      <w:hyperlink r:id="rId23" w:tgtFrame="_new" w:history="1">
        <w:r w:rsidRPr="009523C4">
          <w:rPr>
            <w:rFonts w:ascii="Times New Roman" w:eastAsia="Times New Roman" w:hAnsi="Times New Roman" w:cs="Times New Roman"/>
            <w:color w:val="0000FF"/>
            <w:sz w:val="24"/>
            <w:szCs w:val="24"/>
            <w:u w:val="single"/>
            <w:lang w:val="en-US"/>
          </w:rPr>
          <w:t>https://www.fca.org.uk/news/press-releases/financial-conduct-authority-outlines-lessons-learned-year-one-its-regulatory-sandbox</w:t>
        </w:r>
      </w:hyperlink>
      <w:r w:rsidR="00D95435">
        <w:rPr>
          <w:rFonts w:ascii="Times New Roman" w:eastAsia="Times New Roman" w:hAnsi="Times New Roman" w:cs="Times New Roman"/>
          <w:sz w:val="24"/>
          <w:szCs w:val="24"/>
          <w:lang w:val="en-US"/>
        </w:rPr>
        <w:t xml:space="preserve"> [Accessed 25</w:t>
      </w:r>
      <w:r w:rsidR="00D95435" w:rsidRPr="00570227">
        <w:rPr>
          <w:rFonts w:ascii="Times New Roman" w:eastAsia="Times New Roman" w:hAnsi="Times New Roman" w:cs="Times New Roman"/>
          <w:sz w:val="24"/>
          <w:szCs w:val="24"/>
          <w:lang w:val="en-US"/>
        </w:rPr>
        <w:t xml:space="preserve"> July 2025].</w:t>
      </w:r>
    </w:p>
    <w:p w14:paraId="4AE267D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Foucault, T., Gambacorta, L., Jiang, W., &amp; Vives, X. (2025). </w:t>
      </w:r>
      <w:r w:rsidRPr="009523C4">
        <w:rPr>
          <w:rFonts w:ascii="Times New Roman" w:eastAsia="Times New Roman" w:hAnsi="Times New Roman" w:cs="Times New Roman"/>
          <w:i/>
          <w:iCs/>
          <w:sz w:val="24"/>
          <w:szCs w:val="24"/>
          <w:lang w:val="en-US"/>
        </w:rPr>
        <w:t>Artificial intelligence in finance</w:t>
      </w:r>
      <w:r w:rsidRPr="009523C4">
        <w:rPr>
          <w:rFonts w:ascii="Times New Roman" w:eastAsia="Times New Roman" w:hAnsi="Times New Roman" w:cs="Times New Roman"/>
          <w:sz w:val="24"/>
          <w:szCs w:val="24"/>
          <w:lang w:val="en-US"/>
        </w:rPr>
        <w:t xml:space="preserve">. Centre for Economic Policy Research. </w:t>
      </w:r>
      <w:hyperlink r:id="rId24" w:tgtFrame="_new" w:history="1">
        <w:r w:rsidRPr="009523C4">
          <w:rPr>
            <w:rFonts w:ascii="Times New Roman" w:eastAsia="Times New Roman" w:hAnsi="Times New Roman" w:cs="Times New Roman"/>
            <w:color w:val="0000FF"/>
            <w:sz w:val="24"/>
            <w:szCs w:val="24"/>
            <w:u w:val="single"/>
            <w:lang w:val="en-US"/>
          </w:rPr>
          <w:t>https://cepr.org/system/files/publication-files/251574-barcelona_7_artificial_intelligence_in_finance.pdf</w:t>
        </w:r>
      </w:hyperlink>
      <w:r w:rsidR="00D95435">
        <w:rPr>
          <w:rFonts w:ascii="Times New Roman" w:eastAsia="Times New Roman" w:hAnsi="Times New Roman" w:cs="Times New Roman"/>
          <w:sz w:val="24"/>
          <w:szCs w:val="24"/>
          <w:lang w:val="en-US"/>
        </w:rPr>
        <w:t xml:space="preserve"> [Accessed 24</w:t>
      </w:r>
      <w:r w:rsidR="00D95435" w:rsidRPr="00570227">
        <w:rPr>
          <w:rFonts w:ascii="Times New Roman" w:eastAsia="Times New Roman" w:hAnsi="Times New Roman" w:cs="Times New Roman"/>
          <w:sz w:val="24"/>
          <w:szCs w:val="24"/>
          <w:lang w:val="en-US"/>
        </w:rPr>
        <w:t xml:space="preserve"> July 2025].</w:t>
      </w:r>
    </w:p>
    <w:p w14:paraId="6AB6881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Gelb, A., &amp; Mukherjee, A. (2019). </w:t>
      </w:r>
      <w:r w:rsidRPr="009523C4">
        <w:rPr>
          <w:rFonts w:ascii="Times New Roman" w:eastAsia="Times New Roman" w:hAnsi="Times New Roman" w:cs="Times New Roman"/>
          <w:i/>
          <w:iCs/>
          <w:sz w:val="24"/>
          <w:szCs w:val="24"/>
          <w:lang w:val="en-US"/>
        </w:rPr>
        <w:t>Building on digital ID for inclusive services: Lessons from India</w:t>
      </w:r>
      <w:r w:rsidRPr="009523C4">
        <w:rPr>
          <w:rFonts w:ascii="Times New Roman" w:eastAsia="Times New Roman" w:hAnsi="Times New Roman" w:cs="Times New Roman"/>
          <w:sz w:val="24"/>
          <w:szCs w:val="24"/>
          <w:lang w:val="en-US"/>
        </w:rPr>
        <w:t xml:space="preserve">. </w:t>
      </w:r>
      <w:hyperlink r:id="rId25" w:tgtFrame="_new" w:history="1">
        <w:r w:rsidRPr="009523C4">
          <w:rPr>
            <w:rFonts w:ascii="Times New Roman" w:eastAsia="Times New Roman" w:hAnsi="Times New Roman" w:cs="Times New Roman"/>
            <w:color w:val="0000FF"/>
            <w:sz w:val="24"/>
            <w:szCs w:val="24"/>
            <w:u w:val="single"/>
            <w:lang w:val="en-US"/>
          </w:rPr>
          <w:t>https://www.cgdev.org/sites/default/files/building-digital-id-inclusive-services-lessons-india.pdf</w:t>
        </w:r>
      </w:hyperlink>
      <w:r w:rsidR="00EC606F">
        <w:rPr>
          <w:rFonts w:ascii="Times New Roman" w:eastAsia="Times New Roman" w:hAnsi="Times New Roman" w:cs="Times New Roman"/>
          <w:sz w:val="24"/>
          <w:szCs w:val="24"/>
          <w:lang w:val="en-US"/>
        </w:rPr>
        <w:t xml:space="preserve"> [Accessed 24</w:t>
      </w:r>
      <w:r w:rsidR="00EC606F" w:rsidRPr="00570227">
        <w:rPr>
          <w:rFonts w:ascii="Times New Roman" w:eastAsia="Times New Roman" w:hAnsi="Times New Roman" w:cs="Times New Roman"/>
          <w:sz w:val="24"/>
          <w:szCs w:val="24"/>
          <w:lang w:val="en-US"/>
        </w:rPr>
        <w:t xml:space="preserve"> July 2025].</w:t>
      </w:r>
    </w:p>
    <w:p w14:paraId="77906E5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Giglio, F. (2021). Fintech: A literature review. </w:t>
      </w:r>
      <w:r w:rsidRPr="009523C4">
        <w:rPr>
          <w:rFonts w:ascii="Times New Roman" w:eastAsia="Times New Roman" w:hAnsi="Times New Roman" w:cs="Times New Roman"/>
          <w:i/>
          <w:iCs/>
          <w:sz w:val="24"/>
          <w:szCs w:val="24"/>
          <w:lang w:val="en-US"/>
        </w:rPr>
        <w:t>European Research Studies Journal, 24</w:t>
      </w:r>
      <w:r w:rsidRPr="009523C4">
        <w:rPr>
          <w:rFonts w:ascii="Times New Roman" w:eastAsia="Times New Roman" w:hAnsi="Times New Roman" w:cs="Times New Roman"/>
          <w:sz w:val="24"/>
          <w:szCs w:val="24"/>
          <w:lang w:val="en-US"/>
        </w:rPr>
        <w:t>(2B), 600–627.</w:t>
      </w:r>
    </w:p>
    <w:p w14:paraId="7AE4F29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Goo, J. J., &amp; Heo, J. Y. (2020). The impact of the regulatory sandbox on the fintech industry, with a discussion on the relation between regulatory sandboxes and open innovation. </w:t>
      </w:r>
      <w:r w:rsidRPr="009523C4">
        <w:rPr>
          <w:rFonts w:ascii="Times New Roman" w:eastAsia="Times New Roman" w:hAnsi="Times New Roman" w:cs="Times New Roman"/>
          <w:i/>
          <w:iCs/>
          <w:sz w:val="24"/>
          <w:szCs w:val="24"/>
          <w:lang w:val="en-US"/>
        </w:rPr>
        <w:t>Journal of Open Innovation: Technology, Market, and Complexity, 6</w:t>
      </w:r>
      <w:r w:rsidRPr="009523C4">
        <w:rPr>
          <w:rFonts w:ascii="Times New Roman" w:eastAsia="Times New Roman" w:hAnsi="Times New Roman" w:cs="Times New Roman"/>
          <w:sz w:val="24"/>
          <w:szCs w:val="24"/>
          <w:lang w:val="en-US"/>
        </w:rPr>
        <w:t xml:space="preserve">(2), 43. </w:t>
      </w:r>
      <w:hyperlink r:id="rId26" w:tgtFrame="_new" w:history="1">
        <w:r w:rsidRPr="009523C4">
          <w:rPr>
            <w:rFonts w:ascii="Times New Roman" w:eastAsia="Times New Roman" w:hAnsi="Times New Roman" w:cs="Times New Roman"/>
            <w:color w:val="0000FF"/>
            <w:sz w:val="24"/>
            <w:szCs w:val="24"/>
            <w:u w:val="single"/>
            <w:lang w:val="en-US"/>
          </w:rPr>
          <w:t>https://doi.org/10.3390/joitmc6020043</w:t>
        </w:r>
      </w:hyperlink>
      <w:r w:rsidR="00EC606F">
        <w:rPr>
          <w:rFonts w:ascii="Times New Roman" w:eastAsia="Times New Roman" w:hAnsi="Times New Roman" w:cs="Times New Roman"/>
          <w:sz w:val="24"/>
          <w:szCs w:val="24"/>
          <w:lang w:val="en-US"/>
        </w:rPr>
        <w:t xml:space="preserve"> [Accessed 25</w:t>
      </w:r>
      <w:r w:rsidR="00EC606F" w:rsidRPr="00570227">
        <w:rPr>
          <w:rFonts w:ascii="Times New Roman" w:eastAsia="Times New Roman" w:hAnsi="Times New Roman" w:cs="Times New Roman"/>
          <w:sz w:val="24"/>
          <w:szCs w:val="24"/>
          <w:lang w:val="en-US"/>
        </w:rPr>
        <w:t xml:space="preserve"> July 2025].</w:t>
      </w:r>
    </w:p>
    <w:p w14:paraId="3C3B6AB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Gurrea</w:t>
      </w:r>
      <w:proofErr w:type="spellEnd"/>
      <w:r w:rsidRPr="009523C4">
        <w:rPr>
          <w:rFonts w:ascii="Times New Roman" w:eastAsia="Times New Roman" w:hAnsi="Times New Roman" w:cs="Times New Roman"/>
          <w:sz w:val="24"/>
          <w:szCs w:val="24"/>
          <w:lang w:val="en-US"/>
        </w:rPr>
        <w:t xml:space="preserve">-Martínez, A., &amp; Remolina, N. (2020). Global challenges and regulatory strategies to fintech. </w:t>
      </w:r>
      <w:r w:rsidRPr="009523C4">
        <w:rPr>
          <w:rFonts w:ascii="Times New Roman" w:eastAsia="Times New Roman" w:hAnsi="Times New Roman" w:cs="Times New Roman"/>
          <w:i/>
          <w:iCs/>
          <w:sz w:val="24"/>
          <w:szCs w:val="24"/>
          <w:lang w:val="en-US"/>
        </w:rPr>
        <w:t>Banking &amp; Finance Law Review</w:t>
      </w:r>
      <w:r w:rsidRPr="009523C4">
        <w:rPr>
          <w:rFonts w:ascii="Times New Roman" w:eastAsia="Times New Roman" w:hAnsi="Times New Roman" w:cs="Times New Roman"/>
          <w:sz w:val="24"/>
          <w:szCs w:val="24"/>
          <w:lang w:val="en-US"/>
        </w:rPr>
        <w:t xml:space="preserve"> (Forthcoming, 2020, Issue 36.1). SMU Centre </w:t>
      </w:r>
      <w:r w:rsidRPr="009523C4">
        <w:rPr>
          <w:rFonts w:ascii="Times New Roman" w:eastAsia="Times New Roman" w:hAnsi="Times New Roman" w:cs="Times New Roman"/>
          <w:sz w:val="24"/>
          <w:szCs w:val="24"/>
          <w:lang w:val="en-US"/>
        </w:rPr>
        <w:lastRenderedPageBreak/>
        <w:t xml:space="preserve">for AI &amp; Data Governance Research Paper No. 2020/01. </w:t>
      </w:r>
      <w:hyperlink r:id="rId27" w:tgtFrame="_new" w:history="1">
        <w:r w:rsidRPr="009523C4">
          <w:rPr>
            <w:rFonts w:ascii="Times New Roman" w:eastAsia="Times New Roman" w:hAnsi="Times New Roman" w:cs="Times New Roman"/>
            <w:color w:val="0000FF"/>
            <w:sz w:val="24"/>
            <w:szCs w:val="24"/>
            <w:u w:val="single"/>
            <w:lang w:val="en-US"/>
          </w:rPr>
          <w:t>http://dx.doi.org/10.2139/ssrn.3576506</w:t>
        </w:r>
      </w:hyperlink>
      <w:r w:rsidR="00EC606F">
        <w:rPr>
          <w:rFonts w:ascii="Times New Roman" w:eastAsia="Times New Roman" w:hAnsi="Times New Roman" w:cs="Times New Roman"/>
          <w:sz w:val="24"/>
          <w:szCs w:val="24"/>
          <w:lang w:val="en-US"/>
        </w:rPr>
        <w:t xml:space="preserve"> [Accessed 23</w:t>
      </w:r>
      <w:r w:rsidR="00EC606F" w:rsidRPr="00570227">
        <w:rPr>
          <w:rFonts w:ascii="Times New Roman" w:eastAsia="Times New Roman" w:hAnsi="Times New Roman" w:cs="Times New Roman"/>
          <w:sz w:val="24"/>
          <w:szCs w:val="24"/>
          <w:lang w:val="en-US"/>
        </w:rPr>
        <w:t xml:space="preserve"> July 2025].</w:t>
      </w:r>
    </w:p>
    <w:p w14:paraId="4E78C81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Huang, R. H. (2018). Online P2P lending and regulatory responses in China: Opportunities and challenges. </w:t>
      </w:r>
      <w:r w:rsidRPr="009523C4">
        <w:rPr>
          <w:rFonts w:ascii="Times New Roman" w:eastAsia="Times New Roman" w:hAnsi="Times New Roman" w:cs="Times New Roman"/>
          <w:i/>
          <w:iCs/>
          <w:sz w:val="24"/>
          <w:szCs w:val="24"/>
          <w:lang w:val="en-US"/>
        </w:rPr>
        <w:t>European Business Organization Law Review, 19</w:t>
      </w:r>
      <w:r w:rsidRPr="009523C4">
        <w:rPr>
          <w:rFonts w:ascii="Times New Roman" w:eastAsia="Times New Roman" w:hAnsi="Times New Roman" w:cs="Times New Roman"/>
          <w:sz w:val="24"/>
          <w:szCs w:val="24"/>
          <w:lang w:val="en-US"/>
        </w:rPr>
        <w:t xml:space="preserve">(1), 63–92. </w:t>
      </w:r>
      <w:hyperlink r:id="rId28" w:history="1">
        <w:r w:rsidR="00EC606F" w:rsidRPr="005B075D">
          <w:rPr>
            <w:rStyle w:val="Hyperlink"/>
            <w:rFonts w:ascii="Times New Roman" w:eastAsia="Times New Roman" w:hAnsi="Times New Roman" w:cs="Times New Roman"/>
            <w:sz w:val="24"/>
            <w:szCs w:val="24"/>
            <w:lang w:val="en-US"/>
          </w:rPr>
          <w:t>https://doi.org/10.1007/s40804-018-0100-z</w:t>
        </w:r>
      </w:hyperlink>
      <w:r w:rsidR="00EC606F">
        <w:rPr>
          <w:rFonts w:ascii="Times New Roman" w:eastAsia="Times New Roman" w:hAnsi="Times New Roman" w:cs="Times New Roman"/>
          <w:sz w:val="24"/>
          <w:szCs w:val="24"/>
          <w:lang w:val="en-US"/>
        </w:rPr>
        <w:t xml:space="preserve"> [Accessed 25</w:t>
      </w:r>
      <w:r w:rsidR="00EC606F" w:rsidRPr="00570227">
        <w:rPr>
          <w:rFonts w:ascii="Times New Roman" w:eastAsia="Times New Roman" w:hAnsi="Times New Roman" w:cs="Times New Roman"/>
          <w:sz w:val="24"/>
          <w:szCs w:val="24"/>
          <w:lang w:val="en-US"/>
        </w:rPr>
        <w:t xml:space="preserve"> July 2025].</w:t>
      </w:r>
    </w:p>
    <w:p w14:paraId="0A9FFDC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Hutukka</w:t>
      </w:r>
      <w:proofErr w:type="spellEnd"/>
      <w:r w:rsidRPr="009523C4">
        <w:rPr>
          <w:rFonts w:ascii="Times New Roman" w:eastAsia="Times New Roman" w:hAnsi="Times New Roman" w:cs="Times New Roman"/>
          <w:sz w:val="24"/>
          <w:szCs w:val="24"/>
          <w:lang w:val="en-US"/>
        </w:rPr>
        <w:t xml:space="preserve">, P. (2024). Fintech law in the European Union, the United States and China: Regulation of financial technology in comparative context. </w:t>
      </w:r>
      <w:r w:rsidRPr="009523C4">
        <w:rPr>
          <w:rFonts w:ascii="Times New Roman" w:eastAsia="Times New Roman" w:hAnsi="Times New Roman" w:cs="Times New Roman"/>
          <w:i/>
          <w:iCs/>
          <w:sz w:val="24"/>
          <w:szCs w:val="24"/>
          <w:lang w:val="en-US"/>
        </w:rPr>
        <w:t>Maastricht Journal of European and Comparative Law, 31</w:t>
      </w:r>
      <w:r w:rsidRPr="009523C4">
        <w:rPr>
          <w:rFonts w:ascii="Times New Roman" w:eastAsia="Times New Roman" w:hAnsi="Times New Roman" w:cs="Times New Roman"/>
          <w:sz w:val="24"/>
          <w:szCs w:val="24"/>
          <w:lang w:val="en-US"/>
        </w:rPr>
        <w:t>(5), 559–594.</w:t>
      </w:r>
    </w:p>
    <w:p w14:paraId="36D6BD31"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Jack, W., &amp; Suri, T. (2014). Risk sharing and transactions costs: Evidence from Kenya’s mobile money revolution. </w:t>
      </w:r>
      <w:r w:rsidRPr="009523C4">
        <w:rPr>
          <w:rFonts w:ascii="Times New Roman" w:eastAsia="Times New Roman" w:hAnsi="Times New Roman" w:cs="Times New Roman"/>
          <w:i/>
          <w:iCs/>
          <w:sz w:val="24"/>
          <w:szCs w:val="24"/>
          <w:lang w:val="en-US"/>
        </w:rPr>
        <w:t>The American Economic Review, 104</w:t>
      </w:r>
      <w:r w:rsidRPr="009523C4">
        <w:rPr>
          <w:rFonts w:ascii="Times New Roman" w:eastAsia="Times New Roman" w:hAnsi="Times New Roman" w:cs="Times New Roman"/>
          <w:sz w:val="24"/>
          <w:szCs w:val="24"/>
          <w:lang w:val="en-US"/>
        </w:rPr>
        <w:t xml:space="preserve">, 183–223. </w:t>
      </w:r>
      <w:hyperlink r:id="rId29" w:tgtFrame="_new" w:history="1">
        <w:r w:rsidRPr="009523C4">
          <w:rPr>
            <w:rFonts w:ascii="Times New Roman" w:eastAsia="Times New Roman" w:hAnsi="Times New Roman" w:cs="Times New Roman"/>
            <w:color w:val="0000FF"/>
            <w:sz w:val="24"/>
            <w:szCs w:val="24"/>
            <w:u w:val="single"/>
            <w:lang w:val="en-US"/>
          </w:rPr>
          <w:t>https://doi.org/10.1257/aer.104.1.183</w:t>
        </w:r>
      </w:hyperlink>
      <w:r w:rsidR="00EC606F">
        <w:rPr>
          <w:rFonts w:ascii="Times New Roman" w:eastAsia="Times New Roman" w:hAnsi="Times New Roman" w:cs="Times New Roman"/>
          <w:sz w:val="24"/>
          <w:szCs w:val="24"/>
          <w:lang w:val="en-US"/>
        </w:rPr>
        <w:t xml:space="preserve"> [Accessed 24</w:t>
      </w:r>
      <w:r w:rsidR="00EC606F" w:rsidRPr="00570227">
        <w:rPr>
          <w:rFonts w:ascii="Times New Roman" w:eastAsia="Times New Roman" w:hAnsi="Times New Roman" w:cs="Times New Roman"/>
          <w:sz w:val="24"/>
          <w:szCs w:val="24"/>
          <w:lang w:val="en-US"/>
        </w:rPr>
        <w:t xml:space="preserve"> July 2025].</w:t>
      </w:r>
    </w:p>
    <w:p w14:paraId="6724BFBD"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Jenik, I., &amp; Lauer, K. (2017). </w:t>
      </w:r>
      <w:r w:rsidRPr="009523C4">
        <w:rPr>
          <w:rFonts w:ascii="Times New Roman" w:eastAsia="Times New Roman" w:hAnsi="Times New Roman" w:cs="Times New Roman"/>
          <w:i/>
          <w:iCs/>
          <w:sz w:val="24"/>
          <w:szCs w:val="24"/>
          <w:lang w:val="en-US"/>
        </w:rPr>
        <w:t>Regulatory sandboxes and financial inclusion</w:t>
      </w:r>
      <w:r w:rsidRPr="009523C4">
        <w:rPr>
          <w:rFonts w:ascii="Times New Roman" w:eastAsia="Times New Roman" w:hAnsi="Times New Roman" w:cs="Times New Roman"/>
          <w:sz w:val="24"/>
          <w:szCs w:val="24"/>
          <w:lang w:val="en-US"/>
        </w:rPr>
        <w:t xml:space="preserve"> (CGAP Working Paper). Consultative Group to Assist the Poor.</w:t>
      </w:r>
    </w:p>
    <w:p w14:paraId="07DCA5A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KPMG. (2021). </w:t>
      </w:r>
      <w:r w:rsidRPr="009523C4">
        <w:rPr>
          <w:rFonts w:ascii="Times New Roman" w:eastAsia="Times New Roman" w:hAnsi="Times New Roman" w:cs="Times New Roman"/>
          <w:i/>
          <w:iCs/>
          <w:sz w:val="24"/>
          <w:szCs w:val="24"/>
          <w:lang w:val="en-US"/>
        </w:rPr>
        <w:t>Pulse of Fintech H2 2021 Report</w:t>
      </w:r>
      <w:r w:rsidRPr="009523C4">
        <w:rPr>
          <w:rFonts w:ascii="Times New Roman" w:eastAsia="Times New Roman" w:hAnsi="Times New Roman" w:cs="Times New Roman"/>
          <w:sz w:val="24"/>
          <w:szCs w:val="24"/>
          <w:lang w:val="en-US"/>
        </w:rPr>
        <w:t xml:space="preserve">. </w:t>
      </w:r>
      <w:hyperlink r:id="rId30" w:tgtFrame="_new" w:history="1">
        <w:r w:rsidRPr="009523C4">
          <w:rPr>
            <w:rFonts w:ascii="Times New Roman" w:eastAsia="Times New Roman" w:hAnsi="Times New Roman" w:cs="Times New Roman"/>
            <w:color w:val="0000FF"/>
            <w:sz w:val="24"/>
            <w:szCs w:val="24"/>
            <w:u w:val="single"/>
            <w:lang w:val="en-US"/>
          </w:rPr>
          <w:t>https://home.kpmg/xx/en/home/industries/financial-services/pulse-of-fintech.html</w:t>
        </w:r>
      </w:hyperlink>
      <w:r w:rsidR="007A7799">
        <w:rPr>
          <w:rFonts w:ascii="Times New Roman" w:eastAsia="Times New Roman" w:hAnsi="Times New Roman" w:cs="Times New Roman"/>
          <w:sz w:val="24"/>
          <w:szCs w:val="24"/>
          <w:lang w:val="en-US"/>
        </w:rPr>
        <w:t xml:space="preserve"> [Accessed 25</w:t>
      </w:r>
      <w:r w:rsidR="007A7799" w:rsidRPr="00570227">
        <w:rPr>
          <w:rFonts w:ascii="Times New Roman" w:eastAsia="Times New Roman" w:hAnsi="Times New Roman" w:cs="Times New Roman"/>
          <w:sz w:val="24"/>
          <w:szCs w:val="24"/>
          <w:lang w:val="en-US"/>
        </w:rPr>
        <w:t xml:space="preserve"> July 2025].</w:t>
      </w:r>
    </w:p>
    <w:p w14:paraId="36CCCCE4"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Kushchyk</w:t>
      </w:r>
      <w:proofErr w:type="spellEnd"/>
      <w:r w:rsidRPr="009523C4">
        <w:rPr>
          <w:rFonts w:ascii="Times New Roman" w:eastAsia="Times New Roman" w:hAnsi="Times New Roman" w:cs="Times New Roman"/>
          <w:sz w:val="24"/>
          <w:szCs w:val="24"/>
          <w:lang w:val="en-US"/>
        </w:rPr>
        <w:t xml:space="preserve">, A., &amp; </w:t>
      </w:r>
      <w:proofErr w:type="spellStart"/>
      <w:r w:rsidRPr="009523C4">
        <w:rPr>
          <w:rFonts w:ascii="Times New Roman" w:eastAsia="Times New Roman" w:hAnsi="Times New Roman" w:cs="Times New Roman"/>
          <w:sz w:val="24"/>
          <w:szCs w:val="24"/>
          <w:lang w:val="en-US"/>
        </w:rPr>
        <w:t>Kairachka</w:t>
      </w:r>
      <w:proofErr w:type="spellEnd"/>
      <w:r w:rsidRPr="009523C4">
        <w:rPr>
          <w:rFonts w:ascii="Times New Roman" w:eastAsia="Times New Roman" w:hAnsi="Times New Roman" w:cs="Times New Roman"/>
          <w:sz w:val="24"/>
          <w:szCs w:val="24"/>
          <w:lang w:val="en-US"/>
        </w:rPr>
        <w:t xml:space="preserve">, N. (2023). Functioning of regulatory “sandboxes”: tasks, problems, prospects. </w:t>
      </w:r>
      <w:r w:rsidRPr="009523C4">
        <w:rPr>
          <w:rFonts w:ascii="Times New Roman" w:eastAsia="Times New Roman" w:hAnsi="Times New Roman" w:cs="Times New Roman"/>
          <w:i/>
          <w:iCs/>
          <w:sz w:val="24"/>
          <w:szCs w:val="24"/>
          <w:lang w:val="en-US"/>
        </w:rPr>
        <w:t>Economics and Region, (1) (88)</w:t>
      </w:r>
      <w:r w:rsidRPr="009523C4">
        <w:rPr>
          <w:rFonts w:ascii="Times New Roman" w:eastAsia="Times New Roman" w:hAnsi="Times New Roman" w:cs="Times New Roman"/>
          <w:sz w:val="24"/>
          <w:szCs w:val="24"/>
          <w:lang w:val="en-US"/>
        </w:rPr>
        <w:t>, 46–51.</w:t>
      </w:r>
    </w:p>
    <w:p w14:paraId="69DD280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Lagoarde-Segot</w:t>
      </w:r>
      <w:proofErr w:type="spellEnd"/>
      <w:r w:rsidRPr="009523C4">
        <w:rPr>
          <w:rFonts w:ascii="Times New Roman" w:eastAsia="Times New Roman" w:hAnsi="Times New Roman" w:cs="Times New Roman"/>
          <w:sz w:val="24"/>
          <w:szCs w:val="24"/>
          <w:lang w:val="en-US"/>
        </w:rPr>
        <w:t xml:space="preserve">, T. (2019). Sustainable finance. A critical realist perspective. </w:t>
      </w:r>
      <w:r w:rsidRPr="009523C4">
        <w:rPr>
          <w:rFonts w:ascii="Times New Roman" w:eastAsia="Times New Roman" w:hAnsi="Times New Roman" w:cs="Times New Roman"/>
          <w:i/>
          <w:iCs/>
          <w:sz w:val="24"/>
          <w:szCs w:val="24"/>
          <w:lang w:val="en-US"/>
        </w:rPr>
        <w:t>Research in International Business and Finance, 47</w:t>
      </w:r>
      <w:r w:rsidRPr="009523C4">
        <w:rPr>
          <w:rFonts w:ascii="Times New Roman" w:eastAsia="Times New Roman" w:hAnsi="Times New Roman" w:cs="Times New Roman"/>
          <w:sz w:val="24"/>
          <w:szCs w:val="24"/>
          <w:lang w:val="en-US"/>
        </w:rPr>
        <w:t>, 1–9.</w:t>
      </w:r>
    </w:p>
    <w:p w14:paraId="6454C51E"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Liu, H. W. (2021). Shifting contour of data sharing in financial market and regulatory responses: The UK and Australian models. </w:t>
      </w:r>
      <w:r w:rsidRPr="009523C4">
        <w:rPr>
          <w:rFonts w:ascii="Times New Roman" w:eastAsia="Times New Roman" w:hAnsi="Times New Roman" w:cs="Times New Roman"/>
          <w:i/>
          <w:iCs/>
          <w:sz w:val="24"/>
          <w:szCs w:val="24"/>
          <w:lang w:val="en-US"/>
        </w:rPr>
        <w:t>American University Business Law Review, 10</w:t>
      </w:r>
      <w:r w:rsidRPr="009523C4">
        <w:rPr>
          <w:rFonts w:ascii="Times New Roman" w:eastAsia="Times New Roman" w:hAnsi="Times New Roman" w:cs="Times New Roman"/>
          <w:sz w:val="24"/>
          <w:szCs w:val="24"/>
          <w:lang w:val="en-US"/>
        </w:rPr>
        <w:t>, 287.</w:t>
      </w:r>
    </w:p>
    <w:p w14:paraId="231AFB6C"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Macchiavello, E., &amp; Siri, M. (2022). Sustainable finance and fintech: Can technology contribute to achieving environmental goals? A preliminary assessment of ‘green fintech’ and </w:t>
      </w:r>
      <w:r w:rsidRPr="009523C4">
        <w:rPr>
          <w:rFonts w:ascii="Times New Roman" w:eastAsia="Times New Roman" w:hAnsi="Times New Roman" w:cs="Times New Roman"/>
          <w:sz w:val="24"/>
          <w:szCs w:val="24"/>
          <w:lang w:val="en-US"/>
        </w:rPr>
        <w:lastRenderedPageBreak/>
        <w:t xml:space="preserve">‘sustainable digital finance’. </w:t>
      </w:r>
      <w:r w:rsidRPr="009523C4">
        <w:rPr>
          <w:rFonts w:ascii="Times New Roman" w:eastAsia="Times New Roman" w:hAnsi="Times New Roman" w:cs="Times New Roman"/>
          <w:i/>
          <w:iCs/>
          <w:sz w:val="24"/>
          <w:szCs w:val="24"/>
          <w:lang w:val="en-US"/>
        </w:rPr>
        <w:t>European Company and Financial Law Review, 19</w:t>
      </w:r>
      <w:r w:rsidRPr="009523C4">
        <w:rPr>
          <w:rFonts w:ascii="Times New Roman" w:eastAsia="Times New Roman" w:hAnsi="Times New Roman" w:cs="Times New Roman"/>
          <w:sz w:val="24"/>
          <w:szCs w:val="24"/>
          <w:lang w:val="en-US"/>
        </w:rPr>
        <w:t>(1), 128–174.</w:t>
      </w:r>
    </w:p>
    <w:p w14:paraId="5D2C2ACF"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Magnuson, W. J. (2018). Financial regulation in the Bitcoin era. </w:t>
      </w:r>
      <w:r w:rsidRPr="009523C4">
        <w:rPr>
          <w:rFonts w:ascii="Times New Roman" w:eastAsia="Times New Roman" w:hAnsi="Times New Roman" w:cs="Times New Roman"/>
          <w:i/>
          <w:iCs/>
          <w:sz w:val="24"/>
          <w:szCs w:val="24"/>
          <w:lang w:val="en-US"/>
        </w:rPr>
        <w:t>Stanford Journal of Law, Business, and Finance, 23</w:t>
      </w:r>
      <w:r w:rsidRPr="009523C4">
        <w:rPr>
          <w:rFonts w:ascii="Times New Roman" w:eastAsia="Times New Roman" w:hAnsi="Times New Roman" w:cs="Times New Roman"/>
          <w:sz w:val="24"/>
          <w:szCs w:val="24"/>
          <w:lang w:val="en-US"/>
        </w:rPr>
        <w:t xml:space="preserve">(2). Texas A&amp;M University School of Law Legal Studies Research Paper No. 18-21. </w:t>
      </w:r>
      <w:hyperlink r:id="rId31" w:tgtFrame="_new" w:history="1">
        <w:r w:rsidRPr="009523C4">
          <w:rPr>
            <w:rFonts w:ascii="Times New Roman" w:eastAsia="Times New Roman" w:hAnsi="Times New Roman" w:cs="Times New Roman"/>
            <w:color w:val="0000FF"/>
            <w:sz w:val="24"/>
            <w:szCs w:val="24"/>
            <w:u w:val="single"/>
            <w:lang w:val="en-US"/>
          </w:rPr>
          <w:t>https://ssrn.com/abstract=3148036</w:t>
        </w:r>
      </w:hyperlink>
      <w:r w:rsidR="007A7799">
        <w:rPr>
          <w:rFonts w:ascii="Times New Roman" w:eastAsia="Times New Roman" w:hAnsi="Times New Roman" w:cs="Times New Roman"/>
          <w:sz w:val="24"/>
          <w:szCs w:val="24"/>
          <w:lang w:val="en-US"/>
        </w:rPr>
        <w:t xml:space="preserve"> [Accessed 23</w:t>
      </w:r>
      <w:r w:rsidR="007A7799" w:rsidRPr="00570227">
        <w:rPr>
          <w:rFonts w:ascii="Times New Roman" w:eastAsia="Times New Roman" w:hAnsi="Times New Roman" w:cs="Times New Roman"/>
          <w:sz w:val="24"/>
          <w:szCs w:val="24"/>
          <w:lang w:val="en-US"/>
        </w:rPr>
        <w:t xml:space="preserve"> July 2025].</w:t>
      </w:r>
    </w:p>
    <w:p w14:paraId="02733978"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Markellos, R. N., Ennis, S. F., </w:t>
      </w:r>
      <w:proofErr w:type="spellStart"/>
      <w:r w:rsidRPr="009523C4">
        <w:rPr>
          <w:rFonts w:ascii="Times New Roman" w:eastAsia="Times New Roman" w:hAnsi="Times New Roman" w:cs="Times New Roman"/>
          <w:sz w:val="24"/>
          <w:szCs w:val="24"/>
          <w:lang w:val="en-US"/>
        </w:rPr>
        <w:t>Enstone</w:t>
      </w:r>
      <w:proofErr w:type="spellEnd"/>
      <w:r w:rsidRPr="009523C4">
        <w:rPr>
          <w:rFonts w:ascii="Times New Roman" w:eastAsia="Times New Roman" w:hAnsi="Times New Roman" w:cs="Times New Roman"/>
          <w:sz w:val="24"/>
          <w:szCs w:val="24"/>
          <w:lang w:val="en-US"/>
        </w:rPr>
        <w:t xml:space="preserve">, B., Manos, A., </w:t>
      </w:r>
      <w:proofErr w:type="spellStart"/>
      <w:r w:rsidRPr="009523C4">
        <w:rPr>
          <w:rFonts w:ascii="Times New Roman" w:eastAsia="Times New Roman" w:hAnsi="Times New Roman" w:cs="Times New Roman"/>
          <w:sz w:val="24"/>
          <w:szCs w:val="24"/>
          <w:lang w:val="en-US"/>
        </w:rPr>
        <w:t>Pazaitis</w:t>
      </w:r>
      <w:proofErr w:type="spellEnd"/>
      <w:r w:rsidRPr="009523C4">
        <w:rPr>
          <w:rFonts w:ascii="Times New Roman" w:eastAsia="Times New Roman" w:hAnsi="Times New Roman" w:cs="Times New Roman"/>
          <w:sz w:val="24"/>
          <w:szCs w:val="24"/>
          <w:lang w:val="en-US"/>
        </w:rPr>
        <w:t xml:space="preserve">, D., &amp; </w:t>
      </w:r>
      <w:proofErr w:type="spellStart"/>
      <w:r w:rsidRPr="009523C4">
        <w:rPr>
          <w:rFonts w:ascii="Times New Roman" w:eastAsia="Times New Roman" w:hAnsi="Times New Roman" w:cs="Times New Roman"/>
          <w:sz w:val="24"/>
          <w:szCs w:val="24"/>
          <w:lang w:val="en-US"/>
        </w:rPr>
        <w:t>Psychoyios</w:t>
      </w:r>
      <w:proofErr w:type="spellEnd"/>
      <w:r w:rsidRPr="009523C4">
        <w:rPr>
          <w:rFonts w:ascii="Times New Roman" w:eastAsia="Times New Roman" w:hAnsi="Times New Roman" w:cs="Times New Roman"/>
          <w:sz w:val="24"/>
          <w:szCs w:val="24"/>
          <w:lang w:val="en-US"/>
        </w:rPr>
        <w:t xml:space="preserve">, D. (2024, March 6). </w:t>
      </w:r>
      <w:r w:rsidRPr="009523C4">
        <w:rPr>
          <w:rFonts w:ascii="Times New Roman" w:eastAsia="Times New Roman" w:hAnsi="Times New Roman" w:cs="Times New Roman"/>
          <w:i/>
          <w:iCs/>
          <w:sz w:val="24"/>
          <w:szCs w:val="24"/>
          <w:lang w:val="en-US"/>
        </w:rPr>
        <w:t>Worldwide adoption of regulatory sandboxes: Drivers, constraints and policies</w:t>
      </w:r>
      <w:r w:rsidRPr="009523C4">
        <w:rPr>
          <w:rFonts w:ascii="Times New Roman" w:eastAsia="Times New Roman" w:hAnsi="Times New Roman" w:cs="Times New Roman"/>
          <w:sz w:val="24"/>
          <w:szCs w:val="24"/>
          <w:lang w:val="en-US"/>
        </w:rPr>
        <w:t xml:space="preserve">. </w:t>
      </w:r>
      <w:hyperlink r:id="rId32" w:history="1">
        <w:r w:rsidR="0023142D" w:rsidRPr="005B075D">
          <w:rPr>
            <w:rStyle w:val="Hyperlink"/>
            <w:rFonts w:ascii="Times New Roman" w:eastAsia="Times New Roman" w:hAnsi="Times New Roman" w:cs="Times New Roman"/>
            <w:sz w:val="24"/>
            <w:szCs w:val="24"/>
            <w:lang w:val="en-US"/>
          </w:rPr>
          <w:t>https://doi.org/10.2139/ssrn.4764911</w:t>
        </w:r>
      </w:hyperlink>
      <w:r w:rsidR="0023142D">
        <w:rPr>
          <w:rFonts w:ascii="Times New Roman" w:eastAsia="Times New Roman" w:hAnsi="Times New Roman" w:cs="Times New Roman"/>
          <w:sz w:val="24"/>
          <w:szCs w:val="24"/>
          <w:lang w:val="en-US"/>
        </w:rPr>
        <w:t xml:space="preserve"> [Accessed 25</w:t>
      </w:r>
      <w:r w:rsidR="0023142D" w:rsidRPr="00570227">
        <w:rPr>
          <w:rFonts w:ascii="Times New Roman" w:eastAsia="Times New Roman" w:hAnsi="Times New Roman" w:cs="Times New Roman"/>
          <w:sz w:val="24"/>
          <w:szCs w:val="24"/>
          <w:lang w:val="en-US"/>
        </w:rPr>
        <w:t xml:space="preserve"> July 2025].</w:t>
      </w:r>
    </w:p>
    <w:p w14:paraId="1970642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Martin, A. P. (2017). Coordinating modern cross-border financial services: No global policy, no global legal framework, but some regional opportunities. </w:t>
      </w:r>
      <w:r w:rsidRPr="009523C4">
        <w:rPr>
          <w:rFonts w:ascii="Times New Roman" w:eastAsia="Times New Roman" w:hAnsi="Times New Roman" w:cs="Times New Roman"/>
          <w:i/>
          <w:iCs/>
          <w:sz w:val="24"/>
          <w:szCs w:val="24"/>
          <w:lang w:val="en-US"/>
        </w:rPr>
        <w:t>The International Lawyer, 50</w:t>
      </w:r>
      <w:r w:rsidRPr="009523C4">
        <w:rPr>
          <w:rFonts w:ascii="Times New Roman" w:eastAsia="Times New Roman" w:hAnsi="Times New Roman" w:cs="Times New Roman"/>
          <w:sz w:val="24"/>
          <w:szCs w:val="24"/>
          <w:lang w:val="en-US"/>
        </w:rPr>
        <w:t>(3), 467–502.</w:t>
      </w:r>
    </w:p>
    <w:p w14:paraId="07BEB81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Moffett, T. A. (2022). CFTC &amp; SEC: The wild west of cryptocurrency regulation. </w:t>
      </w:r>
      <w:r w:rsidRPr="009523C4">
        <w:rPr>
          <w:rFonts w:ascii="Times New Roman" w:eastAsia="Times New Roman" w:hAnsi="Times New Roman" w:cs="Times New Roman"/>
          <w:i/>
          <w:iCs/>
          <w:sz w:val="24"/>
          <w:szCs w:val="24"/>
          <w:lang w:val="en-US"/>
        </w:rPr>
        <w:t>University of Richmond Law Review, 57</w:t>
      </w:r>
      <w:r w:rsidRPr="009523C4">
        <w:rPr>
          <w:rFonts w:ascii="Times New Roman" w:eastAsia="Times New Roman" w:hAnsi="Times New Roman" w:cs="Times New Roman"/>
          <w:sz w:val="24"/>
          <w:szCs w:val="24"/>
          <w:lang w:val="en-US"/>
        </w:rPr>
        <w:t>, 713.</w:t>
      </w:r>
    </w:p>
    <w:p w14:paraId="3AA8E9E7"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Molla, A., &amp; Biru, A. (2023). The evolution of the Fintech entrepreneurial ecosystem in Africa: An exploratory study and model for future development. </w:t>
      </w:r>
      <w:r w:rsidRPr="009523C4">
        <w:rPr>
          <w:rFonts w:ascii="Times New Roman" w:eastAsia="Times New Roman" w:hAnsi="Times New Roman" w:cs="Times New Roman"/>
          <w:i/>
          <w:iCs/>
          <w:sz w:val="24"/>
          <w:szCs w:val="24"/>
          <w:lang w:val="en-US"/>
        </w:rPr>
        <w:t>Technological Forecasting and Social Change, 186</w:t>
      </w:r>
      <w:r w:rsidRPr="009523C4">
        <w:rPr>
          <w:rFonts w:ascii="Times New Roman" w:eastAsia="Times New Roman" w:hAnsi="Times New Roman" w:cs="Times New Roman"/>
          <w:sz w:val="24"/>
          <w:szCs w:val="24"/>
          <w:lang w:val="en-US"/>
        </w:rPr>
        <w:t xml:space="preserve">, 122123. </w:t>
      </w:r>
      <w:hyperlink r:id="rId33" w:tgtFrame="_new" w:history="1">
        <w:r w:rsidRPr="009523C4">
          <w:rPr>
            <w:rFonts w:ascii="Times New Roman" w:eastAsia="Times New Roman" w:hAnsi="Times New Roman" w:cs="Times New Roman"/>
            <w:color w:val="0000FF"/>
            <w:sz w:val="24"/>
            <w:szCs w:val="24"/>
            <w:u w:val="single"/>
            <w:lang w:val="en-US"/>
          </w:rPr>
          <w:t>https://doi.org/10.1016/j.techfore.2022.122123</w:t>
        </w:r>
      </w:hyperlink>
      <w:r w:rsidR="0023142D">
        <w:rPr>
          <w:rFonts w:ascii="Times New Roman" w:eastAsia="Times New Roman" w:hAnsi="Times New Roman" w:cs="Times New Roman"/>
          <w:sz w:val="24"/>
          <w:szCs w:val="24"/>
          <w:lang w:val="en-US"/>
        </w:rPr>
        <w:t xml:space="preserve"> [Accessed 25</w:t>
      </w:r>
      <w:r w:rsidR="0023142D" w:rsidRPr="00570227">
        <w:rPr>
          <w:rFonts w:ascii="Times New Roman" w:eastAsia="Times New Roman" w:hAnsi="Times New Roman" w:cs="Times New Roman"/>
          <w:sz w:val="24"/>
          <w:szCs w:val="24"/>
          <w:lang w:val="en-US"/>
        </w:rPr>
        <w:t xml:space="preserve"> July 2025].</w:t>
      </w:r>
    </w:p>
    <w:p w14:paraId="7D22087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Monetary Authority of Singapore (MAS). (2020). </w:t>
      </w:r>
      <w:r w:rsidRPr="009523C4">
        <w:rPr>
          <w:rFonts w:ascii="Times New Roman" w:eastAsia="Times New Roman" w:hAnsi="Times New Roman" w:cs="Times New Roman"/>
          <w:i/>
          <w:iCs/>
          <w:sz w:val="24"/>
          <w:szCs w:val="24"/>
          <w:lang w:val="en-US"/>
        </w:rPr>
        <w:t>FinTech regulatory sandbox guidelines</w:t>
      </w:r>
      <w:r w:rsidRPr="009523C4">
        <w:rPr>
          <w:rFonts w:ascii="Times New Roman" w:eastAsia="Times New Roman" w:hAnsi="Times New Roman" w:cs="Times New Roman"/>
          <w:sz w:val="24"/>
          <w:szCs w:val="24"/>
          <w:lang w:val="en-US"/>
        </w:rPr>
        <w:t xml:space="preserve">. </w:t>
      </w:r>
      <w:hyperlink r:id="rId34" w:tgtFrame="_new" w:history="1">
        <w:r w:rsidRPr="009523C4">
          <w:rPr>
            <w:rFonts w:ascii="Times New Roman" w:eastAsia="Times New Roman" w:hAnsi="Times New Roman" w:cs="Times New Roman"/>
            <w:color w:val="0000FF"/>
            <w:sz w:val="24"/>
            <w:szCs w:val="24"/>
            <w:u w:val="single"/>
            <w:lang w:val="en-US"/>
          </w:rPr>
          <w:t>https://www.mas.gov.sg/development/fintech/regulatory-sandbox</w:t>
        </w:r>
      </w:hyperlink>
      <w:r w:rsidR="0023142D">
        <w:rPr>
          <w:rFonts w:ascii="Times New Roman" w:eastAsia="Times New Roman" w:hAnsi="Times New Roman" w:cs="Times New Roman"/>
          <w:sz w:val="24"/>
          <w:szCs w:val="24"/>
          <w:lang w:val="en-US"/>
        </w:rPr>
        <w:t xml:space="preserve"> [Accessed 25</w:t>
      </w:r>
      <w:r w:rsidR="0023142D" w:rsidRPr="00570227">
        <w:rPr>
          <w:rFonts w:ascii="Times New Roman" w:eastAsia="Times New Roman" w:hAnsi="Times New Roman" w:cs="Times New Roman"/>
          <w:sz w:val="24"/>
          <w:szCs w:val="24"/>
          <w:lang w:val="en-US"/>
        </w:rPr>
        <w:t xml:space="preserve"> July 2025].</w:t>
      </w:r>
    </w:p>
    <w:p w14:paraId="1DAB133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National Strategy for Financial Inclusion in the United States. (2024). </w:t>
      </w:r>
      <w:r w:rsidRPr="009523C4">
        <w:rPr>
          <w:rFonts w:ascii="Times New Roman" w:eastAsia="Times New Roman" w:hAnsi="Times New Roman" w:cs="Times New Roman"/>
          <w:i/>
          <w:iCs/>
          <w:sz w:val="24"/>
          <w:szCs w:val="24"/>
          <w:lang w:val="en-US"/>
        </w:rPr>
        <w:t>Fostering financial access, resilience, and well-being for all</w:t>
      </w:r>
      <w:r w:rsidRPr="009523C4">
        <w:rPr>
          <w:rFonts w:ascii="Times New Roman" w:eastAsia="Times New Roman" w:hAnsi="Times New Roman" w:cs="Times New Roman"/>
          <w:sz w:val="24"/>
          <w:szCs w:val="24"/>
          <w:lang w:val="en-US"/>
        </w:rPr>
        <w:t xml:space="preserve">. </w:t>
      </w:r>
      <w:hyperlink r:id="rId35" w:tgtFrame="_new" w:history="1">
        <w:r w:rsidRPr="009523C4">
          <w:rPr>
            <w:rFonts w:ascii="Times New Roman" w:eastAsia="Times New Roman" w:hAnsi="Times New Roman" w:cs="Times New Roman"/>
            <w:color w:val="0000FF"/>
            <w:sz w:val="24"/>
            <w:szCs w:val="24"/>
            <w:u w:val="single"/>
            <w:lang w:val="en-US"/>
          </w:rPr>
          <w:t>https://home.treasury.gov/system/files/136/NSFI.pdf</w:t>
        </w:r>
      </w:hyperlink>
      <w:r w:rsidR="0023142D">
        <w:rPr>
          <w:rFonts w:ascii="Times New Roman" w:eastAsia="Times New Roman" w:hAnsi="Times New Roman" w:cs="Times New Roman"/>
          <w:sz w:val="24"/>
          <w:szCs w:val="24"/>
          <w:lang w:val="en-US"/>
        </w:rPr>
        <w:t xml:space="preserve"> [Accessed 24</w:t>
      </w:r>
      <w:r w:rsidR="0023142D" w:rsidRPr="00570227">
        <w:rPr>
          <w:rFonts w:ascii="Times New Roman" w:eastAsia="Times New Roman" w:hAnsi="Times New Roman" w:cs="Times New Roman"/>
          <w:sz w:val="24"/>
          <w:szCs w:val="24"/>
          <w:lang w:val="en-US"/>
        </w:rPr>
        <w:t xml:space="preserve"> July 2025].</w:t>
      </w:r>
    </w:p>
    <w:p w14:paraId="470C42E6"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Ndung’u, N., &amp; </w:t>
      </w:r>
      <w:proofErr w:type="spellStart"/>
      <w:r w:rsidRPr="009523C4">
        <w:rPr>
          <w:rFonts w:ascii="Times New Roman" w:eastAsia="Times New Roman" w:hAnsi="Times New Roman" w:cs="Times New Roman"/>
          <w:sz w:val="24"/>
          <w:szCs w:val="24"/>
          <w:lang w:val="en-US"/>
        </w:rPr>
        <w:t>Oguso</w:t>
      </w:r>
      <w:proofErr w:type="spellEnd"/>
      <w:r w:rsidRPr="009523C4">
        <w:rPr>
          <w:rFonts w:ascii="Times New Roman" w:eastAsia="Times New Roman" w:hAnsi="Times New Roman" w:cs="Times New Roman"/>
          <w:sz w:val="24"/>
          <w:szCs w:val="24"/>
          <w:lang w:val="en-US"/>
        </w:rPr>
        <w:t xml:space="preserve">, A. (2021). Financial sector development and financial inclusion in Africa: Gaps, challenges and policy options. In </w:t>
      </w:r>
      <w:r w:rsidRPr="009523C4">
        <w:rPr>
          <w:rFonts w:ascii="Times New Roman" w:eastAsia="Times New Roman" w:hAnsi="Times New Roman" w:cs="Times New Roman"/>
          <w:i/>
          <w:iCs/>
          <w:sz w:val="24"/>
          <w:szCs w:val="24"/>
          <w:lang w:val="en-US"/>
        </w:rPr>
        <w:t>Inclusive financial development</w:t>
      </w:r>
      <w:r w:rsidRPr="009523C4">
        <w:rPr>
          <w:rFonts w:ascii="Times New Roman" w:eastAsia="Times New Roman" w:hAnsi="Times New Roman" w:cs="Times New Roman"/>
          <w:sz w:val="24"/>
          <w:szCs w:val="24"/>
          <w:lang w:val="en-US"/>
        </w:rPr>
        <w:t xml:space="preserve"> (pp. 28–51). Edward Elgar Publishing.</w:t>
      </w:r>
    </w:p>
    <w:p w14:paraId="3C6F5450" w14:textId="77777777" w:rsidR="00A264CF" w:rsidRPr="009523C4" w:rsidRDefault="00A264CF" w:rsidP="0023142D">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Nwoke, J. (2024). Digital transformation in financial services and FinTech: Trends, innovations and emerging technologies. </w:t>
      </w:r>
      <w:r w:rsidRPr="009523C4">
        <w:rPr>
          <w:rFonts w:ascii="Times New Roman" w:eastAsia="Times New Roman" w:hAnsi="Times New Roman" w:cs="Times New Roman"/>
          <w:i/>
          <w:iCs/>
          <w:sz w:val="24"/>
          <w:szCs w:val="24"/>
          <w:lang w:val="en-US"/>
        </w:rPr>
        <w:t>International Journal of Finance, 9</w:t>
      </w:r>
      <w:r w:rsidRPr="009523C4">
        <w:rPr>
          <w:rFonts w:ascii="Times New Roman" w:eastAsia="Times New Roman" w:hAnsi="Times New Roman" w:cs="Times New Roman"/>
          <w:sz w:val="24"/>
          <w:szCs w:val="24"/>
          <w:lang w:val="en-US"/>
        </w:rPr>
        <w:t xml:space="preserve">(6), 1–24. </w:t>
      </w:r>
      <w:hyperlink r:id="rId36" w:history="1">
        <w:r w:rsidRPr="005B075D">
          <w:rPr>
            <w:rStyle w:val="Hyperlink"/>
            <w:rFonts w:ascii="Times New Roman" w:eastAsia="Times New Roman" w:hAnsi="Times New Roman" w:cs="Times New Roman"/>
            <w:sz w:val="24"/>
            <w:szCs w:val="24"/>
            <w:lang w:val="en-US"/>
          </w:rPr>
          <w:t>https://doi.org/10.47941/ijf.2224</w:t>
        </w:r>
      </w:hyperlink>
      <w:r>
        <w:rPr>
          <w:rFonts w:ascii="Times New Roman" w:eastAsia="Times New Roman" w:hAnsi="Times New Roman" w:cs="Times New Roman"/>
          <w:sz w:val="24"/>
          <w:szCs w:val="24"/>
          <w:lang w:val="en-US"/>
        </w:rPr>
        <w:t xml:space="preserve"> </w:t>
      </w:r>
      <w:r w:rsidR="0023142D">
        <w:rPr>
          <w:rFonts w:ascii="Times New Roman" w:eastAsia="Times New Roman" w:hAnsi="Times New Roman" w:cs="Times New Roman"/>
          <w:sz w:val="24"/>
          <w:szCs w:val="24"/>
          <w:lang w:val="en-US"/>
        </w:rPr>
        <w:t>[Accessed 24</w:t>
      </w:r>
      <w:r w:rsidR="0023142D" w:rsidRPr="00570227">
        <w:rPr>
          <w:rFonts w:ascii="Times New Roman" w:eastAsia="Times New Roman" w:hAnsi="Times New Roman" w:cs="Times New Roman"/>
          <w:sz w:val="24"/>
          <w:szCs w:val="24"/>
          <w:lang w:val="en-US"/>
        </w:rPr>
        <w:t xml:space="preserve"> July 2025].</w:t>
      </w:r>
    </w:p>
    <w:p w14:paraId="160243FA"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Opebiyi</w:t>
      </w:r>
      <w:proofErr w:type="spellEnd"/>
      <w:r w:rsidRPr="009523C4">
        <w:rPr>
          <w:rFonts w:ascii="Times New Roman" w:eastAsia="Times New Roman" w:hAnsi="Times New Roman" w:cs="Times New Roman"/>
          <w:sz w:val="24"/>
          <w:szCs w:val="24"/>
          <w:lang w:val="en-US"/>
        </w:rPr>
        <w:t xml:space="preserve">, F. M. (2022). </w:t>
      </w:r>
      <w:r w:rsidRPr="009523C4">
        <w:rPr>
          <w:rFonts w:ascii="Times New Roman" w:eastAsia="Times New Roman" w:hAnsi="Times New Roman" w:cs="Times New Roman"/>
          <w:i/>
          <w:iCs/>
          <w:sz w:val="24"/>
          <w:szCs w:val="24"/>
          <w:lang w:val="en-US"/>
        </w:rPr>
        <w:t>Regulating user interactions within the financial technology market: Cryptocurrencies in Nigeria</w:t>
      </w:r>
      <w:r w:rsidRPr="009523C4">
        <w:rPr>
          <w:rFonts w:ascii="Times New Roman" w:eastAsia="Times New Roman" w:hAnsi="Times New Roman" w:cs="Times New Roman"/>
          <w:sz w:val="24"/>
          <w:szCs w:val="24"/>
          <w:lang w:val="en-US"/>
        </w:rPr>
        <w:t xml:space="preserve"> (Doctoral dissertation, The University of Manchester (United Kingdom)). </w:t>
      </w:r>
      <w:hyperlink r:id="rId37" w:tgtFrame="_new" w:history="1">
        <w:r w:rsidRPr="009523C4">
          <w:rPr>
            <w:rFonts w:ascii="Times New Roman" w:eastAsia="Times New Roman" w:hAnsi="Times New Roman" w:cs="Times New Roman"/>
            <w:color w:val="0000FF"/>
            <w:sz w:val="24"/>
            <w:szCs w:val="24"/>
            <w:u w:val="single"/>
            <w:lang w:val="en-US"/>
          </w:rPr>
          <w:t>https://pure.manchester.ac.uk/ws/portalfiles/portal/274924996/FULL_TEXT.PDF</w:t>
        </w:r>
      </w:hyperlink>
      <w:r w:rsidR="0023142D">
        <w:rPr>
          <w:rFonts w:ascii="Times New Roman" w:eastAsia="Times New Roman" w:hAnsi="Times New Roman" w:cs="Times New Roman"/>
          <w:sz w:val="24"/>
          <w:szCs w:val="24"/>
          <w:lang w:val="en-US"/>
        </w:rPr>
        <w:t xml:space="preserve"> [Accessed 24</w:t>
      </w:r>
      <w:r w:rsidR="0023142D" w:rsidRPr="00570227">
        <w:rPr>
          <w:rFonts w:ascii="Times New Roman" w:eastAsia="Times New Roman" w:hAnsi="Times New Roman" w:cs="Times New Roman"/>
          <w:sz w:val="24"/>
          <w:szCs w:val="24"/>
          <w:lang w:val="en-US"/>
        </w:rPr>
        <w:t xml:space="preserve"> July 2025].</w:t>
      </w:r>
    </w:p>
    <w:p w14:paraId="6FF6892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Philippon, T. (2016). The Fintech opportunity. </w:t>
      </w:r>
      <w:r w:rsidRPr="009523C4">
        <w:rPr>
          <w:rFonts w:ascii="Times New Roman" w:eastAsia="Times New Roman" w:hAnsi="Times New Roman" w:cs="Times New Roman"/>
          <w:i/>
          <w:iCs/>
          <w:sz w:val="24"/>
          <w:szCs w:val="24"/>
          <w:lang w:val="en-US"/>
        </w:rPr>
        <w:t>NBER Working Paper No. 22476</w:t>
      </w:r>
      <w:r w:rsidRPr="009523C4">
        <w:rPr>
          <w:rFonts w:ascii="Times New Roman" w:eastAsia="Times New Roman" w:hAnsi="Times New Roman" w:cs="Times New Roman"/>
          <w:sz w:val="24"/>
          <w:szCs w:val="24"/>
          <w:lang w:val="en-US"/>
        </w:rPr>
        <w:t xml:space="preserve">. </w:t>
      </w:r>
      <w:hyperlink r:id="rId38" w:tgtFrame="_new" w:history="1">
        <w:r w:rsidRPr="009523C4">
          <w:rPr>
            <w:rFonts w:ascii="Times New Roman" w:eastAsia="Times New Roman" w:hAnsi="Times New Roman" w:cs="Times New Roman"/>
            <w:color w:val="0000FF"/>
            <w:sz w:val="24"/>
            <w:szCs w:val="24"/>
            <w:u w:val="single"/>
            <w:lang w:val="en-US"/>
          </w:rPr>
          <w:t>https://doi.org/10.3386/w22476</w:t>
        </w:r>
      </w:hyperlink>
      <w:r w:rsidR="0023142D">
        <w:rPr>
          <w:rFonts w:ascii="Times New Roman" w:eastAsia="Times New Roman" w:hAnsi="Times New Roman" w:cs="Times New Roman"/>
          <w:sz w:val="24"/>
          <w:szCs w:val="24"/>
          <w:lang w:val="en-US"/>
        </w:rPr>
        <w:t xml:space="preserve"> [Accessed 23</w:t>
      </w:r>
      <w:r w:rsidR="0023142D" w:rsidRPr="00570227">
        <w:rPr>
          <w:rFonts w:ascii="Times New Roman" w:eastAsia="Times New Roman" w:hAnsi="Times New Roman" w:cs="Times New Roman"/>
          <w:sz w:val="24"/>
          <w:szCs w:val="24"/>
          <w:lang w:val="en-US"/>
        </w:rPr>
        <w:t xml:space="preserve"> July 2025].</w:t>
      </w:r>
    </w:p>
    <w:p w14:paraId="5FF8E4B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Sahay, M. R., von Allmen, M. U. E., Lahreche, M. A., Khera, P., Ogawa, M. S., </w:t>
      </w:r>
      <w:proofErr w:type="spellStart"/>
      <w:r w:rsidRPr="009523C4">
        <w:rPr>
          <w:rFonts w:ascii="Times New Roman" w:eastAsia="Times New Roman" w:hAnsi="Times New Roman" w:cs="Times New Roman"/>
          <w:sz w:val="24"/>
          <w:szCs w:val="24"/>
          <w:lang w:val="en-US"/>
        </w:rPr>
        <w:t>Bazarbash</w:t>
      </w:r>
      <w:proofErr w:type="spellEnd"/>
      <w:r w:rsidRPr="009523C4">
        <w:rPr>
          <w:rFonts w:ascii="Times New Roman" w:eastAsia="Times New Roman" w:hAnsi="Times New Roman" w:cs="Times New Roman"/>
          <w:sz w:val="24"/>
          <w:szCs w:val="24"/>
          <w:lang w:val="en-US"/>
        </w:rPr>
        <w:t xml:space="preserve">, M., &amp; Beaton, M. K. (2020). </w:t>
      </w:r>
      <w:r w:rsidRPr="009523C4">
        <w:rPr>
          <w:rFonts w:ascii="Times New Roman" w:eastAsia="Times New Roman" w:hAnsi="Times New Roman" w:cs="Times New Roman"/>
          <w:i/>
          <w:iCs/>
          <w:sz w:val="24"/>
          <w:szCs w:val="24"/>
          <w:lang w:val="en-US"/>
        </w:rPr>
        <w:t>The promise of fintech: Financial inclusion in the post COVID-19 era</w:t>
      </w:r>
      <w:r w:rsidRPr="009523C4">
        <w:rPr>
          <w:rFonts w:ascii="Times New Roman" w:eastAsia="Times New Roman" w:hAnsi="Times New Roman" w:cs="Times New Roman"/>
          <w:sz w:val="24"/>
          <w:szCs w:val="24"/>
          <w:lang w:val="en-US"/>
        </w:rPr>
        <w:t>. International Monetary Fund.</w:t>
      </w:r>
    </w:p>
    <w:p w14:paraId="6A6A9C23"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Steele, G. S. (2024). Major questions' quiet crisis. </w:t>
      </w:r>
      <w:r w:rsidRPr="009523C4">
        <w:rPr>
          <w:rFonts w:ascii="Times New Roman" w:eastAsia="Times New Roman" w:hAnsi="Times New Roman" w:cs="Times New Roman"/>
          <w:i/>
          <w:iCs/>
          <w:sz w:val="24"/>
          <w:szCs w:val="24"/>
          <w:lang w:val="en-US"/>
        </w:rPr>
        <w:t>George Mason Law Review, 31</w:t>
      </w:r>
      <w:r w:rsidRPr="009523C4">
        <w:rPr>
          <w:rFonts w:ascii="Times New Roman" w:eastAsia="Times New Roman" w:hAnsi="Times New Roman" w:cs="Times New Roman"/>
          <w:sz w:val="24"/>
          <w:szCs w:val="24"/>
          <w:lang w:val="en-US"/>
        </w:rPr>
        <w:t>, 265.</w:t>
      </w:r>
    </w:p>
    <w:p w14:paraId="16F4E740"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Suri, T., &amp; Jack, W. (2016). The long-run poverty and gender impacts of mobile money. </w:t>
      </w:r>
      <w:r w:rsidRPr="009523C4">
        <w:rPr>
          <w:rFonts w:ascii="Times New Roman" w:eastAsia="Times New Roman" w:hAnsi="Times New Roman" w:cs="Times New Roman"/>
          <w:i/>
          <w:iCs/>
          <w:sz w:val="24"/>
          <w:szCs w:val="24"/>
          <w:lang w:val="en-US"/>
        </w:rPr>
        <w:t>Science, 354</w:t>
      </w:r>
      <w:r w:rsidRPr="009523C4">
        <w:rPr>
          <w:rFonts w:ascii="Times New Roman" w:eastAsia="Times New Roman" w:hAnsi="Times New Roman" w:cs="Times New Roman"/>
          <w:sz w:val="24"/>
          <w:szCs w:val="24"/>
          <w:lang w:val="en-US"/>
        </w:rPr>
        <w:t xml:space="preserve">, 1288–1292. </w:t>
      </w:r>
      <w:hyperlink r:id="rId39" w:tgtFrame="_new" w:history="1">
        <w:r w:rsidRPr="009523C4">
          <w:rPr>
            <w:rFonts w:ascii="Times New Roman" w:eastAsia="Times New Roman" w:hAnsi="Times New Roman" w:cs="Times New Roman"/>
            <w:color w:val="0000FF"/>
            <w:sz w:val="24"/>
            <w:szCs w:val="24"/>
            <w:u w:val="single"/>
            <w:lang w:val="en-US"/>
          </w:rPr>
          <w:t>https://doi.org/10.1126/science.aah5309</w:t>
        </w:r>
      </w:hyperlink>
      <w:r w:rsidR="006827FC">
        <w:rPr>
          <w:rFonts w:ascii="Times New Roman" w:eastAsia="Times New Roman" w:hAnsi="Times New Roman" w:cs="Times New Roman"/>
          <w:sz w:val="24"/>
          <w:szCs w:val="24"/>
          <w:lang w:val="en-US"/>
        </w:rPr>
        <w:t xml:space="preserve"> [Accessed 24</w:t>
      </w:r>
      <w:r w:rsidR="006827FC" w:rsidRPr="00570227">
        <w:rPr>
          <w:rFonts w:ascii="Times New Roman" w:eastAsia="Times New Roman" w:hAnsi="Times New Roman" w:cs="Times New Roman"/>
          <w:sz w:val="24"/>
          <w:szCs w:val="24"/>
          <w:lang w:val="en-US"/>
        </w:rPr>
        <w:t xml:space="preserve"> July 2025].</w:t>
      </w:r>
    </w:p>
    <w:p w14:paraId="4C583161"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The Buckeye Institute. (2021). </w:t>
      </w:r>
      <w:r w:rsidRPr="009523C4">
        <w:rPr>
          <w:rFonts w:ascii="Times New Roman" w:eastAsia="Times New Roman" w:hAnsi="Times New Roman" w:cs="Times New Roman"/>
          <w:i/>
          <w:iCs/>
          <w:sz w:val="24"/>
          <w:szCs w:val="24"/>
          <w:lang w:val="en-US"/>
        </w:rPr>
        <w:t>Fintech’ regulatory sandbox: Cutting red tape for employers &amp; offering innovative tools to Ohioans</w:t>
      </w:r>
      <w:r w:rsidRPr="009523C4">
        <w:rPr>
          <w:rFonts w:ascii="Times New Roman" w:eastAsia="Times New Roman" w:hAnsi="Times New Roman" w:cs="Times New Roman"/>
          <w:sz w:val="24"/>
          <w:szCs w:val="24"/>
          <w:lang w:val="en-US"/>
        </w:rPr>
        <w:t xml:space="preserve">. </w:t>
      </w:r>
      <w:hyperlink r:id="rId40" w:tgtFrame="_new" w:history="1">
        <w:r w:rsidRPr="009523C4">
          <w:rPr>
            <w:rFonts w:ascii="Times New Roman" w:eastAsia="Times New Roman" w:hAnsi="Times New Roman" w:cs="Times New Roman"/>
            <w:color w:val="0000FF"/>
            <w:sz w:val="24"/>
            <w:szCs w:val="24"/>
            <w:u w:val="single"/>
            <w:lang w:val="en-US"/>
          </w:rPr>
          <w:t>https://www.buckeyeinstitute.org/library/docLib/2021-11-16-Buckeye-Institute-Championed-Policies-Would-Enable-Fintech-Companies-to-Develop-New-and-Better-Services-testimony.pdf</w:t>
        </w:r>
      </w:hyperlink>
      <w:r w:rsidR="006827FC">
        <w:rPr>
          <w:rFonts w:ascii="Times New Roman" w:eastAsia="Times New Roman" w:hAnsi="Times New Roman" w:cs="Times New Roman"/>
          <w:sz w:val="24"/>
          <w:szCs w:val="24"/>
          <w:lang w:val="en-US"/>
        </w:rPr>
        <w:t xml:space="preserve"> [Accessed 23 </w:t>
      </w:r>
      <w:r w:rsidR="006827FC" w:rsidRPr="00570227">
        <w:rPr>
          <w:rFonts w:ascii="Times New Roman" w:eastAsia="Times New Roman" w:hAnsi="Times New Roman" w:cs="Times New Roman"/>
          <w:sz w:val="24"/>
          <w:szCs w:val="24"/>
          <w:lang w:val="en-US"/>
        </w:rPr>
        <w:t>July 2025].</w:t>
      </w:r>
    </w:p>
    <w:p w14:paraId="6E6B39BE"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The White House. (2025). </w:t>
      </w:r>
      <w:r w:rsidRPr="009523C4">
        <w:rPr>
          <w:rFonts w:ascii="Times New Roman" w:eastAsia="Times New Roman" w:hAnsi="Times New Roman" w:cs="Times New Roman"/>
          <w:i/>
          <w:iCs/>
          <w:sz w:val="24"/>
          <w:szCs w:val="24"/>
          <w:lang w:val="en-US"/>
        </w:rPr>
        <w:t>Fact sheet: President Donald J. Trump establishes the strategic Bitcoin reserve and U.S. digital asset stockpile</w:t>
      </w:r>
      <w:r w:rsidRPr="009523C4">
        <w:rPr>
          <w:rFonts w:ascii="Times New Roman" w:eastAsia="Times New Roman" w:hAnsi="Times New Roman" w:cs="Times New Roman"/>
          <w:sz w:val="24"/>
          <w:szCs w:val="24"/>
          <w:lang w:val="en-US"/>
        </w:rPr>
        <w:t xml:space="preserve">. </w:t>
      </w:r>
      <w:hyperlink r:id="rId41" w:tgtFrame="_new" w:history="1">
        <w:r w:rsidRPr="009523C4">
          <w:rPr>
            <w:rFonts w:ascii="Times New Roman" w:eastAsia="Times New Roman" w:hAnsi="Times New Roman" w:cs="Times New Roman"/>
            <w:color w:val="0000FF"/>
            <w:sz w:val="24"/>
            <w:szCs w:val="24"/>
            <w:u w:val="single"/>
            <w:lang w:val="en-US"/>
          </w:rPr>
          <w:t>https://www.whitehouse.gov/fact-sheets/2025/03/fact-sheet-president-donald-j-trump-establishes-the-strategic-bitcoin-reserve-and-u-s-digital-asset-stockpile/</w:t>
        </w:r>
      </w:hyperlink>
      <w:r w:rsidR="006827FC">
        <w:rPr>
          <w:rFonts w:ascii="Times New Roman" w:eastAsia="Times New Roman" w:hAnsi="Times New Roman" w:cs="Times New Roman"/>
          <w:sz w:val="24"/>
          <w:szCs w:val="24"/>
          <w:lang w:val="en-US"/>
        </w:rPr>
        <w:t xml:space="preserve"> [Accessed 24</w:t>
      </w:r>
      <w:r w:rsidR="006827FC" w:rsidRPr="00570227">
        <w:rPr>
          <w:rFonts w:ascii="Times New Roman" w:eastAsia="Times New Roman" w:hAnsi="Times New Roman" w:cs="Times New Roman"/>
          <w:sz w:val="24"/>
          <w:szCs w:val="24"/>
          <w:lang w:val="en-US"/>
        </w:rPr>
        <w:t xml:space="preserve"> July 2025].</w:t>
      </w:r>
    </w:p>
    <w:p w14:paraId="22931042"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lastRenderedPageBreak/>
        <w:t xml:space="preserve">Tut, D. (2023). FinTech and the COVID-19 pandemic: Evidence from electronic payment systems. </w:t>
      </w:r>
      <w:r w:rsidRPr="009523C4">
        <w:rPr>
          <w:rFonts w:ascii="Times New Roman" w:eastAsia="Times New Roman" w:hAnsi="Times New Roman" w:cs="Times New Roman"/>
          <w:i/>
          <w:iCs/>
          <w:sz w:val="24"/>
          <w:szCs w:val="24"/>
          <w:lang w:val="en-US"/>
        </w:rPr>
        <w:t>Emerging Markets Review, 54</w:t>
      </w:r>
      <w:r w:rsidRPr="009523C4">
        <w:rPr>
          <w:rFonts w:ascii="Times New Roman" w:eastAsia="Times New Roman" w:hAnsi="Times New Roman" w:cs="Times New Roman"/>
          <w:sz w:val="24"/>
          <w:szCs w:val="24"/>
          <w:lang w:val="en-US"/>
        </w:rPr>
        <w:t xml:space="preserve">, 100999. </w:t>
      </w:r>
      <w:hyperlink r:id="rId42" w:history="1">
        <w:r w:rsidR="006827FC" w:rsidRPr="005B075D">
          <w:rPr>
            <w:rStyle w:val="Hyperlink"/>
            <w:rFonts w:ascii="Times New Roman" w:eastAsia="Times New Roman" w:hAnsi="Times New Roman" w:cs="Times New Roman"/>
            <w:sz w:val="24"/>
            <w:szCs w:val="24"/>
            <w:lang w:val="en-US"/>
          </w:rPr>
          <w:t>https://doi.org/10.1016/j.ememar.2023.100999</w:t>
        </w:r>
      </w:hyperlink>
      <w:r w:rsidR="006827FC">
        <w:rPr>
          <w:rFonts w:ascii="Times New Roman" w:eastAsia="Times New Roman" w:hAnsi="Times New Roman" w:cs="Times New Roman"/>
          <w:sz w:val="24"/>
          <w:szCs w:val="24"/>
          <w:lang w:val="en-US"/>
        </w:rPr>
        <w:t xml:space="preserve"> [Accessed 25</w:t>
      </w:r>
      <w:r w:rsidR="006827FC" w:rsidRPr="00570227">
        <w:rPr>
          <w:rFonts w:ascii="Times New Roman" w:eastAsia="Times New Roman" w:hAnsi="Times New Roman" w:cs="Times New Roman"/>
          <w:sz w:val="24"/>
          <w:szCs w:val="24"/>
          <w:lang w:val="en-US"/>
        </w:rPr>
        <w:t xml:space="preserve"> July 2025].</w:t>
      </w:r>
    </w:p>
    <w:p w14:paraId="7EE36C8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UNCDF. (2018). </w:t>
      </w:r>
      <w:r w:rsidRPr="009523C4">
        <w:rPr>
          <w:rFonts w:ascii="Times New Roman" w:eastAsia="Times New Roman" w:hAnsi="Times New Roman" w:cs="Times New Roman"/>
          <w:i/>
          <w:iCs/>
          <w:sz w:val="24"/>
          <w:szCs w:val="24"/>
          <w:lang w:val="en-US"/>
        </w:rPr>
        <w:t>Sierra Leone becomes the second country in Africa to launch the Sandbox Framework to test FinTech innovations</w:t>
      </w:r>
      <w:r w:rsidRPr="009523C4">
        <w:rPr>
          <w:rFonts w:ascii="Times New Roman" w:eastAsia="Times New Roman" w:hAnsi="Times New Roman" w:cs="Times New Roman"/>
          <w:sz w:val="24"/>
          <w:szCs w:val="24"/>
          <w:lang w:val="en-US"/>
        </w:rPr>
        <w:t xml:space="preserve">. </w:t>
      </w:r>
      <w:hyperlink r:id="rId43" w:tgtFrame="_new" w:history="1">
        <w:r w:rsidRPr="009523C4">
          <w:rPr>
            <w:rFonts w:ascii="Times New Roman" w:eastAsia="Times New Roman" w:hAnsi="Times New Roman" w:cs="Times New Roman"/>
            <w:color w:val="0000FF"/>
            <w:sz w:val="24"/>
            <w:szCs w:val="24"/>
            <w:u w:val="single"/>
            <w:lang w:val="en-US"/>
          </w:rPr>
          <w:t>https://www.uncdf.org/article/3486/sierra-leone-becomes-the-second-country-in-africa-to-launch-the-sandbox-framework-to-test-fintech-innovations</w:t>
        </w:r>
      </w:hyperlink>
      <w:r w:rsidR="006827FC">
        <w:rPr>
          <w:rFonts w:ascii="Times New Roman" w:eastAsia="Times New Roman" w:hAnsi="Times New Roman" w:cs="Times New Roman"/>
          <w:sz w:val="24"/>
          <w:szCs w:val="24"/>
          <w:lang w:val="en-US"/>
        </w:rPr>
        <w:t xml:space="preserve"> [Accessed 24</w:t>
      </w:r>
      <w:r w:rsidR="006827FC" w:rsidRPr="00570227">
        <w:rPr>
          <w:rFonts w:ascii="Times New Roman" w:eastAsia="Times New Roman" w:hAnsi="Times New Roman" w:cs="Times New Roman"/>
          <w:sz w:val="24"/>
          <w:szCs w:val="24"/>
          <w:lang w:val="en-US"/>
        </w:rPr>
        <w:t xml:space="preserve"> July 2025].</w:t>
      </w:r>
    </w:p>
    <w:p w14:paraId="75C81604"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United Nations. (2015). </w:t>
      </w:r>
      <w:r w:rsidRPr="009523C4">
        <w:rPr>
          <w:rFonts w:ascii="Times New Roman" w:eastAsia="Times New Roman" w:hAnsi="Times New Roman" w:cs="Times New Roman"/>
          <w:i/>
          <w:iCs/>
          <w:sz w:val="24"/>
          <w:szCs w:val="24"/>
          <w:lang w:val="en-US"/>
        </w:rPr>
        <w:t>Transforming our world: The 2030 Agenda for Sustainable Development</w:t>
      </w:r>
      <w:r w:rsidRPr="009523C4">
        <w:rPr>
          <w:rFonts w:ascii="Times New Roman" w:eastAsia="Times New Roman" w:hAnsi="Times New Roman" w:cs="Times New Roman"/>
          <w:sz w:val="24"/>
          <w:szCs w:val="24"/>
          <w:lang w:val="en-US"/>
        </w:rPr>
        <w:t xml:space="preserve">. A/RES/70/1. </w:t>
      </w:r>
      <w:hyperlink r:id="rId44" w:tgtFrame="_new" w:history="1">
        <w:r w:rsidRPr="009523C4">
          <w:rPr>
            <w:rFonts w:ascii="Times New Roman" w:eastAsia="Times New Roman" w:hAnsi="Times New Roman" w:cs="Times New Roman"/>
            <w:color w:val="0000FF"/>
            <w:sz w:val="24"/>
            <w:szCs w:val="24"/>
            <w:u w:val="single"/>
            <w:lang w:val="en-US"/>
          </w:rPr>
          <w:t>https://sdgs.un.org/2030agenda</w:t>
        </w:r>
      </w:hyperlink>
      <w:r w:rsidR="006827FC">
        <w:rPr>
          <w:rFonts w:ascii="Times New Roman" w:eastAsia="Times New Roman" w:hAnsi="Times New Roman" w:cs="Times New Roman"/>
          <w:sz w:val="24"/>
          <w:szCs w:val="24"/>
          <w:lang w:val="en-US"/>
        </w:rPr>
        <w:t xml:space="preserve"> [Accessed 25</w:t>
      </w:r>
      <w:r w:rsidR="006827FC" w:rsidRPr="00570227">
        <w:rPr>
          <w:rFonts w:ascii="Times New Roman" w:eastAsia="Times New Roman" w:hAnsi="Times New Roman" w:cs="Times New Roman"/>
          <w:sz w:val="24"/>
          <w:szCs w:val="24"/>
          <w:lang w:val="en-US"/>
        </w:rPr>
        <w:t xml:space="preserve"> July 2025].</w:t>
      </w:r>
    </w:p>
    <w:p w14:paraId="18018BAB"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Wechsler, M., Perlman, L., &amp; Gurung, N. (2018). </w:t>
      </w:r>
      <w:r w:rsidRPr="009523C4">
        <w:rPr>
          <w:rFonts w:ascii="Times New Roman" w:eastAsia="Times New Roman" w:hAnsi="Times New Roman" w:cs="Times New Roman"/>
          <w:i/>
          <w:iCs/>
          <w:sz w:val="24"/>
          <w:szCs w:val="24"/>
          <w:lang w:val="en-US"/>
        </w:rPr>
        <w:t>The state of regulatory sandboxes in developing countries</w:t>
      </w:r>
      <w:r w:rsidRPr="009523C4">
        <w:rPr>
          <w:rFonts w:ascii="Times New Roman" w:eastAsia="Times New Roman" w:hAnsi="Times New Roman" w:cs="Times New Roman"/>
          <w:sz w:val="24"/>
          <w:szCs w:val="24"/>
          <w:lang w:val="en-US"/>
        </w:rPr>
        <w:t xml:space="preserve">. </w:t>
      </w:r>
      <w:hyperlink r:id="rId45" w:tgtFrame="_new" w:history="1">
        <w:r w:rsidRPr="009523C4">
          <w:rPr>
            <w:rFonts w:ascii="Times New Roman" w:eastAsia="Times New Roman" w:hAnsi="Times New Roman" w:cs="Times New Roman"/>
            <w:color w:val="0000FF"/>
            <w:sz w:val="24"/>
            <w:szCs w:val="24"/>
            <w:u w:val="single"/>
            <w:lang w:val="en-US"/>
          </w:rPr>
          <w:t>http://dx.doi.org/10.2139/ssrn.3285938</w:t>
        </w:r>
      </w:hyperlink>
      <w:r w:rsidR="004F409F">
        <w:rPr>
          <w:rFonts w:ascii="Times New Roman" w:eastAsia="Times New Roman" w:hAnsi="Times New Roman" w:cs="Times New Roman"/>
          <w:sz w:val="24"/>
          <w:szCs w:val="24"/>
          <w:lang w:val="en-US"/>
        </w:rPr>
        <w:t xml:space="preserve"> [Accessed 24</w:t>
      </w:r>
      <w:r w:rsidR="004F409F" w:rsidRPr="00570227">
        <w:rPr>
          <w:rFonts w:ascii="Times New Roman" w:eastAsia="Times New Roman" w:hAnsi="Times New Roman" w:cs="Times New Roman"/>
          <w:sz w:val="24"/>
          <w:szCs w:val="24"/>
          <w:lang w:val="en-US"/>
        </w:rPr>
        <w:t xml:space="preserve"> July 2025].</w:t>
      </w:r>
    </w:p>
    <w:p w14:paraId="0E57EE79"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r w:rsidRPr="009523C4">
        <w:rPr>
          <w:rFonts w:ascii="Times New Roman" w:eastAsia="Times New Roman" w:hAnsi="Times New Roman" w:cs="Times New Roman"/>
          <w:sz w:val="24"/>
          <w:szCs w:val="24"/>
          <w:lang w:val="en-US"/>
        </w:rPr>
        <w:t xml:space="preserve">World Bank. (2022). </w:t>
      </w:r>
      <w:r w:rsidRPr="009523C4">
        <w:rPr>
          <w:rFonts w:ascii="Times New Roman" w:eastAsia="Times New Roman" w:hAnsi="Times New Roman" w:cs="Times New Roman"/>
          <w:i/>
          <w:iCs/>
          <w:sz w:val="24"/>
          <w:szCs w:val="24"/>
          <w:lang w:val="en-US"/>
        </w:rPr>
        <w:t>Financial inclusion</w:t>
      </w:r>
      <w:r w:rsidRPr="009523C4">
        <w:rPr>
          <w:rFonts w:ascii="Times New Roman" w:eastAsia="Times New Roman" w:hAnsi="Times New Roman" w:cs="Times New Roman"/>
          <w:sz w:val="24"/>
          <w:szCs w:val="24"/>
          <w:lang w:val="en-US"/>
        </w:rPr>
        <w:t xml:space="preserve">. </w:t>
      </w:r>
      <w:hyperlink r:id="rId46" w:tgtFrame="_new" w:history="1">
        <w:r w:rsidRPr="009523C4">
          <w:rPr>
            <w:rFonts w:ascii="Times New Roman" w:eastAsia="Times New Roman" w:hAnsi="Times New Roman" w:cs="Times New Roman"/>
            <w:color w:val="0000FF"/>
            <w:sz w:val="24"/>
            <w:szCs w:val="24"/>
            <w:u w:val="single"/>
            <w:lang w:val="en-US"/>
          </w:rPr>
          <w:t>https://www.worldbank.org/en/topic/financialinclusion/overview</w:t>
        </w:r>
      </w:hyperlink>
      <w:r w:rsidR="004F409F">
        <w:rPr>
          <w:rFonts w:ascii="Times New Roman" w:eastAsia="Times New Roman" w:hAnsi="Times New Roman" w:cs="Times New Roman"/>
          <w:sz w:val="24"/>
          <w:szCs w:val="24"/>
          <w:lang w:val="en-US"/>
        </w:rPr>
        <w:t xml:space="preserve"> [Accessed 23</w:t>
      </w:r>
      <w:r w:rsidR="004F409F" w:rsidRPr="00570227">
        <w:rPr>
          <w:rFonts w:ascii="Times New Roman" w:eastAsia="Times New Roman" w:hAnsi="Times New Roman" w:cs="Times New Roman"/>
          <w:sz w:val="24"/>
          <w:szCs w:val="24"/>
          <w:lang w:val="en-US"/>
        </w:rPr>
        <w:t xml:space="preserve"> July 2025].</w:t>
      </w:r>
    </w:p>
    <w:p w14:paraId="5E645925" w14:textId="77777777" w:rsidR="00A264CF" w:rsidRPr="009523C4" w:rsidRDefault="00A264CF" w:rsidP="00A264CF">
      <w:pPr>
        <w:spacing w:before="100" w:beforeAutospacing="1" w:after="100" w:afterAutospacing="1" w:line="360" w:lineRule="auto"/>
        <w:ind w:left="720" w:hanging="720"/>
        <w:rPr>
          <w:rFonts w:ascii="Times New Roman" w:eastAsia="Times New Roman" w:hAnsi="Times New Roman" w:cs="Times New Roman"/>
          <w:sz w:val="24"/>
          <w:szCs w:val="24"/>
          <w:lang w:val="en-US"/>
        </w:rPr>
      </w:pPr>
      <w:proofErr w:type="spellStart"/>
      <w:r w:rsidRPr="009523C4">
        <w:rPr>
          <w:rFonts w:ascii="Times New Roman" w:eastAsia="Times New Roman" w:hAnsi="Times New Roman" w:cs="Times New Roman"/>
          <w:sz w:val="24"/>
          <w:szCs w:val="24"/>
          <w:lang w:val="en-US"/>
        </w:rPr>
        <w:t>Zetzsche</w:t>
      </w:r>
      <w:proofErr w:type="spellEnd"/>
      <w:r w:rsidRPr="009523C4">
        <w:rPr>
          <w:rFonts w:ascii="Times New Roman" w:eastAsia="Times New Roman" w:hAnsi="Times New Roman" w:cs="Times New Roman"/>
          <w:sz w:val="24"/>
          <w:szCs w:val="24"/>
          <w:lang w:val="en-US"/>
        </w:rPr>
        <w:t xml:space="preserve">, D. A., Buckley, R. P., Barberis, J. N., &amp; Arner, D. W. (2017). Regulating a revolution: From regulatory sandboxes to smart regulation. </w:t>
      </w:r>
      <w:r w:rsidRPr="009523C4">
        <w:rPr>
          <w:rFonts w:ascii="Times New Roman" w:eastAsia="Times New Roman" w:hAnsi="Times New Roman" w:cs="Times New Roman"/>
          <w:i/>
          <w:iCs/>
          <w:sz w:val="24"/>
          <w:szCs w:val="24"/>
          <w:lang w:val="en-US"/>
        </w:rPr>
        <w:t>Fordham Journal of Corporate &amp; Financial Law, 23</w:t>
      </w:r>
      <w:r w:rsidRPr="009523C4">
        <w:rPr>
          <w:rFonts w:ascii="Times New Roman" w:eastAsia="Times New Roman" w:hAnsi="Times New Roman" w:cs="Times New Roman"/>
          <w:sz w:val="24"/>
          <w:szCs w:val="24"/>
          <w:lang w:val="en-US"/>
        </w:rPr>
        <w:t>, 31–103.</w:t>
      </w:r>
    </w:p>
    <w:p w14:paraId="4ABCBB54" w14:textId="77777777" w:rsidR="00A264CF" w:rsidRPr="009523C4" w:rsidRDefault="00A264CF" w:rsidP="00A264CF">
      <w:pPr>
        <w:spacing w:after="0" w:line="240" w:lineRule="auto"/>
        <w:ind w:left="720" w:hanging="720"/>
        <w:rPr>
          <w:rFonts w:ascii="Times New Roman" w:eastAsia="Times New Roman" w:hAnsi="Times New Roman" w:cs="Times New Roman"/>
          <w:sz w:val="24"/>
          <w:szCs w:val="24"/>
          <w:lang w:val="en-US"/>
        </w:rPr>
      </w:pPr>
    </w:p>
    <w:p w14:paraId="456B6C04" w14:textId="77777777" w:rsidR="00A264CF" w:rsidRPr="009523C4" w:rsidRDefault="00A264CF" w:rsidP="00A264CF">
      <w:pPr>
        <w:spacing w:after="0" w:line="240" w:lineRule="auto"/>
        <w:rPr>
          <w:rFonts w:ascii="Times New Roman" w:eastAsia="Times New Roman" w:hAnsi="Times New Roman" w:cs="Times New Roman"/>
          <w:sz w:val="24"/>
          <w:szCs w:val="24"/>
          <w:lang w:val="en-US"/>
        </w:rPr>
      </w:pPr>
    </w:p>
    <w:p w14:paraId="451BC1E0" w14:textId="77777777" w:rsidR="00A264CF" w:rsidRDefault="00A264CF" w:rsidP="00A264CF"/>
    <w:p w14:paraId="54E981D8" w14:textId="77777777" w:rsidR="00207B02" w:rsidRPr="00765A9B" w:rsidRDefault="009D7B05" w:rsidP="00207B0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207B02" w:rsidRPr="00765A9B">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2574E" w14:textId="77777777" w:rsidR="00176485" w:rsidRDefault="00176485" w:rsidP="00527A59">
      <w:pPr>
        <w:spacing w:after="0" w:line="240" w:lineRule="auto"/>
      </w:pPr>
      <w:r>
        <w:separator/>
      </w:r>
    </w:p>
  </w:endnote>
  <w:endnote w:type="continuationSeparator" w:id="0">
    <w:p w14:paraId="4B93EB59" w14:textId="77777777" w:rsidR="00176485" w:rsidRDefault="00176485" w:rsidP="0052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0D47" w14:textId="77777777" w:rsidR="005D21C4" w:rsidRDefault="005D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850553"/>
      <w:docPartObj>
        <w:docPartGallery w:val="Page Numbers (Bottom of Page)"/>
        <w:docPartUnique/>
      </w:docPartObj>
    </w:sdtPr>
    <w:sdtEndPr>
      <w:rPr>
        <w:noProof/>
      </w:rPr>
    </w:sdtEndPr>
    <w:sdtContent>
      <w:p w14:paraId="6F2BCC07" w14:textId="77777777" w:rsidR="00527A59" w:rsidRDefault="00527A59">
        <w:pPr>
          <w:pStyle w:val="Footer"/>
          <w:jc w:val="center"/>
        </w:pPr>
        <w:r>
          <w:fldChar w:fldCharType="begin"/>
        </w:r>
        <w:r>
          <w:instrText xml:space="preserve"> PAGE   \* MERGEFORMAT </w:instrText>
        </w:r>
        <w:r>
          <w:fldChar w:fldCharType="separate"/>
        </w:r>
        <w:r w:rsidR="009B5330">
          <w:rPr>
            <w:noProof/>
          </w:rPr>
          <w:t>20</w:t>
        </w:r>
        <w:r>
          <w:rPr>
            <w:noProof/>
          </w:rPr>
          <w:fldChar w:fldCharType="end"/>
        </w:r>
      </w:p>
    </w:sdtContent>
  </w:sdt>
  <w:p w14:paraId="7E3F15DC" w14:textId="77777777" w:rsidR="00527A59" w:rsidRDefault="00527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5267" w14:textId="77777777" w:rsidR="005D21C4" w:rsidRDefault="005D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93D1" w14:textId="77777777" w:rsidR="00176485" w:rsidRDefault="00176485" w:rsidP="00527A59">
      <w:pPr>
        <w:spacing w:after="0" w:line="240" w:lineRule="auto"/>
      </w:pPr>
      <w:r>
        <w:separator/>
      </w:r>
    </w:p>
  </w:footnote>
  <w:footnote w:type="continuationSeparator" w:id="0">
    <w:p w14:paraId="61770F40" w14:textId="77777777" w:rsidR="00176485" w:rsidRDefault="00176485" w:rsidP="0052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9F19" w14:textId="6614116A" w:rsidR="005D21C4" w:rsidRDefault="005D21C4">
    <w:pPr>
      <w:pStyle w:val="Header"/>
    </w:pPr>
    <w:r>
      <w:rPr>
        <w:noProof/>
      </w:rPr>
      <w:pict w14:anchorId="24623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64BF" w14:textId="7A1BE28F" w:rsidR="005D21C4" w:rsidRDefault="005D21C4">
    <w:pPr>
      <w:pStyle w:val="Header"/>
    </w:pPr>
    <w:r>
      <w:rPr>
        <w:noProof/>
      </w:rPr>
      <w:pict w14:anchorId="793E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9014" w14:textId="3990884C" w:rsidR="005D21C4" w:rsidRDefault="005D21C4">
    <w:pPr>
      <w:pStyle w:val="Header"/>
    </w:pPr>
    <w:r>
      <w:rPr>
        <w:noProof/>
      </w:rPr>
      <w:pict w14:anchorId="7888F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9B"/>
    <w:rsid w:val="0000696F"/>
    <w:rsid w:val="00006ECB"/>
    <w:rsid w:val="00076587"/>
    <w:rsid w:val="000A3B15"/>
    <w:rsid w:val="000D1880"/>
    <w:rsid w:val="000F0D38"/>
    <w:rsid w:val="00117367"/>
    <w:rsid w:val="00141C4A"/>
    <w:rsid w:val="00173EF5"/>
    <w:rsid w:val="00176485"/>
    <w:rsid w:val="001778E9"/>
    <w:rsid w:val="00177C89"/>
    <w:rsid w:val="00193DEC"/>
    <w:rsid w:val="001B71FD"/>
    <w:rsid w:val="001E2619"/>
    <w:rsid w:val="001E54AC"/>
    <w:rsid w:val="001E78E8"/>
    <w:rsid w:val="00207B02"/>
    <w:rsid w:val="00227576"/>
    <w:rsid w:val="0023142D"/>
    <w:rsid w:val="002577E3"/>
    <w:rsid w:val="002C2581"/>
    <w:rsid w:val="00344209"/>
    <w:rsid w:val="00356607"/>
    <w:rsid w:val="00370B66"/>
    <w:rsid w:val="003B48C2"/>
    <w:rsid w:val="003F00D1"/>
    <w:rsid w:val="00404953"/>
    <w:rsid w:val="00434AC7"/>
    <w:rsid w:val="00470B7B"/>
    <w:rsid w:val="00490381"/>
    <w:rsid w:val="00496C4B"/>
    <w:rsid w:val="004B27B7"/>
    <w:rsid w:val="004C7967"/>
    <w:rsid w:val="004F1D60"/>
    <w:rsid w:val="004F409F"/>
    <w:rsid w:val="00520027"/>
    <w:rsid w:val="00527A59"/>
    <w:rsid w:val="00533366"/>
    <w:rsid w:val="0053649B"/>
    <w:rsid w:val="005627B9"/>
    <w:rsid w:val="005C5EDF"/>
    <w:rsid w:val="005D21C4"/>
    <w:rsid w:val="005D7870"/>
    <w:rsid w:val="0060220C"/>
    <w:rsid w:val="00630840"/>
    <w:rsid w:val="00641F61"/>
    <w:rsid w:val="006673D2"/>
    <w:rsid w:val="006827FC"/>
    <w:rsid w:val="006831A7"/>
    <w:rsid w:val="006C3A2A"/>
    <w:rsid w:val="006E6DA7"/>
    <w:rsid w:val="00702D4F"/>
    <w:rsid w:val="007305D8"/>
    <w:rsid w:val="00765A9B"/>
    <w:rsid w:val="007A289E"/>
    <w:rsid w:val="007A7799"/>
    <w:rsid w:val="007A7B53"/>
    <w:rsid w:val="007C260F"/>
    <w:rsid w:val="007F616B"/>
    <w:rsid w:val="00801F9D"/>
    <w:rsid w:val="00853AE8"/>
    <w:rsid w:val="008833E9"/>
    <w:rsid w:val="00893340"/>
    <w:rsid w:val="008F73BB"/>
    <w:rsid w:val="009B5330"/>
    <w:rsid w:val="009D5B6D"/>
    <w:rsid w:val="009D7B05"/>
    <w:rsid w:val="009F10E4"/>
    <w:rsid w:val="00A07A50"/>
    <w:rsid w:val="00A160CE"/>
    <w:rsid w:val="00A264CF"/>
    <w:rsid w:val="00A37C02"/>
    <w:rsid w:val="00A93B2C"/>
    <w:rsid w:val="00AB6EAA"/>
    <w:rsid w:val="00AB725F"/>
    <w:rsid w:val="00AC5ABC"/>
    <w:rsid w:val="00AD3B00"/>
    <w:rsid w:val="00AE4030"/>
    <w:rsid w:val="00B07D24"/>
    <w:rsid w:val="00B22E79"/>
    <w:rsid w:val="00B36226"/>
    <w:rsid w:val="00B5485D"/>
    <w:rsid w:val="00B80F89"/>
    <w:rsid w:val="00B97B70"/>
    <w:rsid w:val="00BB6030"/>
    <w:rsid w:val="00BD0C5B"/>
    <w:rsid w:val="00BF3548"/>
    <w:rsid w:val="00BF63ED"/>
    <w:rsid w:val="00C25CA7"/>
    <w:rsid w:val="00C2692B"/>
    <w:rsid w:val="00C910A2"/>
    <w:rsid w:val="00CA3248"/>
    <w:rsid w:val="00CA4185"/>
    <w:rsid w:val="00CC79D9"/>
    <w:rsid w:val="00CC7AE1"/>
    <w:rsid w:val="00D508E6"/>
    <w:rsid w:val="00D66994"/>
    <w:rsid w:val="00D745DB"/>
    <w:rsid w:val="00D87657"/>
    <w:rsid w:val="00D95435"/>
    <w:rsid w:val="00E02A4B"/>
    <w:rsid w:val="00E453D6"/>
    <w:rsid w:val="00E55868"/>
    <w:rsid w:val="00EC606F"/>
    <w:rsid w:val="00EC7488"/>
    <w:rsid w:val="00ED78F2"/>
    <w:rsid w:val="00EE5C56"/>
    <w:rsid w:val="00F05438"/>
    <w:rsid w:val="00F1524F"/>
    <w:rsid w:val="00F44E42"/>
    <w:rsid w:val="00F67219"/>
    <w:rsid w:val="00FB44CF"/>
    <w:rsid w:val="00FE6DD8"/>
    <w:rsid w:val="00FF0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E824BC"/>
  <w15:chartTrackingRefBased/>
  <w15:docId w15:val="{FF036787-6C97-459D-A05D-311D1421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4CF"/>
    <w:rPr>
      <w:color w:val="0563C1" w:themeColor="hyperlink"/>
      <w:u w:val="single"/>
    </w:rPr>
  </w:style>
  <w:style w:type="paragraph" w:styleId="Header">
    <w:name w:val="header"/>
    <w:basedOn w:val="Normal"/>
    <w:link w:val="HeaderChar"/>
    <w:uiPriority w:val="99"/>
    <w:unhideWhenUsed/>
    <w:rsid w:val="0052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59"/>
    <w:rPr>
      <w:lang w:val="en-GB"/>
    </w:rPr>
  </w:style>
  <w:style w:type="paragraph" w:styleId="Footer">
    <w:name w:val="footer"/>
    <w:basedOn w:val="Normal"/>
    <w:link w:val="FooterChar"/>
    <w:uiPriority w:val="99"/>
    <w:unhideWhenUsed/>
    <w:rsid w:val="0052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59"/>
    <w:rPr>
      <w:lang w:val="en-GB"/>
    </w:rPr>
  </w:style>
  <w:style w:type="paragraph" w:styleId="ListParagraph">
    <w:name w:val="List Paragraph"/>
    <w:basedOn w:val="Normal"/>
    <w:uiPriority w:val="34"/>
    <w:qFormat/>
    <w:rsid w:val="007A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31120">
      <w:bodyDiv w:val="1"/>
      <w:marLeft w:val="0"/>
      <w:marRight w:val="0"/>
      <w:marTop w:val="0"/>
      <w:marBottom w:val="0"/>
      <w:divBdr>
        <w:top w:val="none" w:sz="0" w:space="0" w:color="auto"/>
        <w:left w:val="none" w:sz="0" w:space="0" w:color="auto"/>
        <w:bottom w:val="none" w:sz="0" w:space="0" w:color="auto"/>
        <w:right w:val="none" w:sz="0" w:space="0" w:color="auto"/>
      </w:divBdr>
    </w:div>
    <w:div w:id="444813858">
      <w:bodyDiv w:val="1"/>
      <w:marLeft w:val="0"/>
      <w:marRight w:val="0"/>
      <w:marTop w:val="0"/>
      <w:marBottom w:val="0"/>
      <w:divBdr>
        <w:top w:val="none" w:sz="0" w:space="0" w:color="auto"/>
        <w:left w:val="none" w:sz="0" w:space="0" w:color="auto"/>
        <w:bottom w:val="none" w:sz="0" w:space="0" w:color="auto"/>
        <w:right w:val="none" w:sz="0" w:space="0" w:color="auto"/>
      </w:divBdr>
    </w:div>
    <w:div w:id="512838348">
      <w:bodyDiv w:val="1"/>
      <w:marLeft w:val="0"/>
      <w:marRight w:val="0"/>
      <w:marTop w:val="0"/>
      <w:marBottom w:val="0"/>
      <w:divBdr>
        <w:top w:val="none" w:sz="0" w:space="0" w:color="auto"/>
        <w:left w:val="none" w:sz="0" w:space="0" w:color="auto"/>
        <w:bottom w:val="none" w:sz="0" w:space="0" w:color="auto"/>
        <w:right w:val="none" w:sz="0" w:space="0" w:color="auto"/>
      </w:divBdr>
    </w:div>
    <w:div w:id="970749743">
      <w:bodyDiv w:val="1"/>
      <w:marLeft w:val="0"/>
      <w:marRight w:val="0"/>
      <w:marTop w:val="0"/>
      <w:marBottom w:val="0"/>
      <w:divBdr>
        <w:top w:val="none" w:sz="0" w:space="0" w:color="auto"/>
        <w:left w:val="none" w:sz="0" w:space="0" w:color="auto"/>
        <w:bottom w:val="none" w:sz="0" w:space="0" w:color="auto"/>
        <w:right w:val="none" w:sz="0" w:space="0" w:color="auto"/>
      </w:divBdr>
    </w:div>
    <w:div w:id="1469741606">
      <w:bodyDiv w:val="1"/>
      <w:marLeft w:val="0"/>
      <w:marRight w:val="0"/>
      <w:marTop w:val="0"/>
      <w:marBottom w:val="0"/>
      <w:divBdr>
        <w:top w:val="none" w:sz="0" w:space="0" w:color="auto"/>
        <w:left w:val="none" w:sz="0" w:space="0" w:color="auto"/>
        <w:bottom w:val="none" w:sz="0" w:space="0" w:color="auto"/>
        <w:right w:val="none" w:sz="0" w:space="0" w:color="auto"/>
      </w:divBdr>
    </w:div>
    <w:div w:id="1624727972">
      <w:bodyDiv w:val="1"/>
      <w:marLeft w:val="0"/>
      <w:marRight w:val="0"/>
      <w:marTop w:val="0"/>
      <w:marBottom w:val="0"/>
      <w:divBdr>
        <w:top w:val="none" w:sz="0" w:space="0" w:color="auto"/>
        <w:left w:val="none" w:sz="0" w:space="0" w:color="auto"/>
        <w:bottom w:val="none" w:sz="0" w:space="0" w:color="auto"/>
        <w:right w:val="none" w:sz="0" w:space="0" w:color="auto"/>
      </w:divBdr>
    </w:div>
    <w:div w:id="1692682104">
      <w:bodyDiv w:val="1"/>
      <w:marLeft w:val="0"/>
      <w:marRight w:val="0"/>
      <w:marTop w:val="0"/>
      <w:marBottom w:val="0"/>
      <w:divBdr>
        <w:top w:val="none" w:sz="0" w:space="0" w:color="auto"/>
        <w:left w:val="none" w:sz="0" w:space="0" w:color="auto"/>
        <w:bottom w:val="none" w:sz="0" w:space="0" w:color="auto"/>
        <w:right w:val="none" w:sz="0" w:space="0" w:color="auto"/>
      </w:divBdr>
    </w:div>
    <w:div w:id="19048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fineco.2018.03.011" TargetMode="External"/><Relationship Id="rId18" Type="http://schemas.openxmlformats.org/officeDocument/2006/relationships/hyperlink" Target="https://openknowledge.worldbank.org/handle/10986/37578" TargetMode="External"/><Relationship Id="rId26" Type="http://schemas.openxmlformats.org/officeDocument/2006/relationships/hyperlink" Target="https://doi.org/10.3390/joitmc6020043" TargetMode="External"/><Relationship Id="rId39" Type="http://schemas.openxmlformats.org/officeDocument/2006/relationships/hyperlink" Target="https://doi.org/10.1126/science.aah5309" TargetMode="External"/><Relationship Id="rId21" Type="http://schemas.openxmlformats.org/officeDocument/2006/relationships/hyperlink" Target="https://www.europeanpaymentscouncil.eu/news-insights/insight/upi-revolutionising-real-time-digital-payments-india" TargetMode="External"/><Relationship Id="rId34" Type="http://schemas.openxmlformats.org/officeDocument/2006/relationships/hyperlink" Target="https://www.mas.gov.sg/development/fintech/regulatory-sandbox" TargetMode="External"/><Relationship Id="rId42" Type="http://schemas.openxmlformats.org/officeDocument/2006/relationships/hyperlink" Target="https://doi.org/10.1016/j.ememar.2023.10099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doi.org/10.2139/ssrn.3088303" TargetMode="External"/><Relationship Id="rId2" Type="http://schemas.openxmlformats.org/officeDocument/2006/relationships/settings" Target="settings.xml"/><Relationship Id="rId16" Type="http://schemas.openxmlformats.org/officeDocument/2006/relationships/hyperlink" Target="https://dx.doi.org/10.2139/ssrn.3557576" TargetMode="External"/><Relationship Id="rId29" Type="http://schemas.openxmlformats.org/officeDocument/2006/relationships/hyperlink" Target="https://doi.org/10.1257/aer.104.1.183" TargetMode="External"/><Relationship Id="rId11" Type="http://schemas.openxmlformats.org/officeDocument/2006/relationships/hyperlink" Target="https://doi.org/10.53555/kuey.v30i4.1408" TargetMode="External"/><Relationship Id="rId24" Type="http://schemas.openxmlformats.org/officeDocument/2006/relationships/hyperlink" Target="https://cepr.org/system/files/publication-files/251574-barcelona_7_artificial_intelligence_in_finance.pdf" TargetMode="External"/><Relationship Id="rId32" Type="http://schemas.openxmlformats.org/officeDocument/2006/relationships/hyperlink" Target="https://doi.org/10.2139/ssrn.4764911" TargetMode="External"/><Relationship Id="rId37" Type="http://schemas.openxmlformats.org/officeDocument/2006/relationships/hyperlink" Target="https://pure.manchester.ac.uk/ws/portalfiles/portal/274924996/FULL_TEXT.PDF" TargetMode="External"/><Relationship Id="rId40" Type="http://schemas.openxmlformats.org/officeDocument/2006/relationships/hyperlink" Target="https://www.buckeyeinstitute.org/library/docLib/2021-11-16-Buckeye-Institute-Championed-Policies-Would-Enable-Fintech-Companies-to-Develop-New-and-Better-Services-testimony.pdf" TargetMode="External"/><Relationship Id="rId45" Type="http://schemas.openxmlformats.org/officeDocument/2006/relationships/hyperlink" Target="http://dx.doi.org/10.2139/ssrn.3285938"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doi.org/10.1093/rfs/hhz099" TargetMode="External"/><Relationship Id="rId19" Type="http://schemas.openxmlformats.org/officeDocument/2006/relationships/hyperlink" Target="https://www.openbankproject.com/blog/regulatory-sandboxes-in-africa/" TargetMode="External"/><Relationship Id="rId31" Type="http://schemas.openxmlformats.org/officeDocument/2006/relationships/hyperlink" Target="https://ssrn.com/abstract=3148036" TargetMode="External"/><Relationship Id="rId44" Type="http://schemas.openxmlformats.org/officeDocument/2006/relationships/hyperlink" Target="https://sdgs.un.org/2030agenda"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16/j.digbus.2022.100028" TargetMode="External"/><Relationship Id="rId14" Type="http://schemas.openxmlformats.org/officeDocument/2006/relationships/hyperlink" Target="https://www.cma.or.ke/regulatory-sandbox/" TargetMode="External"/><Relationship Id="rId22" Type="http://schemas.openxmlformats.org/officeDocument/2006/relationships/hyperlink" Target="https://www.fca.org.uk/publication/research/regulatory-sandbox.pdf" TargetMode="External"/><Relationship Id="rId27" Type="http://schemas.openxmlformats.org/officeDocument/2006/relationships/hyperlink" Target="http://dx.doi.org/10.2139/ssrn.3576506" TargetMode="External"/><Relationship Id="rId30" Type="http://schemas.openxmlformats.org/officeDocument/2006/relationships/hyperlink" Target="https://home.kpmg/xx/en/home/industries/financial-services/pulse-of-fintech.html" TargetMode="External"/><Relationship Id="rId35" Type="http://schemas.openxmlformats.org/officeDocument/2006/relationships/hyperlink" Target="https://home.treasury.gov/system/files/136/NSFI.pdf" TargetMode="External"/><Relationship Id="rId43" Type="http://schemas.openxmlformats.org/officeDocument/2006/relationships/hyperlink" Target="https://www.uncdf.org/article/3486/sierra-leone-becomes-the-second-country-in-africa-to-launch-the-sandbox-framework-to-test-fintech-innovations" TargetMode="External"/><Relationship Id="rId48" Type="http://schemas.openxmlformats.org/officeDocument/2006/relationships/header" Target="header2.xml"/><Relationship Id="rId8" Type="http://schemas.openxmlformats.org/officeDocument/2006/relationships/hyperlink" Target="https://www.bnm.gov.my/documents/20124/55792/SP-2nd-fin-incl-framework.pdf" TargetMode="External"/><Relationship Id="rId51"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https://doi.org/10.1016/j.jimonfin.2023.102963" TargetMode="External"/><Relationship Id="rId17" Type="http://schemas.openxmlformats.org/officeDocument/2006/relationships/hyperlink" Target="https://sgp.fas.org/crs/misc/R44918.pdf" TargetMode="External"/><Relationship Id="rId25" Type="http://schemas.openxmlformats.org/officeDocument/2006/relationships/hyperlink" Target="https://www.cgdev.org/sites/default/files/building-digital-id-inclusive-services-lessons-india.pdf" TargetMode="External"/><Relationship Id="rId33" Type="http://schemas.openxmlformats.org/officeDocument/2006/relationships/hyperlink" Target="https://doi.org/10.1016/j.techfore.2022.122123" TargetMode="External"/><Relationship Id="rId38" Type="http://schemas.openxmlformats.org/officeDocument/2006/relationships/hyperlink" Target="https://doi.org/10.3386/w22476" TargetMode="External"/><Relationship Id="rId46" Type="http://schemas.openxmlformats.org/officeDocument/2006/relationships/hyperlink" Target="https://www.worldbank.org/en/topic/financialinclusion/overview" TargetMode="External"/><Relationship Id="rId20" Type="http://schemas.openxmlformats.org/officeDocument/2006/relationships/hyperlink" Target="https://doi.org/10.1080/1351847X.2025.2505757" TargetMode="External"/><Relationship Id="rId41" Type="http://schemas.openxmlformats.org/officeDocument/2006/relationships/hyperlink" Target="https://www.whitehouse.gov/fact-sheets/2025/03/fact-sheet-president-donald-j-trump-establishes-the-strategic-bitcoin-reserve-and-u-s-digital-asset-stockpile/"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jimonfin.2022.102625" TargetMode="External"/><Relationship Id="rId15" Type="http://schemas.openxmlformats.org/officeDocument/2006/relationships/hyperlink" Target="https://econpapers.repec.org/article/bisbisqtr/1809e.html" TargetMode="External"/><Relationship Id="rId23" Type="http://schemas.openxmlformats.org/officeDocument/2006/relationships/hyperlink" Target="https://www.fca.org.uk/news/press-releases/financial-conduct-authority-outlines-lessons-learned-year-one-its-regulatory-sandbox" TargetMode="External"/><Relationship Id="rId28" Type="http://schemas.openxmlformats.org/officeDocument/2006/relationships/hyperlink" Target="https://doi.org/10.1007/s40804-018-0100-z" TargetMode="External"/><Relationship Id="rId36" Type="http://schemas.openxmlformats.org/officeDocument/2006/relationships/hyperlink" Target="https://doi.org/10.47941/ijf.2224"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19</Pages>
  <Words>6752</Words>
  <Characters>38491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111</cp:revision>
  <dcterms:created xsi:type="dcterms:W3CDTF">2025-07-26T11:28:00Z</dcterms:created>
  <dcterms:modified xsi:type="dcterms:W3CDTF">2025-08-07T07:10:00Z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df52a32a-c64e-4301-aa61-b01ed78e97f8</vt:lpwstr>
  </property>
</Properties>
</file>