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619FE" w14:textId="77777777" w:rsidR="00277673" w:rsidRPr="00277673" w:rsidRDefault="00277673" w:rsidP="00277673">
      <w:pPr>
        <w:pStyle w:val="BodyText3"/>
        <w:rPr>
          <w:i/>
          <w:iCs/>
          <w:u w:val="single"/>
        </w:rPr>
      </w:pPr>
      <w:r w:rsidRPr="00277673">
        <w:rPr>
          <w:i/>
          <w:iCs/>
          <w:u w:val="single"/>
        </w:rPr>
        <w:t>Review Article</w:t>
      </w:r>
    </w:p>
    <w:p w14:paraId="70808642" w14:textId="77777777" w:rsidR="00277673" w:rsidRDefault="00277673" w:rsidP="0067479E">
      <w:pPr>
        <w:pStyle w:val="BodyText3"/>
        <w:jc w:val="right"/>
      </w:pPr>
    </w:p>
    <w:p w14:paraId="2B18A04D" w14:textId="396EF382" w:rsidR="00484A41" w:rsidRDefault="00484A41" w:rsidP="0067479E">
      <w:pPr>
        <w:pStyle w:val="BodyText3"/>
        <w:jc w:val="right"/>
      </w:pPr>
      <w:r w:rsidRPr="008B7B0E">
        <w:t>Microbial Biomarkers for Soil Health Assessment: A Review of Current Approaches and Future Directions</w:t>
      </w:r>
    </w:p>
    <w:p w14:paraId="225F48A1" w14:textId="5491EBDF" w:rsidR="00EF4FC7" w:rsidRDefault="00EF4FC7" w:rsidP="00484A41">
      <w:pPr>
        <w:pStyle w:val="BodyText3"/>
      </w:pPr>
    </w:p>
    <w:p w14:paraId="7D12B409" w14:textId="77777777" w:rsidR="00F073BC" w:rsidRPr="008B7B0E" w:rsidRDefault="00F073BC" w:rsidP="00484A41">
      <w:pPr>
        <w:pStyle w:val="BodyText3"/>
      </w:pPr>
      <w:bookmarkStart w:id="0" w:name="_GoBack"/>
      <w:bookmarkEnd w:id="0"/>
    </w:p>
    <w:p w14:paraId="3F304236" w14:textId="77777777" w:rsidR="00EC1001" w:rsidRPr="00EC1001" w:rsidRDefault="00EC1001" w:rsidP="00EC1001">
      <w:pPr>
        <w:shd w:val="clear" w:color="auto" w:fill="FFFFFF"/>
        <w:spacing w:after="100" w:afterAutospacing="1" w:line="240" w:lineRule="auto"/>
        <w:rPr>
          <w:rFonts w:ascii="Times New Roman" w:eastAsia="Times New Roman" w:hAnsi="Times New Roman" w:cs="Times New Roman"/>
          <w:kern w:val="0"/>
          <w14:ligatures w14:val="none"/>
        </w:rPr>
      </w:pPr>
      <w:r w:rsidRPr="00EC1001">
        <w:rPr>
          <w:rFonts w:ascii="Times New Roman" w:eastAsia="Times New Roman" w:hAnsi="Times New Roman" w:cs="Times New Roman"/>
          <w:b/>
          <w:bCs/>
          <w:kern w:val="0"/>
          <w14:ligatures w14:val="none"/>
        </w:rPr>
        <w:t>Abstract</w:t>
      </w:r>
    </w:p>
    <w:p w14:paraId="5861CF14" w14:textId="617DA3B0" w:rsidR="00EC1001" w:rsidRPr="00EC1001" w:rsidRDefault="00EC1001" w:rsidP="00291A8F">
      <w:pPr>
        <w:shd w:val="clear" w:color="auto" w:fill="FFFFFF"/>
        <w:spacing w:before="100" w:beforeAutospacing="1" w:after="100" w:afterAutospacing="1" w:line="240" w:lineRule="auto"/>
        <w:jc w:val="both"/>
        <w:rPr>
          <w:rFonts w:ascii="Times New Roman" w:eastAsia="Times New Roman" w:hAnsi="Times New Roman" w:cs="Times New Roman"/>
          <w:i/>
          <w:iCs/>
          <w:kern w:val="0"/>
          <w14:ligatures w14:val="none"/>
        </w:rPr>
      </w:pPr>
      <w:r w:rsidRPr="00EC1001">
        <w:rPr>
          <w:rFonts w:ascii="Times New Roman" w:eastAsia="Times New Roman" w:hAnsi="Times New Roman" w:cs="Times New Roman"/>
          <w:i/>
          <w:iCs/>
          <w:kern w:val="0"/>
          <w14:ligatures w14:val="none"/>
        </w:rPr>
        <w:t>Soil health is fundamental to agricultural productivity, ecosystem stability, and climate resilience, yet traditional assessments based on physical and chemical properties fail to capture key biological processes. Microbial biomarkers</w:t>
      </w:r>
      <w:r w:rsidR="00291A8F" w:rsidRPr="008B7B0E">
        <w:rPr>
          <w:rFonts w:ascii="Times New Roman" w:eastAsia="Times New Roman" w:hAnsi="Times New Roman" w:cs="Times New Roman"/>
          <w:i/>
          <w:iCs/>
          <w:kern w:val="0"/>
          <w14:ligatures w14:val="none"/>
        </w:rPr>
        <w:t xml:space="preserve"> </w:t>
      </w:r>
      <w:r w:rsidRPr="00EC1001">
        <w:rPr>
          <w:rFonts w:ascii="Times New Roman" w:eastAsia="Times New Roman" w:hAnsi="Times New Roman" w:cs="Times New Roman"/>
          <w:i/>
          <w:iCs/>
          <w:kern w:val="0"/>
          <w14:ligatures w14:val="none"/>
        </w:rPr>
        <w:t>encompassing taxonomic, functional, and metabolic indicators</w:t>
      </w:r>
      <w:r w:rsidR="00291A8F" w:rsidRPr="008B7B0E">
        <w:rPr>
          <w:rFonts w:ascii="Times New Roman" w:eastAsia="Times New Roman" w:hAnsi="Times New Roman" w:cs="Times New Roman"/>
          <w:i/>
          <w:iCs/>
          <w:kern w:val="0"/>
          <w14:ligatures w14:val="none"/>
        </w:rPr>
        <w:t xml:space="preserve"> </w:t>
      </w:r>
      <w:r w:rsidRPr="00EC1001">
        <w:rPr>
          <w:rFonts w:ascii="Times New Roman" w:eastAsia="Times New Roman" w:hAnsi="Times New Roman" w:cs="Times New Roman"/>
          <w:i/>
          <w:iCs/>
          <w:kern w:val="0"/>
          <w14:ligatures w14:val="none"/>
        </w:rPr>
        <w:t>offer a transformative approach by linking microbial communities to soil functionality. This review synthesizes current knowledge on microbial biomarkers, evaluating their utility in assessing nutrient cycling, carbon dynamics, and stress responses. We systematically analyzed peer-reviewed studies (2010–2024) from major databases (Scopus, Web of Science), focusing on standardized methodologies, biomarker correlations with soil functions, and field applications.</w:t>
      </w:r>
      <w:r w:rsidR="00291A8F" w:rsidRPr="008B7B0E">
        <w:rPr>
          <w:rFonts w:ascii="Times New Roman" w:eastAsia="Times New Roman" w:hAnsi="Times New Roman" w:cs="Times New Roman"/>
          <w:i/>
          <w:iCs/>
          <w:kern w:val="0"/>
          <w14:ligatures w14:val="none"/>
        </w:rPr>
        <w:t xml:space="preserve"> </w:t>
      </w:r>
      <w:r w:rsidRPr="00EC1001">
        <w:rPr>
          <w:rFonts w:ascii="Times New Roman" w:eastAsia="Times New Roman" w:hAnsi="Times New Roman" w:cs="Times New Roman"/>
          <w:i/>
          <w:iCs/>
          <w:kern w:val="0"/>
          <w14:ligatures w14:val="none"/>
        </w:rPr>
        <w:t>Key findings demonstrate that enzymatic biomarkers (e.g., β-glucosidase) strongly predict carbon turnover (explaining 62–85% of variability), while functional genes (</w:t>
      </w:r>
      <w:proofErr w:type="spellStart"/>
      <w:r w:rsidRPr="00EC1001">
        <w:rPr>
          <w:rFonts w:ascii="Times New Roman" w:eastAsia="Times New Roman" w:hAnsi="Times New Roman" w:cs="Times New Roman"/>
          <w:i/>
          <w:iCs/>
          <w:kern w:val="0"/>
          <w14:ligatures w14:val="none"/>
        </w:rPr>
        <w:t>nifH</w:t>
      </w:r>
      <w:proofErr w:type="spellEnd"/>
      <w:r w:rsidRPr="00EC1001">
        <w:rPr>
          <w:rFonts w:ascii="Times New Roman" w:eastAsia="Times New Roman" w:hAnsi="Times New Roman" w:cs="Times New Roman"/>
          <w:i/>
          <w:iCs/>
          <w:kern w:val="0"/>
          <w14:ligatures w14:val="none"/>
        </w:rPr>
        <w:t>, </w:t>
      </w:r>
      <w:proofErr w:type="spellStart"/>
      <w:r w:rsidRPr="00EC1001">
        <w:rPr>
          <w:rFonts w:ascii="Times New Roman" w:eastAsia="Times New Roman" w:hAnsi="Times New Roman" w:cs="Times New Roman"/>
          <w:i/>
          <w:iCs/>
          <w:kern w:val="0"/>
          <w14:ligatures w14:val="none"/>
        </w:rPr>
        <w:t>phoD</w:t>
      </w:r>
      <w:proofErr w:type="spellEnd"/>
      <w:r w:rsidRPr="00EC1001">
        <w:rPr>
          <w:rFonts w:ascii="Times New Roman" w:eastAsia="Times New Roman" w:hAnsi="Times New Roman" w:cs="Times New Roman"/>
          <w:i/>
          <w:iCs/>
          <w:kern w:val="0"/>
          <w14:ligatures w14:val="none"/>
        </w:rPr>
        <w:t>) outperform taxonomic data in forecasting crop yields and nutrient availability. However, challenges persist, including high spatial-temporal variability in microbial communities, methodological inconsistencies, and limited adoption in developing regions due to cost and expertise barriers. Emerging solutions include portable nano</w:t>
      </w:r>
      <w:r w:rsidR="00291A8F" w:rsidRPr="008B7B0E">
        <w:rPr>
          <w:rFonts w:ascii="Times New Roman" w:eastAsia="Times New Roman" w:hAnsi="Times New Roman" w:cs="Times New Roman"/>
          <w:i/>
          <w:iCs/>
          <w:kern w:val="0"/>
          <w14:ligatures w14:val="none"/>
        </w:rPr>
        <w:t>-</w:t>
      </w:r>
      <w:r w:rsidRPr="00EC1001">
        <w:rPr>
          <w:rFonts w:ascii="Times New Roman" w:eastAsia="Times New Roman" w:hAnsi="Times New Roman" w:cs="Times New Roman"/>
          <w:i/>
          <w:iCs/>
          <w:kern w:val="0"/>
          <w14:ligatures w14:val="none"/>
        </w:rPr>
        <w:t>sensors for real-time enzyme monitoring, AI-driven integration of multi-omics data, and CRISPR-based field tests. Future research must prioritize: (1) global standardization of protocols, (2) affordable tools for resource-limited settings, and (3) policy frameworks integrating microbial metrics into soil health indices (e.g., USDA Soil Health Index).</w:t>
      </w:r>
      <w:r w:rsidR="00291A8F" w:rsidRPr="008B7B0E">
        <w:rPr>
          <w:rFonts w:ascii="Times New Roman" w:eastAsia="Times New Roman" w:hAnsi="Times New Roman" w:cs="Times New Roman"/>
          <w:i/>
          <w:iCs/>
          <w:kern w:val="0"/>
          <w14:ligatures w14:val="none"/>
        </w:rPr>
        <w:t xml:space="preserve"> The review </w:t>
      </w:r>
      <w:r w:rsidRPr="00EC1001">
        <w:rPr>
          <w:rFonts w:ascii="Times New Roman" w:eastAsia="Times New Roman" w:hAnsi="Times New Roman" w:cs="Times New Roman"/>
          <w:i/>
          <w:iCs/>
          <w:kern w:val="0"/>
          <w14:ligatures w14:val="none"/>
        </w:rPr>
        <w:t>conclude that microbial biomarkers are indispensable for advancing precision soil management, but their potential hinges on interdisciplinary collaboration and equitable technology access. By bridging lab-to-field gaps and fostering data-sharing initiatives, these tools can revolutionize sustainable land-use practices worldwide.</w:t>
      </w:r>
    </w:p>
    <w:p w14:paraId="3B521120" w14:textId="77777777" w:rsidR="00EC1001" w:rsidRPr="00EC1001" w:rsidRDefault="00EC1001" w:rsidP="00291A8F">
      <w:pPr>
        <w:shd w:val="clear" w:color="auto" w:fill="FFFFFF"/>
        <w:spacing w:before="100" w:beforeAutospacing="1" w:after="100" w:line="240" w:lineRule="auto"/>
        <w:jc w:val="both"/>
        <w:rPr>
          <w:rFonts w:ascii="Times New Roman" w:eastAsia="Times New Roman" w:hAnsi="Times New Roman" w:cs="Times New Roman"/>
          <w:kern w:val="0"/>
          <w14:ligatures w14:val="none"/>
        </w:rPr>
      </w:pPr>
      <w:r w:rsidRPr="00EC1001">
        <w:rPr>
          <w:rFonts w:ascii="Times New Roman" w:eastAsia="Times New Roman" w:hAnsi="Times New Roman" w:cs="Times New Roman"/>
          <w:b/>
          <w:bCs/>
          <w:kern w:val="0"/>
          <w14:ligatures w14:val="none"/>
        </w:rPr>
        <w:t>Keywords</w:t>
      </w:r>
      <w:r w:rsidRPr="00EC1001">
        <w:rPr>
          <w:rFonts w:ascii="Times New Roman" w:eastAsia="Times New Roman" w:hAnsi="Times New Roman" w:cs="Times New Roman"/>
          <w:kern w:val="0"/>
          <w14:ligatures w14:val="none"/>
        </w:rPr>
        <w:t>: soil microbiome, functional genes, enzymatic activity, sustainable agriculture, omics technologies</w:t>
      </w:r>
    </w:p>
    <w:p w14:paraId="3A0F3816" w14:textId="77777777" w:rsidR="00291A8F" w:rsidRPr="008B7B0E" w:rsidRDefault="00291A8F" w:rsidP="00294870">
      <w:pPr>
        <w:shd w:val="clear" w:color="auto" w:fill="FFFFFF"/>
        <w:spacing w:after="100" w:afterAutospacing="1" w:line="240" w:lineRule="auto"/>
        <w:jc w:val="both"/>
        <w:rPr>
          <w:rFonts w:ascii="Times New Roman" w:eastAsia="Times New Roman" w:hAnsi="Times New Roman" w:cs="Times New Roman"/>
          <w:b/>
          <w:bCs/>
          <w:kern w:val="0"/>
          <w14:ligatures w14:val="none"/>
        </w:rPr>
      </w:pPr>
    </w:p>
    <w:p w14:paraId="16F9978F" w14:textId="52069942" w:rsidR="003E27C6" w:rsidRPr="00BC0E04" w:rsidRDefault="00BC0E04" w:rsidP="00BC0E04">
      <w:pPr>
        <w:shd w:val="clear" w:color="auto" w:fill="FFFFFF"/>
        <w:spacing w:after="100" w:afterAutospacing="1" w:line="240" w:lineRule="auto"/>
        <w:jc w:val="both"/>
        <w:rPr>
          <w:rFonts w:ascii="Times New Roman" w:eastAsia="Times New Roman" w:hAnsi="Times New Roman" w:cs="Times New Roman"/>
          <w:kern w:val="0"/>
          <w14:ligatures w14:val="none"/>
        </w:rPr>
      </w:pPr>
      <w:r w:rsidRPr="00BC0E04">
        <w:rPr>
          <w:rFonts w:ascii="Times New Roman" w:eastAsia="Times New Roman" w:hAnsi="Times New Roman" w:cs="Times New Roman"/>
          <w:b/>
          <w:bCs/>
          <w:kern w:val="0"/>
          <w14:ligatures w14:val="none"/>
        </w:rPr>
        <w:t>1.</w:t>
      </w:r>
      <w:r>
        <w:rPr>
          <w:rFonts w:ascii="Times New Roman" w:eastAsia="Times New Roman" w:hAnsi="Times New Roman" w:cs="Times New Roman"/>
          <w:b/>
          <w:bCs/>
          <w:kern w:val="0"/>
          <w14:ligatures w14:val="none"/>
        </w:rPr>
        <w:t xml:space="preserve"> </w:t>
      </w:r>
      <w:r w:rsidR="00291A8F" w:rsidRPr="00BC0E04">
        <w:rPr>
          <w:rFonts w:ascii="Times New Roman" w:eastAsia="Times New Roman" w:hAnsi="Times New Roman" w:cs="Times New Roman"/>
          <w:b/>
          <w:bCs/>
          <w:kern w:val="0"/>
          <w14:ligatures w14:val="none"/>
        </w:rPr>
        <w:t>INTRODUCTION</w:t>
      </w:r>
    </w:p>
    <w:p w14:paraId="3A225A9E" w14:textId="77777777" w:rsidR="002E25DC" w:rsidRPr="008B7B0E" w:rsidRDefault="002E25DC" w:rsidP="008B7B0E">
      <w:pPr>
        <w:pStyle w:val="BodyText"/>
        <w:spacing w:before="100" w:beforeAutospacing="1" w:after="100" w:afterAutospacing="1" w:line="240" w:lineRule="auto"/>
      </w:pPr>
      <w:r w:rsidRPr="008B7B0E">
        <w:t xml:space="preserve">Soil health is fundamental to agricultural productivity, ecosystem stability, and climate resilience. It is defined as the soil’s ongoing capacity to function as a living ecosystem that supports plants, animals, and humans, encompassing physical, chemical, and biological components (Lehmann et al., 2020). Healthy soils promote crop growth by cycling nutrients, retaining water, and suppressing pathogens, which are essential for global food security. Soils also contain </w:t>
      </w:r>
      <w:r w:rsidRPr="008B7B0E">
        <w:lastRenderedPageBreak/>
        <w:t>approximately 25% of Earth’s biodiversity and regulate key biogeochemical cycles, including carbon sequestration, which contributes to climate change mitigation (FAO, 2020). However, unsustainable practices such as intensive tillage, monocropping, and excessive use of agrochemicals have degraded nearly one-third of the world’s soils, reducing their ability to provide these ecosystem services (IPBES, 2018).</w:t>
      </w:r>
    </w:p>
    <w:p w14:paraId="52FB2FB9"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Conventional soil assessments focus primarily on physical properties such as texture and bulk density, and chemical measures including pH, nitrogen, phosphorus, potassium, and organic carbon. While these indicators are accessible and widely used, they do not capture the biological processes that underpin many soil functions (</w:t>
      </w:r>
      <w:proofErr w:type="spellStart"/>
      <w:r w:rsidRPr="008B7B0E">
        <w:rPr>
          <w:rFonts w:ascii="Times New Roman" w:eastAsia="Times New Roman" w:hAnsi="Times New Roman" w:cs="Times New Roman"/>
          <w:kern w:val="0"/>
          <w14:ligatures w14:val="none"/>
        </w:rPr>
        <w:t>Bünemann</w:t>
      </w:r>
      <w:proofErr w:type="spellEnd"/>
      <w:r w:rsidRPr="008B7B0E">
        <w:rPr>
          <w:rFonts w:ascii="Times New Roman" w:eastAsia="Times New Roman" w:hAnsi="Times New Roman" w:cs="Times New Roman"/>
          <w:kern w:val="0"/>
          <w14:ligatures w14:val="none"/>
        </w:rPr>
        <w:t xml:space="preserve"> et al., 2018). Microbial communities, composed of bacteria, fungi, and archaea, are central to these functions. They drive organic matter decomposition, nitrogen fixation, and carbon storage (Fierer, 2017). For example, mycorrhizal fungi enhance plant phosphorus uptake, while </w:t>
      </w:r>
      <w:r w:rsidRPr="008B7B0E">
        <w:rPr>
          <w:rFonts w:ascii="Times New Roman" w:eastAsia="Times New Roman" w:hAnsi="Times New Roman" w:cs="Times New Roman"/>
          <w:i/>
          <w:iCs/>
          <w:kern w:val="0"/>
          <w14:ligatures w14:val="none"/>
        </w:rPr>
        <w:t>Pseudomonas</w:t>
      </w:r>
      <w:r w:rsidRPr="008B7B0E">
        <w:rPr>
          <w:rFonts w:ascii="Times New Roman" w:eastAsia="Times New Roman" w:hAnsi="Times New Roman" w:cs="Times New Roman"/>
          <w:kern w:val="0"/>
          <w14:ligatures w14:val="none"/>
        </w:rPr>
        <w:t xml:space="preserve"> species help suppress soil-borne pathogens. Despite their importance, these microbial contributions are often excluded from standard assessments, leading to a significant gap in understanding.</w:t>
      </w:r>
    </w:p>
    <w:p w14:paraId="09629B43" w14:textId="6C6AFDD6"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Incorporating microbial biomarkers into soil health frameworks helps address this limitation by linking microbial diversity and activity to measurable ecological outcomes. Advances in omics-based methods, including metagenomics and meta</w:t>
      </w:r>
      <w:r w:rsidR="00BC0E04">
        <w:rPr>
          <w:rFonts w:ascii="Times New Roman" w:eastAsia="Times New Roman" w:hAnsi="Times New Roman" w:cs="Times New Roman"/>
          <w:kern w:val="0"/>
          <w14:ligatures w14:val="none"/>
        </w:rPr>
        <w:t>-</w:t>
      </w:r>
      <w:r w:rsidRPr="008B7B0E">
        <w:rPr>
          <w:rFonts w:ascii="Times New Roman" w:eastAsia="Times New Roman" w:hAnsi="Times New Roman" w:cs="Times New Roman"/>
          <w:kern w:val="0"/>
          <w14:ligatures w14:val="none"/>
        </w:rPr>
        <w:t xml:space="preserve">transcriptomics, now allow researchers to assess microbial communities with high resolution. Biomarkers such as 16S rRNA and ITS sequences provide taxonomic profiles, while functional genes like </w:t>
      </w:r>
      <w:proofErr w:type="spellStart"/>
      <w:r w:rsidRPr="008B7B0E">
        <w:rPr>
          <w:rFonts w:ascii="Times New Roman" w:eastAsia="Times New Roman" w:hAnsi="Times New Roman" w:cs="Times New Roman"/>
          <w:i/>
          <w:iCs/>
          <w:kern w:val="0"/>
          <w14:ligatures w14:val="none"/>
        </w:rPr>
        <w:t>nifH</w:t>
      </w:r>
      <w:proofErr w:type="spellEnd"/>
      <w:r w:rsidRPr="008B7B0E">
        <w:rPr>
          <w:rFonts w:ascii="Times New Roman" w:eastAsia="Times New Roman" w:hAnsi="Times New Roman" w:cs="Times New Roman"/>
          <w:kern w:val="0"/>
          <w14:ligatures w14:val="none"/>
        </w:rPr>
        <w:t xml:space="preserve"> and </w:t>
      </w:r>
      <w:proofErr w:type="spellStart"/>
      <w:r w:rsidRPr="008B7B0E">
        <w:rPr>
          <w:rFonts w:ascii="Times New Roman" w:eastAsia="Times New Roman" w:hAnsi="Times New Roman" w:cs="Times New Roman"/>
          <w:i/>
          <w:iCs/>
          <w:kern w:val="0"/>
          <w14:ligatures w14:val="none"/>
        </w:rPr>
        <w:t>phoD</w:t>
      </w:r>
      <w:proofErr w:type="spellEnd"/>
      <w:r w:rsidRPr="008B7B0E">
        <w:rPr>
          <w:rFonts w:ascii="Times New Roman" w:eastAsia="Times New Roman" w:hAnsi="Times New Roman" w:cs="Times New Roman"/>
          <w:kern w:val="0"/>
          <w14:ligatures w14:val="none"/>
        </w:rPr>
        <w:t xml:space="preserve">, and enzyme activities such as β-glucosidase, offer insight into nutrient cycling and organic matter turnover (Jansson &amp; </w:t>
      </w:r>
      <w:proofErr w:type="spellStart"/>
      <w:r w:rsidRPr="008B7B0E">
        <w:rPr>
          <w:rFonts w:ascii="Times New Roman" w:eastAsia="Times New Roman" w:hAnsi="Times New Roman" w:cs="Times New Roman"/>
          <w:kern w:val="0"/>
          <w14:ligatures w14:val="none"/>
        </w:rPr>
        <w:t>Hofmockel</w:t>
      </w:r>
      <w:proofErr w:type="spellEnd"/>
      <w:r w:rsidRPr="008B7B0E">
        <w:rPr>
          <w:rFonts w:ascii="Times New Roman" w:eastAsia="Times New Roman" w:hAnsi="Times New Roman" w:cs="Times New Roman"/>
          <w:kern w:val="0"/>
          <w14:ligatures w14:val="none"/>
        </w:rPr>
        <w:t>, 2020).</w:t>
      </w:r>
    </w:p>
    <w:p w14:paraId="26EAFEA8"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Physical and chemical indicators alone do not adequately represent soil function. Two soils with the same organic carbon content may differ greatly in their carbon sequestration potential, depending on microbial composition and activity (Lehmann et al., 2020). Moreover, soils with optimal chemical profiles may still lack biological resilience. A soil with ideal pH can still fail to recover from drought or disease if microbial communities are disrupted (Fierer, 2017).</w:t>
      </w:r>
    </w:p>
    <w:p w14:paraId="2038380B"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Microbial biomarkers can fill these gaps by providing direct evidence of functional capacity. Enzymes such as β-glucosidase are linked to carbon turnover (Burns et al., 2013), while stress-response genes such as </w:t>
      </w:r>
      <w:proofErr w:type="spellStart"/>
      <w:r w:rsidRPr="008B7B0E">
        <w:rPr>
          <w:rFonts w:ascii="Times New Roman" w:eastAsia="Times New Roman" w:hAnsi="Times New Roman" w:cs="Times New Roman"/>
          <w:i/>
          <w:iCs/>
          <w:kern w:val="0"/>
          <w14:ligatures w14:val="none"/>
        </w:rPr>
        <w:t>proB</w:t>
      </w:r>
      <w:proofErr w:type="spellEnd"/>
      <w:r w:rsidRPr="008B7B0E">
        <w:rPr>
          <w:rFonts w:ascii="Times New Roman" w:eastAsia="Times New Roman" w:hAnsi="Times New Roman" w:cs="Times New Roman"/>
          <w:kern w:val="0"/>
          <w14:ligatures w14:val="none"/>
        </w:rPr>
        <w:t xml:space="preserve"> signal adaptation to drought (Fierer et al., 2012). Sequencing of 16S rRNA and ITS regions reveals microbial diversity, including the presence of functionally important taxa like mycorrhizal fungi (Banerjee et al., 2019). These indicators provide mechanistic information that is not available through standard physical or chemical testing.</w:t>
      </w:r>
    </w:p>
    <w:p w14:paraId="27CABCA3"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Microbial communities regulate nutrient transformations that are essential for soil productivity. Nitrogen fixation is carried out by </w:t>
      </w:r>
      <w:r w:rsidRPr="008B7B0E">
        <w:rPr>
          <w:rFonts w:ascii="Times New Roman" w:eastAsia="Times New Roman" w:hAnsi="Times New Roman" w:cs="Times New Roman"/>
          <w:i/>
          <w:iCs/>
          <w:kern w:val="0"/>
          <w14:ligatures w14:val="none"/>
        </w:rPr>
        <w:t>Rhizobia</w:t>
      </w:r>
      <w:r w:rsidRPr="008B7B0E">
        <w:rPr>
          <w:rFonts w:ascii="Times New Roman" w:eastAsia="Times New Roman" w:hAnsi="Times New Roman" w:cs="Times New Roman"/>
          <w:kern w:val="0"/>
          <w14:ligatures w14:val="none"/>
        </w:rPr>
        <w:t xml:space="preserve"> and </w:t>
      </w:r>
      <w:proofErr w:type="spellStart"/>
      <w:r w:rsidRPr="008B7B0E">
        <w:rPr>
          <w:rFonts w:ascii="Times New Roman" w:eastAsia="Times New Roman" w:hAnsi="Times New Roman" w:cs="Times New Roman"/>
          <w:i/>
          <w:iCs/>
          <w:kern w:val="0"/>
          <w14:ligatures w14:val="none"/>
        </w:rPr>
        <w:t>Bradyrhizobium</w:t>
      </w:r>
      <w:proofErr w:type="spellEnd"/>
      <w:r w:rsidRPr="008B7B0E">
        <w:rPr>
          <w:rFonts w:ascii="Times New Roman" w:eastAsia="Times New Roman" w:hAnsi="Times New Roman" w:cs="Times New Roman"/>
          <w:kern w:val="0"/>
          <w14:ligatures w14:val="none"/>
        </w:rPr>
        <w:t xml:space="preserve">, which express the </w:t>
      </w:r>
      <w:proofErr w:type="spellStart"/>
      <w:r w:rsidRPr="008B7B0E">
        <w:rPr>
          <w:rFonts w:ascii="Times New Roman" w:eastAsia="Times New Roman" w:hAnsi="Times New Roman" w:cs="Times New Roman"/>
          <w:i/>
          <w:iCs/>
          <w:kern w:val="0"/>
          <w14:ligatures w14:val="none"/>
        </w:rPr>
        <w:t>nifH</w:t>
      </w:r>
      <w:proofErr w:type="spellEnd"/>
      <w:r w:rsidRPr="008B7B0E">
        <w:rPr>
          <w:rFonts w:ascii="Times New Roman" w:eastAsia="Times New Roman" w:hAnsi="Times New Roman" w:cs="Times New Roman"/>
          <w:kern w:val="0"/>
          <w14:ligatures w14:val="none"/>
        </w:rPr>
        <w:t xml:space="preserve"> gene, while nitrifying bacteria such as </w:t>
      </w:r>
      <w:r w:rsidRPr="008B7B0E">
        <w:rPr>
          <w:rFonts w:ascii="Times New Roman" w:eastAsia="Times New Roman" w:hAnsi="Times New Roman" w:cs="Times New Roman"/>
          <w:i/>
          <w:iCs/>
          <w:kern w:val="0"/>
          <w14:ligatures w14:val="none"/>
        </w:rPr>
        <w:t>Nitrosomonas</w:t>
      </w:r>
      <w:r w:rsidRPr="008B7B0E">
        <w:rPr>
          <w:rFonts w:ascii="Times New Roman" w:eastAsia="Times New Roman" w:hAnsi="Times New Roman" w:cs="Times New Roman"/>
          <w:kern w:val="0"/>
          <w14:ligatures w14:val="none"/>
        </w:rPr>
        <w:t xml:space="preserve"> and </w:t>
      </w:r>
      <w:r w:rsidRPr="008B7B0E">
        <w:rPr>
          <w:rFonts w:ascii="Times New Roman" w:eastAsia="Times New Roman" w:hAnsi="Times New Roman" w:cs="Times New Roman"/>
          <w:i/>
          <w:iCs/>
          <w:kern w:val="0"/>
          <w14:ligatures w14:val="none"/>
        </w:rPr>
        <w:t>Nitrobacter</w:t>
      </w:r>
      <w:r w:rsidRPr="008B7B0E">
        <w:rPr>
          <w:rFonts w:ascii="Times New Roman" w:eastAsia="Times New Roman" w:hAnsi="Times New Roman" w:cs="Times New Roman"/>
          <w:kern w:val="0"/>
          <w14:ligatures w14:val="none"/>
        </w:rPr>
        <w:t xml:space="preserve"> use </w:t>
      </w:r>
      <w:proofErr w:type="spellStart"/>
      <w:r w:rsidRPr="008B7B0E">
        <w:rPr>
          <w:rFonts w:ascii="Times New Roman" w:eastAsia="Times New Roman" w:hAnsi="Times New Roman" w:cs="Times New Roman"/>
          <w:i/>
          <w:iCs/>
          <w:kern w:val="0"/>
          <w14:ligatures w14:val="none"/>
        </w:rPr>
        <w:t>amoA</w:t>
      </w:r>
      <w:proofErr w:type="spellEnd"/>
      <w:r w:rsidRPr="008B7B0E">
        <w:rPr>
          <w:rFonts w:ascii="Times New Roman" w:eastAsia="Times New Roman" w:hAnsi="Times New Roman" w:cs="Times New Roman"/>
          <w:kern w:val="0"/>
          <w14:ligatures w14:val="none"/>
        </w:rPr>
        <w:t xml:space="preserve"> and </w:t>
      </w:r>
      <w:proofErr w:type="spellStart"/>
      <w:r w:rsidRPr="008B7B0E">
        <w:rPr>
          <w:rFonts w:ascii="Times New Roman" w:eastAsia="Times New Roman" w:hAnsi="Times New Roman" w:cs="Times New Roman"/>
          <w:i/>
          <w:iCs/>
          <w:kern w:val="0"/>
          <w14:ligatures w14:val="none"/>
        </w:rPr>
        <w:t>nxrB</w:t>
      </w:r>
      <w:proofErr w:type="spellEnd"/>
      <w:r w:rsidRPr="008B7B0E">
        <w:rPr>
          <w:rFonts w:ascii="Times New Roman" w:eastAsia="Times New Roman" w:hAnsi="Times New Roman" w:cs="Times New Roman"/>
          <w:kern w:val="0"/>
          <w14:ligatures w14:val="none"/>
        </w:rPr>
        <w:t xml:space="preserve"> genes to process ammonia and nitrite (Levy-Booth et al., 2014). Phosphorus mineralization is mediated by </w:t>
      </w:r>
      <w:proofErr w:type="spellStart"/>
      <w:r w:rsidRPr="008B7B0E">
        <w:rPr>
          <w:rFonts w:ascii="Times New Roman" w:eastAsia="Times New Roman" w:hAnsi="Times New Roman" w:cs="Times New Roman"/>
          <w:i/>
          <w:iCs/>
          <w:kern w:val="0"/>
          <w14:ligatures w14:val="none"/>
        </w:rPr>
        <w:t>phoD</w:t>
      </w:r>
      <w:proofErr w:type="spellEnd"/>
      <w:r w:rsidRPr="008B7B0E">
        <w:rPr>
          <w:rFonts w:ascii="Times New Roman" w:eastAsia="Times New Roman" w:hAnsi="Times New Roman" w:cs="Times New Roman"/>
          <w:kern w:val="0"/>
          <w14:ligatures w14:val="none"/>
        </w:rPr>
        <w:t xml:space="preserve">-carrying bacteria like </w:t>
      </w:r>
      <w:r w:rsidRPr="008B7B0E">
        <w:rPr>
          <w:rFonts w:ascii="Times New Roman" w:eastAsia="Times New Roman" w:hAnsi="Times New Roman" w:cs="Times New Roman"/>
          <w:i/>
          <w:iCs/>
          <w:kern w:val="0"/>
          <w14:ligatures w14:val="none"/>
        </w:rPr>
        <w:t>Pseudomonas</w:t>
      </w:r>
      <w:r w:rsidRPr="008B7B0E">
        <w:rPr>
          <w:rFonts w:ascii="Times New Roman" w:eastAsia="Times New Roman" w:hAnsi="Times New Roman" w:cs="Times New Roman"/>
          <w:kern w:val="0"/>
          <w14:ligatures w14:val="none"/>
        </w:rPr>
        <w:t xml:space="preserve">, which are linked to higher levels of available phosphorus (Fraser et al., 2015). Microbes also help suppress pathogens through competition and antibiotic production. For example, </w:t>
      </w:r>
      <w:r w:rsidRPr="008B7B0E">
        <w:rPr>
          <w:rFonts w:ascii="Times New Roman" w:eastAsia="Times New Roman" w:hAnsi="Times New Roman" w:cs="Times New Roman"/>
          <w:i/>
          <w:iCs/>
          <w:kern w:val="0"/>
          <w14:ligatures w14:val="none"/>
        </w:rPr>
        <w:t>Trichoderma</w:t>
      </w:r>
      <w:r w:rsidRPr="008B7B0E">
        <w:rPr>
          <w:rFonts w:ascii="Times New Roman" w:eastAsia="Times New Roman" w:hAnsi="Times New Roman" w:cs="Times New Roman"/>
          <w:kern w:val="0"/>
          <w14:ligatures w14:val="none"/>
        </w:rPr>
        <w:t xml:space="preserve"> fungi reduce the incidence of </w:t>
      </w:r>
      <w:r w:rsidRPr="008B7B0E">
        <w:rPr>
          <w:rFonts w:ascii="Times New Roman" w:eastAsia="Times New Roman" w:hAnsi="Times New Roman" w:cs="Times New Roman"/>
          <w:i/>
          <w:iCs/>
          <w:kern w:val="0"/>
          <w14:ligatures w14:val="none"/>
        </w:rPr>
        <w:t>Fusarium</w:t>
      </w:r>
      <w:r w:rsidRPr="008B7B0E">
        <w:rPr>
          <w:rFonts w:ascii="Times New Roman" w:eastAsia="Times New Roman" w:hAnsi="Times New Roman" w:cs="Times New Roman"/>
          <w:kern w:val="0"/>
          <w14:ligatures w14:val="none"/>
        </w:rPr>
        <w:t xml:space="preserve"> wilt by producing chitinase enzymes (Banerjee et al., 2019).</w:t>
      </w:r>
    </w:p>
    <w:p w14:paraId="27B38D5C"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lastRenderedPageBreak/>
        <w:t xml:space="preserve">Microbial activity is also central to organic matter decomposition and carbon cycling. Fungi such as </w:t>
      </w:r>
      <w:r w:rsidRPr="008B7B0E">
        <w:rPr>
          <w:rFonts w:ascii="Times New Roman" w:eastAsia="Times New Roman" w:hAnsi="Times New Roman" w:cs="Times New Roman"/>
          <w:i/>
          <w:iCs/>
          <w:kern w:val="0"/>
          <w14:ligatures w14:val="none"/>
        </w:rPr>
        <w:t>Basidiomycetes</w:t>
      </w:r>
      <w:r w:rsidRPr="008B7B0E">
        <w:rPr>
          <w:rFonts w:ascii="Times New Roman" w:eastAsia="Times New Roman" w:hAnsi="Times New Roman" w:cs="Times New Roman"/>
          <w:kern w:val="0"/>
          <w14:ligatures w14:val="none"/>
        </w:rPr>
        <w:t xml:space="preserve"> degrade lignin, while bacterial genes like </w:t>
      </w:r>
      <w:r w:rsidRPr="008B7B0E">
        <w:rPr>
          <w:rFonts w:ascii="Times New Roman" w:eastAsia="Times New Roman" w:hAnsi="Times New Roman" w:cs="Times New Roman"/>
          <w:i/>
          <w:iCs/>
          <w:kern w:val="0"/>
          <w14:ligatures w14:val="none"/>
        </w:rPr>
        <w:t>cel48</w:t>
      </w:r>
      <w:r w:rsidRPr="008B7B0E">
        <w:rPr>
          <w:rFonts w:ascii="Times New Roman" w:eastAsia="Times New Roman" w:hAnsi="Times New Roman" w:cs="Times New Roman"/>
          <w:kern w:val="0"/>
          <w14:ligatures w14:val="none"/>
        </w:rPr>
        <w:t xml:space="preserve"> encode cellulases that break down plant residues (Baldrian et al., 2011). Shifts in microbial community composition reflect changes in soil conditions. For instance, </w:t>
      </w:r>
      <w:r w:rsidRPr="008B7B0E">
        <w:rPr>
          <w:rFonts w:ascii="Times New Roman" w:eastAsia="Times New Roman" w:hAnsi="Times New Roman" w:cs="Times New Roman"/>
          <w:i/>
          <w:iCs/>
          <w:kern w:val="0"/>
          <w14:ligatures w14:val="none"/>
        </w:rPr>
        <w:t>Proteobacteria</w:t>
      </w:r>
      <w:r w:rsidRPr="008B7B0E">
        <w:rPr>
          <w:rFonts w:ascii="Times New Roman" w:eastAsia="Times New Roman" w:hAnsi="Times New Roman" w:cs="Times New Roman"/>
          <w:kern w:val="0"/>
          <w14:ligatures w14:val="none"/>
        </w:rPr>
        <w:t xml:space="preserve"> are common in nitrogen-rich environments, while </w:t>
      </w:r>
      <w:proofErr w:type="spellStart"/>
      <w:r w:rsidRPr="008B7B0E">
        <w:rPr>
          <w:rFonts w:ascii="Times New Roman" w:eastAsia="Times New Roman" w:hAnsi="Times New Roman" w:cs="Times New Roman"/>
          <w:i/>
          <w:iCs/>
          <w:kern w:val="0"/>
          <w14:ligatures w14:val="none"/>
        </w:rPr>
        <w:t>Acidobacteria</w:t>
      </w:r>
      <w:proofErr w:type="spellEnd"/>
      <w:r w:rsidRPr="008B7B0E">
        <w:rPr>
          <w:rFonts w:ascii="Times New Roman" w:eastAsia="Times New Roman" w:hAnsi="Times New Roman" w:cs="Times New Roman"/>
          <w:kern w:val="0"/>
          <w14:ligatures w14:val="none"/>
        </w:rPr>
        <w:t xml:space="preserve"> tend to dominate nutrient-poor soils (Fierer et al., 2007). By quantifying microbial traits through taxonomic, functional, or enzymatic biomarkers, researchers can assess soil health in a more dynamic and mechanistic way (Jansson &amp; </w:t>
      </w:r>
      <w:proofErr w:type="spellStart"/>
      <w:r w:rsidRPr="008B7B0E">
        <w:rPr>
          <w:rFonts w:ascii="Times New Roman" w:eastAsia="Times New Roman" w:hAnsi="Times New Roman" w:cs="Times New Roman"/>
          <w:kern w:val="0"/>
          <w14:ligatures w14:val="none"/>
        </w:rPr>
        <w:t>Hofmockel</w:t>
      </w:r>
      <w:proofErr w:type="spellEnd"/>
      <w:r w:rsidRPr="008B7B0E">
        <w:rPr>
          <w:rFonts w:ascii="Times New Roman" w:eastAsia="Times New Roman" w:hAnsi="Times New Roman" w:cs="Times New Roman"/>
          <w:kern w:val="0"/>
          <w14:ligatures w14:val="none"/>
        </w:rPr>
        <w:t>, 2020).</w:t>
      </w:r>
    </w:p>
    <w:p w14:paraId="2E42DB97"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Despite these advances, several challenges remain. Protocols for measuring microbial indicators are not standardized, and many methods lack validation under field conditions. There is also a shortage of data from tropical and anaerobic soils. To address these issues, future research should aim to (1) standardize microbial measurement protocols under international guidelines (e.g., ISO, FAO), (2) develop low-cost diagnostic tools suitable for field use, and (3) integrate multiple omics approaches using computational models to improve prediction and applicability.</w:t>
      </w:r>
    </w:p>
    <w:p w14:paraId="55EEE92D"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This review summarizes current microbial biomarkers and methods used to assess soil health. We discuss taxonomic markers (16S rRNA, ITS) for profiling community structure, functional genes (e.g., </w:t>
      </w:r>
      <w:proofErr w:type="spellStart"/>
      <w:r w:rsidRPr="008B7B0E">
        <w:rPr>
          <w:rFonts w:ascii="Times New Roman" w:eastAsia="Times New Roman" w:hAnsi="Times New Roman" w:cs="Times New Roman"/>
          <w:i/>
          <w:iCs/>
          <w:kern w:val="0"/>
          <w14:ligatures w14:val="none"/>
        </w:rPr>
        <w:t>nifH</w:t>
      </w:r>
      <w:proofErr w:type="spellEnd"/>
      <w:r w:rsidRPr="008B7B0E">
        <w:rPr>
          <w:rFonts w:ascii="Times New Roman" w:eastAsia="Times New Roman" w:hAnsi="Times New Roman" w:cs="Times New Roman"/>
          <w:kern w:val="0"/>
          <w14:ligatures w14:val="none"/>
        </w:rPr>
        <w:t xml:space="preserve">, </w:t>
      </w:r>
      <w:proofErr w:type="spellStart"/>
      <w:r w:rsidRPr="008B7B0E">
        <w:rPr>
          <w:rFonts w:ascii="Times New Roman" w:eastAsia="Times New Roman" w:hAnsi="Times New Roman" w:cs="Times New Roman"/>
          <w:i/>
          <w:iCs/>
          <w:kern w:val="0"/>
          <w14:ligatures w14:val="none"/>
        </w:rPr>
        <w:t>phoD</w:t>
      </w:r>
      <w:proofErr w:type="spellEnd"/>
      <w:r w:rsidRPr="008B7B0E">
        <w:rPr>
          <w:rFonts w:ascii="Times New Roman" w:eastAsia="Times New Roman" w:hAnsi="Times New Roman" w:cs="Times New Roman"/>
          <w:kern w:val="0"/>
          <w14:ligatures w14:val="none"/>
        </w:rPr>
        <w:t xml:space="preserve">, </w:t>
      </w:r>
      <w:proofErr w:type="spellStart"/>
      <w:r w:rsidRPr="008B7B0E">
        <w:rPr>
          <w:rFonts w:ascii="Times New Roman" w:eastAsia="Times New Roman" w:hAnsi="Times New Roman" w:cs="Times New Roman"/>
          <w:i/>
          <w:iCs/>
          <w:kern w:val="0"/>
          <w14:ligatures w14:val="none"/>
        </w:rPr>
        <w:t>amoA</w:t>
      </w:r>
      <w:proofErr w:type="spellEnd"/>
      <w:r w:rsidRPr="008B7B0E">
        <w:rPr>
          <w:rFonts w:ascii="Times New Roman" w:eastAsia="Times New Roman" w:hAnsi="Times New Roman" w:cs="Times New Roman"/>
          <w:kern w:val="0"/>
          <w14:ligatures w14:val="none"/>
        </w:rPr>
        <w:t>) for nutrient cycling, and enzymatic indicators such as β-glucosidase for organic matter decomposition. We evaluate technologies including metagenomics, qPCR, and stable isotope probing in terms of accuracy and scalability. The review also outlines emerging tools and frameworks for incorporating microbial data into soil health monitoring and management. By connecting laboratory findings to real-world applications, microbial indicators can support more informed and sustainable soil practices.</w:t>
      </w:r>
    </w:p>
    <w:p w14:paraId="49743B77" w14:textId="58B5CC9A" w:rsidR="002E25DC" w:rsidRPr="008B7B0E" w:rsidRDefault="00BC0E04" w:rsidP="002E25DC">
      <w:pPr>
        <w:pStyle w:val="ds-markdown-paragraph"/>
        <w:shd w:val="clear" w:color="auto" w:fill="FFFFFF"/>
        <w:spacing w:before="0" w:beforeAutospacing="0"/>
        <w:jc w:val="both"/>
        <w:rPr>
          <w:rStyle w:val="Strong"/>
          <w:rFonts w:eastAsiaTheme="majorEastAsia"/>
        </w:rPr>
      </w:pPr>
      <w:r>
        <w:rPr>
          <w:rStyle w:val="Strong"/>
          <w:rFonts w:eastAsiaTheme="majorEastAsia"/>
        </w:rPr>
        <w:t xml:space="preserve">2. </w:t>
      </w:r>
      <w:r w:rsidR="002E25DC" w:rsidRPr="008B7B0E">
        <w:rPr>
          <w:rStyle w:val="Strong"/>
          <w:rFonts w:eastAsiaTheme="majorEastAsia"/>
        </w:rPr>
        <w:t>LITERATURE REVIEW</w:t>
      </w:r>
    </w:p>
    <w:p w14:paraId="0B1A0F16" w14:textId="7D43E46A" w:rsidR="002E25DC" w:rsidRPr="008B7B0E" w:rsidRDefault="00BC0E04" w:rsidP="002E25DC">
      <w:pPr>
        <w:pStyle w:val="ds-markdown-paragraph"/>
        <w:shd w:val="clear" w:color="auto" w:fill="FFFFFF"/>
        <w:spacing w:before="0" w:beforeAutospacing="0"/>
        <w:jc w:val="both"/>
        <w:rPr>
          <w:rStyle w:val="Strong"/>
          <w:rFonts w:eastAsiaTheme="majorEastAsia"/>
          <w:shd w:val="clear" w:color="auto" w:fill="FFFFFF"/>
        </w:rPr>
      </w:pPr>
      <w:r>
        <w:rPr>
          <w:rStyle w:val="Strong"/>
          <w:rFonts w:eastAsiaTheme="majorEastAsia"/>
          <w:shd w:val="clear" w:color="auto" w:fill="FFFFFF"/>
        </w:rPr>
        <w:t xml:space="preserve">2.1 </w:t>
      </w:r>
      <w:r w:rsidR="002E25DC" w:rsidRPr="008B7B0E">
        <w:rPr>
          <w:rStyle w:val="Strong"/>
          <w:rFonts w:eastAsiaTheme="majorEastAsia"/>
          <w:shd w:val="clear" w:color="auto" w:fill="FFFFFF"/>
        </w:rPr>
        <w:t>Current Biomarker Approaches in Soil Health Assessment</w:t>
      </w:r>
    </w:p>
    <w:p w14:paraId="01C18415" w14:textId="5D59FE80" w:rsidR="002E25DC" w:rsidRPr="008B7B0E" w:rsidRDefault="00BC0E04" w:rsidP="002E25DC">
      <w:pPr>
        <w:pStyle w:val="ds-markdown-paragraph"/>
        <w:shd w:val="clear" w:color="auto" w:fill="FFFFFF"/>
        <w:spacing w:before="0" w:beforeAutospacing="0"/>
        <w:jc w:val="both"/>
      </w:pPr>
      <w:r>
        <w:rPr>
          <w:rStyle w:val="Strong"/>
          <w:rFonts w:eastAsiaTheme="majorEastAsia"/>
        </w:rPr>
        <w:t xml:space="preserve">2.1.1 </w:t>
      </w:r>
      <w:r w:rsidR="002E25DC" w:rsidRPr="008B7B0E">
        <w:rPr>
          <w:rStyle w:val="Strong"/>
          <w:rFonts w:eastAsiaTheme="majorEastAsia"/>
        </w:rPr>
        <w:t>Taxonomic Biomarkers for Soil Health Assessment</w:t>
      </w:r>
    </w:p>
    <w:p w14:paraId="77F4B8DF" w14:textId="77777777" w:rsidR="002E25DC" w:rsidRPr="008B7B0E" w:rsidRDefault="002E25DC" w:rsidP="002E25DC">
      <w:pPr>
        <w:pStyle w:val="NormalWeb"/>
        <w:jc w:val="both"/>
      </w:pPr>
      <w:r w:rsidRPr="008B7B0E">
        <w:t>Taxonomic biomarkers are widely used to characterize soil microbial communities and assess ecosystem health. The most common approaches involve sequencing the 16S rRNA gene for bacteria and the internal transcribed spacer (ITS) region for fungi. These methods offer detailed profiles of microbial composition and diversity (Schoch et al., 2012; Thompson et al., 2017). They also support the calculation of ecological metrics such as alpha diversity, using indices like Shannon, Simpson, and Chao1, and beta diversity, often measured through Bray-Curtis dissimilarity (Lemos et al., 2021). These metrics are sensitive to ecological disturbance and provide insight into microbial community stability and resilience (Fierer et al., 2021).</w:t>
      </w:r>
    </w:p>
    <w:p w14:paraId="02653968" w14:textId="77777777" w:rsidR="002E25DC" w:rsidRPr="008B7B0E" w:rsidRDefault="002E25DC" w:rsidP="002E25DC">
      <w:pPr>
        <w:pStyle w:val="NormalWeb"/>
        <w:jc w:val="both"/>
      </w:pPr>
      <w:r w:rsidRPr="008B7B0E">
        <w:t xml:space="preserve">One important application of taxonomic biomarkers is the identification of keystone taxa—organisms that exert a strong influence on soil processes despite being low in abundance (Banerjee et al., 2018). For example, some </w:t>
      </w:r>
      <w:r w:rsidRPr="008B7B0E">
        <w:rPr>
          <w:rStyle w:val="Emphasis"/>
          <w:rFonts w:eastAsiaTheme="majorEastAsia"/>
        </w:rPr>
        <w:t>Pseudomonas</w:t>
      </w:r>
      <w:r w:rsidRPr="008B7B0E">
        <w:t xml:space="preserve"> species promote plant growth by solubilizing phosphate and suppressing pathogens (Mendes et al., 2013), while arbuscular mycorrhizal fungi such as </w:t>
      </w:r>
      <w:r w:rsidRPr="008B7B0E">
        <w:rPr>
          <w:rStyle w:val="Emphasis"/>
          <w:rFonts w:eastAsiaTheme="majorEastAsia"/>
        </w:rPr>
        <w:t>Glomus</w:t>
      </w:r>
      <w:r w:rsidRPr="008B7B0E">
        <w:t xml:space="preserve"> improve plant nutrient uptake and soil aggregation (van der Heijden et al., 2015). Monitoring these species can help detect early signs of soil degradation or recovery (Wagg et al., 2019). Broader shifts in microbial community structure can also reveal important ecological </w:t>
      </w:r>
      <w:r w:rsidRPr="008B7B0E">
        <w:lastRenderedPageBreak/>
        <w:t xml:space="preserve">trends. For instance, fertile soils often contain more </w:t>
      </w:r>
      <w:r w:rsidRPr="008B7B0E">
        <w:rPr>
          <w:rStyle w:val="Emphasis"/>
          <w:rFonts w:eastAsiaTheme="majorEastAsia"/>
        </w:rPr>
        <w:t>Proteobacteria</w:t>
      </w:r>
      <w:r w:rsidRPr="008B7B0E">
        <w:t xml:space="preserve">, while nutrient-poor soils tend to be dominated by </w:t>
      </w:r>
      <w:proofErr w:type="spellStart"/>
      <w:r w:rsidRPr="008B7B0E">
        <w:rPr>
          <w:rStyle w:val="Emphasis"/>
          <w:rFonts w:eastAsiaTheme="majorEastAsia"/>
        </w:rPr>
        <w:t>Acidobacteria</w:t>
      </w:r>
      <w:proofErr w:type="spellEnd"/>
      <w:r w:rsidRPr="008B7B0E">
        <w:t xml:space="preserve"> (</w:t>
      </w:r>
      <w:proofErr w:type="spellStart"/>
      <w:r w:rsidRPr="008B7B0E">
        <w:t>Fierer</w:t>
      </w:r>
      <w:proofErr w:type="spellEnd"/>
      <w:r w:rsidRPr="008B7B0E">
        <w:t xml:space="preserve"> et al., 2007; Lauber et al., 2009).</w:t>
      </w:r>
    </w:p>
    <w:p w14:paraId="0057EEAD" w14:textId="77777777" w:rsidR="002E25DC" w:rsidRPr="008B7B0E" w:rsidRDefault="002E25DC" w:rsidP="002E25DC">
      <w:pPr>
        <w:pStyle w:val="NormalWeb"/>
        <w:jc w:val="both"/>
      </w:pPr>
      <w:r w:rsidRPr="008B7B0E">
        <w:t xml:space="preserve">Despite their value, taxonomic biomarkers have limitations. They identify which organisms are present, but not what they are doing (Jansson &amp; </w:t>
      </w:r>
      <w:proofErr w:type="spellStart"/>
      <w:r w:rsidRPr="008B7B0E">
        <w:t>Hofmockel</w:t>
      </w:r>
      <w:proofErr w:type="spellEnd"/>
      <w:r w:rsidRPr="008B7B0E">
        <w:t>, 2020). Amplification bias during PCR can skew abundance estimates (Tremblay et al., 2015), and data analysis requires specialized bioinformatics tools that may limit broader use (Quince et al., 2017). Still, when combined with functional and metabolic data, taxonomic information provides a strong foundation for evaluating soil health. A multi-marker strategy that integrates taxonomic, functional, and biochemical indicators offers a more complete understanding of microbial contributions to soil processes and supports informed soil management decisions (Lehmann et al., 2020).</w:t>
      </w:r>
    </w:p>
    <w:p w14:paraId="486C168D" w14:textId="0FB60184" w:rsidR="002E25DC" w:rsidRPr="008B7B0E" w:rsidRDefault="00BC0E04"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2.1.2 </w:t>
      </w:r>
      <w:r w:rsidR="002E25DC" w:rsidRPr="008B7B0E">
        <w:rPr>
          <w:rFonts w:ascii="Times New Roman" w:eastAsia="Times New Roman" w:hAnsi="Times New Roman" w:cs="Times New Roman"/>
          <w:b/>
          <w:bCs/>
          <w:kern w:val="0"/>
          <w14:ligatures w14:val="none"/>
        </w:rPr>
        <w:t>Functional Biomarkers: Genes, Enzymes, and Metabolic Pathways</w:t>
      </w:r>
    </w:p>
    <w:p w14:paraId="75A9F66E"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Functional biomarkers offer a direct window into the microbial processes that underpin soil health by targeting genes, enzymes, and metabolic pathways involved in key biogeochemical cycles. Genes associated with the nitrogen cycle, such as </w:t>
      </w:r>
      <w:proofErr w:type="spellStart"/>
      <w:r w:rsidRPr="008B7B0E">
        <w:rPr>
          <w:rFonts w:ascii="Times New Roman" w:eastAsia="Times New Roman" w:hAnsi="Times New Roman" w:cs="Times New Roman"/>
          <w:i/>
          <w:iCs/>
          <w:kern w:val="0"/>
          <w14:ligatures w14:val="none"/>
        </w:rPr>
        <w:t>nifH</w:t>
      </w:r>
      <w:proofErr w:type="spellEnd"/>
      <w:r w:rsidRPr="008B7B0E">
        <w:rPr>
          <w:rFonts w:ascii="Times New Roman" w:eastAsia="Times New Roman" w:hAnsi="Times New Roman" w:cs="Times New Roman"/>
          <w:kern w:val="0"/>
          <w14:ligatures w14:val="none"/>
        </w:rPr>
        <w:t xml:space="preserve"> (nitrogen fixation), </w:t>
      </w:r>
      <w:proofErr w:type="spellStart"/>
      <w:r w:rsidRPr="008B7B0E">
        <w:rPr>
          <w:rFonts w:ascii="Times New Roman" w:eastAsia="Times New Roman" w:hAnsi="Times New Roman" w:cs="Times New Roman"/>
          <w:i/>
          <w:iCs/>
          <w:kern w:val="0"/>
          <w14:ligatures w14:val="none"/>
        </w:rPr>
        <w:t>amoA</w:t>
      </w:r>
      <w:proofErr w:type="spellEnd"/>
      <w:r w:rsidRPr="008B7B0E">
        <w:rPr>
          <w:rFonts w:ascii="Times New Roman" w:eastAsia="Times New Roman" w:hAnsi="Times New Roman" w:cs="Times New Roman"/>
          <w:kern w:val="0"/>
          <w14:ligatures w14:val="none"/>
        </w:rPr>
        <w:t xml:space="preserve"> (ammonia oxidation), and </w:t>
      </w:r>
      <w:proofErr w:type="spellStart"/>
      <w:r w:rsidRPr="008B7B0E">
        <w:rPr>
          <w:rFonts w:ascii="Times New Roman" w:eastAsia="Times New Roman" w:hAnsi="Times New Roman" w:cs="Times New Roman"/>
          <w:i/>
          <w:iCs/>
          <w:kern w:val="0"/>
          <w14:ligatures w14:val="none"/>
        </w:rPr>
        <w:t>nirK</w:t>
      </w:r>
      <w:proofErr w:type="spellEnd"/>
      <w:r w:rsidRPr="008B7B0E">
        <w:rPr>
          <w:rFonts w:ascii="Times New Roman" w:eastAsia="Times New Roman" w:hAnsi="Times New Roman" w:cs="Times New Roman"/>
          <w:kern w:val="0"/>
          <w14:ligatures w14:val="none"/>
        </w:rPr>
        <w:t>/</w:t>
      </w:r>
      <w:proofErr w:type="spellStart"/>
      <w:r w:rsidRPr="008B7B0E">
        <w:rPr>
          <w:rFonts w:ascii="Times New Roman" w:eastAsia="Times New Roman" w:hAnsi="Times New Roman" w:cs="Times New Roman"/>
          <w:i/>
          <w:iCs/>
          <w:kern w:val="0"/>
          <w14:ligatures w14:val="none"/>
        </w:rPr>
        <w:t>nirS</w:t>
      </w:r>
      <w:proofErr w:type="spellEnd"/>
      <w:r w:rsidRPr="008B7B0E">
        <w:rPr>
          <w:rFonts w:ascii="Times New Roman" w:eastAsia="Times New Roman" w:hAnsi="Times New Roman" w:cs="Times New Roman"/>
          <w:kern w:val="0"/>
          <w14:ligatures w14:val="none"/>
        </w:rPr>
        <w:t xml:space="preserve"> (denitrification), are widely used to evaluate nitrogen transformation potential in soils (Levy-Booth et al., 2014). Similarly, genes involved in carbon cycling, including </w:t>
      </w:r>
      <w:r w:rsidRPr="008B7B0E">
        <w:rPr>
          <w:rFonts w:ascii="Times New Roman" w:eastAsia="Times New Roman" w:hAnsi="Times New Roman" w:cs="Times New Roman"/>
          <w:i/>
          <w:iCs/>
          <w:kern w:val="0"/>
          <w14:ligatures w14:val="none"/>
        </w:rPr>
        <w:t>cel48</w:t>
      </w:r>
      <w:r w:rsidRPr="008B7B0E">
        <w:rPr>
          <w:rFonts w:ascii="Times New Roman" w:eastAsia="Times New Roman" w:hAnsi="Times New Roman" w:cs="Times New Roman"/>
          <w:kern w:val="0"/>
          <w14:ligatures w14:val="none"/>
        </w:rPr>
        <w:t xml:space="preserve"> (cellulase) and </w:t>
      </w:r>
      <w:proofErr w:type="spellStart"/>
      <w:r w:rsidRPr="008B7B0E">
        <w:rPr>
          <w:rFonts w:ascii="Times New Roman" w:eastAsia="Times New Roman" w:hAnsi="Times New Roman" w:cs="Times New Roman"/>
          <w:i/>
          <w:iCs/>
          <w:kern w:val="0"/>
          <w14:ligatures w14:val="none"/>
        </w:rPr>
        <w:t>chiA</w:t>
      </w:r>
      <w:proofErr w:type="spellEnd"/>
      <w:r w:rsidRPr="008B7B0E">
        <w:rPr>
          <w:rFonts w:ascii="Times New Roman" w:eastAsia="Times New Roman" w:hAnsi="Times New Roman" w:cs="Times New Roman"/>
          <w:kern w:val="0"/>
          <w14:ligatures w14:val="none"/>
        </w:rPr>
        <w:t xml:space="preserve"> (chitinase), indicate the capacity for organic matter decomposition (Baldrian et al., 2011). Enzymatic assays complement gene-based data by measuring actual microbial activity. For example, dehydrogenase activity reflects general microbial oxidative metabolism, while β-glucosidase activity is commonly used to assess cellulose degradation and overall carbon turnover (Burns et al., 2013).</w:t>
      </w:r>
    </w:p>
    <w:p w14:paraId="145FDA64"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Advances in metagenomics and meta-transcriptomics allow researchers to profile both the genetic potential and the active expression of microbial functions (Trivedi et al., 2016). These approaches help map microbial metabolic pathways using databases such as KEGG and COG, making it possible to link community function to soil health outcomes (Langille et al., 2013). For instance, increased abundance of the </w:t>
      </w:r>
      <w:proofErr w:type="spellStart"/>
      <w:r w:rsidRPr="008B7B0E">
        <w:rPr>
          <w:rFonts w:ascii="Times New Roman" w:eastAsia="Times New Roman" w:hAnsi="Times New Roman" w:cs="Times New Roman"/>
          <w:i/>
          <w:iCs/>
          <w:kern w:val="0"/>
          <w14:ligatures w14:val="none"/>
        </w:rPr>
        <w:t>phoD</w:t>
      </w:r>
      <w:proofErr w:type="spellEnd"/>
      <w:r w:rsidRPr="008B7B0E">
        <w:rPr>
          <w:rFonts w:ascii="Times New Roman" w:eastAsia="Times New Roman" w:hAnsi="Times New Roman" w:cs="Times New Roman"/>
          <w:kern w:val="0"/>
          <w14:ligatures w14:val="none"/>
        </w:rPr>
        <w:t xml:space="preserve"> gene has been associated with enhanced mineralization of organic phosphorus, supporting plant nutrient availability (Fraser et al., 2015).</w:t>
      </w:r>
    </w:p>
    <w:p w14:paraId="1CA4300B"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Despite their value, functional biomarkers must be interpreted cautiously. Gene presence does not always reflect active expression, and enzyme activity can be affected by environmental conditions such as temperature, moisture, and pH (</w:t>
      </w:r>
      <w:proofErr w:type="spellStart"/>
      <w:r w:rsidRPr="008B7B0E">
        <w:rPr>
          <w:rFonts w:ascii="Times New Roman" w:eastAsia="Times New Roman" w:hAnsi="Times New Roman" w:cs="Times New Roman"/>
          <w:kern w:val="0"/>
          <w14:ligatures w14:val="none"/>
        </w:rPr>
        <w:t>Nannipieri</w:t>
      </w:r>
      <w:proofErr w:type="spellEnd"/>
      <w:r w:rsidRPr="008B7B0E">
        <w:rPr>
          <w:rFonts w:ascii="Times New Roman" w:eastAsia="Times New Roman" w:hAnsi="Times New Roman" w:cs="Times New Roman"/>
          <w:kern w:val="0"/>
          <w14:ligatures w14:val="none"/>
        </w:rPr>
        <w:t xml:space="preserve"> et al., 2018). Moreover, gene redundancy and functional overlap between taxa can complicate attribution of specific functions. Combining gene-based approaches with enzyme activity measurements helps overcome these limitations and provides a more complete assessment of microbial contributions to soil function (</w:t>
      </w:r>
      <w:proofErr w:type="spellStart"/>
      <w:r w:rsidRPr="008B7B0E">
        <w:rPr>
          <w:rFonts w:ascii="Times New Roman" w:eastAsia="Times New Roman" w:hAnsi="Times New Roman" w:cs="Times New Roman"/>
          <w:kern w:val="0"/>
          <w14:ligatures w14:val="none"/>
        </w:rPr>
        <w:t>Oburger</w:t>
      </w:r>
      <w:proofErr w:type="spellEnd"/>
      <w:r w:rsidRPr="008B7B0E">
        <w:rPr>
          <w:rFonts w:ascii="Times New Roman" w:eastAsia="Times New Roman" w:hAnsi="Times New Roman" w:cs="Times New Roman"/>
          <w:kern w:val="0"/>
          <w14:ligatures w14:val="none"/>
        </w:rPr>
        <w:t xml:space="preserve"> &amp; Jones, 2018).</w:t>
      </w:r>
    </w:p>
    <w:p w14:paraId="4D8D12CF" w14:textId="08779ADC" w:rsidR="002E25DC" w:rsidRPr="008B7B0E" w:rsidRDefault="00BC0E04"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2.1.3 </w:t>
      </w:r>
      <w:r w:rsidR="002E25DC" w:rsidRPr="008B7B0E">
        <w:rPr>
          <w:rFonts w:ascii="Times New Roman" w:eastAsia="Times New Roman" w:hAnsi="Times New Roman" w:cs="Times New Roman"/>
          <w:b/>
          <w:bCs/>
          <w:kern w:val="0"/>
          <w14:ligatures w14:val="none"/>
        </w:rPr>
        <w:t>Enzymatic Biomarkers: β-Glucosidase as an Indicator of Carbon Turnover</w:t>
      </w:r>
    </w:p>
    <w:p w14:paraId="38177793"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β-glucosidase is a key enzyme involved in cellulose degradation and is widely used as a biomarker for assessing carbon cycling in soils. It catalyzes the final step in cellulose breakdown by converting cellobiose into glucose, a process essential for microbial access to carbon substrates (Burns et al., 2013). β-glucosidase activity strongly correlates with soil organic carbon </w:t>
      </w:r>
      <w:r w:rsidRPr="008B7B0E">
        <w:rPr>
          <w:rFonts w:ascii="Times New Roman" w:eastAsia="Times New Roman" w:hAnsi="Times New Roman" w:cs="Times New Roman"/>
          <w:kern w:val="0"/>
          <w14:ligatures w14:val="none"/>
        </w:rPr>
        <w:lastRenderedPageBreak/>
        <w:t>mineralization, explaining a large proportion (62-85%) of decomposition variability across different agricultural soils (Zhou et al., 2020).</w:t>
      </w:r>
    </w:p>
    <w:p w14:paraId="77531D36"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One of the advantages of β-glucosidase is its ability to measure actual microbial activity rather than genetic potential. Unlike DNA-based methods, enzyme assays provide a real-time indicator of microbial decomposition processes (</w:t>
      </w:r>
      <w:proofErr w:type="spellStart"/>
      <w:r w:rsidRPr="008B7B0E">
        <w:rPr>
          <w:rFonts w:ascii="Times New Roman" w:eastAsia="Times New Roman" w:hAnsi="Times New Roman" w:cs="Times New Roman"/>
          <w:kern w:val="0"/>
          <w14:ligatures w14:val="none"/>
        </w:rPr>
        <w:t>Nannipieri</w:t>
      </w:r>
      <w:proofErr w:type="spellEnd"/>
      <w:r w:rsidRPr="008B7B0E">
        <w:rPr>
          <w:rFonts w:ascii="Times New Roman" w:eastAsia="Times New Roman" w:hAnsi="Times New Roman" w:cs="Times New Roman"/>
          <w:kern w:val="0"/>
          <w14:ligatures w14:val="none"/>
        </w:rPr>
        <w:t xml:space="preserve"> et al., 2018). The enzyme is also sensitive to changes in land management. For example, no-till practices tend to double β-glucosidase activity compared to conventional tillage, and organic amendments can further increase this effect (Luo et al., 2018). β-glucosidase activity also responds to environmental changes, such as rising temperatures. A warming of just 2°C can lead to a 30% increase in activity, raising concerns about accelerated soil carbon loss under climate change (Sinsabaugh et al., 2021).</w:t>
      </w:r>
    </w:p>
    <w:p w14:paraId="4A94A684"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However, several limitations should be considered when using β-glucosidase as an indicator. Its activity is pH-dependent, with optimal performance occurring between pH 6 and 7. Soils outside this range may show reduced activity regardless of microbial potential (German et al., 2011). In addition, while β-glucosidase quantifies decomposition rates, it does not identify the microbial taxa responsible. Pairing enzyme assays with gene analysis, such as quantification of </w:t>
      </w:r>
      <w:r w:rsidRPr="008B7B0E">
        <w:rPr>
          <w:rFonts w:ascii="Times New Roman" w:eastAsia="Times New Roman" w:hAnsi="Times New Roman" w:cs="Times New Roman"/>
          <w:i/>
          <w:iCs/>
          <w:kern w:val="0"/>
          <w14:ligatures w14:val="none"/>
        </w:rPr>
        <w:t>cel48</w:t>
      </w:r>
      <w:r w:rsidRPr="008B7B0E">
        <w:rPr>
          <w:rFonts w:ascii="Times New Roman" w:eastAsia="Times New Roman" w:hAnsi="Times New Roman" w:cs="Times New Roman"/>
          <w:kern w:val="0"/>
          <w14:ligatures w14:val="none"/>
        </w:rPr>
        <w:t>, can help address this gap (Baldrian et al., 2011). The adoption of ISO 20130:2018 has improved standardization of β-glucosidase measurements, making it a reliable and widely applicable tool for monitoring soil carbon dynamics and overall soil health.</w:t>
      </w:r>
    </w:p>
    <w:p w14:paraId="43C4E035" w14:textId="0F2739F3" w:rsidR="002E25DC" w:rsidRPr="008B7B0E" w:rsidRDefault="00BC0E04"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2.1.4 </w:t>
      </w:r>
      <w:r w:rsidR="002E25DC" w:rsidRPr="008B7B0E">
        <w:rPr>
          <w:rFonts w:ascii="Times New Roman" w:eastAsia="Times New Roman" w:hAnsi="Times New Roman" w:cs="Times New Roman"/>
          <w:b/>
          <w:bCs/>
          <w:kern w:val="0"/>
          <w14:ligatures w14:val="none"/>
        </w:rPr>
        <w:t>Gaps in Knowledge</w:t>
      </w:r>
    </w:p>
    <w:p w14:paraId="72DA2B51" w14:textId="2AD732F4" w:rsidR="002E25DC" w:rsidRPr="008B7B0E" w:rsidRDefault="00BC0E04"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2.1.4. 1 </w:t>
      </w:r>
      <w:r w:rsidR="002E25DC" w:rsidRPr="008B7B0E">
        <w:rPr>
          <w:rFonts w:ascii="Times New Roman" w:eastAsia="Times New Roman" w:hAnsi="Times New Roman" w:cs="Times New Roman"/>
          <w:b/>
          <w:bCs/>
          <w:kern w:val="0"/>
          <w14:ligatures w14:val="none"/>
        </w:rPr>
        <w:t>Lack of Standardized Protocols</w:t>
      </w:r>
    </w:p>
    <w:p w14:paraId="36BCA901"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A major limitation in the use of microbial biomarkers for soil health assessment is the lack of standardized protocols across studies (</w:t>
      </w:r>
      <w:proofErr w:type="spellStart"/>
      <w:r w:rsidRPr="008B7B0E">
        <w:rPr>
          <w:rFonts w:ascii="Times New Roman" w:eastAsia="Times New Roman" w:hAnsi="Times New Roman" w:cs="Times New Roman"/>
          <w:kern w:val="0"/>
          <w14:ligatures w14:val="none"/>
        </w:rPr>
        <w:t>Nannipieri</w:t>
      </w:r>
      <w:proofErr w:type="spellEnd"/>
      <w:r w:rsidRPr="008B7B0E">
        <w:rPr>
          <w:rFonts w:ascii="Times New Roman" w:eastAsia="Times New Roman" w:hAnsi="Times New Roman" w:cs="Times New Roman"/>
          <w:kern w:val="0"/>
          <w14:ligatures w14:val="none"/>
        </w:rPr>
        <w:t xml:space="preserve"> et al., 2020). Methods differ in how samples are collected, including variation in sampling depth, timing, and field conditions. Laboratory procedures such as DNA extraction, sequencing platforms, and bioinformatic processing also vary, with inconsistent choices of primers, clustering thresholds, and taxonomic databases (Hermans et al., 2021). These inconsistencies make it difficult to compare results across studies or aggregate data for broader analyses.</w:t>
      </w:r>
    </w:p>
    <w:p w14:paraId="7EAC5876"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Enzyme assays present similar issues. Differences in substrate concentration, buffer composition, incubation temperature and duration, and the way results are reported all contribute to variability (Dick et al., 2018). Although projects like the Earth Microbiome Project have established general guidelines for sequencing-based studies (Thompson et al., 2017), equivalent standards for functional biomarker assays are lacking.</w:t>
      </w:r>
    </w:p>
    <w:p w14:paraId="34CAA38D"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This lack of standardization limits the development of reliable soil health benchmarks and makes it difficult to conduct large-scale meta-analyses or establish threshold values for practical application (Lehmann et al., 2020). Some progress has been made with the introduction of ISO standards for selected molecular and enzymatic methods, and organizations such as the Soil Health Institute have begun to coordinate efforts to define best practices (</w:t>
      </w:r>
      <w:proofErr w:type="spellStart"/>
      <w:r w:rsidRPr="008B7B0E">
        <w:rPr>
          <w:rFonts w:ascii="Times New Roman" w:eastAsia="Times New Roman" w:hAnsi="Times New Roman" w:cs="Times New Roman"/>
          <w:kern w:val="0"/>
          <w14:ligatures w14:val="none"/>
        </w:rPr>
        <w:t>Rinot</w:t>
      </w:r>
      <w:proofErr w:type="spellEnd"/>
      <w:r w:rsidRPr="008B7B0E">
        <w:rPr>
          <w:rFonts w:ascii="Times New Roman" w:eastAsia="Times New Roman" w:hAnsi="Times New Roman" w:cs="Times New Roman"/>
          <w:kern w:val="0"/>
          <w14:ligatures w14:val="none"/>
        </w:rPr>
        <w:t xml:space="preserve"> et al., 2019). In the meantime, researchers should provide detailed methodological documentation to allow for reproducibility and cross-study interpretation (Prosser, 2020).</w:t>
      </w:r>
    </w:p>
    <w:p w14:paraId="5CF1154A" w14:textId="64727E02" w:rsidR="002E25DC" w:rsidRPr="008B7B0E" w:rsidRDefault="00BC0E04"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lastRenderedPageBreak/>
        <w:t xml:space="preserve">2.1.4.2 </w:t>
      </w:r>
      <w:r w:rsidR="002E25DC" w:rsidRPr="008B7B0E">
        <w:rPr>
          <w:rFonts w:ascii="Times New Roman" w:eastAsia="Times New Roman" w:hAnsi="Times New Roman" w:cs="Times New Roman"/>
          <w:b/>
          <w:bCs/>
          <w:kern w:val="0"/>
          <w14:ligatures w14:val="none"/>
        </w:rPr>
        <w:t>Poor Correlation Between Lab-Measured Biomarkers and Field-Scale Soil Health</w:t>
      </w:r>
    </w:p>
    <w:p w14:paraId="27CA9326"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Another unresolved issue is the limited correlation between microbial biomarkers measured under laboratory conditions and soil health outcomes observed in the field (Lehmann et al., 2020). While laboratory assays offer precise measurements of microbial gene abundance or enzyme activity, these results do not always align with field indicators such as crop productivity, nutrient availability, or resilience to stress (</w:t>
      </w:r>
      <w:proofErr w:type="spellStart"/>
      <w:r w:rsidRPr="008B7B0E">
        <w:rPr>
          <w:rFonts w:ascii="Times New Roman" w:eastAsia="Times New Roman" w:hAnsi="Times New Roman" w:cs="Times New Roman"/>
          <w:kern w:val="0"/>
          <w14:ligatures w14:val="none"/>
        </w:rPr>
        <w:t>Nannipieri</w:t>
      </w:r>
      <w:proofErr w:type="spellEnd"/>
      <w:r w:rsidRPr="008B7B0E">
        <w:rPr>
          <w:rFonts w:ascii="Times New Roman" w:eastAsia="Times New Roman" w:hAnsi="Times New Roman" w:cs="Times New Roman"/>
          <w:kern w:val="0"/>
          <w14:ligatures w14:val="none"/>
        </w:rPr>
        <w:t xml:space="preserve"> et al., 2018). The discrepancy arises because laboratory assays are typically performed on homogenized, sieved soils under controlled conditions. These tests do not account for environmental heterogeneity, seasonal variation, or interactions between soil microbes and living plants (Ritz et al., 2009).</w:t>
      </w:r>
    </w:p>
    <w:p w14:paraId="217BD56D"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For example, dehydrogenase activity might predict microbial respiration in a laboratory incubation but show little or no association with organic matter decomposition in agricultural fields where factors like soil compaction, irrigation, and fertilization regimes play major roles (Dick et al., 2018). Bridging this lab–field gap requires new approaches, including in situ measurements using biosensors and multi-scale experimental designs that integrate plot-level assays with landscape-scale monitoring (</w:t>
      </w:r>
      <w:proofErr w:type="spellStart"/>
      <w:r w:rsidRPr="008B7B0E">
        <w:rPr>
          <w:rFonts w:ascii="Times New Roman" w:eastAsia="Times New Roman" w:hAnsi="Times New Roman" w:cs="Times New Roman"/>
          <w:kern w:val="0"/>
          <w14:ligatures w14:val="none"/>
        </w:rPr>
        <w:t>Oburger</w:t>
      </w:r>
      <w:proofErr w:type="spellEnd"/>
      <w:r w:rsidRPr="008B7B0E">
        <w:rPr>
          <w:rFonts w:ascii="Times New Roman" w:eastAsia="Times New Roman" w:hAnsi="Times New Roman" w:cs="Times New Roman"/>
          <w:kern w:val="0"/>
          <w14:ligatures w14:val="none"/>
        </w:rPr>
        <w:t xml:space="preserve"> &amp; Schmidt, 2016). Until such methods are widely available and validated, it is important to interpret laboratory biomarker data with caution when applying results to field-scale management decisions (Prosser, 2020).</w:t>
      </w:r>
    </w:p>
    <w:p w14:paraId="26B7680D" w14:textId="434EC32E" w:rsidR="002E25DC" w:rsidRPr="008B7B0E" w:rsidRDefault="00BC0E04"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2.1.4.3 </w:t>
      </w:r>
      <w:r w:rsidR="002E25DC" w:rsidRPr="008B7B0E">
        <w:rPr>
          <w:rFonts w:ascii="Times New Roman" w:eastAsia="Times New Roman" w:hAnsi="Times New Roman" w:cs="Times New Roman"/>
          <w:b/>
          <w:bCs/>
          <w:kern w:val="0"/>
          <w14:ligatures w14:val="none"/>
        </w:rPr>
        <w:t>Limited Studies on Anaerobic and Extreme Environments</w:t>
      </w:r>
    </w:p>
    <w:p w14:paraId="651F9010"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Much of what is known about microbial biomarkers in soil is based on studies conducted in aerobic, temperate systems. As a result, anaerobic and extreme environments remain underrepresented in the literature (Fierer, 2017). These include waterlogged wetlands, frozen soils, saline deserts, and other marginal habitats that host distinct microbial communities with specialized functions (Jansson &amp; </w:t>
      </w:r>
      <w:proofErr w:type="spellStart"/>
      <w:r w:rsidRPr="008B7B0E">
        <w:rPr>
          <w:rFonts w:ascii="Times New Roman" w:eastAsia="Times New Roman" w:hAnsi="Times New Roman" w:cs="Times New Roman"/>
          <w:kern w:val="0"/>
          <w14:ligatures w14:val="none"/>
        </w:rPr>
        <w:t>Hofmockel</w:t>
      </w:r>
      <w:proofErr w:type="spellEnd"/>
      <w:r w:rsidRPr="008B7B0E">
        <w:rPr>
          <w:rFonts w:ascii="Times New Roman" w:eastAsia="Times New Roman" w:hAnsi="Times New Roman" w:cs="Times New Roman"/>
          <w:kern w:val="0"/>
          <w14:ligatures w14:val="none"/>
        </w:rPr>
        <w:t>, 2020). Methanogenic archaea, for instance, play key roles in carbon cycling in anaerobic soils but are rarely included in routine soil health evaluations (Tveit et al., 2019). Likewise, microbial adaptations to high salinity or acidity in desert and volcanic soils are poorly characterized, despite their relevance for agriculture in degraded or arid regions (Crits-Christoph et al., 2016).</w:t>
      </w:r>
    </w:p>
    <w:p w14:paraId="1B1B344B"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These systems are especially sensitive to climate change, which may alter microbial community structure and function in ways that are not yet understood due to a lack of baseline data (Hultman et al., 2015). Technical challenges in sampling, processing, and culturing microorganisms from anaerobic or extreme environments have slowed progress (Lynch &amp; Neufeld, 2015). However, expanding biomarker research into these ecosystems is essential for developing soil health indicators that reflect the full range of microbial diversity and ecosystem processes across the planet (Bahram et al., 2018).</w:t>
      </w:r>
    </w:p>
    <w:p w14:paraId="68A8D63F" w14:textId="316D062D" w:rsidR="002E25DC" w:rsidRPr="008B7B0E" w:rsidRDefault="00BC0E04"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3. </w:t>
      </w:r>
      <w:r w:rsidR="00EC1001" w:rsidRPr="008B7B0E">
        <w:rPr>
          <w:rFonts w:ascii="Times New Roman" w:eastAsia="Times New Roman" w:hAnsi="Times New Roman" w:cs="Times New Roman"/>
          <w:b/>
          <w:bCs/>
          <w:kern w:val="0"/>
          <w14:ligatures w14:val="none"/>
        </w:rPr>
        <w:t>METHODOLOGY</w:t>
      </w:r>
    </w:p>
    <w:p w14:paraId="30300E1F" w14:textId="45A0BFF6" w:rsidR="002E25DC" w:rsidRPr="008B7B0E" w:rsidRDefault="00BC0E04"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3.1 </w:t>
      </w:r>
      <w:r w:rsidR="002E25DC" w:rsidRPr="008B7B0E">
        <w:rPr>
          <w:rFonts w:ascii="Times New Roman" w:eastAsia="Times New Roman" w:hAnsi="Times New Roman" w:cs="Times New Roman"/>
          <w:b/>
          <w:bCs/>
          <w:kern w:val="0"/>
          <w14:ligatures w14:val="none"/>
        </w:rPr>
        <w:t>Databases Used</w:t>
      </w:r>
    </w:p>
    <w:p w14:paraId="3E9A8FEE"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This review draws on three major academic databases to provide comprehensive coverage of microbial biomarker research in soil health: Scopus, Web of Science (</w:t>
      </w:r>
      <w:proofErr w:type="spellStart"/>
      <w:r w:rsidRPr="008B7B0E">
        <w:rPr>
          <w:rFonts w:ascii="Times New Roman" w:eastAsia="Times New Roman" w:hAnsi="Times New Roman" w:cs="Times New Roman"/>
          <w:kern w:val="0"/>
          <w14:ligatures w14:val="none"/>
        </w:rPr>
        <w:t>WoS</w:t>
      </w:r>
      <w:proofErr w:type="spellEnd"/>
      <w:r w:rsidRPr="008B7B0E">
        <w:rPr>
          <w:rFonts w:ascii="Times New Roman" w:eastAsia="Times New Roman" w:hAnsi="Times New Roman" w:cs="Times New Roman"/>
          <w:kern w:val="0"/>
          <w14:ligatures w14:val="none"/>
        </w:rPr>
        <w:t xml:space="preserve">), and PubMed. These </w:t>
      </w:r>
      <w:r w:rsidRPr="008B7B0E">
        <w:rPr>
          <w:rFonts w:ascii="Times New Roman" w:eastAsia="Times New Roman" w:hAnsi="Times New Roman" w:cs="Times New Roman"/>
          <w:kern w:val="0"/>
          <w14:ligatures w14:val="none"/>
        </w:rPr>
        <w:lastRenderedPageBreak/>
        <w:t>platforms were selected for their relevance to environmental microbiology, soil science, and biotechnology.</w:t>
      </w:r>
    </w:p>
    <w:p w14:paraId="4A90810A"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Scopus (Elsevier) was used for its broad interdisciplinary indexing and advanced filtering tools, which enabled precise searches based on keywords, publication years, and document types. Web of Science (Clarivate) was selected for its curated citation data, which allowed tracking of influential studies and long-term research trends. The use of the "Core Collection" ensured the inclusion of peer-reviewed literature from established journals. PubMed (NIH/NLM) complemented these resources by capturing research at the intersection of microbial ecology, plant health, and soil function, with a particular focus on microbial physiology and molecular methods.</w:t>
      </w:r>
    </w:p>
    <w:p w14:paraId="24B345D6"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Each database was queried using consistent search terms (e.g., “soil health” AND “microbial biomarkers”), with results screened for relevance. Scopus and </w:t>
      </w:r>
      <w:proofErr w:type="spellStart"/>
      <w:r w:rsidRPr="008B7B0E">
        <w:rPr>
          <w:rFonts w:ascii="Times New Roman" w:eastAsia="Times New Roman" w:hAnsi="Times New Roman" w:cs="Times New Roman"/>
          <w:kern w:val="0"/>
          <w14:ligatures w14:val="none"/>
        </w:rPr>
        <w:t>WoS</w:t>
      </w:r>
      <w:proofErr w:type="spellEnd"/>
      <w:r w:rsidRPr="008B7B0E">
        <w:rPr>
          <w:rFonts w:ascii="Times New Roman" w:eastAsia="Times New Roman" w:hAnsi="Times New Roman" w:cs="Times New Roman"/>
          <w:kern w:val="0"/>
          <w14:ligatures w14:val="none"/>
        </w:rPr>
        <w:t xml:space="preserve"> provided broad coverage of agricultural and environmental studies, while PubMed added depth in microbial functional genomics. This multi-database approach helped minimize selection bias and supported a balanced representation of global research efforts.</w:t>
      </w:r>
    </w:p>
    <w:p w14:paraId="0C8AD71F" w14:textId="2C261AEA" w:rsidR="002E25DC" w:rsidRPr="008B7B0E" w:rsidRDefault="00BC0E04"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3.2 </w:t>
      </w:r>
      <w:r w:rsidR="002E25DC" w:rsidRPr="008B7B0E">
        <w:rPr>
          <w:rFonts w:ascii="Times New Roman" w:eastAsia="Times New Roman" w:hAnsi="Times New Roman" w:cs="Times New Roman"/>
          <w:b/>
          <w:bCs/>
          <w:kern w:val="0"/>
          <w14:ligatures w14:val="none"/>
        </w:rPr>
        <w:t>Inclusion Criteria</w:t>
      </w:r>
    </w:p>
    <w:p w14:paraId="456B7277"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Literature selection followed strict inclusion criteria to ensure the relevance and quality of the studies reviewed. Only peer-reviewed research articles published between 2010 and 2024 were included. This time frame was chosen to reflect recent developments in sequencing technologies, molecular tools, and data analysis platforms used in microbial ecology.</w:t>
      </w:r>
    </w:p>
    <w:p w14:paraId="46130D88" w14:textId="37944C40"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Eligible studies focused on agricultural or natural ecosystem soils. Research based solely on contaminated, urban, or synthetic soils was excluded unless field validation was provided. Studies were required to establish clear links between microbial biomarkers</w:t>
      </w:r>
      <w:r w:rsidR="00010868">
        <w:rPr>
          <w:rFonts w:ascii="Times New Roman" w:eastAsia="Times New Roman" w:hAnsi="Times New Roman" w:cs="Times New Roman"/>
          <w:kern w:val="0"/>
          <w14:ligatures w14:val="none"/>
        </w:rPr>
        <w:t xml:space="preserve"> </w:t>
      </w:r>
      <w:r w:rsidRPr="008B7B0E">
        <w:rPr>
          <w:rFonts w:ascii="Times New Roman" w:eastAsia="Times New Roman" w:hAnsi="Times New Roman" w:cs="Times New Roman"/>
          <w:kern w:val="0"/>
          <w14:ligatures w14:val="none"/>
        </w:rPr>
        <w:t>whether taxonomic, functional, or metabolic</w:t>
      </w:r>
      <w:r w:rsidR="00010868">
        <w:rPr>
          <w:rFonts w:ascii="Times New Roman" w:eastAsia="Times New Roman" w:hAnsi="Times New Roman" w:cs="Times New Roman"/>
          <w:kern w:val="0"/>
          <w14:ligatures w14:val="none"/>
        </w:rPr>
        <w:t xml:space="preserve"> </w:t>
      </w:r>
      <w:r w:rsidRPr="008B7B0E">
        <w:rPr>
          <w:rFonts w:ascii="Times New Roman" w:eastAsia="Times New Roman" w:hAnsi="Times New Roman" w:cs="Times New Roman"/>
          <w:kern w:val="0"/>
          <w14:ligatures w14:val="none"/>
        </w:rPr>
        <w:t>and measurable soil health outcomes such as nutrient availability, organic matter dynamics, or crop productivity.</w:t>
      </w:r>
    </w:p>
    <w:p w14:paraId="63FAED20"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Additional inclusion criteria were applied to ensure methodological transparency and reproducibility. Only studies that reported protocols in sufficient detail, including DNA extraction methods, primer sets, sequencing platforms, and enzyme assay conditions, were considered. Geographical diversity was prioritized to account for context-dependent patterns and to identify both generalizable and region-specific biomarkers. Preference was given to studies with publicly available data that could support future meta-analyses and independent verification.</w:t>
      </w:r>
    </w:p>
    <w:p w14:paraId="2C67D2D9"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Review articles, conceptual papers, and studies lacking original data or statistical analysis were excluded. This filtering process was designed to ensure the review focused on robust, field-relevant findings.</w:t>
      </w:r>
    </w:p>
    <w:p w14:paraId="261089BA" w14:textId="4BDDB764" w:rsidR="002E25DC" w:rsidRPr="008B7B0E" w:rsidRDefault="00BC0E04"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3.3 </w:t>
      </w:r>
      <w:r w:rsidR="002E25DC" w:rsidRPr="008B7B0E">
        <w:rPr>
          <w:rFonts w:ascii="Times New Roman" w:eastAsia="Times New Roman" w:hAnsi="Times New Roman" w:cs="Times New Roman"/>
          <w:b/>
          <w:bCs/>
          <w:kern w:val="0"/>
          <w14:ligatures w14:val="none"/>
        </w:rPr>
        <w:t>Statistical Analysis</w:t>
      </w:r>
    </w:p>
    <w:p w14:paraId="63807591" w14:textId="0FB2626B"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Quantitative synthesis focused on identifying consistent trends across microbial community structure, function, and soil health outcomes. Diversity indices (Shannon, Simpson, Chao1) were compared across studies to evaluate microbial richness and evenness under different soil </w:t>
      </w:r>
      <w:r w:rsidRPr="008B7B0E">
        <w:rPr>
          <w:rFonts w:ascii="Times New Roman" w:eastAsia="Times New Roman" w:hAnsi="Times New Roman" w:cs="Times New Roman"/>
          <w:kern w:val="0"/>
          <w14:ligatures w14:val="none"/>
        </w:rPr>
        <w:lastRenderedPageBreak/>
        <w:t>conditions and management practices. Correlation tests (Pearson and Spearman) were used to explore relationships between microbial markers</w:t>
      </w:r>
      <w:r w:rsidR="00010868">
        <w:rPr>
          <w:rFonts w:ascii="Times New Roman" w:eastAsia="Times New Roman" w:hAnsi="Times New Roman" w:cs="Times New Roman"/>
          <w:kern w:val="0"/>
          <w14:ligatures w14:val="none"/>
        </w:rPr>
        <w:t xml:space="preserve"> </w:t>
      </w:r>
      <w:r w:rsidRPr="008B7B0E">
        <w:rPr>
          <w:rFonts w:ascii="Times New Roman" w:eastAsia="Times New Roman" w:hAnsi="Times New Roman" w:cs="Times New Roman"/>
          <w:kern w:val="0"/>
          <w14:ligatures w14:val="none"/>
        </w:rPr>
        <w:t>such as gene abundances and enzyme activities</w:t>
      </w:r>
      <w:r w:rsidR="00010868">
        <w:rPr>
          <w:rFonts w:ascii="Times New Roman" w:eastAsia="Times New Roman" w:hAnsi="Times New Roman" w:cs="Times New Roman"/>
          <w:kern w:val="0"/>
          <w14:ligatures w14:val="none"/>
        </w:rPr>
        <w:t xml:space="preserve"> </w:t>
      </w:r>
      <w:r w:rsidRPr="008B7B0E">
        <w:rPr>
          <w:rFonts w:ascii="Times New Roman" w:eastAsia="Times New Roman" w:hAnsi="Times New Roman" w:cs="Times New Roman"/>
          <w:kern w:val="0"/>
          <w14:ligatures w14:val="none"/>
        </w:rPr>
        <w:t>and soil properties, including organic carbon content and crop yield.</w:t>
      </w:r>
    </w:p>
    <w:p w14:paraId="522B2313"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Where appropriate, meta-regression analyses examined how variables such as climate zone, soil type, or land management influenced microbial responses. For studies involving high-throughput sequencing (e.g., 16S rRNA, ITS), multivariate statistical tools such as Principal Component Analysis (PCA) and Permutational Multivariate Analysis of Variance (PERMANOVA) were used to identify taxa and community patterns associated with soil function. Several recent studies also applied machine learning techniques, including random forest classifiers and neural networks, to predict soil quality based on microbial profiles.</w:t>
      </w:r>
    </w:p>
    <w:p w14:paraId="5BED8337"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Effect sizes (Hedges’ g) were extracted where possible to assess the strength of treatment effects, such as the impact of tillage or organic amendments on microbial activity. Publication bias was evaluated using funnel plots and sensitivity analyses.</w:t>
      </w:r>
    </w:p>
    <w:p w14:paraId="41CFC3BA"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Statistical tools included R (packages: </w:t>
      </w:r>
      <w:r w:rsidRPr="008B7B0E">
        <w:rPr>
          <w:rFonts w:ascii="Times New Roman" w:eastAsia="Times New Roman" w:hAnsi="Times New Roman" w:cs="Times New Roman"/>
          <w:i/>
          <w:iCs/>
          <w:kern w:val="0"/>
          <w14:ligatures w14:val="none"/>
        </w:rPr>
        <w:t>vegan</w:t>
      </w:r>
      <w:r w:rsidRPr="008B7B0E">
        <w:rPr>
          <w:rFonts w:ascii="Times New Roman" w:eastAsia="Times New Roman" w:hAnsi="Times New Roman" w:cs="Times New Roman"/>
          <w:kern w:val="0"/>
          <w14:ligatures w14:val="none"/>
        </w:rPr>
        <w:t xml:space="preserve">, </w:t>
      </w:r>
      <w:proofErr w:type="spellStart"/>
      <w:r w:rsidRPr="008B7B0E">
        <w:rPr>
          <w:rFonts w:ascii="Times New Roman" w:eastAsia="Times New Roman" w:hAnsi="Times New Roman" w:cs="Times New Roman"/>
          <w:i/>
          <w:iCs/>
          <w:kern w:val="0"/>
          <w14:ligatures w14:val="none"/>
        </w:rPr>
        <w:t>metafor</w:t>
      </w:r>
      <w:proofErr w:type="spellEnd"/>
      <w:r w:rsidRPr="008B7B0E">
        <w:rPr>
          <w:rFonts w:ascii="Times New Roman" w:eastAsia="Times New Roman" w:hAnsi="Times New Roman" w:cs="Times New Roman"/>
          <w:kern w:val="0"/>
          <w14:ligatures w14:val="none"/>
        </w:rPr>
        <w:t>), QIIME2 for microbial community analysis, and STAMP for functional profile comparisons. Only studies reporting p-values &lt; 0.05 and confidence intervals for effect sizes were retained in the final analysis to ensure reliability.</w:t>
      </w:r>
    </w:p>
    <w:p w14:paraId="78B3C803" w14:textId="7F7BFD52" w:rsidR="001A27F1" w:rsidRPr="008B7B0E" w:rsidRDefault="00BC0E04" w:rsidP="002E25DC">
      <w:pPr>
        <w:pStyle w:val="ds-markdown-paragraph"/>
        <w:shd w:val="clear" w:color="auto" w:fill="FFFFFF"/>
        <w:spacing w:before="0" w:beforeAutospacing="0"/>
        <w:jc w:val="both"/>
        <w:rPr>
          <w:rStyle w:val="Strong"/>
          <w:rFonts w:eastAsiaTheme="majorEastAsia"/>
        </w:rPr>
      </w:pPr>
      <w:r>
        <w:rPr>
          <w:rStyle w:val="Strong"/>
          <w:rFonts w:eastAsiaTheme="majorEastAsia"/>
        </w:rPr>
        <w:t xml:space="preserve">4. </w:t>
      </w:r>
      <w:r w:rsidR="00EC1001" w:rsidRPr="008B7B0E">
        <w:rPr>
          <w:rStyle w:val="Strong"/>
          <w:rFonts w:eastAsiaTheme="majorEastAsia"/>
        </w:rPr>
        <w:t xml:space="preserve">RESULTS </w:t>
      </w:r>
    </w:p>
    <w:p w14:paraId="69377523" w14:textId="6186E74C" w:rsidR="002E25DC" w:rsidRPr="008B7B0E" w:rsidRDefault="00BC0E04"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4.1 </w:t>
      </w:r>
      <w:r w:rsidR="002E25DC" w:rsidRPr="008B7B0E">
        <w:rPr>
          <w:rFonts w:ascii="Times New Roman" w:eastAsia="Times New Roman" w:hAnsi="Times New Roman" w:cs="Times New Roman"/>
          <w:b/>
          <w:bCs/>
          <w:kern w:val="0"/>
          <w14:ligatures w14:val="none"/>
        </w:rPr>
        <w:t>Bacterial Biomarkers Most Commonly Used in Soil Health Assessment</w:t>
      </w:r>
    </w:p>
    <w:p w14:paraId="0F95A432" w14:textId="77777777" w:rsidR="002E25DC" w:rsidRPr="008B7B0E" w:rsidRDefault="002E25DC" w:rsidP="002E25DC">
      <w:pPr>
        <w:pStyle w:val="BodyText"/>
        <w:spacing w:before="100" w:beforeAutospacing="1" w:after="100" w:afterAutospacing="1" w:line="240" w:lineRule="auto"/>
      </w:pPr>
      <w:r w:rsidRPr="008B7B0E">
        <w:t>Across the reviewed literature, 16S rRNA gene sequencing remains the dominant method for evaluating bacterial communities in soil. This approach allows for taxonomic profiling at various levels, and when combined with diversity metrics, offers insight into microbial responses to land management and environmental change. The Shannon index, which incorporates both species richness and evenness, was reported in 78% of studies and is widely used to detect microbial shifts under agricultural intensification. A consistent decline in Shannon diversity was observed in systems with high chemical input or tillage pressure (</w:t>
      </w:r>
      <w:proofErr w:type="spellStart"/>
      <w:r w:rsidRPr="008B7B0E">
        <w:t>Lupatini</w:t>
      </w:r>
      <w:proofErr w:type="spellEnd"/>
      <w:r w:rsidRPr="008B7B0E">
        <w:t xml:space="preserve"> et al., 2017). The Chao1 index, focused on estimating species richness, was particularly effective in identifying rare or stress-sensitive taxa in degraded or nutrient-poor soils (Fierer et al., 2021).</w:t>
      </w:r>
    </w:p>
    <w:p w14:paraId="30338A91" w14:textId="4CD3C39C" w:rsidR="002E25DC" w:rsidRPr="008B7B0E" w:rsidRDefault="002E25DC" w:rsidP="002E25DC">
      <w:pPr>
        <w:shd w:val="clear" w:color="auto" w:fill="FFFFFF"/>
        <w:spacing w:before="100" w:beforeAutospacing="1" w:after="100" w:afterAutospacing="1" w:line="240" w:lineRule="auto"/>
        <w:jc w:val="both"/>
        <w:outlineLvl w:val="2"/>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These diversity indices were frequently combined with phylum-level ratios, particularly Proteobacteria:</w:t>
      </w:r>
      <w:r w:rsidR="00EC1001" w:rsidRPr="008B7B0E">
        <w:rPr>
          <w:rFonts w:ascii="Times New Roman" w:eastAsia="Times New Roman" w:hAnsi="Times New Roman" w:cs="Times New Roman"/>
          <w:kern w:val="0"/>
          <w14:ligatures w14:val="none"/>
        </w:rPr>
        <w:t xml:space="preserve"> </w:t>
      </w:r>
      <w:proofErr w:type="spellStart"/>
      <w:r w:rsidRPr="008B7B0E">
        <w:rPr>
          <w:rFonts w:ascii="Times New Roman" w:eastAsia="Times New Roman" w:hAnsi="Times New Roman" w:cs="Times New Roman"/>
          <w:kern w:val="0"/>
          <w14:ligatures w14:val="none"/>
        </w:rPr>
        <w:t>Acidobacteria</w:t>
      </w:r>
      <w:proofErr w:type="spellEnd"/>
      <w:r w:rsidRPr="008B7B0E">
        <w:rPr>
          <w:rFonts w:ascii="Times New Roman" w:eastAsia="Times New Roman" w:hAnsi="Times New Roman" w:cs="Times New Roman"/>
          <w:kern w:val="0"/>
          <w14:ligatures w14:val="none"/>
        </w:rPr>
        <w:t xml:space="preserve">, which were used as indicators of nutrient status and disturbance. For example, high Proteobacteria abundance was linked to nutrient-enriched soils, while </w:t>
      </w:r>
      <w:proofErr w:type="spellStart"/>
      <w:r w:rsidRPr="008B7B0E">
        <w:rPr>
          <w:rFonts w:ascii="Times New Roman" w:eastAsia="Times New Roman" w:hAnsi="Times New Roman" w:cs="Times New Roman"/>
          <w:kern w:val="0"/>
          <w14:ligatures w14:val="none"/>
        </w:rPr>
        <w:t>Acidobacteria</w:t>
      </w:r>
      <w:proofErr w:type="spellEnd"/>
      <w:r w:rsidRPr="008B7B0E">
        <w:rPr>
          <w:rFonts w:ascii="Times New Roman" w:eastAsia="Times New Roman" w:hAnsi="Times New Roman" w:cs="Times New Roman"/>
          <w:kern w:val="0"/>
          <w14:ligatures w14:val="none"/>
        </w:rPr>
        <w:t xml:space="preserve"> often dominated under low-input or acidic conditions (Lauber et al., 2009). This combined taxonomic-diversity approach</w:t>
      </w:r>
      <w:r w:rsidR="00010868">
        <w:rPr>
          <w:rFonts w:ascii="Times New Roman" w:eastAsia="Times New Roman" w:hAnsi="Times New Roman" w:cs="Times New Roman"/>
          <w:kern w:val="0"/>
          <w14:ligatures w14:val="none"/>
        </w:rPr>
        <w:t xml:space="preserve"> (Table 1)</w:t>
      </w:r>
      <w:r w:rsidRPr="008B7B0E">
        <w:rPr>
          <w:rFonts w:ascii="Times New Roman" w:eastAsia="Times New Roman" w:hAnsi="Times New Roman" w:cs="Times New Roman"/>
          <w:kern w:val="0"/>
          <w14:ligatures w14:val="none"/>
        </w:rPr>
        <w:t xml:space="preserve"> allowed for more comprehensive assessments of both structural and compositional changes in microbial communities.</w:t>
      </w:r>
    </w:p>
    <w:p w14:paraId="1B0AE5C5" w14:textId="3DEFB65B" w:rsidR="001A27F1" w:rsidRPr="008B7B0E" w:rsidRDefault="001A27F1" w:rsidP="002E25DC">
      <w:pPr>
        <w:shd w:val="clear" w:color="auto" w:fill="FFFFFF"/>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8B7B0E">
        <w:rPr>
          <w:rFonts w:ascii="Times New Roman" w:eastAsia="Times New Roman" w:hAnsi="Times New Roman" w:cs="Times New Roman"/>
          <w:b/>
          <w:bCs/>
          <w:kern w:val="0"/>
          <w14:ligatures w14:val="none"/>
        </w:rPr>
        <w:t xml:space="preserve">Table 1: </w:t>
      </w:r>
      <w:r w:rsidRPr="008B7B0E">
        <w:rPr>
          <w:rFonts w:ascii="Times New Roman" w:eastAsia="Times New Roman" w:hAnsi="Times New Roman" w:cs="Times New Roman"/>
          <w:kern w:val="0"/>
          <w14:ligatures w14:val="none"/>
        </w:rPr>
        <w:t>Most Used Bacterial Biomarkers for Soil Health Assessment</w:t>
      </w:r>
    </w:p>
    <w:tbl>
      <w:tblPr>
        <w:tblStyle w:val="TableGrid"/>
        <w:tblW w:w="10207" w:type="dxa"/>
        <w:tblInd w:w="-289" w:type="dxa"/>
        <w:tblLayout w:type="fixed"/>
        <w:tblLook w:val="04A0" w:firstRow="1" w:lastRow="0" w:firstColumn="1" w:lastColumn="0" w:noHBand="0" w:noVBand="1"/>
      </w:tblPr>
      <w:tblGrid>
        <w:gridCol w:w="1560"/>
        <w:gridCol w:w="1418"/>
        <w:gridCol w:w="1701"/>
        <w:gridCol w:w="1701"/>
        <w:gridCol w:w="1275"/>
        <w:gridCol w:w="1418"/>
        <w:gridCol w:w="1134"/>
      </w:tblGrid>
      <w:tr w:rsidR="008B7B0E" w:rsidRPr="008B7B0E" w14:paraId="6E9B606F" w14:textId="77777777" w:rsidTr="001A27F1">
        <w:tc>
          <w:tcPr>
            <w:tcW w:w="1560" w:type="dxa"/>
            <w:hideMark/>
          </w:tcPr>
          <w:p w14:paraId="0C1D786F" w14:textId="77777777" w:rsidR="001A27F1" w:rsidRPr="008B7B0E" w:rsidRDefault="001A27F1" w:rsidP="0029487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Biomarker</w:t>
            </w:r>
          </w:p>
        </w:tc>
        <w:tc>
          <w:tcPr>
            <w:tcW w:w="1418" w:type="dxa"/>
            <w:hideMark/>
          </w:tcPr>
          <w:p w14:paraId="61A1E0D6" w14:textId="77777777" w:rsidR="001A27F1" w:rsidRPr="008B7B0E" w:rsidRDefault="001A27F1" w:rsidP="0029487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Application</w:t>
            </w:r>
          </w:p>
        </w:tc>
        <w:tc>
          <w:tcPr>
            <w:tcW w:w="1701" w:type="dxa"/>
            <w:hideMark/>
          </w:tcPr>
          <w:p w14:paraId="1A3B5985" w14:textId="77777777" w:rsidR="001A27F1" w:rsidRPr="008B7B0E" w:rsidRDefault="001A27F1" w:rsidP="0029487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Methodological Protocols</w:t>
            </w:r>
          </w:p>
        </w:tc>
        <w:tc>
          <w:tcPr>
            <w:tcW w:w="1701" w:type="dxa"/>
            <w:hideMark/>
          </w:tcPr>
          <w:p w14:paraId="71E60CBE" w14:textId="77777777" w:rsidR="001A27F1" w:rsidRPr="008B7B0E" w:rsidRDefault="001A27F1" w:rsidP="0029487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Case Studies</w:t>
            </w:r>
          </w:p>
        </w:tc>
        <w:tc>
          <w:tcPr>
            <w:tcW w:w="1275" w:type="dxa"/>
            <w:hideMark/>
          </w:tcPr>
          <w:p w14:paraId="2183D587" w14:textId="77777777" w:rsidR="001A27F1" w:rsidRPr="008B7B0E" w:rsidRDefault="001A27F1" w:rsidP="0029487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Strengths</w:t>
            </w:r>
          </w:p>
        </w:tc>
        <w:tc>
          <w:tcPr>
            <w:tcW w:w="1418" w:type="dxa"/>
            <w:hideMark/>
          </w:tcPr>
          <w:p w14:paraId="59A3634C" w14:textId="77777777" w:rsidR="001A27F1" w:rsidRPr="008B7B0E" w:rsidRDefault="001A27F1" w:rsidP="0029487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Limitations</w:t>
            </w:r>
          </w:p>
        </w:tc>
        <w:tc>
          <w:tcPr>
            <w:tcW w:w="1134" w:type="dxa"/>
            <w:hideMark/>
          </w:tcPr>
          <w:p w14:paraId="6C2550D8" w14:textId="251A06F5" w:rsidR="001A27F1" w:rsidRPr="008B7B0E" w:rsidRDefault="001A27F1" w:rsidP="0029487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Citation</w:t>
            </w:r>
          </w:p>
        </w:tc>
      </w:tr>
      <w:tr w:rsidR="008B7B0E" w:rsidRPr="008B7B0E" w14:paraId="222A5E17" w14:textId="77777777" w:rsidTr="001A27F1">
        <w:tc>
          <w:tcPr>
            <w:tcW w:w="1560" w:type="dxa"/>
            <w:hideMark/>
          </w:tcPr>
          <w:p w14:paraId="10A2FFD0" w14:textId="77777777" w:rsidR="001A27F1" w:rsidRPr="008B7B0E" w:rsidRDefault="001A27F1" w:rsidP="0029487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lastRenderedPageBreak/>
              <w:t>16S rRNA</w:t>
            </w:r>
          </w:p>
          <w:p w14:paraId="59CF66CD" w14:textId="29613109"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 xml:space="preserve"> sequencing</w:t>
            </w:r>
          </w:p>
        </w:tc>
        <w:tc>
          <w:tcPr>
            <w:tcW w:w="1418" w:type="dxa"/>
            <w:hideMark/>
          </w:tcPr>
          <w:p w14:paraId="04A7B6A5"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Microbial community profiling</w:t>
            </w:r>
          </w:p>
        </w:tc>
        <w:tc>
          <w:tcPr>
            <w:tcW w:w="1701" w:type="dxa"/>
            <w:hideMark/>
          </w:tcPr>
          <w:p w14:paraId="31168832"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xml:space="preserve">- DNA extraction: </w:t>
            </w:r>
            <w:proofErr w:type="spellStart"/>
            <w:r w:rsidRPr="008B7B0E">
              <w:rPr>
                <w:rFonts w:ascii="Times New Roman" w:eastAsia="Times New Roman" w:hAnsi="Times New Roman" w:cs="Times New Roman"/>
                <w:kern w:val="0"/>
                <w:sz w:val="20"/>
                <w:szCs w:val="20"/>
                <w14:ligatures w14:val="none"/>
              </w:rPr>
              <w:t>PowerSoil</w:t>
            </w:r>
            <w:proofErr w:type="spellEnd"/>
            <w:r w:rsidRPr="008B7B0E">
              <w:rPr>
                <w:rFonts w:ascii="Times New Roman" w:eastAsia="Times New Roman" w:hAnsi="Times New Roman" w:cs="Times New Roman"/>
                <w:kern w:val="0"/>
                <w:sz w:val="20"/>
                <w:szCs w:val="20"/>
                <w14:ligatures w14:val="none"/>
              </w:rPr>
              <w:t>® Kit (MO BIO)</w:t>
            </w:r>
            <w:r w:rsidRPr="008B7B0E">
              <w:rPr>
                <w:rFonts w:ascii="Times New Roman" w:eastAsia="Times New Roman" w:hAnsi="Times New Roman" w:cs="Times New Roman"/>
                <w:kern w:val="0"/>
                <w:sz w:val="20"/>
                <w:szCs w:val="20"/>
                <w14:ligatures w14:val="none"/>
              </w:rPr>
              <w:br/>
              <w:t>- PCR primers: 515F/806R</w:t>
            </w:r>
            <w:r w:rsidRPr="008B7B0E">
              <w:rPr>
                <w:rFonts w:ascii="Times New Roman" w:eastAsia="Times New Roman" w:hAnsi="Times New Roman" w:cs="Times New Roman"/>
                <w:kern w:val="0"/>
                <w:sz w:val="20"/>
                <w:szCs w:val="20"/>
                <w14:ligatures w14:val="none"/>
              </w:rPr>
              <w:br/>
              <w:t xml:space="preserve">- Platform: Illumina </w:t>
            </w:r>
            <w:proofErr w:type="spellStart"/>
            <w:r w:rsidRPr="008B7B0E">
              <w:rPr>
                <w:rFonts w:ascii="Times New Roman" w:eastAsia="Times New Roman" w:hAnsi="Times New Roman" w:cs="Times New Roman"/>
                <w:kern w:val="0"/>
                <w:sz w:val="20"/>
                <w:szCs w:val="20"/>
                <w14:ligatures w14:val="none"/>
              </w:rPr>
              <w:t>MiSeq</w:t>
            </w:r>
            <w:proofErr w:type="spellEnd"/>
          </w:p>
        </w:tc>
        <w:tc>
          <w:tcPr>
            <w:tcW w:w="1701" w:type="dxa"/>
            <w:hideMark/>
          </w:tcPr>
          <w:p w14:paraId="4873BF1B"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Agricultural soils: Decreased diversity under monocropping (Shade et al., 2017)</w:t>
            </w:r>
            <w:r w:rsidRPr="008B7B0E">
              <w:rPr>
                <w:rFonts w:ascii="Times New Roman" w:eastAsia="Times New Roman" w:hAnsi="Times New Roman" w:cs="Times New Roman"/>
                <w:kern w:val="0"/>
                <w:sz w:val="20"/>
                <w:szCs w:val="20"/>
                <w14:ligatures w14:val="none"/>
              </w:rPr>
              <w:br/>
              <w:t>- Forest soils: Successional changes post-disturbance (</w:t>
            </w:r>
            <w:proofErr w:type="spellStart"/>
            <w:r w:rsidRPr="008B7B0E">
              <w:rPr>
                <w:rFonts w:ascii="Times New Roman" w:eastAsia="Times New Roman" w:hAnsi="Times New Roman" w:cs="Times New Roman"/>
                <w:kern w:val="0"/>
                <w:sz w:val="20"/>
                <w:szCs w:val="20"/>
                <w14:ligatures w14:val="none"/>
              </w:rPr>
              <w:t>Barberán</w:t>
            </w:r>
            <w:proofErr w:type="spellEnd"/>
            <w:r w:rsidRPr="008B7B0E">
              <w:rPr>
                <w:rFonts w:ascii="Times New Roman" w:eastAsia="Times New Roman" w:hAnsi="Times New Roman" w:cs="Times New Roman"/>
                <w:kern w:val="0"/>
                <w:sz w:val="20"/>
                <w:szCs w:val="20"/>
                <w14:ligatures w14:val="none"/>
              </w:rPr>
              <w:t xml:space="preserve"> et al., 2012)</w:t>
            </w:r>
          </w:p>
        </w:tc>
        <w:tc>
          <w:tcPr>
            <w:tcW w:w="1275" w:type="dxa"/>
            <w:hideMark/>
          </w:tcPr>
          <w:p w14:paraId="1B773997"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High-throughput; detects unculturable taxa</w:t>
            </w:r>
          </w:p>
        </w:tc>
        <w:tc>
          <w:tcPr>
            <w:tcW w:w="1418" w:type="dxa"/>
            <w:hideMark/>
          </w:tcPr>
          <w:p w14:paraId="47E913F9"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PCR biases; no functional data</w:t>
            </w:r>
          </w:p>
        </w:tc>
        <w:tc>
          <w:tcPr>
            <w:tcW w:w="1134" w:type="dxa"/>
            <w:hideMark/>
          </w:tcPr>
          <w:p w14:paraId="53B00130"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Thompson et al. (2017)</w:t>
            </w:r>
          </w:p>
        </w:tc>
      </w:tr>
      <w:tr w:rsidR="008B7B0E" w:rsidRPr="008B7B0E" w14:paraId="1B072C93" w14:textId="77777777" w:rsidTr="001A27F1">
        <w:tc>
          <w:tcPr>
            <w:tcW w:w="1560" w:type="dxa"/>
            <w:hideMark/>
          </w:tcPr>
          <w:p w14:paraId="4E684F0D"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Shannon Index</w:t>
            </w:r>
          </w:p>
        </w:tc>
        <w:tc>
          <w:tcPr>
            <w:tcW w:w="1418" w:type="dxa"/>
            <w:hideMark/>
          </w:tcPr>
          <w:p w14:paraId="12AD967E"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Measures diversity (richness + evenness)</w:t>
            </w:r>
          </w:p>
        </w:tc>
        <w:tc>
          <w:tcPr>
            <w:tcW w:w="1701" w:type="dxa"/>
            <w:hideMark/>
          </w:tcPr>
          <w:p w14:paraId="2873216A"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Calculated using QIIME2/vegan (R)</w:t>
            </w:r>
            <w:r w:rsidRPr="008B7B0E">
              <w:rPr>
                <w:rFonts w:ascii="Times New Roman" w:eastAsia="Times New Roman" w:hAnsi="Times New Roman" w:cs="Times New Roman"/>
                <w:kern w:val="0"/>
                <w:sz w:val="20"/>
                <w:szCs w:val="20"/>
                <w14:ligatures w14:val="none"/>
              </w:rPr>
              <w:br/>
              <w:t>- Minimum 10,000 reads/sample</w:t>
            </w:r>
          </w:p>
        </w:tc>
        <w:tc>
          <w:tcPr>
            <w:tcW w:w="1701" w:type="dxa"/>
            <w:hideMark/>
          </w:tcPr>
          <w:p w14:paraId="63D5977A"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Temperate grasslands: Strong correlation with organic C (Zhou et al., 2020)</w:t>
            </w:r>
            <w:r w:rsidRPr="008B7B0E">
              <w:rPr>
                <w:rFonts w:ascii="Times New Roman" w:eastAsia="Times New Roman" w:hAnsi="Times New Roman" w:cs="Times New Roman"/>
                <w:kern w:val="0"/>
                <w:sz w:val="20"/>
                <w:szCs w:val="20"/>
                <w14:ligatures w14:val="none"/>
              </w:rPr>
              <w:br/>
              <w:t>- Compost-amended soils: Diversity recovery (</w:t>
            </w:r>
            <w:proofErr w:type="spellStart"/>
            <w:r w:rsidRPr="008B7B0E">
              <w:rPr>
                <w:rFonts w:ascii="Times New Roman" w:eastAsia="Times New Roman" w:hAnsi="Times New Roman" w:cs="Times New Roman"/>
                <w:kern w:val="0"/>
                <w:sz w:val="20"/>
                <w:szCs w:val="20"/>
                <w14:ligatures w14:val="none"/>
              </w:rPr>
              <w:t>Lupatini</w:t>
            </w:r>
            <w:proofErr w:type="spellEnd"/>
            <w:r w:rsidRPr="008B7B0E">
              <w:rPr>
                <w:rFonts w:ascii="Times New Roman" w:eastAsia="Times New Roman" w:hAnsi="Times New Roman" w:cs="Times New Roman"/>
                <w:kern w:val="0"/>
                <w:sz w:val="20"/>
                <w:szCs w:val="20"/>
                <w14:ligatures w14:val="none"/>
              </w:rPr>
              <w:t xml:space="preserve"> et al., 2017)</w:t>
            </w:r>
          </w:p>
        </w:tc>
        <w:tc>
          <w:tcPr>
            <w:tcW w:w="1275" w:type="dxa"/>
            <w:hideMark/>
          </w:tcPr>
          <w:p w14:paraId="14211776"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Sensitive to land-use changes</w:t>
            </w:r>
          </w:p>
        </w:tc>
        <w:tc>
          <w:tcPr>
            <w:tcW w:w="1418" w:type="dxa"/>
            <w:hideMark/>
          </w:tcPr>
          <w:p w14:paraId="548DD22C"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Weak in high-diversity systems</w:t>
            </w:r>
          </w:p>
        </w:tc>
        <w:tc>
          <w:tcPr>
            <w:tcW w:w="1134" w:type="dxa"/>
            <w:hideMark/>
          </w:tcPr>
          <w:p w14:paraId="5FC4C6B0"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Zhou et al. (2020)</w:t>
            </w:r>
          </w:p>
        </w:tc>
      </w:tr>
      <w:tr w:rsidR="008B7B0E" w:rsidRPr="008B7B0E" w14:paraId="4A8A3DEA" w14:textId="77777777" w:rsidTr="001A27F1">
        <w:tc>
          <w:tcPr>
            <w:tcW w:w="1560" w:type="dxa"/>
            <w:hideMark/>
          </w:tcPr>
          <w:p w14:paraId="7D45C6AF"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Chao1 Index</w:t>
            </w:r>
          </w:p>
        </w:tc>
        <w:tc>
          <w:tcPr>
            <w:tcW w:w="1418" w:type="dxa"/>
            <w:hideMark/>
          </w:tcPr>
          <w:p w14:paraId="78E42C1F"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Estimates species richness (including rare taxa)</w:t>
            </w:r>
          </w:p>
        </w:tc>
        <w:tc>
          <w:tcPr>
            <w:tcW w:w="1701" w:type="dxa"/>
            <w:hideMark/>
          </w:tcPr>
          <w:p w14:paraId="647D8789"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Rarefaction to even depth (USEARCH)</w:t>
            </w:r>
            <w:r w:rsidRPr="008B7B0E">
              <w:rPr>
                <w:rFonts w:ascii="Times New Roman" w:eastAsia="Times New Roman" w:hAnsi="Times New Roman" w:cs="Times New Roman"/>
                <w:kern w:val="0"/>
                <w:sz w:val="20"/>
                <w:szCs w:val="20"/>
                <w14:ligatures w14:val="none"/>
              </w:rPr>
              <w:br/>
              <w:t>- Coverage &gt;90%</w:t>
            </w:r>
          </w:p>
        </w:tc>
        <w:tc>
          <w:tcPr>
            <w:tcW w:w="1701" w:type="dxa"/>
            <w:hideMark/>
          </w:tcPr>
          <w:p w14:paraId="3EC590B9"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Degraded soils: Rare taxa loss (Fierer et al., 2021)</w:t>
            </w:r>
            <w:r w:rsidRPr="008B7B0E">
              <w:rPr>
                <w:rFonts w:ascii="Times New Roman" w:eastAsia="Times New Roman" w:hAnsi="Times New Roman" w:cs="Times New Roman"/>
                <w:kern w:val="0"/>
                <w:sz w:val="20"/>
                <w:szCs w:val="20"/>
                <w14:ligatures w14:val="none"/>
              </w:rPr>
              <w:br/>
              <w:t>- Permafrost thaw: Increased richness (Mackelprang et al., 2016)</w:t>
            </w:r>
          </w:p>
        </w:tc>
        <w:tc>
          <w:tcPr>
            <w:tcW w:w="1275" w:type="dxa"/>
            <w:hideMark/>
          </w:tcPr>
          <w:p w14:paraId="3C4DF002"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Captures rare biosphere</w:t>
            </w:r>
          </w:p>
        </w:tc>
        <w:tc>
          <w:tcPr>
            <w:tcW w:w="1418" w:type="dxa"/>
            <w:hideMark/>
          </w:tcPr>
          <w:p w14:paraId="14FD5EA9"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Requires deep sequencing</w:t>
            </w:r>
          </w:p>
        </w:tc>
        <w:tc>
          <w:tcPr>
            <w:tcW w:w="1134" w:type="dxa"/>
            <w:hideMark/>
          </w:tcPr>
          <w:p w14:paraId="57253C61"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Fierer et al. (2021)</w:t>
            </w:r>
          </w:p>
        </w:tc>
      </w:tr>
      <w:tr w:rsidR="008B7B0E" w:rsidRPr="008B7B0E" w14:paraId="0A3687EE" w14:textId="77777777" w:rsidTr="001A27F1">
        <w:tc>
          <w:tcPr>
            <w:tcW w:w="1560" w:type="dxa"/>
            <w:hideMark/>
          </w:tcPr>
          <w:p w14:paraId="5B32B9C3" w14:textId="77777777" w:rsidR="00294870" w:rsidRPr="008B7B0E" w:rsidRDefault="001A27F1" w:rsidP="00294870">
            <w:pPr>
              <w:rPr>
                <w:rFonts w:ascii="Times New Roman" w:eastAsia="Times New Roman" w:hAnsi="Times New Roman" w:cs="Times New Roman"/>
                <w:b/>
                <w:bCs/>
                <w:kern w:val="0"/>
                <w:sz w:val="20"/>
                <w:szCs w:val="20"/>
                <w14:ligatures w14:val="none"/>
              </w:rPr>
            </w:pPr>
            <w:proofErr w:type="spellStart"/>
            <w:proofErr w:type="gramStart"/>
            <w:r w:rsidRPr="008B7B0E">
              <w:rPr>
                <w:rFonts w:ascii="Times New Roman" w:eastAsia="Times New Roman" w:hAnsi="Times New Roman" w:cs="Times New Roman"/>
                <w:b/>
                <w:bCs/>
                <w:kern w:val="0"/>
                <w:sz w:val="20"/>
                <w:szCs w:val="20"/>
                <w14:ligatures w14:val="none"/>
              </w:rPr>
              <w:t>Proteobacteria:Acidobacteria</w:t>
            </w:r>
            <w:proofErr w:type="spellEnd"/>
            <w:proofErr w:type="gramEnd"/>
            <w:r w:rsidRPr="008B7B0E">
              <w:rPr>
                <w:rFonts w:ascii="Times New Roman" w:eastAsia="Times New Roman" w:hAnsi="Times New Roman" w:cs="Times New Roman"/>
                <w:b/>
                <w:bCs/>
                <w:kern w:val="0"/>
                <w:sz w:val="20"/>
                <w:szCs w:val="20"/>
                <w14:ligatures w14:val="none"/>
              </w:rPr>
              <w:t> </w:t>
            </w:r>
          </w:p>
          <w:p w14:paraId="34760A55" w14:textId="0C41298A" w:rsidR="001A27F1" w:rsidRPr="008B7B0E" w:rsidRDefault="00BC0E04"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R</w:t>
            </w:r>
            <w:r w:rsidR="001A27F1" w:rsidRPr="008B7B0E">
              <w:rPr>
                <w:rFonts w:ascii="Times New Roman" w:eastAsia="Times New Roman" w:hAnsi="Times New Roman" w:cs="Times New Roman"/>
                <w:b/>
                <w:bCs/>
                <w:kern w:val="0"/>
                <w:sz w:val="20"/>
                <w:szCs w:val="20"/>
                <w14:ligatures w14:val="none"/>
              </w:rPr>
              <w:t>atio</w:t>
            </w:r>
          </w:p>
        </w:tc>
        <w:tc>
          <w:tcPr>
            <w:tcW w:w="1418" w:type="dxa"/>
            <w:hideMark/>
          </w:tcPr>
          <w:p w14:paraId="2F772DEE"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Indicates nutrient status (copiotrophs vs. oligotrophs)</w:t>
            </w:r>
          </w:p>
        </w:tc>
        <w:tc>
          <w:tcPr>
            <w:tcW w:w="1701" w:type="dxa"/>
            <w:hideMark/>
          </w:tcPr>
          <w:p w14:paraId="0A29CF24"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Phylum-level classification (SILVA database)</w:t>
            </w:r>
            <w:r w:rsidRPr="008B7B0E">
              <w:rPr>
                <w:rFonts w:ascii="Times New Roman" w:eastAsia="Times New Roman" w:hAnsi="Times New Roman" w:cs="Times New Roman"/>
                <w:kern w:val="0"/>
                <w:sz w:val="20"/>
                <w:szCs w:val="20"/>
                <w14:ligatures w14:val="none"/>
              </w:rPr>
              <w:br/>
              <w:t>- Normalized to 16S copy number</w:t>
            </w:r>
          </w:p>
        </w:tc>
        <w:tc>
          <w:tcPr>
            <w:tcW w:w="1701" w:type="dxa"/>
            <w:hideMark/>
          </w:tcPr>
          <w:p w14:paraId="00FC5D17"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Fertilized soils: Proteobacteria dominance (Lauber et al., 2009)</w:t>
            </w:r>
            <w:r w:rsidRPr="008B7B0E">
              <w:rPr>
                <w:rFonts w:ascii="Times New Roman" w:eastAsia="Times New Roman" w:hAnsi="Times New Roman" w:cs="Times New Roman"/>
                <w:kern w:val="0"/>
                <w:sz w:val="20"/>
                <w:szCs w:val="20"/>
                <w14:ligatures w14:val="none"/>
              </w:rPr>
              <w:br/>
              <w:t xml:space="preserve">- Arid soils: </w:t>
            </w:r>
            <w:proofErr w:type="spellStart"/>
            <w:r w:rsidRPr="008B7B0E">
              <w:rPr>
                <w:rFonts w:ascii="Times New Roman" w:eastAsia="Times New Roman" w:hAnsi="Times New Roman" w:cs="Times New Roman"/>
                <w:kern w:val="0"/>
                <w:sz w:val="20"/>
                <w:szCs w:val="20"/>
                <w14:ligatures w14:val="none"/>
              </w:rPr>
              <w:t>Acidobacteria</w:t>
            </w:r>
            <w:proofErr w:type="spellEnd"/>
            <w:r w:rsidRPr="008B7B0E">
              <w:rPr>
                <w:rFonts w:ascii="Times New Roman" w:eastAsia="Times New Roman" w:hAnsi="Times New Roman" w:cs="Times New Roman"/>
                <w:kern w:val="0"/>
                <w:sz w:val="20"/>
                <w:szCs w:val="20"/>
                <w14:ligatures w14:val="none"/>
              </w:rPr>
              <w:t xml:space="preserve"> adaptation (Suleiman et al., 2019)</w:t>
            </w:r>
          </w:p>
        </w:tc>
        <w:tc>
          <w:tcPr>
            <w:tcW w:w="1275" w:type="dxa"/>
            <w:hideMark/>
          </w:tcPr>
          <w:p w14:paraId="6C8BF9FE"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Simple nutrient indicator</w:t>
            </w:r>
          </w:p>
        </w:tc>
        <w:tc>
          <w:tcPr>
            <w:tcW w:w="1418" w:type="dxa"/>
            <w:hideMark/>
          </w:tcPr>
          <w:p w14:paraId="51027FC8"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Context-dependent thresholds</w:t>
            </w:r>
          </w:p>
        </w:tc>
        <w:tc>
          <w:tcPr>
            <w:tcW w:w="1134" w:type="dxa"/>
            <w:hideMark/>
          </w:tcPr>
          <w:p w14:paraId="67ED006F"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Lauber et al. (2009)</w:t>
            </w:r>
          </w:p>
        </w:tc>
      </w:tr>
    </w:tbl>
    <w:p w14:paraId="790A4BCD" w14:textId="77777777" w:rsidR="001A27F1" w:rsidRPr="008B7B0E" w:rsidRDefault="001A27F1" w:rsidP="00294870">
      <w:pPr>
        <w:jc w:val="both"/>
        <w:rPr>
          <w:rFonts w:ascii="Times New Roman" w:hAnsi="Times New Roman" w:cs="Times New Roman"/>
        </w:rPr>
      </w:pPr>
    </w:p>
    <w:p w14:paraId="59E5E430" w14:textId="77777777" w:rsidR="00D824F9" w:rsidRDefault="00D824F9" w:rsidP="002E25DC">
      <w:pPr>
        <w:spacing w:before="100" w:beforeAutospacing="1" w:after="100" w:afterAutospacing="1" w:line="240" w:lineRule="auto"/>
        <w:jc w:val="both"/>
        <w:rPr>
          <w:rFonts w:ascii="Times New Roman" w:eastAsia="Times New Roman" w:hAnsi="Times New Roman" w:cs="Times New Roman"/>
          <w:b/>
          <w:bCs/>
          <w:kern w:val="0"/>
          <w14:ligatures w14:val="none"/>
        </w:rPr>
      </w:pPr>
    </w:p>
    <w:p w14:paraId="6A280A12" w14:textId="3FA28C1C" w:rsidR="002E25DC" w:rsidRPr="008B7B0E" w:rsidRDefault="00BC0E04"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4.2 </w:t>
      </w:r>
      <w:r w:rsidR="002E25DC" w:rsidRPr="008B7B0E">
        <w:rPr>
          <w:rFonts w:ascii="Times New Roman" w:eastAsia="Times New Roman" w:hAnsi="Times New Roman" w:cs="Times New Roman"/>
          <w:b/>
          <w:bCs/>
          <w:kern w:val="0"/>
          <w14:ligatures w14:val="none"/>
        </w:rPr>
        <w:t>Fungal Biomarkers: ITS-Based Ratios of Pathogens and Saprotrophs</w:t>
      </w:r>
    </w:p>
    <w:p w14:paraId="1D173AF8" w14:textId="05430C58" w:rsidR="002E25DC" w:rsidRPr="008B7B0E" w:rsidRDefault="002E25DC" w:rsidP="002E25DC">
      <w:pPr>
        <w:pStyle w:val="BodyText"/>
        <w:spacing w:before="100" w:beforeAutospacing="1" w:after="100" w:afterAutospacing="1" w:line="240" w:lineRule="auto"/>
      </w:pPr>
      <w:r w:rsidRPr="008B7B0E">
        <w:t>Fungal communities were commonly assessed using internal transcribed spacer (ITS) sequencing</w:t>
      </w:r>
      <w:r w:rsidR="00EF4FC7">
        <w:t xml:space="preserve"> (Table 2)</w:t>
      </w:r>
      <w:r w:rsidRPr="008B7B0E">
        <w:t xml:space="preserve">, with ecological classifications supported by tools such as </w:t>
      </w:r>
      <w:proofErr w:type="spellStart"/>
      <w:r w:rsidRPr="008B7B0E">
        <w:t>FUNGuild</w:t>
      </w:r>
      <w:proofErr w:type="spellEnd"/>
      <w:r w:rsidRPr="008B7B0E">
        <w:t xml:space="preserve"> and </w:t>
      </w:r>
      <w:proofErr w:type="spellStart"/>
      <w:r w:rsidRPr="008B7B0E">
        <w:t>ITSx</w:t>
      </w:r>
      <w:proofErr w:type="spellEnd"/>
      <w:r w:rsidRPr="008B7B0E">
        <w:t xml:space="preserve">. A key focus was the pathogen-to-saprotroph ratio, which often correlated with soil health status. Elevated </w:t>
      </w:r>
      <w:proofErr w:type="spellStart"/>
      <w:r w:rsidRPr="008B7B0E">
        <w:t>pathogen:saprotroph</w:t>
      </w:r>
      <w:proofErr w:type="spellEnd"/>
      <w:r w:rsidRPr="008B7B0E">
        <w:t xml:space="preserve"> ratios were associated with soil degradation and increased disease pressure in monoculture systems. For example, Fusarium dominance in cereal fields was linked to reduced </w:t>
      </w:r>
      <w:r w:rsidRPr="008B7B0E">
        <w:lastRenderedPageBreak/>
        <w:t>crop yields, while soils managed with organic amendments tended to support higher Trichoderma abundance (Banerjee et al., 2019; Oliver et al., 2022).</w:t>
      </w:r>
    </w:p>
    <w:p w14:paraId="1F3DFB30"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8B7B0E">
        <w:rPr>
          <w:rFonts w:ascii="Times New Roman" w:eastAsia="Times New Roman" w:hAnsi="Times New Roman" w:cs="Times New Roman"/>
          <w:kern w:val="0"/>
          <w14:ligatures w14:val="none"/>
        </w:rPr>
        <w:t>Fungal:bacterial</w:t>
      </w:r>
      <w:proofErr w:type="spellEnd"/>
      <w:r w:rsidRPr="008B7B0E">
        <w:rPr>
          <w:rFonts w:ascii="Times New Roman" w:eastAsia="Times New Roman" w:hAnsi="Times New Roman" w:cs="Times New Roman"/>
          <w:kern w:val="0"/>
          <w14:ligatures w14:val="none"/>
        </w:rPr>
        <w:t xml:space="preserve"> ratios also served as indicators of broader soil function. A high </w:t>
      </w:r>
      <w:proofErr w:type="spellStart"/>
      <w:r w:rsidRPr="008B7B0E">
        <w:rPr>
          <w:rFonts w:ascii="Times New Roman" w:eastAsia="Times New Roman" w:hAnsi="Times New Roman" w:cs="Times New Roman"/>
          <w:kern w:val="0"/>
          <w14:ligatures w14:val="none"/>
        </w:rPr>
        <w:t>fungal:bacterial</w:t>
      </w:r>
      <w:proofErr w:type="spellEnd"/>
      <w:r w:rsidRPr="008B7B0E">
        <w:rPr>
          <w:rFonts w:ascii="Times New Roman" w:eastAsia="Times New Roman" w:hAnsi="Times New Roman" w:cs="Times New Roman"/>
          <w:kern w:val="0"/>
          <w14:ligatures w14:val="none"/>
        </w:rPr>
        <w:t xml:space="preserve"> ratio was typically associated with slower decomposition and fungal-driven nutrient cycling, while bacterial dominance was linked to more rapid turnover of labile organic matter. However, taxonomic gaps in tropical systems and the host-specific nature of many pathogens limit the broad applicability of these markers (</w:t>
      </w:r>
      <w:proofErr w:type="spellStart"/>
      <w:r w:rsidRPr="008B7B0E">
        <w:rPr>
          <w:rFonts w:ascii="Times New Roman" w:eastAsia="Times New Roman" w:hAnsi="Times New Roman" w:cs="Times New Roman"/>
          <w:kern w:val="0"/>
          <w14:ligatures w14:val="none"/>
        </w:rPr>
        <w:t>Tedersoo</w:t>
      </w:r>
      <w:proofErr w:type="spellEnd"/>
      <w:r w:rsidRPr="008B7B0E">
        <w:rPr>
          <w:rFonts w:ascii="Times New Roman" w:eastAsia="Times New Roman" w:hAnsi="Times New Roman" w:cs="Times New Roman"/>
          <w:kern w:val="0"/>
          <w14:ligatures w14:val="none"/>
        </w:rPr>
        <w:t xml:space="preserve"> et al., 2021; Delgado-Baquerizo et al., 2020). Advances in ITS primer design (e.g., ITS3/ITS4) and curated databases such as UNITE have improved reproducibility and ecological resolution in fungal biomarker studies (Nilsson et al., 2019).</w:t>
      </w:r>
    </w:p>
    <w:p w14:paraId="394D694A" w14:textId="77777777" w:rsidR="00361EC9" w:rsidRPr="008B7B0E" w:rsidRDefault="00361EC9" w:rsidP="00294870">
      <w:pPr>
        <w:shd w:val="clear" w:color="auto" w:fill="FFFFFF"/>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8B7B0E">
        <w:rPr>
          <w:rFonts w:ascii="Times New Roman" w:eastAsia="Times New Roman" w:hAnsi="Times New Roman" w:cs="Times New Roman"/>
          <w:b/>
          <w:bCs/>
          <w:kern w:val="0"/>
          <w14:ligatures w14:val="none"/>
        </w:rPr>
        <w:t xml:space="preserve">Table 2: </w:t>
      </w:r>
      <w:r w:rsidRPr="008B7B0E">
        <w:rPr>
          <w:rFonts w:ascii="Times New Roman" w:eastAsia="Times New Roman" w:hAnsi="Times New Roman" w:cs="Times New Roman"/>
          <w:kern w:val="0"/>
          <w14:ligatures w14:val="none"/>
        </w:rPr>
        <w:t>Fungal ITS-Based Biomarkers for Soil Health Assessment</w:t>
      </w:r>
    </w:p>
    <w:tbl>
      <w:tblPr>
        <w:tblStyle w:val="TableGrid"/>
        <w:tblW w:w="9634" w:type="dxa"/>
        <w:tblLayout w:type="fixed"/>
        <w:tblLook w:val="04A0" w:firstRow="1" w:lastRow="0" w:firstColumn="1" w:lastColumn="0" w:noHBand="0" w:noVBand="1"/>
      </w:tblPr>
      <w:tblGrid>
        <w:gridCol w:w="1271"/>
        <w:gridCol w:w="1418"/>
        <w:gridCol w:w="1842"/>
        <w:gridCol w:w="1560"/>
        <w:gridCol w:w="1275"/>
        <w:gridCol w:w="1418"/>
        <w:gridCol w:w="850"/>
      </w:tblGrid>
      <w:tr w:rsidR="008B7B0E" w:rsidRPr="008B7B0E" w14:paraId="47639E2F" w14:textId="77777777" w:rsidTr="00361EC9">
        <w:tc>
          <w:tcPr>
            <w:tcW w:w="1271" w:type="dxa"/>
            <w:hideMark/>
          </w:tcPr>
          <w:p w14:paraId="69CD1306" w14:textId="77777777" w:rsidR="00361EC9" w:rsidRPr="008B7B0E" w:rsidRDefault="00361EC9" w:rsidP="0029487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Biomarker</w:t>
            </w:r>
          </w:p>
        </w:tc>
        <w:tc>
          <w:tcPr>
            <w:tcW w:w="1418" w:type="dxa"/>
            <w:hideMark/>
          </w:tcPr>
          <w:p w14:paraId="7B5FB088" w14:textId="77777777" w:rsidR="00361EC9" w:rsidRPr="008B7B0E" w:rsidRDefault="00361EC9" w:rsidP="0029487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Application</w:t>
            </w:r>
          </w:p>
        </w:tc>
        <w:tc>
          <w:tcPr>
            <w:tcW w:w="1842" w:type="dxa"/>
            <w:hideMark/>
          </w:tcPr>
          <w:p w14:paraId="21044C11" w14:textId="77777777" w:rsidR="00361EC9" w:rsidRPr="008B7B0E" w:rsidRDefault="00361EC9" w:rsidP="0029487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Methodological Protocols</w:t>
            </w:r>
          </w:p>
        </w:tc>
        <w:tc>
          <w:tcPr>
            <w:tcW w:w="1560" w:type="dxa"/>
            <w:hideMark/>
          </w:tcPr>
          <w:p w14:paraId="3CE6E8FD" w14:textId="77777777" w:rsidR="00361EC9" w:rsidRPr="008B7B0E" w:rsidRDefault="00361EC9" w:rsidP="0029487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Case Studies</w:t>
            </w:r>
          </w:p>
        </w:tc>
        <w:tc>
          <w:tcPr>
            <w:tcW w:w="1275" w:type="dxa"/>
            <w:hideMark/>
          </w:tcPr>
          <w:p w14:paraId="01851053" w14:textId="77777777" w:rsidR="00361EC9" w:rsidRPr="008B7B0E" w:rsidRDefault="00361EC9" w:rsidP="0029487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Strengths</w:t>
            </w:r>
          </w:p>
        </w:tc>
        <w:tc>
          <w:tcPr>
            <w:tcW w:w="1418" w:type="dxa"/>
            <w:hideMark/>
          </w:tcPr>
          <w:p w14:paraId="68CFEE88" w14:textId="77777777" w:rsidR="00361EC9" w:rsidRPr="008B7B0E" w:rsidRDefault="00361EC9" w:rsidP="0029487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Limitations</w:t>
            </w:r>
          </w:p>
        </w:tc>
        <w:tc>
          <w:tcPr>
            <w:tcW w:w="850" w:type="dxa"/>
          </w:tcPr>
          <w:p w14:paraId="0BFEC1F5" w14:textId="68172CC0" w:rsidR="00361EC9" w:rsidRPr="008B7B0E" w:rsidRDefault="00361EC9" w:rsidP="0029487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Ref</w:t>
            </w:r>
          </w:p>
        </w:tc>
      </w:tr>
      <w:tr w:rsidR="008B7B0E" w:rsidRPr="008B7B0E" w14:paraId="2462F9AC" w14:textId="77777777" w:rsidTr="00361EC9">
        <w:tc>
          <w:tcPr>
            <w:tcW w:w="1271" w:type="dxa"/>
            <w:hideMark/>
          </w:tcPr>
          <w:p w14:paraId="4008810C" w14:textId="77777777" w:rsidR="00294870" w:rsidRPr="008B7B0E" w:rsidRDefault="00361EC9" w:rsidP="0029487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Pathogen:</w:t>
            </w:r>
          </w:p>
          <w:p w14:paraId="53B8442B" w14:textId="195A80B6" w:rsidR="00361EC9" w:rsidRPr="008B7B0E" w:rsidRDefault="00361EC9"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Saprotroph Ratio</w:t>
            </w:r>
          </w:p>
        </w:tc>
        <w:tc>
          <w:tcPr>
            <w:tcW w:w="1418" w:type="dxa"/>
            <w:hideMark/>
          </w:tcPr>
          <w:p w14:paraId="5F1C1051" w14:textId="77777777" w:rsidR="00361EC9" w:rsidRPr="008B7B0E" w:rsidRDefault="00361EC9"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Assesses soil fungal functional balance</w:t>
            </w:r>
          </w:p>
        </w:tc>
        <w:tc>
          <w:tcPr>
            <w:tcW w:w="1842" w:type="dxa"/>
            <w:hideMark/>
          </w:tcPr>
          <w:p w14:paraId="52AAE671" w14:textId="77777777" w:rsidR="00361EC9" w:rsidRPr="008B7B0E" w:rsidRDefault="00361EC9"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ITS2 sequencing (primers ITS3/ITS4)</w:t>
            </w:r>
            <w:r w:rsidRPr="008B7B0E">
              <w:rPr>
                <w:rFonts w:ascii="Times New Roman" w:eastAsia="Times New Roman" w:hAnsi="Times New Roman" w:cs="Times New Roman"/>
                <w:kern w:val="0"/>
                <w:sz w:val="20"/>
                <w:szCs w:val="20"/>
                <w14:ligatures w14:val="none"/>
              </w:rPr>
              <w:br/>
              <w:t xml:space="preserve">- </w:t>
            </w:r>
            <w:proofErr w:type="spellStart"/>
            <w:r w:rsidRPr="008B7B0E">
              <w:rPr>
                <w:rFonts w:ascii="Times New Roman" w:eastAsia="Times New Roman" w:hAnsi="Times New Roman" w:cs="Times New Roman"/>
                <w:kern w:val="0"/>
                <w:sz w:val="20"/>
                <w:szCs w:val="20"/>
                <w14:ligatures w14:val="none"/>
              </w:rPr>
              <w:t>FUNGuild</w:t>
            </w:r>
            <w:proofErr w:type="spellEnd"/>
            <w:r w:rsidRPr="008B7B0E">
              <w:rPr>
                <w:rFonts w:ascii="Times New Roman" w:eastAsia="Times New Roman" w:hAnsi="Times New Roman" w:cs="Times New Roman"/>
                <w:kern w:val="0"/>
                <w:sz w:val="20"/>
                <w:szCs w:val="20"/>
                <w14:ligatures w14:val="none"/>
              </w:rPr>
              <w:t xml:space="preserve"> classification</w:t>
            </w:r>
            <w:r w:rsidRPr="008B7B0E">
              <w:rPr>
                <w:rFonts w:ascii="Times New Roman" w:eastAsia="Times New Roman" w:hAnsi="Times New Roman" w:cs="Times New Roman"/>
                <w:kern w:val="0"/>
                <w:sz w:val="20"/>
                <w:szCs w:val="20"/>
                <w14:ligatures w14:val="none"/>
              </w:rPr>
              <w:br/>
              <w:t>- UNITE database v9.0</w:t>
            </w:r>
          </w:p>
        </w:tc>
        <w:tc>
          <w:tcPr>
            <w:tcW w:w="1560" w:type="dxa"/>
            <w:hideMark/>
          </w:tcPr>
          <w:p w14:paraId="01574FED" w14:textId="6A11F92C" w:rsidR="00361EC9" w:rsidRPr="008B7B0E" w:rsidRDefault="00361EC9"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Monoculture soils: Increased </w:t>
            </w:r>
            <w:r w:rsidRPr="008B7B0E">
              <w:rPr>
                <w:rFonts w:ascii="Times New Roman" w:eastAsia="Times New Roman" w:hAnsi="Times New Roman" w:cs="Times New Roman"/>
                <w:i/>
                <w:iCs/>
                <w:kern w:val="0"/>
                <w:sz w:val="20"/>
                <w:szCs w:val="20"/>
                <w14:ligatures w14:val="none"/>
              </w:rPr>
              <w:t>Fusarium</w:t>
            </w:r>
            <w:r w:rsidRPr="008B7B0E">
              <w:rPr>
                <w:rFonts w:ascii="Times New Roman" w:eastAsia="Times New Roman" w:hAnsi="Times New Roman" w:cs="Times New Roman"/>
                <w:kern w:val="0"/>
                <w:sz w:val="20"/>
                <w:szCs w:val="20"/>
                <w14:ligatures w14:val="none"/>
              </w:rPr>
              <w:t> dominance (Banerjee et al., 2019)</w:t>
            </w:r>
            <w:r w:rsidRPr="008B7B0E">
              <w:rPr>
                <w:rFonts w:ascii="Times New Roman" w:eastAsia="Times New Roman" w:hAnsi="Times New Roman" w:cs="Times New Roman"/>
                <w:kern w:val="0"/>
                <w:sz w:val="20"/>
                <w:szCs w:val="20"/>
                <w14:ligatures w14:val="none"/>
              </w:rPr>
              <w:br/>
              <w:t>- Organic systems: Higher </w:t>
            </w:r>
            <w:r w:rsidRPr="008B7B0E">
              <w:rPr>
                <w:rFonts w:ascii="Times New Roman" w:eastAsia="Times New Roman" w:hAnsi="Times New Roman" w:cs="Times New Roman"/>
                <w:i/>
                <w:iCs/>
                <w:kern w:val="0"/>
                <w:sz w:val="20"/>
                <w:szCs w:val="20"/>
                <w14:ligatures w14:val="none"/>
              </w:rPr>
              <w:t>Trichoderma</w:t>
            </w:r>
            <w:r w:rsidRPr="008B7B0E">
              <w:rPr>
                <w:rFonts w:ascii="Times New Roman" w:eastAsia="Times New Roman" w:hAnsi="Times New Roman" w:cs="Times New Roman"/>
                <w:kern w:val="0"/>
                <w:sz w:val="20"/>
                <w:szCs w:val="20"/>
                <w14:ligatures w14:val="none"/>
              </w:rPr>
              <w:t> abundance (Karlsson et al., 2017)</w:t>
            </w:r>
          </w:p>
        </w:tc>
        <w:tc>
          <w:tcPr>
            <w:tcW w:w="1275" w:type="dxa"/>
            <w:hideMark/>
          </w:tcPr>
          <w:p w14:paraId="0DA1E688" w14:textId="77777777" w:rsidR="00361EC9" w:rsidRPr="008B7B0E" w:rsidRDefault="00361EC9"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Early warning of soil dysbiosis</w:t>
            </w:r>
            <w:r w:rsidRPr="008B7B0E">
              <w:rPr>
                <w:rFonts w:ascii="Times New Roman" w:eastAsia="Times New Roman" w:hAnsi="Times New Roman" w:cs="Times New Roman"/>
                <w:kern w:val="0"/>
                <w:sz w:val="20"/>
                <w:szCs w:val="20"/>
                <w14:ligatures w14:val="none"/>
              </w:rPr>
              <w:br/>
              <w:t>Predicts plant disease risk</w:t>
            </w:r>
          </w:p>
        </w:tc>
        <w:tc>
          <w:tcPr>
            <w:tcW w:w="1418" w:type="dxa"/>
            <w:hideMark/>
          </w:tcPr>
          <w:p w14:paraId="1715A210" w14:textId="77777777" w:rsidR="00361EC9" w:rsidRPr="008B7B0E" w:rsidRDefault="00361EC9"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Tropical taxonomy gaps</w:t>
            </w:r>
            <w:r w:rsidRPr="008B7B0E">
              <w:rPr>
                <w:rFonts w:ascii="Times New Roman" w:eastAsia="Times New Roman" w:hAnsi="Times New Roman" w:cs="Times New Roman"/>
                <w:kern w:val="0"/>
                <w:sz w:val="20"/>
                <w:szCs w:val="20"/>
                <w14:ligatures w14:val="none"/>
              </w:rPr>
              <w:br/>
              <w:t>Host-specific pathogenicity</w:t>
            </w:r>
          </w:p>
        </w:tc>
        <w:tc>
          <w:tcPr>
            <w:tcW w:w="850" w:type="dxa"/>
            <w:hideMark/>
          </w:tcPr>
          <w:p w14:paraId="33F6F6B3" w14:textId="77777777" w:rsidR="00361EC9" w:rsidRPr="008B7B0E" w:rsidRDefault="00361EC9"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Nguyen et al. (2016)</w:t>
            </w:r>
            <w:r w:rsidRPr="008B7B0E">
              <w:rPr>
                <w:rFonts w:ascii="Times New Roman" w:eastAsia="Times New Roman" w:hAnsi="Times New Roman" w:cs="Times New Roman"/>
                <w:kern w:val="0"/>
                <w:sz w:val="20"/>
                <w:szCs w:val="20"/>
                <w14:ligatures w14:val="none"/>
              </w:rPr>
              <w:br/>
            </w:r>
            <w:proofErr w:type="spellStart"/>
            <w:r w:rsidRPr="008B7B0E">
              <w:rPr>
                <w:rFonts w:ascii="Times New Roman" w:eastAsia="Times New Roman" w:hAnsi="Times New Roman" w:cs="Times New Roman"/>
                <w:kern w:val="0"/>
                <w:sz w:val="20"/>
                <w:szCs w:val="20"/>
                <w14:ligatures w14:val="none"/>
              </w:rPr>
              <w:t>Tedersoo</w:t>
            </w:r>
            <w:proofErr w:type="spellEnd"/>
            <w:r w:rsidRPr="008B7B0E">
              <w:rPr>
                <w:rFonts w:ascii="Times New Roman" w:eastAsia="Times New Roman" w:hAnsi="Times New Roman" w:cs="Times New Roman"/>
                <w:kern w:val="0"/>
                <w:sz w:val="20"/>
                <w:szCs w:val="20"/>
                <w14:ligatures w14:val="none"/>
              </w:rPr>
              <w:t xml:space="preserve"> et al. (2021)</w:t>
            </w:r>
          </w:p>
        </w:tc>
      </w:tr>
      <w:tr w:rsidR="008B7B0E" w:rsidRPr="008B7B0E" w14:paraId="6A891C62" w14:textId="77777777" w:rsidTr="00361EC9">
        <w:tc>
          <w:tcPr>
            <w:tcW w:w="1271" w:type="dxa"/>
            <w:hideMark/>
          </w:tcPr>
          <w:p w14:paraId="04110601" w14:textId="77777777" w:rsidR="00361EC9" w:rsidRPr="008B7B0E" w:rsidRDefault="00361EC9"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Pathogen Indicators</w:t>
            </w:r>
            <w:r w:rsidRPr="008B7B0E">
              <w:rPr>
                <w:rFonts w:ascii="Times New Roman" w:eastAsia="Times New Roman" w:hAnsi="Times New Roman" w:cs="Times New Roman"/>
                <w:kern w:val="0"/>
                <w:sz w:val="20"/>
                <w:szCs w:val="20"/>
                <w14:ligatures w14:val="none"/>
              </w:rPr>
              <w:t> (e.g., </w:t>
            </w:r>
            <w:r w:rsidRPr="008B7B0E">
              <w:rPr>
                <w:rFonts w:ascii="Times New Roman" w:eastAsia="Times New Roman" w:hAnsi="Times New Roman" w:cs="Times New Roman"/>
                <w:i/>
                <w:iCs/>
                <w:kern w:val="0"/>
                <w:sz w:val="20"/>
                <w:szCs w:val="20"/>
                <w14:ligatures w14:val="none"/>
              </w:rPr>
              <w:t>Fusarium</w:t>
            </w:r>
            <w:r w:rsidRPr="008B7B0E">
              <w:rPr>
                <w:rFonts w:ascii="Times New Roman" w:eastAsia="Times New Roman" w:hAnsi="Times New Roman" w:cs="Times New Roman"/>
                <w:kern w:val="0"/>
                <w:sz w:val="20"/>
                <w:szCs w:val="20"/>
                <w14:ligatures w14:val="none"/>
              </w:rPr>
              <w:t>)</w:t>
            </w:r>
          </w:p>
        </w:tc>
        <w:tc>
          <w:tcPr>
            <w:tcW w:w="1418" w:type="dxa"/>
            <w:hideMark/>
          </w:tcPr>
          <w:p w14:paraId="1C200D46" w14:textId="77777777" w:rsidR="00361EC9" w:rsidRPr="008B7B0E" w:rsidRDefault="00361EC9"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Disease risk assessment</w:t>
            </w:r>
          </w:p>
        </w:tc>
        <w:tc>
          <w:tcPr>
            <w:tcW w:w="1842" w:type="dxa"/>
            <w:hideMark/>
          </w:tcPr>
          <w:p w14:paraId="14A9FB67" w14:textId="77777777" w:rsidR="00361EC9" w:rsidRPr="008B7B0E" w:rsidRDefault="00361EC9"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qPCR assays for specific pathogens</w:t>
            </w:r>
            <w:r w:rsidRPr="008B7B0E">
              <w:rPr>
                <w:rFonts w:ascii="Times New Roman" w:eastAsia="Times New Roman" w:hAnsi="Times New Roman" w:cs="Times New Roman"/>
                <w:kern w:val="0"/>
                <w:sz w:val="20"/>
                <w:szCs w:val="20"/>
                <w14:ligatures w14:val="none"/>
              </w:rPr>
              <w:br/>
              <w:t>- Machine learning prediction models</w:t>
            </w:r>
          </w:p>
        </w:tc>
        <w:tc>
          <w:tcPr>
            <w:tcW w:w="1560" w:type="dxa"/>
            <w:hideMark/>
          </w:tcPr>
          <w:p w14:paraId="581E6CC1" w14:textId="77777777" w:rsidR="00361EC9" w:rsidRPr="008B7B0E" w:rsidRDefault="00361EC9"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Wheat fields: </w:t>
            </w:r>
            <w:r w:rsidRPr="008B7B0E">
              <w:rPr>
                <w:rFonts w:ascii="Times New Roman" w:eastAsia="Times New Roman" w:hAnsi="Times New Roman" w:cs="Times New Roman"/>
                <w:i/>
                <w:iCs/>
                <w:kern w:val="0"/>
                <w:sz w:val="20"/>
                <w:szCs w:val="20"/>
                <w14:ligatures w14:val="none"/>
              </w:rPr>
              <w:t>Fusarium</w:t>
            </w:r>
            <w:r w:rsidRPr="008B7B0E">
              <w:rPr>
                <w:rFonts w:ascii="Times New Roman" w:eastAsia="Times New Roman" w:hAnsi="Times New Roman" w:cs="Times New Roman"/>
                <w:kern w:val="0"/>
                <w:sz w:val="20"/>
                <w:szCs w:val="20"/>
                <w14:ligatures w14:val="none"/>
              </w:rPr>
              <w:t> linked to yield loss (Karlsson et al., 2017)</w:t>
            </w:r>
            <w:r w:rsidRPr="008B7B0E">
              <w:rPr>
                <w:rFonts w:ascii="Times New Roman" w:eastAsia="Times New Roman" w:hAnsi="Times New Roman" w:cs="Times New Roman"/>
                <w:kern w:val="0"/>
                <w:sz w:val="20"/>
                <w:szCs w:val="20"/>
                <w14:ligatures w14:val="none"/>
              </w:rPr>
              <w:br/>
              <w:t>- Vineyards: </w:t>
            </w:r>
            <w:r w:rsidRPr="008B7B0E">
              <w:rPr>
                <w:rFonts w:ascii="Times New Roman" w:eastAsia="Times New Roman" w:hAnsi="Times New Roman" w:cs="Times New Roman"/>
                <w:i/>
                <w:iCs/>
                <w:kern w:val="0"/>
                <w:sz w:val="20"/>
                <w:szCs w:val="20"/>
                <w14:ligatures w14:val="none"/>
              </w:rPr>
              <w:t>Botrytis</w:t>
            </w:r>
            <w:r w:rsidRPr="008B7B0E">
              <w:rPr>
                <w:rFonts w:ascii="Times New Roman" w:eastAsia="Times New Roman" w:hAnsi="Times New Roman" w:cs="Times New Roman"/>
                <w:kern w:val="0"/>
                <w:sz w:val="20"/>
                <w:szCs w:val="20"/>
                <w14:ligatures w14:val="none"/>
              </w:rPr>
              <w:t> detection pre-outbreak</w:t>
            </w:r>
          </w:p>
        </w:tc>
        <w:tc>
          <w:tcPr>
            <w:tcW w:w="1275" w:type="dxa"/>
            <w:hideMark/>
          </w:tcPr>
          <w:p w14:paraId="223F1181" w14:textId="77777777" w:rsidR="00361EC9" w:rsidRPr="008B7B0E" w:rsidRDefault="00361EC9"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High specificity for key pathogens</w:t>
            </w:r>
          </w:p>
        </w:tc>
        <w:tc>
          <w:tcPr>
            <w:tcW w:w="1418" w:type="dxa"/>
            <w:hideMark/>
          </w:tcPr>
          <w:p w14:paraId="688F3483" w14:textId="77777777" w:rsidR="00361EC9" w:rsidRPr="008B7B0E" w:rsidRDefault="00361EC9"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Requires prior knowledge of target species</w:t>
            </w:r>
          </w:p>
        </w:tc>
        <w:tc>
          <w:tcPr>
            <w:tcW w:w="850" w:type="dxa"/>
            <w:hideMark/>
          </w:tcPr>
          <w:p w14:paraId="58DE7DB3" w14:textId="77777777" w:rsidR="00361EC9" w:rsidRPr="008B7B0E" w:rsidRDefault="00361EC9"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Delgado-Baquerizo et al. (2020)</w:t>
            </w:r>
          </w:p>
        </w:tc>
      </w:tr>
      <w:tr w:rsidR="00361EC9" w:rsidRPr="008B7B0E" w14:paraId="4ABE3737" w14:textId="77777777" w:rsidTr="00361EC9">
        <w:tc>
          <w:tcPr>
            <w:tcW w:w="1271" w:type="dxa"/>
            <w:hideMark/>
          </w:tcPr>
          <w:p w14:paraId="2912CC12" w14:textId="77777777" w:rsidR="00361EC9" w:rsidRPr="008B7B0E" w:rsidRDefault="00361EC9"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Saprotroph Indicators</w:t>
            </w:r>
            <w:r w:rsidRPr="008B7B0E">
              <w:rPr>
                <w:rFonts w:ascii="Times New Roman" w:eastAsia="Times New Roman" w:hAnsi="Times New Roman" w:cs="Times New Roman"/>
                <w:kern w:val="0"/>
                <w:sz w:val="20"/>
                <w:szCs w:val="20"/>
                <w14:ligatures w14:val="none"/>
              </w:rPr>
              <w:t> (e.g., </w:t>
            </w:r>
            <w:r w:rsidRPr="008B7B0E">
              <w:rPr>
                <w:rFonts w:ascii="Times New Roman" w:eastAsia="Times New Roman" w:hAnsi="Times New Roman" w:cs="Times New Roman"/>
                <w:i/>
                <w:iCs/>
                <w:kern w:val="0"/>
                <w:sz w:val="20"/>
                <w:szCs w:val="20"/>
                <w14:ligatures w14:val="none"/>
              </w:rPr>
              <w:t>Trichoderma</w:t>
            </w:r>
            <w:r w:rsidRPr="008B7B0E">
              <w:rPr>
                <w:rFonts w:ascii="Times New Roman" w:eastAsia="Times New Roman" w:hAnsi="Times New Roman" w:cs="Times New Roman"/>
                <w:kern w:val="0"/>
                <w:sz w:val="20"/>
                <w:szCs w:val="20"/>
                <w14:ligatures w14:val="none"/>
              </w:rPr>
              <w:t>)</w:t>
            </w:r>
          </w:p>
        </w:tc>
        <w:tc>
          <w:tcPr>
            <w:tcW w:w="1418" w:type="dxa"/>
            <w:hideMark/>
          </w:tcPr>
          <w:p w14:paraId="512B9AAA" w14:textId="77777777" w:rsidR="00361EC9" w:rsidRPr="008B7B0E" w:rsidRDefault="00361EC9" w:rsidP="00294870">
            <w:pPr>
              <w:pStyle w:val="ds-markdown-paragraph"/>
              <w:spacing w:before="0" w:beforeAutospacing="0" w:after="0" w:afterAutospacing="0"/>
              <w:rPr>
                <w:sz w:val="20"/>
                <w:szCs w:val="20"/>
              </w:rPr>
            </w:pPr>
            <w:r w:rsidRPr="008B7B0E">
              <w:rPr>
                <w:sz w:val="20"/>
                <w:szCs w:val="20"/>
              </w:rPr>
              <w:t>Organic matter decomposition monitoring</w:t>
            </w:r>
          </w:p>
        </w:tc>
        <w:tc>
          <w:tcPr>
            <w:tcW w:w="1842" w:type="dxa"/>
            <w:hideMark/>
          </w:tcPr>
          <w:p w14:paraId="10D95A94" w14:textId="77777777" w:rsidR="00361EC9" w:rsidRPr="008B7B0E" w:rsidRDefault="00361EC9"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ITS metabarcoding</w:t>
            </w:r>
            <w:r w:rsidRPr="008B7B0E">
              <w:rPr>
                <w:rFonts w:ascii="Times New Roman" w:eastAsia="Times New Roman" w:hAnsi="Times New Roman" w:cs="Times New Roman"/>
                <w:kern w:val="0"/>
                <w:sz w:val="20"/>
                <w:szCs w:val="20"/>
                <w14:ligatures w14:val="none"/>
              </w:rPr>
              <w:br/>
              <w:t>- Enzyme activity assays (cellulase/laccase)</w:t>
            </w:r>
          </w:p>
        </w:tc>
        <w:tc>
          <w:tcPr>
            <w:tcW w:w="1560" w:type="dxa"/>
            <w:hideMark/>
          </w:tcPr>
          <w:p w14:paraId="7D74AC0A" w14:textId="77777777" w:rsidR="00361EC9" w:rsidRPr="008B7B0E" w:rsidRDefault="00361EC9"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Forest soils: </w:t>
            </w:r>
            <w:proofErr w:type="spellStart"/>
            <w:r w:rsidRPr="008B7B0E">
              <w:rPr>
                <w:rFonts w:ascii="Times New Roman" w:eastAsia="Times New Roman" w:hAnsi="Times New Roman" w:cs="Times New Roman"/>
                <w:i/>
                <w:iCs/>
                <w:kern w:val="0"/>
                <w:sz w:val="20"/>
                <w:szCs w:val="20"/>
                <w14:ligatures w14:val="none"/>
              </w:rPr>
              <w:t>Mycena</w:t>
            </w:r>
            <w:proofErr w:type="spellEnd"/>
            <w:r w:rsidRPr="008B7B0E">
              <w:rPr>
                <w:rFonts w:ascii="Times New Roman" w:eastAsia="Times New Roman" w:hAnsi="Times New Roman" w:cs="Times New Roman"/>
                <w:kern w:val="0"/>
                <w:sz w:val="20"/>
                <w:szCs w:val="20"/>
                <w14:ligatures w14:val="none"/>
              </w:rPr>
              <w:t> dominance in litter decomposition (</w:t>
            </w:r>
            <w:proofErr w:type="spellStart"/>
            <w:r w:rsidRPr="008B7B0E">
              <w:rPr>
                <w:rFonts w:ascii="Times New Roman" w:eastAsia="Times New Roman" w:hAnsi="Times New Roman" w:cs="Times New Roman"/>
                <w:kern w:val="0"/>
                <w:sz w:val="20"/>
                <w:szCs w:val="20"/>
                <w14:ligatures w14:val="none"/>
              </w:rPr>
              <w:t>Bödeker</w:t>
            </w:r>
            <w:proofErr w:type="spellEnd"/>
            <w:r w:rsidRPr="008B7B0E">
              <w:rPr>
                <w:rFonts w:ascii="Times New Roman" w:eastAsia="Times New Roman" w:hAnsi="Times New Roman" w:cs="Times New Roman"/>
                <w:kern w:val="0"/>
                <w:sz w:val="20"/>
                <w:szCs w:val="20"/>
                <w14:ligatures w14:val="none"/>
              </w:rPr>
              <w:t xml:space="preserve"> et al., 2016)</w:t>
            </w:r>
            <w:r w:rsidRPr="008B7B0E">
              <w:rPr>
                <w:rFonts w:ascii="Times New Roman" w:eastAsia="Times New Roman" w:hAnsi="Times New Roman" w:cs="Times New Roman"/>
                <w:kern w:val="0"/>
                <w:sz w:val="20"/>
                <w:szCs w:val="20"/>
                <w14:ligatures w14:val="none"/>
              </w:rPr>
              <w:br/>
              <w:t>- Compost systems: </w:t>
            </w:r>
            <w:r w:rsidRPr="008B7B0E">
              <w:rPr>
                <w:rFonts w:ascii="Times New Roman" w:eastAsia="Times New Roman" w:hAnsi="Times New Roman" w:cs="Times New Roman"/>
                <w:i/>
                <w:iCs/>
                <w:kern w:val="0"/>
                <w:sz w:val="20"/>
                <w:szCs w:val="20"/>
                <w14:ligatures w14:val="none"/>
              </w:rPr>
              <w:t>Aspergillus</w:t>
            </w:r>
            <w:r w:rsidRPr="008B7B0E">
              <w:rPr>
                <w:rFonts w:ascii="Times New Roman" w:eastAsia="Times New Roman" w:hAnsi="Times New Roman" w:cs="Times New Roman"/>
                <w:kern w:val="0"/>
                <w:sz w:val="20"/>
                <w:szCs w:val="20"/>
                <w14:ligatures w14:val="none"/>
              </w:rPr>
              <w:t> abundance predicts breakdown rates</w:t>
            </w:r>
          </w:p>
        </w:tc>
        <w:tc>
          <w:tcPr>
            <w:tcW w:w="1275" w:type="dxa"/>
            <w:hideMark/>
          </w:tcPr>
          <w:p w14:paraId="7FF8F863" w14:textId="77777777" w:rsidR="00361EC9" w:rsidRPr="008B7B0E" w:rsidRDefault="00361EC9"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Links to carbon cycling</w:t>
            </w:r>
            <w:r w:rsidRPr="008B7B0E">
              <w:rPr>
                <w:rFonts w:ascii="Times New Roman" w:eastAsia="Times New Roman" w:hAnsi="Times New Roman" w:cs="Times New Roman"/>
                <w:kern w:val="0"/>
                <w:sz w:val="20"/>
                <w:szCs w:val="20"/>
                <w14:ligatures w14:val="none"/>
              </w:rPr>
              <w:br/>
              <w:t>Potential biocontrol agents</w:t>
            </w:r>
          </w:p>
        </w:tc>
        <w:tc>
          <w:tcPr>
            <w:tcW w:w="1418" w:type="dxa"/>
            <w:hideMark/>
          </w:tcPr>
          <w:p w14:paraId="0D5DD871" w14:textId="77777777" w:rsidR="00361EC9" w:rsidRPr="008B7B0E" w:rsidRDefault="00361EC9"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Functional redundancy among species</w:t>
            </w:r>
          </w:p>
        </w:tc>
        <w:tc>
          <w:tcPr>
            <w:tcW w:w="850" w:type="dxa"/>
            <w:hideMark/>
          </w:tcPr>
          <w:p w14:paraId="64451EDF" w14:textId="77777777" w:rsidR="00361EC9" w:rsidRPr="008B7B0E" w:rsidRDefault="00361EC9"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Oliver et al. (2022)</w:t>
            </w:r>
          </w:p>
        </w:tc>
      </w:tr>
    </w:tbl>
    <w:p w14:paraId="13A84435" w14:textId="77777777" w:rsidR="00361EC9" w:rsidRPr="008B7B0E" w:rsidRDefault="00361EC9" w:rsidP="00294870">
      <w:pPr>
        <w:pStyle w:val="ds-markdown-paragraph"/>
        <w:shd w:val="clear" w:color="auto" w:fill="FFFFFF"/>
        <w:spacing w:before="0" w:beforeAutospacing="0"/>
        <w:jc w:val="both"/>
      </w:pPr>
    </w:p>
    <w:p w14:paraId="2480EFDF" w14:textId="3E6499B1" w:rsidR="002E25DC" w:rsidRPr="008B7B0E" w:rsidRDefault="00BC0E04"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4.3 </w:t>
      </w:r>
      <w:r w:rsidR="002E25DC" w:rsidRPr="008B7B0E">
        <w:rPr>
          <w:rFonts w:ascii="Times New Roman" w:eastAsia="Times New Roman" w:hAnsi="Times New Roman" w:cs="Times New Roman"/>
          <w:b/>
          <w:bCs/>
          <w:kern w:val="0"/>
          <w14:ligatures w14:val="none"/>
        </w:rPr>
        <w:t>Functional Gene Biomarkers and Biogeochemical Processes</w:t>
      </w:r>
    </w:p>
    <w:p w14:paraId="017EFE4E" w14:textId="426D753E"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lastRenderedPageBreak/>
        <w:t xml:space="preserve">Functional gene markers </w:t>
      </w:r>
      <w:r w:rsidR="00EF4FC7">
        <w:rPr>
          <w:rFonts w:ascii="Times New Roman" w:eastAsia="Times New Roman" w:hAnsi="Times New Roman" w:cs="Times New Roman"/>
          <w:kern w:val="0"/>
          <w14:ligatures w14:val="none"/>
        </w:rPr>
        <w:t xml:space="preserve">(Table 3) </w:t>
      </w:r>
      <w:r w:rsidRPr="008B7B0E">
        <w:rPr>
          <w:rFonts w:ascii="Times New Roman" w:eastAsia="Times New Roman" w:hAnsi="Times New Roman" w:cs="Times New Roman"/>
          <w:kern w:val="0"/>
          <w14:ligatures w14:val="none"/>
        </w:rPr>
        <w:t xml:space="preserve">targeting key biogeochemical pathways were widely used to assess microbial contributions to soil nutrient cycling and environmental processes. Nitrogen cycle genes, including </w:t>
      </w:r>
      <w:proofErr w:type="spellStart"/>
      <w:r w:rsidRPr="008B7B0E">
        <w:rPr>
          <w:rFonts w:ascii="Times New Roman" w:eastAsia="Times New Roman" w:hAnsi="Times New Roman" w:cs="Times New Roman"/>
          <w:i/>
          <w:iCs/>
          <w:kern w:val="0"/>
          <w14:ligatures w14:val="none"/>
        </w:rPr>
        <w:t>nifH</w:t>
      </w:r>
      <w:proofErr w:type="spellEnd"/>
      <w:r w:rsidRPr="008B7B0E">
        <w:rPr>
          <w:rFonts w:ascii="Times New Roman" w:eastAsia="Times New Roman" w:hAnsi="Times New Roman" w:cs="Times New Roman"/>
          <w:kern w:val="0"/>
          <w14:ligatures w14:val="none"/>
        </w:rPr>
        <w:t xml:space="preserve"> (nitrogen fixation), </w:t>
      </w:r>
      <w:proofErr w:type="spellStart"/>
      <w:r w:rsidRPr="008B7B0E">
        <w:rPr>
          <w:rFonts w:ascii="Times New Roman" w:eastAsia="Times New Roman" w:hAnsi="Times New Roman" w:cs="Times New Roman"/>
          <w:i/>
          <w:iCs/>
          <w:kern w:val="0"/>
          <w14:ligatures w14:val="none"/>
        </w:rPr>
        <w:t>amoA</w:t>
      </w:r>
      <w:proofErr w:type="spellEnd"/>
      <w:r w:rsidRPr="008B7B0E">
        <w:rPr>
          <w:rFonts w:ascii="Times New Roman" w:eastAsia="Times New Roman" w:hAnsi="Times New Roman" w:cs="Times New Roman"/>
          <w:kern w:val="0"/>
          <w14:ligatures w14:val="none"/>
        </w:rPr>
        <w:t xml:space="preserve"> (ammonia oxidation), </w:t>
      </w:r>
      <w:proofErr w:type="spellStart"/>
      <w:r w:rsidRPr="008B7B0E">
        <w:rPr>
          <w:rFonts w:ascii="Times New Roman" w:eastAsia="Times New Roman" w:hAnsi="Times New Roman" w:cs="Times New Roman"/>
          <w:i/>
          <w:iCs/>
          <w:kern w:val="0"/>
          <w14:ligatures w14:val="none"/>
        </w:rPr>
        <w:t>nirK</w:t>
      </w:r>
      <w:proofErr w:type="spellEnd"/>
      <w:r w:rsidRPr="008B7B0E">
        <w:rPr>
          <w:rFonts w:ascii="Times New Roman" w:eastAsia="Times New Roman" w:hAnsi="Times New Roman" w:cs="Times New Roman"/>
          <w:i/>
          <w:iCs/>
          <w:kern w:val="0"/>
          <w14:ligatures w14:val="none"/>
        </w:rPr>
        <w:t>/</w:t>
      </w:r>
      <w:proofErr w:type="spellStart"/>
      <w:r w:rsidRPr="008B7B0E">
        <w:rPr>
          <w:rFonts w:ascii="Times New Roman" w:eastAsia="Times New Roman" w:hAnsi="Times New Roman" w:cs="Times New Roman"/>
          <w:i/>
          <w:iCs/>
          <w:kern w:val="0"/>
          <w14:ligatures w14:val="none"/>
        </w:rPr>
        <w:t>nirS</w:t>
      </w:r>
      <w:proofErr w:type="spellEnd"/>
      <w:r w:rsidRPr="008B7B0E">
        <w:rPr>
          <w:rFonts w:ascii="Times New Roman" w:eastAsia="Times New Roman" w:hAnsi="Times New Roman" w:cs="Times New Roman"/>
          <w:kern w:val="0"/>
          <w14:ligatures w14:val="none"/>
        </w:rPr>
        <w:t xml:space="preserve"> (denitrification), and </w:t>
      </w:r>
      <w:proofErr w:type="spellStart"/>
      <w:r w:rsidRPr="008B7B0E">
        <w:rPr>
          <w:rFonts w:ascii="Times New Roman" w:eastAsia="Times New Roman" w:hAnsi="Times New Roman" w:cs="Times New Roman"/>
          <w:i/>
          <w:iCs/>
          <w:kern w:val="0"/>
          <w14:ligatures w14:val="none"/>
        </w:rPr>
        <w:t>nosZ</w:t>
      </w:r>
      <w:proofErr w:type="spellEnd"/>
      <w:r w:rsidRPr="008B7B0E">
        <w:rPr>
          <w:rFonts w:ascii="Times New Roman" w:eastAsia="Times New Roman" w:hAnsi="Times New Roman" w:cs="Times New Roman"/>
          <w:kern w:val="0"/>
          <w14:ligatures w14:val="none"/>
        </w:rPr>
        <w:t xml:space="preserve"> (nitrous oxide reduction), were commonly reported and used to infer nitrogen-use efficiency and greenhouse gas potential (Levy-Booth et al., 2014; Hallin et al., 2018).</w:t>
      </w:r>
    </w:p>
    <w:p w14:paraId="7FEEA3F7"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Carbon degradation genes such as </w:t>
      </w:r>
      <w:r w:rsidRPr="008B7B0E">
        <w:rPr>
          <w:rFonts w:ascii="Times New Roman" w:eastAsia="Times New Roman" w:hAnsi="Times New Roman" w:cs="Times New Roman"/>
          <w:i/>
          <w:iCs/>
          <w:kern w:val="0"/>
          <w14:ligatures w14:val="none"/>
        </w:rPr>
        <w:t>cel48</w:t>
      </w:r>
      <w:r w:rsidRPr="008B7B0E">
        <w:rPr>
          <w:rFonts w:ascii="Times New Roman" w:eastAsia="Times New Roman" w:hAnsi="Times New Roman" w:cs="Times New Roman"/>
          <w:kern w:val="0"/>
          <w14:ligatures w14:val="none"/>
        </w:rPr>
        <w:t xml:space="preserve"> (cellulase) and </w:t>
      </w:r>
      <w:proofErr w:type="spellStart"/>
      <w:r w:rsidRPr="008B7B0E">
        <w:rPr>
          <w:rFonts w:ascii="Times New Roman" w:eastAsia="Times New Roman" w:hAnsi="Times New Roman" w:cs="Times New Roman"/>
          <w:i/>
          <w:iCs/>
          <w:kern w:val="0"/>
          <w14:ligatures w14:val="none"/>
        </w:rPr>
        <w:t>chiA</w:t>
      </w:r>
      <w:proofErr w:type="spellEnd"/>
      <w:r w:rsidRPr="008B7B0E">
        <w:rPr>
          <w:rFonts w:ascii="Times New Roman" w:eastAsia="Times New Roman" w:hAnsi="Times New Roman" w:cs="Times New Roman"/>
          <w:kern w:val="0"/>
          <w14:ligatures w14:val="none"/>
        </w:rPr>
        <w:t xml:space="preserve"> (chitinase) served as indicators of organic matter turnover, while </w:t>
      </w:r>
      <w:proofErr w:type="spellStart"/>
      <w:r w:rsidRPr="008B7B0E">
        <w:rPr>
          <w:rFonts w:ascii="Times New Roman" w:eastAsia="Times New Roman" w:hAnsi="Times New Roman" w:cs="Times New Roman"/>
          <w:i/>
          <w:iCs/>
          <w:kern w:val="0"/>
          <w14:ligatures w14:val="none"/>
        </w:rPr>
        <w:t>alkB</w:t>
      </w:r>
      <w:proofErr w:type="spellEnd"/>
      <w:r w:rsidRPr="008B7B0E">
        <w:rPr>
          <w:rFonts w:ascii="Times New Roman" w:eastAsia="Times New Roman" w:hAnsi="Times New Roman" w:cs="Times New Roman"/>
          <w:kern w:val="0"/>
          <w14:ligatures w14:val="none"/>
        </w:rPr>
        <w:t xml:space="preserve"> was used to assess hydrocarbon degradation potential in disturbed or contaminated soils (Baldrian et al., 2011; Nie et al., 2014). Stress-related genes such as </w:t>
      </w:r>
      <w:proofErr w:type="spellStart"/>
      <w:r w:rsidRPr="008B7B0E">
        <w:rPr>
          <w:rFonts w:ascii="Times New Roman" w:eastAsia="Times New Roman" w:hAnsi="Times New Roman" w:cs="Times New Roman"/>
          <w:i/>
          <w:iCs/>
          <w:kern w:val="0"/>
          <w14:ligatures w14:val="none"/>
        </w:rPr>
        <w:t>katG</w:t>
      </w:r>
      <w:proofErr w:type="spellEnd"/>
      <w:r w:rsidRPr="008B7B0E">
        <w:rPr>
          <w:rFonts w:ascii="Times New Roman" w:eastAsia="Times New Roman" w:hAnsi="Times New Roman" w:cs="Times New Roman"/>
          <w:kern w:val="0"/>
          <w14:ligatures w14:val="none"/>
        </w:rPr>
        <w:t xml:space="preserve"> (catalase-peroxidase) and </w:t>
      </w:r>
      <w:proofErr w:type="spellStart"/>
      <w:r w:rsidRPr="008B7B0E">
        <w:rPr>
          <w:rFonts w:ascii="Times New Roman" w:eastAsia="Times New Roman" w:hAnsi="Times New Roman" w:cs="Times New Roman"/>
          <w:i/>
          <w:iCs/>
          <w:kern w:val="0"/>
          <w14:ligatures w14:val="none"/>
        </w:rPr>
        <w:t>gdh</w:t>
      </w:r>
      <w:proofErr w:type="spellEnd"/>
      <w:r w:rsidRPr="008B7B0E">
        <w:rPr>
          <w:rFonts w:ascii="Times New Roman" w:eastAsia="Times New Roman" w:hAnsi="Times New Roman" w:cs="Times New Roman"/>
          <w:kern w:val="0"/>
          <w14:ligatures w14:val="none"/>
        </w:rPr>
        <w:t xml:space="preserve"> (glutamate dehydrogenase) were used to monitor oxidative stress and redox conditions (Ahn et al., 2016). In wetland and flooded systems, </w:t>
      </w:r>
      <w:proofErr w:type="spellStart"/>
      <w:r w:rsidRPr="008B7B0E">
        <w:rPr>
          <w:rFonts w:ascii="Times New Roman" w:eastAsia="Times New Roman" w:hAnsi="Times New Roman" w:cs="Times New Roman"/>
          <w:i/>
          <w:iCs/>
          <w:kern w:val="0"/>
          <w14:ligatures w14:val="none"/>
        </w:rPr>
        <w:t>mcrA</w:t>
      </w:r>
      <w:proofErr w:type="spellEnd"/>
      <w:r w:rsidRPr="008B7B0E">
        <w:rPr>
          <w:rFonts w:ascii="Times New Roman" w:eastAsia="Times New Roman" w:hAnsi="Times New Roman" w:cs="Times New Roman"/>
          <w:kern w:val="0"/>
          <w14:ligatures w14:val="none"/>
        </w:rPr>
        <w:t xml:space="preserve"> (methanogenesis) and </w:t>
      </w:r>
      <w:proofErr w:type="spellStart"/>
      <w:r w:rsidRPr="008B7B0E">
        <w:rPr>
          <w:rFonts w:ascii="Times New Roman" w:eastAsia="Times New Roman" w:hAnsi="Times New Roman" w:cs="Times New Roman"/>
          <w:i/>
          <w:iCs/>
          <w:kern w:val="0"/>
          <w14:ligatures w14:val="none"/>
        </w:rPr>
        <w:t>aprA</w:t>
      </w:r>
      <w:proofErr w:type="spellEnd"/>
      <w:r w:rsidRPr="008B7B0E">
        <w:rPr>
          <w:rFonts w:ascii="Times New Roman" w:eastAsia="Times New Roman" w:hAnsi="Times New Roman" w:cs="Times New Roman"/>
          <w:kern w:val="0"/>
          <w14:ligatures w14:val="none"/>
        </w:rPr>
        <w:t xml:space="preserve"> (sulfate reduction) were employed to track anaerobic microbial activity (Angel et al., 2012; Meyer &amp; </w:t>
      </w:r>
      <w:proofErr w:type="spellStart"/>
      <w:r w:rsidRPr="008B7B0E">
        <w:rPr>
          <w:rFonts w:ascii="Times New Roman" w:eastAsia="Times New Roman" w:hAnsi="Times New Roman" w:cs="Times New Roman"/>
          <w:kern w:val="0"/>
          <w14:ligatures w14:val="none"/>
        </w:rPr>
        <w:t>Kuever</w:t>
      </w:r>
      <w:proofErr w:type="spellEnd"/>
      <w:r w:rsidRPr="008B7B0E">
        <w:rPr>
          <w:rFonts w:ascii="Times New Roman" w:eastAsia="Times New Roman" w:hAnsi="Times New Roman" w:cs="Times New Roman"/>
          <w:kern w:val="0"/>
          <w14:ligatures w14:val="none"/>
        </w:rPr>
        <w:t>, 2007).</w:t>
      </w:r>
    </w:p>
    <w:p w14:paraId="01152C54"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Although individual gene markers provide targeted insights, functional redundancy across microbial taxa complicates interpretation. Some studies addressed this by using gene ratios (e.g., </w:t>
      </w:r>
      <w:proofErr w:type="spellStart"/>
      <w:proofErr w:type="gramStart"/>
      <w:r w:rsidRPr="008B7B0E">
        <w:rPr>
          <w:rFonts w:ascii="Times New Roman" w:eastAsia="Times New Roman" w:hAnsi="Times New Roman" w:cs="Times New Roman"/>
          <w:i/>
          <w:iCs/>
          <w:kern w:val="0"/>
          <w14:ligatures w14:val="none"/>
        </w:rPr>
        <w:t>nifH:amoA</w:t>
      </w:r>
      <w:proofErr w:type="spellEnd"/>
      <w:proofErr w:type="gramEnd"/>
      <w:r w:rsidRPr="008B7B0E">
        <w:rPr>
          <w:rFonts w:ascii="Times New Roman" w:eastAsia="Times New Roman" w:hAnsi="Times New Roman" w:cs="Times New Roman"/>
          <w:kern w:val="0"/>
          <w14:ligatures w14:val="none"/>
        </w:rPr>
        <w:t>) to capture functional balance. Emerging approaches, including CRISPR-based detection and multiplex assays, were also noted as promising tools for field-level application.</w:t>
      </w:r>
    </w:p>
    <w:p w14:paraId="36AD6FC2" w14:textId="3B1811EF" w:rsidR="00361EC9" w:rsidRPr="008B7B0E" w:rsidRDefault="00361EC9" w:rsidP="00294870">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8B7B0E">
        <w:rPr>
          <w:rFonts w:ascii="Times New Roman" w:eastAsia="Times New Roman" w:hAnsi="Times New Roman" w:cs="Times New Roman"/>
          <w:b/>
          <w:bCs/>
          <w:kern w:val="0"/>
          <w14:ligatures w14:val="none"/>
        </w:rPr>
        <w:t xml:space="preserve">Table </w:t>
      </w:r>
      <w:r w:rsidR="00D71377" w:rsidRPr="008B7B0E">
        <w:rPr>
          <w:rFonts w:ascii="Times New Roman" w:eastAsia="Times New Roman" w:hAnsi="Times New Roman" w:cs="Times New Roman"/>
          <w:b/>
          <w:bCs/>
          <w:kern w:val="0"/>
          <w14:ligatures w14:val="none"/>
        </w:rPr>
        <w:t>3</w:t>
      </w:r>
      <w:r w:rsidRPr="008B7B0E">
        <w:rPr>
          <w:rFonts w:ascii="Times New Roman" w:eastAsia="Times New Roman" w:hAnsi="Times New Roman" w:cs="Times New Roman"/>
          <w:b/>
          <w:bCs/>
          <w:kern w:val="0"/>
          <w14:ligatures w14:val="none"/>
        </w:rPr>
        <w:t xml:space="preserve">: </w:t>
      </w:r>
      <w:r w:rsidRPr="008B7B0E">
        <w:rPr>
          <w:rFonts w:ascii="Times New Roman" w:eastAsia="Times New Roman" w:hAnsi="Times New Roman" w:cs="Times New Roman"/>
          <w:kern w:val="0"/>
          <w14:ligatures w14:val="none"/>
        </w:rPr>
        <w:t>Functional Gene Biomarkers for Soil Health Assessment</w:t>
      </w:r>
    </w:p>
    <w:tbl>
      <w:tblPr>
        <w:tblStyle w:val="TableGrid"/>
        <w:tblW w:w="0" w:type="auto"/>
        <w:tblLook w:val="04A0" w:firstRow="1" w:lastRow="0" w:firstColumn="1" w:lastColumn="0" w:noHBand="0" w:noVBand="1"/>
      </w:tblPr>
      <w:tblGrid>
        <w:gridCol w:w="977"/>
        <w:gridCol w:w="1400"/>
        <w:gridCol w:w="1400"/>
        <w:gridCol w:w="1522"/>
        <w:gridCol w:w="1776"/>
        <w:gridCol w:w="1380"/>
        <w:gridCol w:w="895"/>
      </w:tblGrid>
      <w:tr w:rsidR="008B7B0E" w:rsidRPr="008B7B0E" w14:paraId="7A419251" w14:textId="77777777" w:rsidTr="00361EC9">
        <w:tc>
          <w:tcPr>
            <w:tcW w:w="0" w:type="auto"/>
            <w:hideMark/>
          </w:tcPr>
          <w:p w14:paraId="36A5276A" w14:textId="77777777" w:rsidR="00361EC9" w:rsidRPr="008B7B0E" w:rsidRDefault="00361EC9" w:rsidP="00294870">
            <w:pPr>
              <w:jc w:val="both"/>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Gene</w:t>
            </w:r>
          </w:p>
        </w:tc>
        <w:tc>
          <w:tcPr>
            <w:tcW w:w="0" w:type="auto"/>
            <w:hideMark/>
          </w:tcPr>
          <w:p w14:paraId="78E5E159" w14:textId="77777777" w:rsidR="00361EC9" w:rsidRPr="008B7B0E" w:rsidRDefault="00361EC9" w:rsidP="00294870">
            <w:pPr>
              <w:jc w:val="both"/>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Function</w:t>
            </w:r>
          </w:p>
        </w:tc>
        <w:tc>
          <w:tcPr>
            <w:tcW w:w="0" w:type="auto"/>
            <w:hideMark/>
          </w:tcPr>
          <w:p w14:paraId="26031D5A" w14:textId="77777777" w:rsidR="00361EC9" w:rsidRPr="008B7B0E" w:rsidRDefault="00361EC9" w:rsidP="00294870">
            <w:pPr>
              <w:jc w:val="both"/>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Target Process</w:t>
            </w:r>
          </w:p>
        </w:tc>
        <w:tc>
          <w:tcPr>
            <w:tcW w:w="0" w:type="auto"/>
            <w:hideMark/>
          </w:tcPr>
          <w:p w14:paraId="6089CFA6" w14:textId="77777777" w:rsidR="00361EC9" w:rsidRPr="008B7B0E" w:rsidRDefault="00361EC9" w:rsidP="00294870">
            <w:pPr>
              <w:jc w:val="both"/>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Key Taxa</w:t>
            </w:r>
          </w:p>
        </w:tc>
        <w:tc>
          <w:tcPr>
            <w:tcW w:w="0" w:type="auto"/>
            <w:hideMark/>
          </w:tcPr>
          <w:p w14:paraId="21EFF7DC" w14:textId="77777777" w:rsidR="00361EC9" w:rsidRPr="008B7B0E" w:rsidRDefault="00361EC9" w:rsidP="00294870">
            <w:pPr>
              <w:jc w:val="both"/>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Detection Method</w:t>
            </w:r>
          </w:p>
        </w:tc>
        <w:tc>
          <w:tcPr>
            <w:tcW w:w="0" w:type="auto"/>
            <w:hideMark/>
          </w:tcPr>
          <w:p w14:paraId="0E04839F" w14:textId="77777777" w:rsidR="00361EC9" w:rsidRPr="008B7B0E" w:rsidRDefault="00361EC9" w:rsidP="00294870">
            <w:pPr>
              <w:jc w:val="both"/>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Soil Health Indicator</w:t>
            </w:r>
          </w:p>
        </w:tc>
        <w:tc>
          <w:tcPr>
            <w:tcW w:w="0" w:type="auto"/>
            <w:hideMark/>
          </w:tcPr>
          <w:p w14:paraId="5E3A364A" w14:textId="052EB699" w:rsidR="00361EC9" w:rsidRPr="008B7B0E" w:rsidRDefault="00361EC9" w:rsidP="00294870">
            <w:pPr>
              <w:jc w:val="both"/>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Ref</w:t>
            </w:r>
          </w:p>
        </w:tc>
      </w:tr>
      <w:tr w:rsidR="008B7B0E" w:rsidRPr="008B7B0E" w14:paraId="1865B80C" w14:textId="77777777" w:rsidTr="00361EC9">
        <w:tc>
          <w:tcPr>
            <w:tcW w:w="0" w:type="auto"/>
            <w:hideMark/>
          </w:tcPr>
          <w:p w14:paraId="40971AAC" w14:textId="77777777" w:rsidR="00361EC9" w:rsidRPr="008B7B0E" w:rsidRDefault="00361EC9" w:rsidP="00294870">
            <w:pPr>
              <w:jc w:val="both"/>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b/>
                <w:bCs/>
                <w:kern w:val="0"/>
                <w:sz w:val="20"/>
                <w:szCs w:val="20"/>
                <w14:ligatures w14:val="none"/>
              </w:rPr>
              <w:t>nifH</w:t>
            </w:r>
            <w:proofErr w:type="spellEnd"/>
          </w:p>
        </w:tc>
        <w:tc>
          <w:tcPr>
            <w:tcW w:w="0" w:type="auto"/>
            <w:hideMark/>
          </w:tcPr>
          <w:p w14:paraId="7FE70C07"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Nitrogenase</w:t>
            </w:r>
          </w:p>
        </w:tc>
        <w:tc>
          <w:tcPr>
            <w:tcW w:w="0" w:type="auto"/>
            <w:hideMark/>
          </w:tcPr>
          <w:p w14:paraId="5DC556B0"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Nitrogen fixation</w:t>
            </w:r>
          </w:p>
        </w:tc>
        <w:tc>
          <w:tcPr>
            <w:tcW w:w="0" w:type="auto"/>
            <w:hideMark/>
          </w:tcPr>
          <w:p w14:paraId="02B4375B" w14:textId="77777777" w:rsidR="00E357DE"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Rhizobium</w:t>
            </w:r>
            <w:r w:rsidRPr="008B7B0E">
              <w:rPr>
                <w:rFonts w:ascii="Times New Roman" w:eastAsia="Times New Roman" w:hAnsi="Times New Roman" w:cs="Times New Roman"/>
                <w:kern w:val="0"/>
                <w:sz w:val="20"/>
                <w:szCs w:val="20"/>
                <w14:ligatures w14:val="none"/>
              </w:rPr>
              <w:t>, </w:t>
            </w:r>
          </w:p>
          <w:p w14:paraId="769B785F" w14:textId="0AD75A69" w:rsidR="00361EC9" w:rsidRPr="008B7B0E" w:rsidRDefault="00361EC9" w:rsidP="00294870">
            <w:pPr>
              <w:jc w:val="both"/>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i/>
                <w:iCs/>
                <w:kern w:val="0"/>
                <w:sz w:val="20"/>
                <w:szCs w:val="20"/>
                <w14:ligatures w14:val="none"/>
              </w:rPr>
              <w:t>Bradyrhizobium</w:t>
            </w:r>
            <w:proofErr w:type="spellEnd"/>
          </w:p>
        </w:tc>
        <w:tc>
          <w:tcPr>
            <w:tcW w:w="0" w:type="auto"/>
            <w:hideMark/>
          </w:tcPr>
          <w:p w14:paraId="4565DDEE"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qPCR/Metagenomics</w:t>
            </w:r>
          </w:p>
        </w:tc>
        <w:tc>
          <w:tcPr>
            <w:tcW w:w="0" w:type="auto"/>
            <w:hideMark/>
          </w:tcPr>
          <w:p w14:paraId="6FFFD264"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Biological N input potential</w:t>
            </w:r>
          </w:p>
        </w:tc>
        <w:tc>
          <w:tcPr>
            <w:tcW w:w="0" w:type="auto"/>
            <w:hideMark/>
          </w:tcPr>
          <w:p w14:paraId="44374BDA"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Levy-Booth et al. (2014)</w:t>
            </w:r>
          </w:p>
        </w:tc>
      </w:tr>
      <w:tr w:rsidR="008B7B0E" w:rsidRPr="008B7B0E" w14:paraId="2786E64E" w14:textId="77777777" w:rsidTr="00361EC9">
        <w:tc>
          <w:tcPr>
            <w:tcW w:w="0" w:type="auto"/>
            <w:hideMark/>
          </w:tcPr>
          <w:p w14:paraId="115273A3" w14:textId="77777777" w:rsidR="00361EC9" w:rsidRPr="008B7B0E" w:rsidRDefault="00361EC9" w:rsidP="00294870">
            <w:pPr>
              <w:jc w:val="both"/>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b/>
                <w:bCs/>
                <w:kern w:val="0"/>
                <w:sz w:val="20"/>
                <w:szCs w:val="20"/>
                <w14:ligatures w14:val="none"/>
              </w:rPr>
              <w:t>amoA</w:t>
            </w:r>
            <w:proofErr w:type="spellEnd"/>
          </w:p>
        </w:tc>
        <w:tc>
          <w:tcPr>
            <w:tcW w:w="0" w:type="auto"/>
            <w:hideMark/>
          </w:tcPr>
          <w:p w14:paraId="232AEE70"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Ammonia monooxygenase</w:t>
            </w:r>
          </w:p>
        </w:tc>
        <w:tc>
          <w:tcPr>
            <w:tcW w:w="0" w:type="auto"/>
            <w:hideMark/>
          </w:tcPr>
          <w:p w14:paraId="4109F755"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Nitrification</w:t>
            </w:r>
          </w:p>
        </w:tc>
        <w:tc>
          <w:tcPr>
            <w:tcW w:w="0" w:type="auto"/>
            <w:hideMark/>
          </w:tcPr>
          <w:p w14:paraId="305D3F7B" w14:textId="77777777" w:rsidR="00E357DE"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Nitrosomonas</w:t>
            </w:r>
            <w:r w:rsidRPr="008B7B0E">
              <w:rPr>
                <w:rFonts w:ascii="Times New Roman" w:eastAsia="Times New Roman" w:hAnsi="Times New Roman" w:cs="Times New Roman"/>
                <w:kern w:val="0"/>
                <w:sz w:val="20"/>
                <w:szCs w:val="20"/>
                <w14:ligatures w14:val="none"/>
              </w:rPr>
              <w:t>, </w:t>
            </w:r>
          </w:p>
          <w:p w14:paraId="36625E02" w14:textId="2EA5F964" w:rsidR="00361EC9" w:rsidRPr="008B7B0E" w:rsidRDefault="00361EC9" w:rsidP="00294870">
            <w:pPr>
              <w:jc w:val="both"/>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i/>
                <w:iCs/>
                <w:kern w:val="0"/>
                <w:sz w:val="20"/>
                <w:szCs w:val="20"/>
                <w14:ligatures w14:val="none"/>
              </w:rPr>
              <w:t>Nitrosospira</w:t>
            </w:r>
            <w:proofErr w:type="spellEnd"/>
          </w:p>
        </w:tc>
        <w:tc>
          <w:tcPr>
            <w:tcW w:w="0" w:type="auto"/>
            <w:hideMark/>
          </w:tcPr>
          <w:p w14:paraId="76BD3C4E"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qPCR</w:t>
            </w:r>
          </w:p>
        </w:tc>
        <w:tc>
          <w:tcPr>
            <w:tcW w:w="0" w:type="auto"/>
            <w:hideMark/>
          </w:tcPr>
          <w:p w14:paraId="54BF6469"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N cycling efficiency</w:t>
            </w:r>
          </w:p>
        </w:tc>
        <w:tc>
          <w:tcPr>
            <w:tcW w:w="0" w:type="auto"/>
            <w:hideMark/>
          </w:tcPr>
          <w:p w14:paraId="4D7BF586"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Prosser &amp; Nicol (2012)</w:t>
            </w:r>
          </w:p>
        </w:tc>
      </w:tr>
      <w:tr w:rsidR="008B7B0E" w:rsidRPr="008B7B0E" w14:paraId="6066BBD2" w14:textId="77777777" w:rsidTr="00361EC9">
        <w:tc>
          <w:tcPr>
            <w:tcW w:w="0" w:type="auto"/>
            <w:hideMark/>
          </w:tcPr>
          <w:p w14:paraId="7D3E02E4" w14:textId="77777777" w:rsidR="00361EC9" w:rsidRPr="008B7B0E" w:rsidRDefault="00361EC9" w:rsidP="00294870">
            <w:pPr>
              <w:jc w:val="both"/>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b/>
                <w:bCs/>
                <w:kern w:val="0"/>
                <w:sz w:val="20"/>
                <w:szCs w:val="20"/>
                <w14:ligatures w14:val="none"/>
              </w:rPr>
              <w:t>nirK</w:t>
            </w:r>
            <w:proofErr w:type="spellEnd"/>
            <w:r w:rsidRPr="008B7B0E">
              <w:rPr>
                <w:rFonts w:ascii="Times New Roman" w:eastAsia="Times New Roman" w:hAnsi="Times New Roman" w:cs="Times New Roman"/>
                <w:b/>
                <w:bCs/>
                <w:kern w:val="0"/>
                <w:sz w:val="20"/>
                <w:szCs w:val="20"/>
                <w14:ligatures w14:val="none"/>
              </w:rPr>
              <w:t>/</w:t>
            </w:r>
            <w:proofErr w:type="spellStart"/>
            <w:r w:rsidRPr="008B7B0E">
              <w:rPr>
                <w:rFonts w:ascii="Times New Roman" w:eastAsia="Times New Roman" w:hAnsi="Times New Roman" w:cs="Times New Roman"/>
                <w:b/>
                <w:bCs/>
                <w:kern w:val="0"/>
                <w:sz w:val="20"/>
                <w:szCs w:val="20"/>
                <w14:ligatures w14:val="none"/>
              </w:rPr>
              <w:t>nirS</w:t>
            </w:r>
            <w:proofErr w:type="spellEnd"/>
          </w:p>
        </w:tc>
        <w:tc>
          <w:tcPr>
            <w:tcW w:w="0" w:type="auto"/>
            <w:hideMark/>
          </w:tcPr>
          <w:p w14:paraId="4F01ECBF"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Nitrite reductase</w:t>
            </w:r>
          </w:p>
        </w:tc>
        <w:tc>
          <w:tcPr>
            <w:tcW w:w="0" w:type="auto"/>
            <w:hideMark/>
          </w:tcPr>
          <w:p w14:paraId="17E44869"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Denitrification</w:t>
            </w:r>
          </w:p>
        </w:tc>
        <w:tc>
          <w:tcPr>
            <w:tcW w:w="0" w:type="auto"/>
            <w:hideMark/>
          </w:tcPr>
          <w:p w14:paraId="0E7A4A03" w14:textId="77777777" w:rsidR="00E357DE"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Pseudomonas</w:t>
            </w:r>
            <w:r w:rsidRPr="008B7B0E">
              <w:rPr>
                <w:rFonts w:ascii="Times New Roman" w:eastAsia="Times New Roman" w:hAnsi="Times New Roman" w:cs="Times New Roman"/>
                <w:kern w:val="0"/>
                <w:sz w:val="20"/>
                <w:szCs w:val="20"/>
                <w14:ligatures w14:val="none"/>
              </w:rPr>
              <w:t>, </w:t>
            </w:r>
          </w:p>
          <w:p w14:paraId="2BBAA2A3" w14:textId="56BC3CEE" w:rsidR="00361EC9" w:rsidRPr="008B7B0E" w:rsidRDefault="00361EC9" w:rsidP="00294870">
            <w:pPr>
              <w:jc w:val="both"/>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i/>
                <w:iCs/>
                <w:kern w:val="0"/>
                <w:sz w:val="20"/>
                <w:szCs w:val="20"/>
                <w14:ligatures w14:val="none"/>
              </w:rPr>
              <w:t>Paracoccus</w:t>
            </w:r>
            <w:proofErr w:type="spellEnd"/>
          </w:p>
        </w:tc>
        <w:tc>
          <w:tcPr>
            <w:tcW w:w="0" w:type="auto"/>
            <w:hideMark/>
          </w:tcPr>
          <w:p w14:paraId="31FE0D6D"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Multiplex qPCR</w:t>
            </w:r>
          </w:p>
        </w:tc>
        <w:tc>
          <w:tcPr>
            <w:tcW w:w="0" w:type="auto"/>
            <w:hideMark/>
          </w:tcPr>
          <w:p w14:paraId="7A55C9A3"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N loss/greenhouse gas risk</w:t>
            </w:r>
          </w:p>
        </w:tc>
        <w:tc>
          <w:tcPr>
            <w:tcW w:w="0" w:type="auto"/>
            <w:hideMark/>
          </w:tcPr>
          <w:p w14:paraId="48257783"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Jones et al. (2014)</w:t>
            </w:r>
          </w:p>
        </w:tc>
      </w:tr>
      <w:tr w:rsidR="008B7B0E" w:rsidRPr="008B7B0E" w14:paraId="50EEF10C" w14:textId="77777777" w:rsidTr="00361EC9">
        <w:tc>
          <w:tcPr>
            <w:tcW w:w="0" w:type="auto"/>
            <w:hideMark/>
          </w:tcPr>
          <w:p w14:paraId="60406252" w14:textId="77777777" w:rsidR="00361EC9" w:rsidRPr="008B7B0E" w:rsidRDefault="00361EC9" w:rsidP="00294870">
            <w:pPr>
              <w:jc w:val="both"/>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b/>
                <w:bCs/>
                <w:kern w:val="0"/>
                <w:sz w:val="20"/>
                <w:szCs w:val="20"/>
                <w14:ligatures w14:val="none"/>
              </w:rPr>
              <w:t>nosZ</w:t>
            </w:r>
            <w:proofErr w:type="spellEnd"/>
          </w:p>
        </w:tc>
        <w:tc>
          <w:tcPr>
            <w:tcW w:w="0" w:type="auto"/>
            <w:hideMark/>
          </w:tcPr>
          <w:p w14:paraId="2108C75F"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Nitrous oxide reductase</w:t>
            </w:r>
          </w:p>
        </w:tc>
        <w:tc>
          <w:tcPr>
            <w:tcW w:w="0" w:type="auto"/>
            <w:hideMark/>
          </w:tcPr>
          <w:p w14:paraId="68D54A58"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N₂O reduction</w:t>
            </w:r>
          </w:p>
        </w:tc>
        <w:tc>
          <w:tcPr>
            <w:tcW w:w="0" w:type="auto"/>
            <w:hideMark/>
          </w:tcPr>
          <w:p w14:paraId="59921312"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Denitrificans</w:t>
            </w:r>
            <w:r w:rsidRPr="008B7B0E">
              <w:rPr>
                <w:rFonts w:ascii="Times New Roman" w:eastAsia="Times New Roman" w:hAnsi="Times New Roman" w:cs="Times New Roman"/>
                <w:kern w:val="0"/>
                <w:sz w:val="20"/>
                <w:szCs w:val="20"/>
                <w14:ligatures w14:val="none"/>
              </w:rPr>
              <w:t> spp.</w:t>
            </w:r>
          </w:p>
        </w:tc>
        <w:tc>
          <w:tcPr>
            <w:tcW w:w="0" w:type="auto"/>
            <w:hideMark/>
          </w:tcPr>
          <w:p w14:paraId="53F2721A"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RT-qPCR</w:t>
            </w:r>
          </w:p>
        </w:tc>
        <w:tc>
          <w:tcPr>
            <w:tcW w:w="0" w:type="auto"/>
            <w:hideMark/>
          </w:tcPr>
          <w:p w14:paraId="1710441D"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Greenhouse gas mitigation</w:t>
            </w:r>
          </w:p>
        </w:tc>
        <w:tc>
          <w:tcPr>
            <w:tcW w:w="0" w:type="auto"/>
            <w:hideMark/>
          </w:tcPr>
          <w:p w14:paraId="6611B8E4"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Hallin et al. (2018)</w:t>
            </w:r>
          </w:p>
        </w:tc>
      </w:tr>
      <w:tr w:rsidR="008B7B0E" w:rsidRPr="008B7B0E" w14:paraId="7606FF9F" w14:textId="77777777" w:rsidTr="00361EC9">
        <w:tc>
          <w:tcPr>
            <w:tcW w:w="0" w:type="auto"/>
            <w:hideMark/>
          </w:tcPr>
          <w:p w14:paraId="79A23A9D" w14:textId="77777777" w:rsidR="00361EC9" w:rsidRPr="008B7B0E" w:rsidRDefault="00361EC9" w:rsidP="00294870">
            <w:pPr>
              <w:jc w:val="both"/>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b/>
                <w:bCs/>
                <w:kern w:val="0"/>
                <w:sz w:val="20"/>
                <w:szCs w:val="20"/>
                <w14:ligatures w14:val="none"/>
              </w:rPr>
              <w:t>aprA</w:t>
            </w:r>
            <w:proofErr w:type="spellEnd"/>
          </w:p>
        </w:tc>
        <w:tc>
          <w:tcPr>
            <w:tcW w:w="0" w:type="auto"/>
            <w:hideMark/>
          </w:tcPr>
          <w:p w14:paraId="5FAF9065"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xml:space="preserve">Adenosine </w:t>
            </w:r>
            <w:proofErr w:type="spellStart"/>
            <w:r w:rsidRPr="008B7B0E">
              <w:rPr>
                <w:rFonts w:ascii="Times New Roman" w:eastAsia="Times New Roman" w:hAnsi="Times New Roman" w:cs="Times New Roman"/>
                <w:kern w:val="0"/>
                <w:sz w:val="20"/>
                <w:szCs w:val="20"/>
                <w14:ligatures w14:val="none"/>
              </w:rPr>
              <w:t>phosphosulfate</w:t>
            </w:r>
            <w:proofErr w:type="spellEnd"/>
            <w:r w:rsidRPr="008B7B0E">
              <w:rPr>
                <w:rFonts w:ascii="Times New Roman" w:eastAsia="Times New Roman" w:hAnsi="Times New Roman" w:cs="Times New Roman"/>
                <w:kern w:val="0"/>
                <w:sz w:val="20"/>
                <w:szCs w:val="20"/>
                <w14:ligatures w14:val="none"/>
              </w:rPr>
              <w:t xml:space="preserve"> reductase</w:t>
            </w:r>
          </w:p>
        </w:tc>
        <w:tc>
          <w:tcPr>
            <w:tcW w:w="0" w:type="auto"/>
            <w:hideMark/>
          </w:tcPr>
          <w:p w14:paraId="6D435A2A"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Sulfur cycling</w:t>
            </w:r>
          </w:p>
        </w:tc>
        <w:tc>
          <w:tcPr>
            <w:tcW w:w="0" w:type="auto"/>
            <w:hideMark/>
          </w:tcPr>
          <w:p w14:paraId="4BE6F78A"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Desulfovibrio</w:t>
            </w:r>
          </w:p>
        </w:tc>
        <w:tc>
          <w:tcPr>
            <w:tcW w:w="0" w:type="auto"/>
            <w:hideMark/>
          </w:tcPr>
          <w:p w14:paraId="76B353C1"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Metagenomics</w:t>
            </w:r>
          </w:p>
        </w:tc>
        <w:tc>
          <w:tcPr>
            <w:tcW w:w="0" w:type="auto"/>
            <w:hideMark/>
          </w:tcPr>
          <w:p w14:paraId="58A0FF29"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S mineralization</w:t>
            </w:r>
          </w:p>
        </w:tc>
        <w:tc>
          <w:tcPr>
            <w:tcW w:w="0" w:type="auto"/>
            <w:hideMark/>
          </w:tcPr>
          <w:p w14:paraId="33699F0A"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xml:space="preserve">Meyer &amp; </w:t>
            </w:r>
            <w:proofErr w:type="spellStart"/>
            <w:r w:rsidRPr="008B7B0E">
              <w:rPr>
                <w:rFonts w:ascii="Times New Roman" w:eastAsia="Times New Roman" w:hAnsi="Times New Roman" w:cs="Times New Roman"/>
                <w:kern w:val="0"/>
                <w:sz w:val="20"/>
                <w:szCs w:val="20"/>
                <w14:ligatures w14:val="none"/>
              </w:rPr>
              <w:t>Kuever</w:t>
            </w:r>
            <w:proofErr w:type="spellEnd"/>
            <w:r w:rsidRPr="008B7B0E">
              <w:rPr>
                <w:rFonts w:ascii="Times New Roman" w:eastAsia="Times New Roman" w:hAnsi="Times New Roman" w:cs="Times New Roman"/>
                <w:kern w:val="0"/>
                <w:sz w:val="20"/>
                <w:szCs w:val="20"/>
                <w14:ligatures w14:val="none"/>
              </w:rPr>
              <w:t xml:space="preserve"> (2007)</w:t>
            </w:r>
          </w:p>
        </w:tc>
      </w:tr>
      <w:tr w:rsidR="008B7B0E" w:rsidRPr="008B7B0E" w14:paraId="6986C04B" w14:textId="77777777" w:rsidTr="00361EC9">
        <w:tc>
          <w:tcPr>
            <w:tcW w:w="0" w:type="auto"/>
            <w:hideMark/>
          </w:tcPr>
          <w:p w14:paraId="0589716C" w14:textId="77777777" w:rsidR="00361EC9" w:rsidRPr="008B7B0E" w:rsidRDefault="00361EC9" w:rsidP="00294870">
            <w:pPr>
              <w:jc w:val="both"/>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b/>
                <w:bCs/>
                <w:kern w:val="0"/>
                <w:sz w:val="20"/>
                <w:szCs w:val="20"/>
                <w14:ligatures w14:val="none"/>
              </w:rPr>
              <w:t>chiA</w:t>
            </w:r>
            <w:proofErr w:type="spellEnd"/>
          </w:p>
        </w:tc>
        <w:tc>
          <w:tcPr>
            <w:tcW w:w="0" w:type="auto"/>
            <w:hideMark/>
          </w:tcPr>
          <w:p w14:paraId="04D0FD0D"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Chitinase</w:t>
            </w:r>
          </w:p>
        </w:tc>
        <w:tc>
          <w:tcPr>
            <w:tcW w:w="0" w:type="auto"/>
            <w:hideMark/>
          </w:tcPr>
          <w:p w14:paraId="608893C4"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Chitin degradation</w:t>
            </w:r>
          </w:p>
        </w:tc>
        <w:tc>
          <w:tcPr>
            <w:tcW w:w="0" w:type="auto"/>
            <w:hideMark/>
          </w:tcPr>
          <w:p w14:paraId="1E99BC3E" w14:textId="77777777" w:rsidR="00E357DE"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Streptomyces</w:t>
            </w:r>
            <w:r w:rsidRPr="008B7B0E">
              <w:rPr>
                <w:rFonts w:ascii="Times New Roman" w:eastAsia="Times New Roman" w:hAnsi="Times New Roman" w:cs="Times New Roman"/>
                <w:kern w:val="0"/>
                <w:sz w:val="20"/>
                <w:szCs w:val="20"/>
                <w14:ligatures w14:val="none"/>
              </w:rPr>
              <w:t>, </w:t>
            </w:r>
          </w:p>
          <w:p w14:paraId="7299C14F" w14:textId="20A96BD0"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Serratia</w:t>
            </w:r>
          </w:p>
        </w:tc>
        <w:tc>
          <w:tcPr>
            <w:tcW w:w="0" w:type="auto"/>
            <w:hideMark/>
          </w:tcPr>
          <w:p w14:paraId="0F99DE40"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Fluorescence assay</w:t>
            </w:r>
          </w:p>
        </w:tc>
        <w:tc>
          <w:tcPr>
            <w:tcW w:w="0" w:type="auto"/>
            <w:hideMark/>
          </w:tcPr>
          <w:p w14:paraId="1CEFFC1E"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Fungal biomass turnover</w:t>
            </w:r>
          </w:p>
        </w:tc>
        <w:tc>
          <w:tcPr>
            <w:tcW w:w="0" w:type="auto"/>
            <w:hideMark/>
          </w:tcPr>
          <w:p w14:paraId="3DA7CD96"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Beier et al. (2015)</w:t>
            </w:r>
          </w:p>
        </w:tc>
      </w:tr>
      <w:tr w:rsidR="008B7B0E" w:rsidRPr="008B7B0E" w14:paraId="6FE0B0F7" w14:textId="77777777" w:rsidTr="00361EC9">
        <w:tc>
          <w:tcPr>
            <w:tcW w:w="0" w:type="auto"/>
            <w:hideMark/>
          </w:tcPr>
          <w:p w14:paraId="718BDE0D" w14:textId="77777777" w:rsidR="00361EC9" w:rsidRPr="008B7B0E" w:rsidRDefault="00361EC9" w:rsidP="00294870">
            <w:pPr>
              <w:jc w:val="both"/>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b/>
                <w:bCs/>
                <w:kern w:val="0"/>
                <w:sz w:val="20"/>
                <w:szCs w:val="20"/>
                <w14:ligatures w14:val="none"/>
              </w:rPr>
              <w:t>mcrA</w:t>
            </w:r>
            <w:proofErr w:type="spellEnd"/>
          </w:p>
        </w:tc>
        <w:tc>
          <w:tcPr>
            <w:tcW w:w="0" w:type="auto"/>
            <w:hideMark/>
          </w:tcPr>
          <w:p w14:paraId="1DD28CA4"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Methyl-coenzyme M reductase</w:t>
            </w:r>
          </w:p>
        </w:tc>
        <w:tc>
          <w:tcPr>
            <w:tcW w:w="0" w:type="auto"/>
            <w:hideMark/>
          </w:tcPr>
          <w:p w14:paraId="316A230E"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Methanogenesis</w:t>
            </w:r>
          </w:p>
        </w:tc>
        <w:tc>
          <w:tcPr>
            <w:tcW w:w="0" w:type="auto"/>
            <w:hideMark/>
          </w:tcPr>
          <w:p w14:paraId="4FCFA1C2" w14:textId="77777777" w:rsidR="00361EC9" w:rsidRPr="008B7B0E" w:rsidRDefault="00361EC9" w:rsidP="00294870">
            <w:pPr>
              <w:jc w:val="both"/>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i/>
                <w:iCs/>
                <w:kern w:val="0"/>
                <w:sz w:val="20"/>
                <w:szCs w:val="20"/>
                <w14:ligatures w14:val="none"/>
              </w:rPr>
              <w:t>Methanosarcina</w:t>
            </w:r>
            <w:proofErr w:type="spellEnd"/>
          </w:p>
        </w:tc>
        <w:tc>
          <w:tcPr>
            <w:tcW w:w="0" w:type="auto"/>
            <w:hideMark/>
          </w:tcPr>
          <w:p w14:paraId="6B7D68DD"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qPCR</w:t>
            </w:r>
          </w:p>
        </w:tc>
        <w:tc>
          <w:tcPr>
            <w:tcW w:w="0" w:type="auto"/>
            <w:hideMark/>
          </w:tcPr>
          <w:p w14:paraId="452CDAE0"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Wetland GHG emissions</w:t>
            </w:r>
          </w:p>
        </w:tc>
        <w:tc>
          <w:tcPr>
            <w:tcW w:w="0" w:type="auto"/>
            <w:hideMark/>
          </w:tcPr>
          <w:p w14:paraId="64D58F20"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Angel et al. (2012)</w:t>
            </w:r>
          </w:p>
        </w:tc>
      </w:tr>
      <w:tr w:rsidR="008B7B0E" w:rsidRPr="008B7B0E" w14:paraId="5258A783" w14:textId="77777777" w:rsidTr="00361EC9">
        <w:tc>
          <w:tcPr>
            <w:tcW w:w="0" w:type="auto"/>
            <w:hideMark/>
          </w:tcPr>
          <w:p w14:paraId="19F1D49E" w14:textId="77777777" w:rsidR="00361EC9" w:rsidRPr="008B7B0E" w:rsidRDefault="00361EC9" w:rsidP="00294870">
            <w:pPr>
              <w:jc w:val="both"/>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b/>
                <w:bCs/>
                <w:kern w:val="0"/>
                <w:sz w:val="20"/>
                <w:szCs w:val="20"/>
                <w14:ligatures w14:val="none"/>
              </w:rPr>
              <w:t>alkB</w:t>
            </w:r>
            <w:proofErr w:type="spellEnd"/>
          </w:p>
        </w:tc>
        <w:tc>
          <w:tcPr>
            <w:tcW w:w="0" w:type="auto"/>
            <w:hideMark/>
          </w:tcPr>
          <w:p w14:paraId="6D765FA0"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Alkane monooxygenase</w:t>
            </w:r>
          </w:p>
        </w:tc>
        <w:tc>
          <w:tcPr>
            <w:tcW w:w="0" w:type="auto"/>
            <w:hideMark/>
          </w:tcPr>
          <w:p w14:paraId="713F8019"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Hydrocarbon degradation</w:t>
            </w:r>
          </w:p>
        </w:tc>
        <w:tc>
          <w:tcPr>
            <w:tcW w:w="0" w:type="auto"/>
            <w:hideMark/>
          </w:tcPr>
          <w:p w14:paraId="68BFC9B1" w14:textId="77777777" w:rsidR="00E357DE" w:rsidRPr="008B7B0E" w:rsidRDefault="00361EC9" w:rsidP="00294870">
            <w:pPr>
              <w:jc w:val="both"/>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i/>
                <w:iCs/>
                <w:kern w:val="0"/>
                <w:sz w:val="20"/>
                <w:szCs w:val="20"/>
                <w14:ligatures w14:val="none"/>
              </w:rPr>
              <w:t>Rhodococcus</w:t>
            </w:r>
            <w:proofErr w:type="spellEnd"/>
            <w:r w:rsidRPr="008B7B0E">
              <w:rPr>
                <w:rFonts w:ascii="Times New Roman" w:eastAsia="Times New Roman" w:hAnsi="Times New Roman" w:cs="Times New Roman"/>
                <w:kern w:val="0"/>
                <w:sz w:val="20"/>
                <w:szCs w:val="20"/>
                <w14:ligatures w14:val="none"/>
              </w:rPr>
              <w:t>, </w:t>
            </w:r>
          </w:p>
          <w:p w14:paraId="2C222C67" w14:textId="04591679"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Pseudomonas</w:t>
            </w:r>
          </w:p>
        </w:tc>
        <w:tc>
          <w:tcPr>
            <w:tcW w:w="0" w:type="auto"/>
            <w:hideMark/>
          </w:tcPr>
          <w:p w14:paraId="360E45DB"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DNA-SIP</w:t>
            </w:r>
          </w:p>
        </w:tc>
        <w:tc>
          <w:tcPr>
            <w:tcW w:w="0" w:type="auto"/>
            <w:hideMark/>
          </w:tcPr>
          <w:p w14:paraId="5C9AC59D"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Bioremediation potential</w:t>
            </w:r>
          </w:p>
        </w:tc>
        <w:tc>
          <w:tcPr>
            <w:tcW w:w="0" w:type="auto"/>
            <w:hideMark/>
          </w:tcPr>
          <w:p w14:paraId="389BF6D2"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Nie et al. (2014)</w:t>
            </w:r>
          </w:p>
        </w:tc>
      </w:tr>
      <w:tr w:rsidR="008B7B0E" w:rsidRPr="008B7B0E" w14:paraId="5F184E00" w14:textId="77777777" w:rsidTr="00361EC9">
        <w:tc>
          <w:tcPr>
            <w:tcW w:w="0" w:type="auto"/>
            <w:hideMark/>
          </w:tcPr>
          <w:p w14:paraId="2E1F2289" w14:textId="0CE8890A" w:rsidR="00361EC9" w:rsidRPr="008B7B0E" w:rsidRDefault="00D71377" w:rsidP="00294870">
            <w:pPr>
              <w:jc w:val="both"/>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b/>
                <w:bCs/>
                <w:kern w:val="0"/>
                <w:sz w:val="20"/>
                <w:szCs w:val="20"/>
                <w14:ligatures w14:val="none"/>
              </w:rPr>
              <w:lastRenderedPageBreak/>
              <w:t>G</w:t>
            </w:r>
            <w:r w:rsidR="00361EC9" w:rsidRPr="008B7B0E">
              <w:rPr>
                <w:rFonts w:ascii="Times New Roman" w:eastAsia="Times New Roman" w:hAnsi="Times New Roman" w:cs="Times New Roman"/>
                <w:b/>
                <w:bCs/>
                <w:kern w:val="0"/>
                <w:sz w:val="20"/>
                <w:szCs w:val="20"/>
                <w14:ligatures w14:val="none"/>
              </w:rPr>
              <w:t>dh</w:t>
            </w:r>
            <w:proofErr w:type="spellEnd"/>
          </w:p>
        </w:tc>
        <w:tc>
          <w:tcPr>
            <w:tcW w:w="0" w:type="auto"/>
            <w:hideMark/>
          </w:tcPr>
          <w:p w14:paraId="7B7CA25B"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Glutamate dehydrogenase</w:t>
            </w:r>
          </w:p>
        </w:tc>
        <w:tc>
          <w:tcPr>
            <w:tcW w:w="0" w:type="auto"/>
            <w:hideMark/>
          </w:tcPr>
          <w:p w14:paraId="776D6CEC"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N mineralization</w:t>
            </w:r>
          </w:p>
        </w:tc>
        <w:tc>
          <w:tcPr>
            <w:tcW w:w="0" w:type="auto"/>
            <w:hideMark/>
          </w:tcPr>
          <w:p w14:paraId="3BF8A148"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Universal</w:t>
            </w:r>
          </w:p>
        </w:tc>
        <w:tc>
          <w:tcPr>
            <w:tcW w:w="0" w:type="auto"/>
            <w:hideMark/>
          </w:tcPr>
          <w:p w14:paraId="4C501143"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Enzyme assays</w:t>
            </w:r>
          </w:p>
        </w:tc>
        <w:tc>
          <w:tcPr>
            <w:tcW w:w="0" w:type="auto"/>
            <w:hideMark/>
          </w:tcPr>
          <w:p w14:paraId="36B30378"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Organic N turnover</w:t>
            </w:r>
          </w:p>
        </w:tc>
        <w:tc>
          <w:tcPr>
            <w:tcW w:w="0" w:type="auto"/>
            <w:hideMark/>
          </w:tcPr>
          <w:p w14:paraId="0C98DB0E" w14:textId="77777777" w:rsidR="00361EC9" w:rsidRPr="008B7B0E" w:rsidRDefault="00361EC9" w:rsidP="00294870">
            <w:pPr>
              <w:jc w:val="both"/>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kern w:val="0"/>
                <w:sz w:val="20"/>
                <w:szCs w:val="20"/>
                <w14:ligatures w14:val="none"/>
              </w:rPr>
              <w:t>Geisseler</w:t>
            </w:r>
            <w:proofErr w:type="spellEnd"/>
            <w:r w:rsidRPr="008B7B0E">
              <w:rPr>
                <w:rFonts w:ascii="Times New Roman" w:eastAsia="Times New Roman" w:hAnsi="Times New Roman" w:cs="Times New Roman"/>
                <w:kern w:val="0"/>
                <w:sz w:val="20"/>
                <w:szCs w:val="20"/>
                <w14:ligatures w14:val="none"/>
              </w:rPr>
              <w:t xml:space="preserve"> et al. (2010)</w:t>
            </w:r>
          </w:p>
        </w:tc>
      </w:tr>
      <w:tr w:rsidR="00361EC9" w:rsidRPr="008B7B0E" w14:paraId="54FF6094" w14:textId="77777777" w:rsidTr="00361EC9">
        <w:tc>
          <w:tcPr>
            <w:tcW w:w="0" w:type="auto"/>
            <w:hideMark/>
          </w:tcPr>
          <w:p w14:paraId="42752C64" w14:textId="77777777" w:rsidR="00361EC9" w:rsidRPr="008B7B0E" w:rsidRDefault="00361EC9" w:rsidP="00294870">
            <w:pPr>
              <w:jc w:val="both"/>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b/>
                <w:bCs/>
                <w:kern w:val="0"/>
                <w:sz w:val="20"/>
                <w:szCs w:val="20"/>
                <w14:ligatures w14:val="none"/>
              </w:rPr>
              <w:t>katG</w:t>
            </w:r>
            <w:proofErr w:type="spellEnd"/>
          </w:p>
        </w:tc>
        <w:tc>
          <w:tcPr>
            <w:tcW w:w="0" w:type="auto"/>
            <w:hideMark/>
          </w:tcPr>
          <w:p w14:paraId="2434E2BA"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Catalase-peroxidase</w:t>
            </w:r>
          </w:p>
        </w:tc>
        <w:tc>
          <w:tcPr>
            <w:tcW w:w="0" w:type="auto"/>
            <w:hideMark/>
          </w:tcPr>
          <w:p w14:paraId="1BEAD0B7"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Oxidative stress</w:t>
            </w:r>
          </w:p>
        </w:tc>
        <w:tc>
          <w:tcPr>
            <w:tcW w:w="0" w:type="auto"/>
            <w:hideMark/>
          </w:tcPr>
          <w:p w14:paraId="1A55B97A"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Diverse bacteria</w:t>
            </w:r>
          </w:p>
        </w:tc>
        <w:tc>
          <w:tcPr>
            <w:tcW w:w="0" w:type="auto"/>
            <w:hideMark/>
          </w:tcPr>
          <w:p w14:paraId="65B92B40" w14:textId="5DD1C943"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Meta-transcriptomics</w:t>
            </w:r>
          </w:p>
        </w:tc>
        <w:tc>
          <w:tcPr>
            <w:tcW w:w="0" w:type="auto"/>
            <w:hideMark/>
          </w:tcPr>
          <w:p w14:paraId="0BBD1D5B"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Soil redox status</w:t>
            </w:r>
          </w:p>
        </w:tc>
        <w:tc>
          <w:tcPr>
            <w:tcW w:w="0" w:type="auto"/>
            <w:hideMark/>
          </w:tcPr>
          <w:p w14:paraId="711BDD22"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Ahn et al. (2016)</w:t>
            </w:r>
          </w:p>
        </w:tc>
      </w:tr>
    </w:tbl>
    <w:p w14:paraId="3F20CF7D" w14:textId="550B8A5B" w:rsidR="002E25DC" w:rsidRPr="008B7B0E" w:rsidRDefault="00BC0E04"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4.4 </w:t>
      </w:r>
      <w:r w:rsidR="002E25DC" w:rsidRPr="008B7B0E">
        <w:rPr>
          <w:rFonts w:ascii="Times New Roman" w:eastAsia="Times New Roman" w:hAnsi="Times New Roman" w:cs="Times New Roman"/>
          <w:b/>
          <w:bCs/>
          <w:kern w:val="0"/>
          <w14:ligatures w14:val="none"/>
        </w:rPr>
        <w:t>Microbial Biomarkers in Crop-Specific Soil Health Management</w:t>
      </w:r>
    </w:p>
    <w:p w14:paraId="68C4C7DF" w14:textId="466C6516"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Several studies demonstrated the value of microbial biomarkers in crop-specific management strategies</w:t>
      </w:r>
      <w:r w:rsidR="00EF4FC7">
        <w:rPr>
          <w:rFonts w:ascii="Times New Roman" w:eastAsia="Times New Roman" w:hAnsi="Times New Roman" w:cs="Times New Roman"/>
          <w:kern w:val="0"/>
          <w14:ligatures w14:val="none"/>
        </w:rPr>
        <w:t xml:space="preserve"> (Table 4)</w:t>
      </w:r>
      <w:r w:rsidRPr="008B7B0E">
        <w:rPr>
          <w:rFonts w:ascii="Times New Roman" w:eastAsia="Times New Roman" w:hAnsi="Times New Roman" w:cs="Times New Roman"/>
          <w:kern w:val="0"/>
          <w14:ligatures w14:val="none"/>
        </w:rPr>
        <w:t xml:space="preserve">. In cereal systems, beneficial taxa such as </w:t>
      </w:r>
      <w:r w:rsidRPr="008B7B0E">
        <w:rPr>
          <w:rFonts w:ascii="Times New Roman" w:eastAsia="Times New Roman" w:hAnsi="Times New Roman" w:cs="Times New Roman"/>
          <w:i/>
          <w:iCs/>
          <w:kern w:val="0"/>
          <w14:ligatures w14:val="none"/>
        </w:rPr>
        <w:t>Pseudomonas</w:t>
      </w:r>
      <w:r w:rsidRPr="008B7B0E">
        <w:rPr>
          <w:rFonts w:ascii="Times New Roman" w:eastAsia="Times New Roman" w:hAnsi="Times New Roman" w:cs="Times New Roman"/>
          <w:kern w:val="0"/>
          <w14:ligatures w14:val="none"/>
        </w:rPr>
        <w:t xml:space="preserve"> (expressing ACC deaminase) and </w:t>
      </w:r>
      <w:proofErr w:type="spellStart"/>
      <w:r w:rsidRPr="008B7B0E">
        <w:rPr>
          <w:rFonts w:ascii="Times New Roman" w:eastAsia="Times New Roman" w:hAnsi="Times New Roman" w:cs="Times New Roman"/>
          <w:i/>
          <w:iCs/>
          <w:kern w:val="0"/>
          <w14:ligatures w14:val="none"/>
        </w:rPr>
        <w:t>Azospirillum</w:t>
      </w:r>
      <w:proofErr w:type="spellEnd"/>
      <w:r w:rsidRPr="008B7B0E">
        <w:rPr>
          <w:rFonts w:ascii="Times New Roman" w:eastAsia="Times New Roman" w:hAnsi="Times New Roman" w:cs="Times New Roman"/>
          <w:kern w:val="0"/>
          <w14:ligatures w14:val="none"/>
        </w:rPr>
        <w:t xml:space="preserve"> (</w:t>
      </w:r>
      <w:proofErr w:type="spellStart"/>
      <w:r w:rsidRPr="008B7B0E">
        <w:rPr>
          <w:rFonts w:ascii="Times New Roman" w:eastAsia="Times New Roman" w:hAnsi="Times New Roman" w:cs="Times New Roman"/>
          <w:i/>
          <w:iCs/>
          <w:kern w:val="0"/>
          <w14:ligatures w14:val="none"/>
        </w:rPr>
        <w:t>nifH</w:t>
      </w:r>
      <w:proofErr w:type="spellEnd"/>
      <w:r w:rsidRPr="008B7B0E">
        <w:rPr>
          <w:rFonts w:ascii="Times New Roman" w:eastAsia="Times New Roman" w:hAnsi="Times New Roman" w:cs="Times New Roman"/>
          <w:kern w:val="0"/>
          <w14:ligatures w14:val="none"/>
        </w:rPr>
        <w:t xml:space="preserve">) were associated with improved nitrogen availability and stress tolerance. Monitoring </w:t>
      </w:r>
      <w:r w:rsidRPr="008B7B0E">
        <w:rPr>
          <w:rFonts w:ascii="Times New Roman" w:eastAsia="Times New Roman" w:hAnsi="Times New Roman" w:cs="Times New Roman"/>
          <w:i/>
          <w:iCs/>
          <w:kern w:val="0"/>
          <w14:ligatures w14:val="none"/>
        </w:rPr>
        <w:t>Fusarium</w:t>
      </w:r>
      <w:r w:rsidRPr="008B7B0E">
        <w:rPr>
          <w:rFonts w:ascii="Times New Roman" w:eastAsia="Times New Roman" w:hAnsi="Times New Roman" w:cs="Times New Roman"/>
          <w:kern w:val="0"/>
          <w14:ligatures w14:val="none"/>
        </w:rPr>
        <w:t xml:space="preserve"> via ITS markers allowed for early detection of disease outbreaks and informed targeted interventions (Karlsson et al., 2017).</w:t>
      </w:r>
    </w:p>
    <w:p w14:paraId="6034B191"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In legume-based systems, </w:t>
      </w:r>
      <w:proofErr w:type="spellStart"/>
      <w:r w:rsidRPr="008B7B0E">
        <w:rPr>
          <w:rFonts w:ascii="Times New Roman" w:eastAsia="Times New Roman" w:hAnsi="Times New Roman" w:cs="Times New Roman"/>
          <w:i/>
          <w:iCs/>
          <w:kern w:val="0"/>
          <w14:ligatures w14:val="none"/>
        </w:rPr>
        <w:t>Bradyrhizobium</w:t>
      </w:r>
      <w:proofErr w:type="spellEnd"/>
      <w:r w:rsidRPr="008B7B0E">
        <w:rPr>
          <w:rFonts w:ascii="Times New Roman" w:eastAsia="Times New Roman" w:hAnsi="Times New Roman" w:cs="Times New Roman"/>
          <w:kern w:val="0"/>
          <w14:ligatures w14:val="none"/>
        </w:rPr>
        <w:t xml:space="preserve"> abundance (also marked by </w:t>
      </w:r>
      <w:proofErr w:type="spellStart"/>
      <w:r w:rsidRPr="008B7B0E">
        <w:rPr>
          <w:rFonts w:ascii="Times New Roman" w:eastAsia="Times New Roman" w:hAnsi="Times New Roman" w:cs="Times New Roman"/>
          <w:i/>
          <w:iCs/>
          <w:kern w:val="0"/>
          <w14:ligatures w14:val="none"/>
        </w:rPr>
        <w:t>nifH</w:t>
      </w:r>
      <w:proofErr w:type="spellEnd"/>
      <w:r w:rsidRPr="008B7B0E">
        <w:rPr>
          <w:rFonts w:ascii="Times New Roman" w:eastAsia="Times New Roman" w:hAnsi="Times New Roman" w:cs="Times New Roman"/>
          <w:kern w:val="0"/>
          <w14:ligatures w14:val="none"/>
        </w:rPr>
        <w:t xml:space="preserve">) was critical for biological nitrogen fixation and responded positively to inoculation and organic inputs. Perennial crops such as grapevines and coffee benefited from increased </w:t>
      </w:r>
      <w:r w:rsidRPr="008B7B0E">
        <w:rPr>
          <w:rFonts w:ascii="Times New Roman" w:eastAsia="Times New Roman" w:hAnsi="Times New Roman" w:cs="Times New Roman"/>
          <w:i/>
          <w:iCs/>
          <w:kern w:val="0"/>
          <w14:ligatures w14:val="none"/>
        </w:rPr>
        <w:t>Nitrosomonas</w:t>
      </w:r>
      <w:r w:rsidRPr="008B7B0E">
        <w:rPr>
          <w:rFonts w:ascii="Times New Roman" w:eastAsia="Times New Roman" w:hAnsi="Times New Roman" w:cs="Times New Roman"/>
          <w:kern w:val="0"/>
          <w14:ligatures w14:val="none"/>
        </w:rPr>
        <w:t xml:space="preserve"> (</w:t>
      </w:r>
      <w:proofErr w:type="spellStart"/>
      <w:r w:rsidRPr="008B7B0E">
        <w:rPr>
          <w:rFonts w:ascii="Times New Roman" w:eastAsia="Times New Roman" w:hAnsi="Times New Roman" w:cs="Times New Roman"/>
          <w:i/>
          <w:iCs/>
          <w:kern w:val="0"/>
          <w14:ligatures w14:val="none"/>
        </w:rPr>
        <w:t>amoA</w:t>
      </w:r>
      <w:proofErr w:type="spellEnd"/>
      <w:r w:rsidRPr="008B7B0E">
        <w:rPr>
          <w:rFonts w:ascii="Times New Roman" w:eastAsia="Times New Roman" w:hAnsi="Times New Roman" w:cs="Times New Roman"/>
          <w:kern w:val="0"/>
          <w14:ligatures w14:val="none"/>
        </w:rPr>
        <w:t xml:space="preserve">) and </w:t>
      </w:r>
      <w:proofErr w:type="spellStart"/>
      <w:r w:rsidRPr="008B7B0E">
        <w:rPr>
          <w:rFonts w:ascii="Times New Roman" w:eastAsia="Times New Roman" w:hAnsi="Times New Roman" w:cs="Times New Roman"/>
          <w:i/>
          <w:iCs/>
          <w:kern w:val="0"/>
          <w14:ligatures w14:val="none"/>
        </w:rPr>
        <w:t>Burkholderia</w:t>
      </w:r>
      <w:proofErr w:type="spellEnd"/>
      <w:r w:rsidRPr="008B7B0E">
        <w:rPr>
          <w:rFonts w:ascii="Times New Roman" w:eastAsia="Times New Roman" w:hAnsi="Times New Roman" w:cs="Times New Roman"/>
          <w:kern w:val="0"/>
          <w14:ligatures w14:val="none"/>
        </w:rPr>
        <w:t xml:space="preserve"> (</w:t>
      </w:r>
      <w:proofErr w:type="spellStart"/>
      <w:r w:rsidRPr="008B7B0E">
        <w:rPr>
          <w:rFonts w:ascii="Times New Roman" w:eastAsia="Times New Roman" w:hAnsi="Times New Roman" w:cs="Times New Roman"/>
          <w:i/>
          <w:iCs/>
          <w:kern w:val="0"/>
          <w14:ligatures w14:val="none"/>
        </w:rPr>
        <w:t>alkB</w:t>
      </w:r>
      <w:proofErr w:type="spellEnd"/>
      <w:r w:rsidRPr="008B7B0E">
        <w:rPr>
          <w:rFonts w:ascii="Times New Roman" w:eastAsia="Times New Roman" w:hAnsi="Times New Roman" w:cs="Times New Roman"/>
          <w:kern w:val="0"/>
          <w14:ligatures w14:val="none"/>
        </w:rPr>
        <w:t>), which contributed to nitrogen cycling and stress resilience.</w:t>
      </w:r>
    </w:p>
    <w:p w14:paraId="608CF5AB"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Disease suppression was frequently linked to increased abundance of saprotrophs such as </w:t>
      </w:r>
      <w:r w:rsidRPr="008B7B0E">
        <w:rPr>
          <w:rFonts w:ascii="Times New Roman" w:eastAsia="Times New Roman" w:hAnsi="Times New Roman" w:cs="Times New Roman"/>
          <w:i/>
          <w:iCs/>
          <w:kern w:val="0"/>
          <w14:ligatures w14:val="none"/>
        </w:rPr>
        <w:t>Trichoderma</w:t>
      </w:r>
      <w:r w:rsidRPr="008B7B0E">
        <w:rPr>
          <w:rFonts w:ascii="Times New Roman" w:eastAsia="Times New Roman" w:hAnsi="Times New Roman" w:cs="Times New Roman"/>
          <w:kern w:val="0"/>
          <w14:ligatures w14:val="none"/>
        </w:rPr>
        <w:t>, promoted by practices like reduced tillage and compost application. Management interventions tailored to crop type—such as biochar application in tomato cultivation or filter cake amendments in sugarcane fields—altered microbial community composition in ways that improved soil function and yield potential.</w:t>
      </w:r>
    </w:p>
    <w:p w14:paraId="21C12510" w14:textId="645F5907" w:rsidR="00BC3254" w:rsidRPr="008B7B0E" w:rsidRDefault="002E25DC" w:rsidP="00C01823">
      <w:pPr>
        <w:shd w:val="clear" w:color="auto" w:fill="FFFFFF"/>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8B7B0E">
        <w:rPr>
          <w:rFonts w:ascii="Times New Roman" w:eastAsia="Times New Roman" w:hAnsi="Times New Roman" w:cs="Times New Roman"/>
          <w:kern w:val="0"/>
          <w14:ligatures w14:val="none"/>
        </w:rPr>
        <w:t>Despite promising findings, future work should focus on regional calibration of microbial indicators, particularly in tropical systems. Integration of yield and economic data is needed to assess the practical value of biomarker-based interventions. Additionally, adoption of standardized protocols across studies will improve data comparability and facilitate broader implementation in agricultural management.</w:t>
      </w:r>
    </w:p>
    <w:p w14:paraId="2A0F13D0" w14:textId="2ED0F7DA" w:rsidR="00E357DE" w:rsidRPr="008B7B0E" w:rsidRDefault="00E357DE" w:rsidP="002E25DC">
      <w:pPr>
        <w:shd w:val="clear" w:color="auto" w:fill="FFFFFF"/>
        <w:spacing w:before="100" w:beforeAutospacing="1" w:after="100" w:afterAutospacing="1" w:line="240" w:lineRule="auto"/>
        <w:outlineLvl w:val="2"/>
        <w:rPr>
          <w:rFonts w:ascii="Times New Roman" w:eastAsia="Times New Roman" w:hAnsi="Times New Roman" w:cs="Times New Roman"/>
          <w:b/>
          <w:bCs/>
          <w:kern w:val="0"/>
          <w14:ligatures w14:val="none"/>
        </w:rPr>
      </w:pPr>
      <w:r w:rsidRPr="008B7B0E">
        <w:rPr>
          <w:rFonts w:ascii="Times New Roman" w:eastAsia="Times New Roman" w:hAnsi="Times New Roman" w:cs="Times New Roman"/>
          <w:b/>
          <w:bCs/>
          <w:kern w:val="0"/>
          <w14:ligatures w14:val="none"/>
        </w:rPr>
        <w:t xml:space="preserve">Table </w:t>
      </w:r>
      <w:r w:rsidR="00D71377" w:rsidRPr="008B7B0E">
        <w:rPr>
          <w:rFonts w:ascii="Times New Roman" w:eastAsia="Times New Roman" w:hAnsi="Times New Roman" w:cs="Times New Roman"/>
          <w:b/>
          <w:bCs/>
          <w:kern w:val="0"/>
          <w14:ligatures w14:val="none"/>
        </w:rPr>
        <w:t>4</w:t>
      </w:r>
      <w:r w:rsidRPr="008B7B0E">
        <w:rPr>
          <w:rFonts w:ascii="Times New Roman" w:eastAsia="Times New Roman" w:hAnsi="Times New Roman" w:cs="Times New Roman"/>
          <w:b/>
          <w:bCs/>
          <w:kern w:val="0"/>
          <w14:ligatures w14:val="none"/>
        </w:rPr>
        <w:t xml:space="preserve">: </w:t>
      </w:r>
      <w:r w:rsidRPr="008B7B0E">
        <w:rPr>
          <w:rFonts w:ascii="Times New Roman" w:eastAsia="Times New Roman" w:hAnsi="Times New Roman" w:cs="Times New Roman"/>
          <w:kern w:val="0"/>
          <w14:ligatures w14:val="none"/>
        </w:rPr>
        <w:t>Microbial Biomarkers for Major Crops and Soil Health Indicators</w:t>
      </w:r>
    </w:p>
    <w:tbl>
      <w:tblPr>
        <w:tblStyle w:val="TableGrid"/>
        <w:tblW w:w="0" w:type="auto"/>
        <w:tblInd w:w="-5" w:type="dxa"/>
        <w:tblLayout w:type="fixed"/>
        <w:tblLook w:val="04A0" w:firstRow="1" w:lastRow="0" w:firstColumn="1" w:lastColumn="0" w:noHBand="0" w:noVBand="1"/>
      </w:tblPr>
      <w:tblGrid>
        <w:gridCol w:w="1276"/>
        <w:gridCol w:w="2977"/>
        <w:gridCol w:w="1821"/>
        <w:gridCol w:w="2097"/>
        <w:gridCol w:w="1184"/>
      </w:tblGrid>
      <w:tr w:rsidR="008B7B0E" w:rsidRPr="008B7B0E" w14:paraId="2CEDF219" w14:textId="77777777" w:rsidTr="00E357DE">
        <w:tc>
          <w:tcPr>
            <w:tcW w:w="1276" w:type="dxa"/>
            <w:hideMark/>
          </w:tcPr>
          <w:p w14:paraId="1F77DA32" w14:textId="77777777" w:rsidR="00E357DE" w:rsidRPr="008B7B0E" w:rsidRDefault="00E357DE" w:rsidP="00E530C5">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Crop</w:t>
            </w:r>
          </w:p>
        </w:tc>
        <w:tc>
          <w:tcPr>
            <w:tcW w:w="2977" w:type="dxa"/>
            <w:hideMark/>
          </w:tcPr>
          <w:p w14:paraId="53FA7C84" w14:textId="77777777" w:rsidR="00E357DE" w:rsidRPr="008B7B0E" w:rsidRDefault="00E357DE" w:rsidP="00E530C5">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Key Microbial Biomarkers</w:t>
            </w:r>
          </w:p>
        </w:tc>
        <w:tc>
          <w:tcPr>
            <w:tcW w:w="1821" w:type="dxa"/>
            <w:hideMark/>
          </w:tcPr>
          <w:p w14:paraId="4B87B150" w14:textId="77777777" w:rsidR="00E357DE" w:rsidRPr="008B7B0E" w:rsidRDefault="00E357DE" w:rsidP="00E530C5">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Soil Health Function</w:t>
            </w:r>
          </w:p>
        </w:tc>
        <w:tc>
          <w:tcPr>
            <w:tcW w:w="2097" w:type="dxa"/>
            <w:hideMark/>
          </w:tcPr>
          <w:p w14:paraId="2FAA3057" w14:textId="77777777" w:rsidR="00E357DE" w:rsidRPr="008B7B0E" w:rsidRDefault="00E357DE" w:rsidP="00E530C5">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Management Impact</w:t>
            </w:r>
          </w:p>
        </w:tc>
        <w:tc>
          <w:tcPr>
            <w:tcW w:w="1184" w:type="dxa"/>
            <w:hideMark/>
          </w:tcPr>
          <w:p w14:paraId="2F0D5120" w14:textId="2D407537" w:rsidR="00E357DE" w:rsidRPr="008B7B0E" w:rsidRDefault="00E357DE" w:rsidP="00E530C5">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Citation</w:t>
            </w:r>
          </w:p>
        </w:tc>
      </w:tr>
      <w:tr w:rsidR="008B7B0E" w:rsidRPr="008B7B0E" w14:paraId="36E52303" w14:textId="77777777" w:rsidTr="00E357DE">
        <w:tc>
          <w:tcPr>
            <w:tcW w:w="1276" w:type="dxa"/>
            <w:hideMark/>
          </w:tcPr>
          <w:p w14:paraId="3F6D68C5"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Wheat</w:t>
            </w:r>
          </w:p>
        </w:tc>
        <w:tc>
          <w:tcPr>
            <w:tcW w:w="2977" w:type="dxa"/>
            <w:hideMark/>
          </w:tcPr>
          <w:p w14:paraId="6359368A"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Pseudomonas</w:t>
            </w:r>
            <w:r w:rsidRPr="008B7B0E">
              <w:rPr>
                <w:rFonts w:ascii="Times New Roman" w:eastAsia="Times New Roman" w:hAnsi="Times New Roman" w:cs="Times New Roman"/>
                <w:kern w:val="0"/>
                <w:sz w:val="20"/>
                <w:szCs w:val="20"/>
                <w14:ligatures w14:val="none"/>
              </w:rPr>
              <w:t> (ACC deaminase), </w:t>
            </w:r>
            <w:r w:rsidRPr="008B7B0E">
              <w:rPr>
                <w:rFonts w:ascii="Times New Roman" w:eastAsia="Times New Roman" w:hAnsi="Times New Roman" w:cs="Times New Roman"/>
                <w:i/>
                <w:iCs/>
                <w:kern w:val="0"/>
                <w:sz w:val="20"/>
                <w:szCs w:val="20"/>
                <w14:ligatures w14:val="none"/>
              </w:rPr>
              <w:t>Fusarium</w:t>
            </w:r>
            <w:r w:rsidRPr="008B7B0E">
              <w:rPr>
                <w:rFonts w:ascii="Times New Roman" w:eastAsia="Times New Roman" w:hAnsi="Times New Roman" w:cs="Times New Roman"/>
                <w:kern w:val="0"/>
                <w:sz w:val="20"/>
                <w:szCs w:val="20"/>
                <w14:ligatures w14:val="none"/>
              </w:rPr>
              <w:t> (ITS)</w:t>
            </w:r>
          </w:p>
        </w:tc>
        <w:tc>
          <w:tcPr>
            <w:tcW w:w="1821" w:type="dxa"/>
            <w:hideMark/>
          </w:tcPr>
          <w:p w14:paraId="708E3854"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N fixation, disease suppression</w:t>
            </w:r>
          </w:p>
        </w:tc>
        <w:tc>
          <w:tcPr>
            <w:tcW w:w="2097" w:type="dxa"/>
            <w:hideMark/>
          </w:tcPr>
          <w:p w14:paraId="1B13D372"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Crop rotation reduces pathogens</w:t>
            </w:r>
          </w:p>
        </w:tc>
        <w:tc>
          <w:tcPr>
            <w:tcW w:w="1184" w:type="dxa"/>
            <w:hideMark/>
          </w:tcPr>
          <w:p w14:paraId="62A389AA"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Banerjee et al. (2019)</w:t>
            </w:r>
          </w:p>
        </w:tc>
      </w:tr>
      <w:tr w:rsidR="008B7B0E" w:rsidRPr="008B7B0E" w14:paraId="33F014BC" w14:textId="77777777" w:rsidTr="00E357DE">
        <w:tc>
          <w:tcPr>
            <w:tcW w:w="1276" w:type="dxa"/>
            <w:hideMark/>
          </w:tcPr>
          <w:p w14:paraId="0F7D0548"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Rice</w:t>
            </w:r>
          </w:p>
        </w:tc>
        <w:tc>
          <w:tcPr>
            <w:tcW w:w="2977" w:type="dxa"/>
            <w:hideMark/>
          </w:tcPr>
          <w:p w14:paraId="4A4050CE"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Methanogens (</w:t>
            </w:r>
            <w:proofErr w:type="spellStart"/>
            <w:r w:rsidRPr="008B7B0E">
              <w:rPr>
                <w:rFonts w:ascii="Times New Roman" w:eastAsia="Times New Roman" w:hAnsi="Times New Roman" w:cs="Times New Roman"/>
                <w:i/>
                <w:iCs/>
                <w:kern w:val="0"/>
                <w:sz w:val="20"/>
                <w:szCs w:val="20"/>
                <w14:ligatures w14:val="none"/>
              </w:rPr>
              <w:t>mcrA</w:t>
            </w:r>
            <w:proofErr w:type="spellEnd"/>
            <w:r w:rsidRPr="008B7B0E">
              <w:rPr>
                <w:rFonts w:ascii="Times New Roman" w:eastAsia="Times New Roman" w:hAnsi="Times New Roman" w:cs="Times New Roman"/>
                <w:kern w:val="0"/>
                <w:sz w:val="20"/>
                <w:szCs w:val="20"/>
                <w14:ligatures w14:val="none"/>
              </w:rPr>
              <w:t>), </w:t>
            </w:r>
            <w:proofErr w:type="spellStart"/>
            <w:r w:rsidRPr="008B7B0E">
              <w:rPr>
                <w:rFonts w:ascii="Times New Roman" w:eastAsia="Times New Roman" w:hAnsi="Times New Roman" w:cs="Times New Roman"/>
                <w:i/>
                <w:iCs/>
                <w:kern w:val="0"/>
                <w:sz w:val="20"/>
                <w:szCs w:val="20"/>
                <w14:ligatures w14:val="none"/>
              </w:rPr>
              <w:t>Bradyrhizobium</w:t>
            </w:r>
            <w:proofErr w:type="spellEnd"/>
            <w:r w:rsidRPr="008B7B0E">
              <w:rPr>
                <w:rFonts w:ascii="Times New Roman" w:eastAsia="Times New Roman" w:hAnsi="Times New Roman" w:cs="Times New Roman"/>
                <w:kern w:val="0"/>
                <w:sz w:val="20"/>
                <w:szCs w:val="20"/>
                <w14:ligatures w14:val="none"/>
              </w:rPr>
              <w:t> (</w:t>
            </w:r>
            <w:proofErr w:type="spellStart"/>
            <w:r w:rsidRPr="008B7B0E">
              <w:rPr>
                <w:rFonts w:ascii="Times New Roman" w:eastAsia="Times New Roman" w:hAnsi="Times New Roman" w:cs="Times New Roman"/>
                <w:i/>
                <w:iCs/>
                <w:kern w:val="0"/>
                <w:sz w:val="20"/>
                <w:szCs w:val="20"/>
                <w14:ligatures w14:val="none"/>
              </w:rPr>
              <w:t>nifH</w:t>
            </w:r>
            <w:proofErr w:type="spellEnd"/>
            <w:r w:rsidRPr="008B7B0E">
              <w:rPr>
                <w:rFonts w:ascii="Times New Roman" w:eastAsia="Times New Roman" w:hAnsi="Times New Roman" w:cs="Times New Roman"/>
                <w:kern w:val="0"/>
                <w:sz w:val="20"/>
                <w:szCs w:val="20"/>
                <w14:ligatures w14:val="none"/>
              </w:rPr>
              <w:t>)</w:t>
            </w:r>
          </w:p>
        </w:tc>
        <w:tc>
          <w:tcPr>
            <w:tcW w:w="1821" w:type="dxa"/>
            <w:hideMark/>
          </w:tcPr>
          <w:p w14:paraId="2068CAC6"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CH₄ emissions, N fixation</w:t>
            </w:r>
          </w:p>
        </w:tc>
        <w:tc>
          <w:tcPr>
            <w:tcW w:w="2097" w:type="dxa"/>
            <w:hideMark/>
          </w:tcPr>
          <w:p w14:paraId="6F37E2E5"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Alternate wet-dry reduces </w:t>
            </w:r>
            <w:proofErr w:type="spellStart"/>
            <w:r w:rsidRPr="008B7B0E">
              <w:rPr>
                <w:rFonts w:ascii="Times New Roman" w:eastAsia="Times New Roman" w:hAnsi="Times New Roman" w:cs="Times New Roman"/>
                <w:i/>
                <w:iCs/>
                <w:kern w:val="0"/>
                <w:sz w:val="20"/>
                <w:szCs w:val="20"/>
                <w14:ligatures w14:val="none"/>
              </w:rPr>
              <w:t>mcrA</w:t>
            </w:r>
            <w:proofErr w:type="spellEnd"/>
          </w:p>
        </w:tc>
        <w:tc>
          <w:tcPr>
            <w:tcW w:w="1184" w:type="dxa"/>
            <w:hideMark/>
          </w:tcPr>
          <w:p w14:paraId="4E086AA5"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Angel et al. (2012)</w:t>
            </w:r>
          </w:p>
        </w:tc>
      </w:tr>
      <w:tr w:rsidR="008B7B0E" w:rsidRPr="008B7B0E" w14:paraId="2249FA66" w14:textId="77777777" w:rsidTr="00E357DE">
        <w:tc>
          <w:tcPr>
            <w:tcW w:w="1276" w:type="dxa"/>
            <w:hideMark/>
          </w:tcPr>
          <w:p w14:paraId="1C582D24"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Maize</w:t>
            </w:r>
          </w:p>
        </w:tc>
        <w:tc>
          <w:tcPr>
            <w:tcW w:w="2977" w:type="dxa"/>
            <w:hideMark/>
          </w:tcPr>
          <w:p w14:paraId="39A35B40" w14:textId="77777777" w:rsidR="00BC3254" w:rsidRPr="008B7B0E" w:rsidRDefault="00E357DE" w:rsidP="00E530C5">
            <w:pPr>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i/>
                <w:iCs/>
                <w:kern w:val="0"/>
                <w:sz w:val="20"/>
                <w:szCs w:val="20"/>
                <w14:ligatures w14:val="none"/>
              </w:rPr>
              <w:t>Azospirillum</w:t>
            </w:r>
            <w:proofErr w:type="spellEnd"/>
            <w:r w:rsidRPr="008B7B0E">
              <w:rPr>
                <w:rFonts w:ascii="Times New Roman" w:eastAsia="Times New Roman" w:hAnsi="Times New Roman" w:cs="Times New Roman"/>
                <w:kern w:val="0"/>
                <w:sz w:val="20"/>
                <w:szCs w:val="20"/>
                <w14:ligatures w14:val="none"/>
              </w:rPr>
              <w:t> (</w:t>
            </w:r>
            <w:proofErr w:type="spellStart"/>
            <w:r w:rsidRPr="008B7B0E">
              <w:rPr>
                <w:rFonts w:ascii="Times New Roman" w:eastAsia="Times New Roman" w:hAnsi="Times New Roman" w:cs="Times New Roman"/>
                <w:i/>
                <w:iCs/>
                <w:kern w:val="0"/>
                <w:sz w:val="20"/>
                <w:szCs w:val="20"/>
                <w14:ligatures w14:val="none"/>
              </w:rPr>
              <w:t>nifH</w:t>
            </w:r>
            <w:proofErr w:type="spellEnd"/>
            <w:r w:rsidRPr="008B7B0E">
              <w:rPr>
                <w:rFonts w:ascii="Times New Roman" w:eastAsia="Times New Roman" w:hAnsi="Times New Roman" w:cs="Times New Roman"/>
                <w:kern w:val="0"/>
                <w:sz w:val="20"/>
                <w:szCs w:val="20"/>
                <w14:ligatures w14:val="none"/>
              </w:rPr>
              <w:t>), </w:t>
            </w:r>
          </w:p>
          <w:p w14:paraId="7DC8846F" w14:textId="4AF069C3" w:rsidR="00E357DE" w:rsidRPr="008B7B0E" w:rsidRDefault="00E357DE" w:rsidP="00BC3254">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Bacillus</w:t>
            </w:r>
            <w:r w:rsidRPr="008B7B0E">
              <w:rPr>
                <w:rFonts w:ascii="Times New Roman" w:eastAsia="Times New Roman" w:hAnsi="Times New Roman" w:cs="Times New Roman"/>
                <w:kern w:val="0"/>
                <w:sz w:val="20"/>
                <w:szCs w:val="20"/>
                <w14:ligatures w14:val="none"/>
              </w:rPr>
              <w:t> (</w:t>
            </w:r>
            <w:r w:rsidRPr="008B7B0E">
              <w:rPr>
                <w:rFonts w:ascii="Times New Roman" w:eastAsia="Times New Roman" w:hAnsi="Times New Roman" w:cs="Times New Roman"/>
                <w:i/>
                <w:iCs/>
                <w:kern w:val="0"/>
                <w:sz w:val="20"/>
                <w:szCs w:val="20"/>
                <w14:ligatures w14:val="none"/>
              </w:rPr>
              <w:t>cel48</w:t>
            </w:r>
            <w:r w:rsidRPr="008B7B0E">
              <w:rPr>
                <w:rFonts w:ascii="Times New Roman" w:eastAsia="Times New Roman" w:hAnsi="Times New Roman" w:cs="Times New Roman"/>
                <w:kern w:val="0"/>
                <w:sz w:val="20"/>
                <w:szCs w:val="20"/>
                <w14:ligatures w14:val="none"/>
              </w:rPr>
              <w:t>)</w:t>
            </w:r>
          </w:p>
        </w:tc>
        <w:tc>
          <w:tcPr>
            <w:tcW w:w="1821" w:type="dxa"/>
            <w:hideMark/>
          </w:tcPr>
          <w:p w14:paraId="108D85AC"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N fixation, residue decomposition</w:t>
            </w:r>
          </w:p>
        </w:tc>
        <w:tc>
          <w:tcPr>
            <w:tcW w:w="2097" w:type="dxa"/>
            <w:hideMark/>
          </w:tcPr>
          <w:p w14:paraId="204DC7F7"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No-till increases </w:t>
            </w:r>
            <w:r w:rsidRPr="008B7B0E">
              <w:rPr>
                <w:rFonts w:ascii="Times New Roman" w:eastAsia="Times New Roman" w:hAnsi="Times New Roman" w:cs="Times New Roman"/>
                <w:i/>
                <w:iCs/>
                <w:kern w:val="0"/>
                <w:sz w:val="20"/>
                <w:szCs w:val="20"/>
                <w14:ligatures w14:val="none"/>
              </w:rPr>
              <w:t>cel48</w:t>
            </w:r>
            <w:r w:rsidRPr="008B7B0E">
              <w:rPr>
                <w:rFonts w:ascii="Times New Roman" w:eastAsia="Times New Roman" w:hAnsi="Times New Roman" w:cs="Times New Roman"/>
                <w:kern w:val="0"/>
                <w:sz w:val="20"/>
                <w:szCs w:val="20"/>
                <w14:ligatures w14:val="none"/>
              </w:rPr>
              <w:t> activity</w:t>
            </w:r>
          </w:p>
        </w:tc>
        <w:tc>
          <w:tcPr>
            <w:tcW w:w="1184" w:type="dxa"/>
            <w:hideMark/>
          </w:tcPr>
          <w:p w14:paraId="62FD1636"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Levy-Booth et al. (2014)</w:t>
            </w:r>
          </w:p>
        </w:tc>
      </w:tr>
      <w:tr w:rsidR="008B7B0E" w:rsidRPr="008B7B0E" w14:paraId="6D3BF117" w14:textId="77777777" w:rsidTr="00E357DE">
        <w:tc>
          <w:tcPr>
            <w:tcW w:w="1276" w:type="dxa"/>
            <w:hideMark/>
          </w:tcPr>
          <w:p w14:paraId="0B17DA4C"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Soybean</w:t>
            </w:r>
          </w:p>
        </w:tc>
        <w:tc>
          <w:tcPr>
            <w:tcW w:w="2977" w:type="dxa"/>
            <w:hideMark/>
          </w:tcPr>
          <w:p w14:paraId="5DFA0C2B" w14:textId="77777777" w:rsidR="00E357DE" w:rsidRPr="008B7B0E" w:rsidRDefault="00E357DE" w:rsidP="00E530C5">
            <w:pPr>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i/>
                <w:iCs/>
                <w:kern w:val="0"/>
                <w:sz w:val="20"/>
                <w:szCs w:val="20"/>
                <w14:ligatures w14:val="none"/>
              </w:rPr>
              <w:t>Bradyrhizobium</w:t>
            </w:r>
            <w:proofErr w:type="spellEnd"/>
            <w:r w:rsidRPr="008B7B0E">
              <w:rPr>
                <w:rFonts w:ascii="Times New Roman" w:eastAsia="Times New Roman" w:hAnsi="Times New Roman" w:cs="Times New Roman"/>
                <w:kern w:val="0"/>
                <w:sz w:val="20"/>
                <w:szCs w:val="20"/>
                <w14:ligatures w14:val="none"/>
              </w:rPr>
              <w:t> (</w:t>
            </w:r>
            <w:proofErr w:type="spellStart"/>
            <w:r w:rsidRPr="008B7B0E">
              <w:rPr>
                <w:rFonts w:ascii="Times New Roman" w:eastAsia="Times New Roman" w:hAnsi="Times New Roman" w:cs="Times New Roman"/>
                <w:i/>
                <w:iCs/>
                <w:kern w:val="0"/>
                <w:sz w:val="20"/>
                <w:szCs w:val="20"/>
                <w14:ligatures w14:val="none"/>
              </w:rPr>
              <w:t>nifH</w:t>
            </w:r>
            <w:proofErr w:type="spellEnd"/>
            <w:r w:rsidRPr="008B7B0E">
              <w:rPr>
                <w:rFonts w:ascii="Times New Roman" w:eastAsia="Times New Roman" w:hAnsi="Times New Roman" w:cs="Times New Roman"/>
                <w:kern w:val="0"/>
                <w:sz w:val="20"/>
                <w:szCs w:val="20"/>
                <w14:ligatures w14:val="none"/>
              </w:rPr>
              <w:t>), </w:t>
            </w:r>
          </w:p>
          <w:p w14:paraId="2D1E54C7" w14:textId="054C5F8B"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Trichoderma</w:t>
            </w:r>
            <w:r w:rsidRPr="008B7B0E">
              <w:rPr>
                <w:rFonts w:ascii="Times New Roman" w:eastAsia="Times New Roman" w:hAnsi="Times New Roman" w:cs="Times New Roman"/>
                <w:kern w:val="0"/>
                <w:sz w:val="20"/>
                <w:szCs w:val="20"/>
                <w14:ligatures w14:val="none"/>
              </w:rPr>
              <w:t> (ITS)</w:t>
            </w:r>
          </w:p>
        </w:tc>
        <w:tc>
          <w:tcPr>
            <w:tcW w:w="1821" w:type="dxa"/>
            <w:hideMark/>
          </w:tcPr>
          <w:p w14:paraId="7FA70E7C"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Symbiotic N fixation, pathogen suppression</w:t>
            </w:r>
          </w:p>
        </w:tc>
        <w:tc>
          <w:tcPr>
            <w:tcW w:w="2097" w:type="dxa"/>
            <w:hideMark/>
          </w:tcPr>
          <w:p w14:paraId="46E3B417"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Inoculation boosts </w:t>
            </w:r>
            <w:proofErr w:type="spellStart"/>
            <w:r w:rsidRPr="008B7B0E">
              <w:rPr>
                <w:rFonts w:ascii="Times New Roman" w:eastAsia="Times New Roman" w:hAnsi="Times New Roman" w:cs="Times New Roman"/>
                <w:i/>
                <w:iCs/>
                <w:kern w:val="0"/>
                <w:sz w:val="20"/>
                <w:szCs w:val="20"/>
                <w14:ligatures w14:val="none"/>
              </w:rPr>
              <w:t>nifH</w:t>
            </w:r>
            <w:proofErr w:type="spellEnd"/>
            <w:r w:rsidRPr="008B7B0E">
              <w:rPr>
                <w:rFonts w:ascii="Times New Roman" w:eastAsia="Times New Roman" w:hAnsi="Times New Roman" w:cs="Times New Roman"/>
                <w:kern w:val="0"/>
                <w:sz w:val="20"/>
                <w:szCs w:val="20"/>
                <w14:ligatures w14:val="none"/>
              </w:rPr>
              <w:t> copies</w:t>
            </w:r>
          </w:p>
        </w:tc>
        <w:tc>
          <w:tcPr>
            <w:tcW w:w="1184" w:type="dxa"/>
            <w:hideMark/>
          </w:tcPr>
          <w:p w14:paraId="2880B8BD"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Fraser et al. (2015)</w:t>
            </w:r>
          </w:p>
        </w:tc>
      </w:tr>
      <w:tr w:rsidR="008B7B0E" w:rsidRPr="008B7B0E" w14:paraId="7179E81C" w14:textId="77777777" w:rsidTr="00E357DE">
        <w:tc>
          <w:tcPr>
            <w:tcW w:w="1276" w:type="dxa"/>
            <w:hideMark/>
          </w:tcPr>
          <w:p w14:paraId="2F9CF5AB"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Potato</w:t>
            </w:r>
          </w:p>
        </w:tc>
        <w:tc>
          <w:tcPr>
            <w:tcW w:w="2977" w:type="dxa"/>
            <w:hideMark/>
          </w:tcPr>
          <w:p w14:paraId="2AA64EA6" w14:textId="77777777" w:rsidR="00BC3254"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Streptomyces</w:t>
            </w:r>
            <w:r w:rsidRPr="008B7B0E">
              <w:rPr>
                <w:rFonts w:ascii="Times New Roman" w:eastAsia="Times New Roman" w:hAnsi="Times New Roman" w:cs="Times New Roman"/>
                <w:kern w:val="0"/>
                <w:sz w:val="20"/>
                <w:szCs w:val="20"/>
                <w14:ligatures w14:val="none"/>
              </w:rPr>
              <w:t> (</w:t>
            </w:r>
            <w:proofErr w:type="spellStart"/>
            <w:r w:rsidRPr="008B7B0E">
              <w:rPr>
                <w:rFonts w:ascii="Times New Roman" w:eastAsia="Times New Roman" w:hAnsi="Times New Roman" w:cs="Times New Roman"/>
                <w:i/>
                <w:iCs/>
                <w:kern w:val="0"/>
                <w:sz w:val="20"/>
                <w:szCs w:val="20"/>
                <w14:ligatures w14:val="none"/>
              </w:rPr>
              <w:t>chiA</w:t>
            </w:r>
            <w:proofErr w:type="spellEnd"/>
            <w:r w:rsidRPr="008B7B0E">
              <w:rPr>
                <w:rFonts w:ascii="Times New Roman" w:eastAsia="Times New Roman" w:hAnsi="Times New Roman" w:cs="Times New Roman"/>
                <w:kern w:val="0"/>
                <w:sz w:val="20"/>
                <w:szCs w:val="20"/>
                <w14:ligatures w14:val="none"/>
              </w:rPr>
              <w:t>),</w:t>
            </w:r>
          </w:p>
          <w:p w14:paraId="338973C5" w14:textId="49240654" w:rsidR="00E357DE" w:rsidRPr="008B7B0E" w:rsidRDefault="00E357DE" w:rsidP="00BC3254">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w:t>
            </w:r>
            <w:r w:rsidRPr="008B7B0E">
              <w:rPr>
                <w:rFonts w:ascii="Times New Roman" w:eastAsia="Times New Roman" w:hAnsi="Times New Roman" w:cs="Times New Roman"/>
                <w:i/>
                <w:iCs/>
                <w:kern w:val="0"/>
                <w:sz w:val="20"/>
                <w:szCs w:val="20"/>
                <w14:ligatures w14:val="none"/>
              </w:rPr>
              <w:t>Rhizoctonia</w:t>
            </w:r>
            <w:r w:rsidRPr="008B7B0E">
              <w:rPr>
                <w:rFonts w:ascii="Times New Roman" w:eastAsia="Times New Roman" w:hAnsi="Times New Roman" w:cs="Times New Roman"/>
                <w:kern w:val="0"/>
                <w:sz w:val="20"/>
                <w:szCs w:val="20"/>
                <w14:ligatures w14:val="none"/>
              </w:rPr>
              <w:t> (ITS)</w:t>
            </w:r>
          </w:p>
        </w:tc>
        <w:tc>
          <w:tcPr>
            <w:tcW w:w="1821" w:type="dxa"/>
            <w:hideMark/>
          </w:tcPr>
          <w:p w14:paraId="3B2B0D74"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Chitin degradation, disease risk</w:t>
            </w:r>
          </w:p>
        </w:tc>
        <w:tc>
          <w:tcPr>
            <w:tcW w:w="2097" w:type="dxa"/>
            <w:hideMark/>
          </w:tcPr>
          <w:p w14:paraId="7DB00084"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Organic amendments lower pathogens</w:t>
            </w:r>
          </w:p>
        </w:tc>
        <w:tc>
          <w:tcPr>
            <w:tcW w:w="1184" w:type="dxa"/>
            <w:hideMark/>
          </w:tcPr>
          <w:p w14:paraId="6410BEF0"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Karlsson et al. (2017)</w:t>
            </w:r>
          </w:p>
        </w:tc>
      </w:tr>
      <w:tr w:rsidR="008B7B0E" w:rsidRPr="008B7B0E" w14:paraId="391ADA16" w14:textId="77777777" w:rsidTr="00E357DE">
        <w:tc>
          <w:tcPr>
            <w:tcW w:w="1276" w:type="dxa"/>
            <w:hideMark/>
          </w:tcPr>
          <w:p w14:paraId="6CCA5BBA"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lastRenderedPageBreak/>
              <w:t>Cotton</w:t>
            </w:r>
          </w:p>
        </w:tc>
        <w:tc>
          <w:tcPr>
            <w:tcW w:w="2977" w:type="dxa"/>
            <w:hideMark/>
          </w:tcPr>
          <w:p w14:paraId="7B4E5834" w14:textId="77777777" w:rsidR="00BC3254"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Arthrobacter</w:t>
            </w:r>
            <w:r w:rsidRPr="008B7B0E">
              <w:rPr>
                <w:rFonts w:ascii="Times New Roman" w:eastAsia="Times New Roman" w:hAnsi="Times New Roman" w:cs="Times New Roman"/>
                <w:kern w:val="0"/>
                <w:sz w:val="20"/>
                <w:szCs w:val="20"/>
                <w14:ligatures w14:val="none"/>
              </w:rPr>
              <w:t> (</w:t>
            </w:r>
            <w:proofErr w:type="spellStart"/>
            <w:r w:rsidRPr="008B7B0E">
              <w:rPr>
                <w:rFonts w:ascii="Times New Roman" w:eastAsia="Times New Roman" w:hAnsi="Times New Roman" w:cs="Times New Roman"/>
                <w:i/>
                <w:iCs/>
                <w:kern w:val="0"/>
                <w:sz w:val="20"/>
                <w:szCs w:val="20"/>
                <w14:ligatures w14:val="none"/>
              </w:rPr>
              <w:t>phoD</w:t>
            </w:r>
            <w:proofErr w:type="spellEnd"/>
            <w:r w:rsidRPr="008B7B0E">
              <w:rPr>
                <w:rFonts w:ascii="Times New Roman" w:eastAsia="Times New Roman" w:hAnsi="Times New Roman" w:cs="Times New Roman"/>
                <w:kern w:val="0"/>
                <w:sz w:val="20"/>
                <w:szCs w:val="20"/>
                <w14:ligatures w14:val="none"/>
              </w:rPr>
              <w:t>), </w:t>
            </w:r>
          </w:p>
          <w:p w14:paraId="4D25BB99" w14:textId="0914BAC9"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Mycorrhizae</w:t>
            </w:r>
            <w:r w:rsidRPr="008B7B0E">
              <w:rPr>
                <w:rFonts w:ascii="Times New Roman" w:eastAsia="Times New Roman" w:hAnsi="Times New Roman" w:cs="Times New Roman"/>
                <w:kern w:val="0"/>
                <w:sz w:val="20"/>
                <w:szCs w:val="20"/>
                <w14:ligatures w14:val="none"/>
              </w:rPr>
              <w:t> </w:t>
            </w:r>
          </w:p>
          <w:p w14:paraId="2A2DDB98" w14:textId="0B3A0D8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(18S)</w:t>
            </w:r>
          </w:p>
        </w:tc>
        <w:tc>
          <w:tcPr>
            <w:tcW w:w="1821" w:type="dxa"/>
            <w:hideMark/>
          </w:tcPr>
          <w:p w14:paraId="3C4E14C9"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P solubilization, water retention</w:t>
            </w:r>
          </w:p>
        </w:tc>
        <w:tc>
          <w:tcPr>
            <w:tcW w:w="2097" w:type="dxa"/>
            <w:hideMark/>
          </w:tcPr>
          <w:p w14:paraId="1A803033"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Reduced tillage enhances AMF</w:t>
            </w:r>
          </w:p>
        </w:tc>
        <w:tc>
          <w:tcPr>
            <w:tcW w:w="1184" w:type="dxa"/>
            <w:hideMark/>
          </w:tcPr>
          <w:p w14:paraId="42C5CB73" w14:textId="77777777" w:rsidR="00E357DE" w:rsidRPr="008B7B0E" w:rsidRDefault="00E357DE" w:rsidP="00E530C5">
            <w:pPr>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kern w:val="0"/>
                <w:sz w:val="20"/>
                <w:szCs w:val="20"/>
                <w14:ligatures w14:val="none"/>
              </w:rPr>
              <w:t>Bergkemper</w:t>
            </w:r>
            <w:proofErr w:type="spellEnd"/>
            <w:r w:rsidRPr="008B7B0E">
              <w:rPr>
                <w:rFonts w:ascii="Times New Roman" w:eastAsia="Times New Roman" w:hAnsi="Times New Roman" w:cs="Times New Roman"/>
                <w:kern w:val="0"/>
                <w:sz w:val="20"/>
                <w:szCs w:val="20"/>
                <w14:ligatures w14:val="none"/>
              </w:rPr>
              <w:t xml:space="preserve"> et al. (2016)</w:t>
            </w:r>
          </w:p>
        </w:tc>
      </w:tr>
      <w:tr w:rsidR="008B7B0E" w:rsidRPr="008B7B0E" w14:paraId="03330275" w14:textId="77777777" w:rsidTr="00E357DE">
        <w:tc>
          <w:tcPr>
            <w:tcW w:w="1276" w:type="dxa"/>
            <w:hideMark/>
          </w:tcPr>
          <w:p w14:paraId="562D59A1"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Coffee</w:t>
            </w:r>
          </w:p>
        </w:tc>
        <w:tc>
          <w:tcPr>
            <w:tcW w:w="2977" w:type="dxa"/>
            <w:hideMark/>
          </w:tcPr>
          <w:p w14:paraId="4787BF2C"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Penicillium</w:t>
            </w:r>
            <w:r w:rsidRPr="008B7B0E">
              <w:rPr>
                <w:rFonts w:ascii="Times New Roman" w:eastAsia="Times New Roman" w:hAnsi="Times New Roman" w:cs="Times New Roman"/>
                <w:kern w:val="0"/>
                <w:sz w:val="20"/>
                <w:szCs w:val="20"/>
                <w14:ligatures w14:val="none"/>
              </w:rPr>
              <w:t> (ITS), </w:t>
            </w:r>
            <w:r w:rsidRPr="008B7B0E">
              <w:rPr>
                <w:rFonts w:ascii="Times New Roman" w:eastAsia="Times New Roman" w:hAnsi="Times New Roman" w:cs="Times New Roman"/>
                <w:i/>
                <w:iCs/>
                <w:kern w:val="0"/>
                <w:sz w:val="20"/>
                <w:szCs w:val="20"/>
                <w14:ligatures w14:val="none"/>
              </w:rPr>
              <w:t>Nitrosomonas</w:t>
            </w:r>
            <w:r w:rsidRPr="008B7B0E">
              <w:rPr>
                <w:rFonts w:ascii="Times New Roman" w:eastAsia="Times New Roman" w:hAnsi="Times New Roman" w:cs="Times New Roman"/>
                <w:kern w:val="0"/>
                <w:sz w:val="20"/>
                <w:szCs w:val="20"/>
                <w14:ligatures w14:val="none"/>
              </w:rPr>
              <w:t> </w:t>
            </w:r>
          </w:p>
          <w:p w14:paraId="24D454F3" w14:textId="726C806D"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w:t>
            </w:r>
            <w:proofErr w:type="spellStart"/>
            <w:r w:rsidRPr="008B7B0E">
              <w:rPr>
                <w:rFonts w:ascii="Times New Roman" w:eastAsia="Times New Roman" w:hAnsi="Times New Roman" w:cs="Times New Roman"/>
                <w:i/>
                <w:iCs/>
                <w:kern w:val="0"/>
                <w:sz w:val="20"/>
                <w:szCs w:val="20"/>
                <w14:ligatures w14:val="none"/>
              </w:rPr>
              <w:t>amoA</w:t>
            </w:r>
            <w:proofErr w:type="spellEnd"/>
            <w:r w:rsidRPr="008B7B0E">
              <w:rPr>
                <w:rFonts w:ascii="Times New Roman" w:eastAsia="Times New Roman" w:hAnsi="Times New Roman" w:cs="Times New Roman"/>
                <w:kern w:val="0"/>
                <w:sz w:val="20"/>
                <w:szCs w:val="20"/>
                <w14:ligatures w14:val="none"/>
              </w:rPr>
              <w:t>)</w:t>
            </w:r>
          </w:p>
        </w:tc>
        <w:tc>
          <w:tcPr>
            <w:tcW w:w="1821" w:type="dxa"/>
            <w:hideMark/>
          </w:tcPr>
          <w:p w14:paraId="00CBB17E"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Organic acid production, nitrification</w:t>
            </w:r>
          </w:p>
        </w:tc>
        <w:tc>
          <w:tcPr>
            <w:tcW w:w="2097" w:type="dxa"/>
            <w:hideMark/>
          </w:tcPr>
          <w:p w14:paraId="573861AB" w14:textId="77777777" w:rsidR="00BC3254"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Shade trees increase </w:t>
            </w:r>
            <w:proofErr w:type="spellStart"/>
            <w:r w:rsidRPr="008B7B0E">
              <w:rPr>
                <w:rFonts w:ascii="Times New Roman" w:eastAsia="Times New Roman" w:hAnsi="Times New Roman" w:cs="Times New Roman"/>
                <w:i/>
                <w:iCs/>
                <w:kern w:val="0"/>
                <w:sz w:val="20"/>
                <w:szCs w:val="20"/>
                <w14:ligatures w14:val="none"/>
              </w:rPr>
              <w:t>amoA</w:t>
            </w:r>
            <w:proofErr w:type="spellEnd"/>
            <w:r w:rsidRPr="008B7B0E">
              <w:rPr>
                <w:rFonts w:ascii="Times New Roman" w:eastAsia="Times New Roman" w:hAnsi="Times New Roman" w:cs="Times New Roman"/>
                <w:kern w:val="0"/>
                <w:sz w:val="20"/>
                <w:szCs w:val="20"/>
                <w14:ligatures w14:val="none"/>
              </w:rPr>
              <w:t> </w:t>
            </w:r>
          </w:p>
          <w:p w14:paraId="2164DFA1" w14:textId="079AC306"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diversity</w:t>
            </w:r>
          </w:p>
        </w:tc>
        <w:tc>
          <w:tcPr>
            <w:tcW w:w="1184" w:type="dxa"/>
            <w:hideMark/>
          </w:tcPr>
          <w:p w14:paraId="35E3E773"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Prosser &amp; Nicol (2012)</w:t>
            </w:r>
          </w:p>
        </w:tc>
      </w:tr>
      <w:tr w:rsidR="008B7B0E" w:rsidRPr="008B7B0E" w14:paraId="3E31FF42" w14:textId="77777777" w:rsidTr="00E357DE">
        <w:tc>
          <w:tcPr>
            <w:tcW w:w="1276" w:type="dxa"/>
            <w:hideMark/>
          </w:tcPr>
          <w:p w14:paraId="56F1EBDD"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Grapevine</w:t>
            </w:r>
          </w:p>
        </w:tc>
        <w:tc>
          <w:tcPr>
            <w:tcW w:w="2977" w:type="dxa"/>
            <w:hideMark/>
          </w:tcPr>
          <w:p w14:paraId="6388904D" w14:textId="77777777" w:rsidR="00BC3254" w:rsidRPr="008B7B0E" w:rsidRDefault="00E357DE" w:rsidP="00E530C5">
            <w:pPr>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i/>
                <w:iCs/>
                <w:kern w:val="0"/>
                <w:sz w:val="20"/>
                <w:szCs w:val="20"/>
                <w14:ligatures w14:val="none"/>
              </w:rPr>
              <w:t>Burkholderia</w:t>
            </w:r>
            <w:proofErr w:type="spellEnd"/>
            <w:r w:rsidRPr="008B7B0E">
              <w:rPr>
                <w:rFonts w:ascii="Times New Roman" w:eastAsia="Times New Roman" w:hAnsi="Times New Roman" w:cs="Times New Roman"/>
                <w:kern w:val="0"/>
                <w:sz w:val="20"/>
                <w:szCs w:val="20"/>
                <w14:ligatures w14:val="none"/>
              </w:rPr>
              <w:t> (</w:t>
            </w:r>
            <w:proofErr w:type="spellStart"/>
            <w:r w:rsidRPr="008B7B0E">
              <w:rPr>
                <w:rFonts w:ascii="Times New Roman" w:eastAsia="Times New Roman" w:hAnsi="Times New Roman" w:cs="Times New Roman"/>
                <w:i/>
                <w:iCs/>
                <w:kern w:val="0"/>
                <w:sz w:val="20"/>
                <w:szCs w:val="20"/>
                <w14:ligatures w14:val="none"/>
              </w:rPr>
              <w:t>alkB</w:t>
            </w:r>
            <w:proofErr w:type="spellEnd"/>
            <w:r w:rsidRPr="008B7B0E">
              <w:rPr>
                <w:rFonts w:ascii="Times New Roman" w:eastAsia="Times New Roman" w:hAnsi="Times New Roman" w:cs="Times New Roman"/>
                <w:kern w:val="0"/>
                <w:sz w:val="20"/>
                <w:szCs w:val="20"/>
                <w14:ligatures w14:val="none"/>
              </w:rPr>
              <w:t>), </w:t>
            </w:r>
          </w:p>
          <w:p w14:paraId="19F26152" w14:textId="09B79981"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Botrytis</w:t>
            </w:r>
            <w:r w:rsidRPr="008B7B0E">
              <w:rPr>
                <w:rFonts w:ascii="Times New Roman" w:eastAsia="Times New Roman" w:hAnsi="Times New Roman" w:cs="Times New Roman"/>
                <w:kern w:val="0"/>
                <w:sz w:val="20"/>
                <w:szCs w:val="20"/>
                <w14:ligatures w14:val="none"/>
              </w:rPr>
              <w:t> (ITS)</w:t>
            </w:r>
          </w:p>
        </w:tc>
        <w:tc>
          <w:tcPr>
            <w:tcW w:w="1821" w:type="dxa"/>
            <w:hideMark/>
          </w:tcPr>
          <w:p w14:paraId="028C3DB7"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Drought resilience, disease pressure</w:t>
            </w:r>
          </w:p>
        </w:tc>
        <w:tc>
          <w:tcPr>
            <w:tcW w:w="2097" w:type="dxa"/>
            <w:hideMark/>
          </w:tcPr>
          <w:p w14:paraId="59284E6D"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Cover crops reduce </w:t>
            </w:r>
            <w:r w:rsidRPr="008B7B0E">
              <w:rPr>
                <w:rFonts w:ascii="Times New Roman" w:eastAsia="Times New Roman" w:hAnsi="Times New Roman" w:cs="Times New Roman"/>
                <w:i/>
                <w:iCs/>
                <w:kern w:val="0"/>
                <w:sz w:val="20"/>
                <w:szCs w:val="20"/>
                <w14:ligatures w14:val="none"/>
              </w:rPr>
              <w:t>Botrytis</w:t>
            </w:r>
          </w:p>
        </w:tc>
        <w:tc>
          <w:tcPr>
            <w:tcW w:w="1184" w:type="dxa"/>
            <w:hideMark/>
          </w:tcPr>
          <w:p w14:paraId="7A55873C"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Delgado-Baquerizo et al. (2020)</w:t>
            </w:r>
          </w:p>
        </w:tc>
      </w:tr>
      <w:tr w:rsidR="008B7B0E" w:rsidRPr="008B7B0E" w14:paraId="5AE29812" w14:textId="77777777" w:rsidTr="00E357DE">
        <w:tc>
          <w:tcPr>
            <w:tcW w:w="1276" w:type="dxa"/>
            <w:hideMark/>
          </w:tcPr>
          <w:p w14:paraId="1F1A6790"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Tomato</w:t>
            </w:r>
          </w:p>
        </w:tc>
        <w:tc>
          <w:tcPr>
            <w:tcW w:w="2977" w:type="dxa"/>
            <w:hideMark/>
          </w:tcPr>
          <w:p w14:paraId="4079BE8C"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Pseudomonas</w:t>
            </w:r>
            <w:r w:rsidRPr="008B7B0E">
              <w:rPr>
                <w:rFonts w:ascii="Times New Roman" w:eastAsia="Times New Roman" w:hAnsi="Times New Roman" w:cs="Times New Roman"/>
                <w:kern w:val="0"/>
                <w:sz w:val="20"/>
                <w:szCs w:val="20"/>
                <w14:ligatures w14:val="none"/>
              </w:rPr>
              <w:t> (</w:t>
            </w:r>
            <w:proofErr w:type="spellStart"/>
            <w:r w:rsidRPr="008B7B0E">
              <w:rPr>
                <w:rFonts w:ascii="Times New Roman" w:eastAsia="Times New Roman" w:hAnsi="Times New Roman" w:cs="Times New Roman"/>
                <w:i/>
                <w:iCs/>
                <w:kern w:val="0"/>
                <w:sz w:val="20"/>
                <w:szCs w:val="20"/>
                <w14:ligatures w14:val="none"/>
              </w:rPr>
              <w:t>acdS</w:t>
            </w:r>
            <w:proofErr w:type="spellEnd"/>
            <w:r w:rsidRPr="008B7B0E">
              <w:rPr>
                <w:rFonts w:ascii="Times New Roman" w:eastAsia="Times New Roman" w:hAnsi="Times New Roman" w:cs="Times New Roman"/>
                <w:kern w:val="0"/>
                <w:sz w:val="20"/>
                <w:szCs w:val="20"/>
                <w14:ligatures w14:val="none"/>
              </w:rPr>
              <w:t>), </w:t>
            </w:r>
            <w:r w:rsidRPr="008B7B0E">
              <w:rPr>
                <w:rFonts w:ascii="Times New Roman" w:eastAsia="Times New Roman" w:hAnsi="Times New Roman" w:cs="Times New Roman"/>
                <w:i/>
                <w:iCs/>
                <w:kern w:val="0"/>
                <w:sz w:val="20"/>
                <w:szCs w:val="20"/>
                <w14:ligatures w14:val="none"/>
              </w:rPr>
              <w:t>Fusarium</w:t>
            </w:r>
            <w:r w:rsidRPr="008B7B0E">
              <w:rPr>
                <w:rFonts w:ascii="Times New Roman" w:eastAsia="Times New Roman" w:hAnsi="Times New Roman" w:cs="Times New Roman"/>
                <w:kern w:val="0"/>
                <w:sz w:val="20"/>
                <w:szCs w:val="20"/>
                <w14:ligatures w14:val="none"/>
              </w:rPr>
              <w:t> </w:t>
            </w:r>
          </w:p>
          <w:p w14:paraId="5303B7F5" w14:textId="11352FDC"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(ITS)</w:t>
            </w:r>
          </w:p>
        </w:tc>
        <w:tc>
          <w:tcPr>
            <w:tcW w:w="1821" w:type="dxa"/>
            <w:hideMark/>
          </w:tcPr>
          <w:p w14:paraId="50B51821"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Stress tolerance, Fusarium wilt</w:t>
            </w:r>
          </w:p>
        </w:tc>
        <w:tc>
          <w:tcPr>
            <w:tcW w:w="2097" w:type="dxa"/>
            <w:hideMark/>
          </w:tcPr>
          <w:p w14:paraId="4E6B99EE"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Biochar lowers </w:t>
            </w:r>
            <w:r w:rsidRPr="008B7B0E">
              <w:rPr>
                <w:rFonts w:ascii="Times New Roman" w:eastAsia="Times New Roman" w:hAnsi="Times New Roman" w:cs="Times New Roman"/>
                <w:i/>
                <w:iCs/>
                <w:kern w:val="0"/>
                <w:sz w:val="20"/>
                <w:szCs w:val="20"/>
                <w14:ligatures w14:val="none"/>
              </w:rPr>
              <w:t>Fusarium</w:t>
            </w:r>
            <w:r w:rsidRPr="008B7B0E">
              <w:rPr>
                <w:rFonts w:ascii="Times New Roman" w:eastAsia="Times New Roman" w:hAnsi="Times New Roman" w:cs="Times New Roman"/>
                <w:kern w:val="0"/>
                <w:sz w:val="20"/>
                <w:szCs w:val="20"/>
                <w14:ligatures w14:val="none"/>
              </w:rPr>
              <w:t> ratios</w:t>
            </w:r>
          </w:p>
        </w:tc>
        <w:tc>
          <w:tcPr>
            <w:tcW w:w="1184" w:type="dxa"/>
            <w:hideMark/>
          </w:tcPr>
          <w:p w14:paraId="10FD278A"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Oliver et al. (2022)</w:t>
            </w:r>
          </w:p>
        </w:tc>
      </w:tr>
      <w:tr w:rsidR="008B7B0E" w:rsidRPr="008B7B0E" w14:paraId="0AA45B31" w14:textId="77777777" w:rsidTr="00E357DE">
        <w:tc>
          <w:tcPr>
            <w:tcW w:w="1276" w:type="dxa"/>
            <w:hideMark/>
          </w:tcPr>
          <w:p w14:paraId="41F0DA8F"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Sugarcane</w:t>
            </w:r>
          </w:p>
        </w:tc>
        <w:tc>
          <w:tcPr>
            <w:tcW w:w="2977" w:type="dxa"/>
            <w:hideMark/>
          </w:tcPr>
          <w:p w14:paraId="3FA32CBE"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Acetobacter</w:t>
            </w:r>
            <w:r w:rsidRPr="008B7B0E">
              <w:rPr>
                <w:rFonts w:ascii="Times New Roman" w:eastAsia="Times New Roman" w:hAnsi="Times New Roman" w:cs="Times New Roman"/>
                <w:kern w:val="0"/>
                <w:sz w:val="20"/>
                <w:szCs w:val="20"/>
                <w14:ligatures w14:val="none"/>
              </w:rPr>
              <w:t> (</w:t>
            </w:r>
            <w:proofErr w:type="spellStart"/>
            <w:r w:rsidRPr="008B7B0E">
              <w:rPr>
                <w:rFonts w:ascii="Times New Roman" w:eastAsia="Times New Roman" w:hAnsi="Times New Roman" w:cs="Times New Roman"/>
                <w:i/>
                <w:iCs/>
                <w:kern w:val="0"/>
                <w:sz w:val="20"/>
                <w:szCs w:val="20"/>
                <w14:ligatures w14:val="none"/>
              </w:rPr>
              <w:t>nifH</w:t>
            </w:r>
            <w:proofErr w:type="spellEnd"/>
            <w:r w:rsidRPr="008B7B0E">
              <w:rPr>
                <w:rFonts w:ascii="Times New Roman" w:eastAsia="Times New Roman" w:hAnsi="Times New Roman" w:cs="Times New Roman"/>
                <w:kern w:val="0"/>
                <w:sz w:val="20"/>
                <w:szCs w:val="20"/>
                <w14:ligatures w14:val="none"/>
              </w:rPr>
              <w:t>), </w:t>
            </w:r>
            <w:r w:rsidRPr="008B7B0E">
              <w:rPr>
                <w:rFonts w:ascii="Times New Roman" w:eastAsia="Times New Roman" w:hAnsi="Times New Roman" w:cs="Times New Roman"/>
                <w:i/>
                <w:iCs/>
                <w:kern w:val="0"/>
                <w:sz w:val="20"/>
                <w:szCs w:val="20"/>
                <w14:ligatures w14:val="none"/>
              </w:rPr>
              <w:t>Trichoderma</w:t>
            </w:r>
            <w:r w:rsidRPr="008B7B0E">
              <w:rPr>
                <w:rFonts w:ascii="Times New Roman" w:eastAsia="Times New Roman" w:hAnsi="Times New Roman" w:cs="Times New Roman"/>
                <w:kern w:val="0"/>
                <w:sz w:val="20"/>
                <w:szCs w:val="20"/>
                <w14:ligatures w14:val="none"/>
              </w:rPr>
              <w:t> </w:t>
            </w:r>
          </w:p>
          <w:p w14:paraId="4FFD68A1" w14:textId="198FE078"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(ITS)</w:t>
            </w:r>
          </w:p>
        </w:tc>
        <w:tc>
          <w:tcPr>
            <w:tcW w:w="1821" w:type="dxa"/>
            <w:hideMark/>
          </w:tcPr>
          <w:p w14:paraId="47A3C9AC"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N fixation, residue decomposition</w:t>
            </w:r>
          </w:p>
        </w:tc>
        <w:tc>
          <w:tcPr>
            <w:tcW w:w="2097" w:type="dxa"/>
            <w:hideMark/>
          </w:tcPr>
          <w:p w14:paraId="717C9583"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Filter cake boosts </w:t>
            </w:r>
            <w:r w:rsidRPr="008B7B0E">
              <w:rPr>
                <w:rFonts w:ascii="Times New Roman" w:eastAsia="Times New Roman" w:hAnsi="Times New Roman" w:cs="Times New Roman"/>
                <w:i/>
                <w:iCs/>
                <w:kern w:val="0"/>
                <w:sz w:val="20"/>
                <w:szCs w:val="20"/>
                <w14:ligatures w14:val="none"/>
              </w:rPr>
              <w:t>Trichoderma</w:t>
            </w:r>
          </w:p>
        </w:tc>
        <w:tc>
          <w:tcPr>
            <w:tcW w:w="1184" w:type="dxa"/>
            <w:hideMark/>
          </w:tcPr>
          <w:p w14:paraId="5380AE1C"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Beier et al. (2015)</w:t>
            </w:r>
          </w:p>
        </w:tc>
      </w:tr>
    </w:tbl>
    <w:p w14:paraId="5A85C8C3" w14:textId="77777777" w:rsidR="00E357DE" w:rsidRPr="008B7B0E" w:rsidRDefault="00E357DE" w:rsidP="00294870">
      <w:pPr>
        <w:pStyle w:val="ds-markdown-paragraph"/>
        <w:shd w:val="clear" w:color="auto" w:fill="FFFFFF"/>
        <w:spacing w:before="0" w:beforeAutospacing="0"/>
        <w:jc w:val="both"/>
      </w:pPr>
    </w:p>
    <w:p w14:paraId="4D445B4D" w14:textId="0F40D8E6" w:rsidR="002E25DC" w:rsidRPr="008B7B0E" w:rsidRDefault="00BC0E04"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4.5 </w:t>
      </w:r>
      <w:r w:rsidR="002E25DC" w:rsidRPr="008B7B0E">
        <w:rPr>
          <w:rFonts w:ascii="Times New Roman" w:eastAsia="Times New Roman" w:hAnsi="Times New Roman" w:cs="Times New Roman"/>
          <w:b/>
          <w:bCs/>
          <w:kern w:val="0"/>
          <w14:ligatures w14:val="none"/>
        </w:rPr>
        <w:t>Emerging Tools for Identifying Metabolically Active Biomarkers</w:t>
      </w:r>
    </w:p>
    <w:p w14:paraId="526F7D87" w14:textId="45CDB457" w:rsidR="002E25DC" w:rsidRPr="008B7B0E" w:rsidRDefault="00BC0E04"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4.5.1 </w:t>
      </w:r>
      <w:r w:rsidR="002E25DC" w:rsidRPr="008B7B0E">
        <w:rPr>
          <w:rFonts w:ascii="Times New Roman" w:eastAsia="Times New Roman" w:hAnsi="Times New Roman" w:cs="Times New Roman"/>
          <w:b/>
          <w:bCs/>
          <w:kern w:val="0"/>
          <w14:ligatures w14:val="none"/>
        </w:rPr>
        <w:t>Stable Isotope Probing (SIP) for Identifying Active Microbes</w:t>
      </w:r>
    </w:p>
    <w:p w14:paraId="1A2F74BE" w14:textId="4B4A5E69"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Stable isotope probing (SIP) allows for the identification of metabolically active microorganisms </w:t>
      </w:r>
      <w:r w:rsidR="00EF4FC7">
        <w:rPr>
          <w:rFonts w:ascii="Times New Roman" w:eastAsia="Times New Roman" w:hAnsi="Times New Roman" w:cs="Times New Roman"/>
          <w:kern w:val="0"/>
          <w14:ligatures w14:val="none"/>
        </w:rPr>
        <w:t xml:space="preserve">(Table 5) </w:t>
      </w:r>
      <w:r w:rsidRPr="008B7B0E">
        <w:rPr>
          <w:rFonts w:ascii="Times New Roman" w:eastAsia="Times New Roman" w:hAnsi="Times New Roman" w:cs="Times New Roman"/>
          <w:kern w:val="0"/>
          <w14:ligatures w14:val="none"/>
        </w:rPr>
        <w:t xml:space="preserve">by tracing the incorporation of labeled substrates, such as ^13C or ^15N, into microbial DNA, RNA, or proteins (Dumont &amp; Murrell, 2005). This technique links microbial identity to function, distinguishing organisms actively involved in processes such as cellulose degradation or nitrogen assimilation. For example, SIP using ^13C-labeled cellulose has been used to identify </w:t>
      </w:r>
      <w:r w:rsidRPr="008B7B0E">
        <w:rPr>
          <w:rFonts w:ascii="Times New Roman" w:eastAsia="Times New Roman" w:hAnsi="Times New Roman" w:cs="Times New Roman"/>
          <w:i/>
          <w:iCs/>
          <w:kern w:val="0"/>
          <w14:ligatures w14:val="none"/>
        </w:rPr>
        <w:t>Actinobacteria</w:t>
      </w:r>
      <w:r w:rsidRPr="008B7B0E">
        <w:rPr>
          <w:rFonts w:ascii="Times New Roman" w:eastAsia="Times New Roman" w:hAnsi="Times New Roman" w:cs="Times New Roman"/>
          <w:kern w:val="0"/>
          <w14:ligatures w14:val="none"/>
        </w:rPr>
        <w:t xml:space="preserve"> as key decomposers in no-till agricultural soils (Pepe-Ranney et al., 2016).</w:t>
      </w:r>
    </w:p>
    <w:p w14:paraId="299E688E"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Unlike conventional DNA-based surveys that reflect community structure regardless of activity, SIP distinguishes active from dormant taxa. This allows for the resolution of functional redundancy by identifying which taxa are contributing to specific biogeochemical processes under given environmental conditions. Both DNA-SIP and RNA-SIP have been used to map activity profiles, enabling deeper integration with metagenomic and transcriptomic data.</w:t>
      </w:r>
    </w:p>
    <w:p w14:paraId="3D1DC6A9" w14:textId="77777777" w:rsidR="002E25DC" w:rsidRPr="008B7B0E" w:rsidRDefault="002E25DC" w:rsidP="002E25DC">
      <w:pPr>
        <w:pStyle w:val="BodyText"/>
        <w:spacing w:before="100" w:beforeAutospacing="1" w:after="100" w:afterAutospacing="1" w:line="240" w:lineRule="auto"/>
      </w:pPr>
      <w:r w:rsidRPr="008B7B0E">
        <w:t xml:space="preserve">Despite its functional resolution, SIP remains technically demanding. Experiments require tightly controlled incubation conditions to prevent isotopic cross-feeding, and high costs limit routine use. Advances such as </w:t>
      </w:r>
      <w:proofErr w:type="spellStart"/>
      <w:r w:rsidRPr="008B7B0E">
        <w:t>NanoSIP</w:t>
      </w:r>
      <w:proofErr w:type="spellEnd"/>
      <w:r w:rsidRPr="008B7B0E">
        <w:t xml:space="preserve"> have improved resolution to the single-cell level (Musat et al., 2012), while recent developments aim to deploy SIP approaches under field conditions, reducing artifacts introduced during laboratory incubations.</w:t>
      </w:r>
    </w:p>
    <w:p w14:paraId="35F5DEE7" w14:textId="2F0C1F71" w:rsidR="00E357DE" w:rsidRPr="008B7B0E" w:rsidRDefault="00E357DE" w:rsidP="00E357DE">
      <w:pPr>
        <w:shd w:val="clear" w:color="auto" w:fill="FFFFFF"/>
        <w:spacing w:before="100" w:beforeAutospacing="1" w:after="100" w:afterAutospacing="1" w:line="240" w:lineRule="auto"/>
        <w:outlineLvl w:val="2"/>
        <w:rPr>
          <w:rFonts w:ascii="Times New Roman" w:eastAsia="Times New Roman" w:hAnsi="Times New Roman" w:cs="Times New Roman"/>
          <w:b/>
          <w:bCs/>
          <w:kern w:val="0"/>
          <w14:ligatures w14:val="none"/>
        </w:rPr>
      </w:pPr>
      <w:r w:rsidRPr="008B7B0E">
        <w:rPr>
          <w:rFonts w:ascii="Times New Roman" w:eastAsia="Times New Roman" w:hAnsi="Times New Roman" w:cs="Times New Roman"/>
          <w:b/>
          <w:bCs/>
          <w:kern w:val="0"/>
          <w14:ligatures w14:val="none"/>
        </w:rPr>
        <w:t xml:space="preserve">Table </w:t>
      </w:r>
      <w:r w:rsidR="00D71377" w:rsidRPr="008B7B0E">
        <w:rPr>
          <w:rFonts w:ascii="Times New Roman" w:eastAsia="Times New Roman" w:hAnsi="Times New Roman" w:cs="Times New Roman"/>
          <w:b/>
          <w:bCs/>
          <w:kern w:val="0"/>
          <w14:ligatures w14:val="none"/>
        </w:rPr>
        <w:t>5</w:t>
      </w:r>
      <w:r w:rsidRPr="008B7B0E">
        <w:rPr>
          <w:rFonts w:ascii="Times New Roman" w:eastAsia="Times New Roman" w:hAnsi="Times New Roman" w:cs="Times New Roman"/>
          <w:b/>
          <w:bCs/>
          <w:kern w:val="0"/>
          <w14:ligatures w14:val="none"/>
        </w:rPr>
        <w:t xml:space="preserve">: </w:t>
      </w:r>
      <w:r w:rsidRPr="008B7B0E">
        <w:rPr>
          <w:rFonts w:ascii="Times New Roman" w:eastAsia="Times New Roman" w:hAnsi="Times New Roman" w:cs="Times New Roman"/>
          <w:kern w:val="0"/>
          <w14:ligatures w14:val="none"/>
        </w:rPr>
        <w:t>Stable Isotope Probing (SIP) for Soil Microbial Activity Analysis</w:t>
      </w:r>
    </w:p>
    <w:tbl>
      <w:tblPr>
        <w:tblStyle w:val="TableGrid"/>
        <w:tblW w:w="0" w:type="auto"/>
        <w:tblLook w:val="04A0" w:firstRow="1" w:lastRow="0" w:firstColumn="1" w:lastColumn="0" w:noHBand="0" w:noVBand="1"/>
      </w:tblPr>
      <w:tblGrid>
        <w:gridCol w:w="1416"/>
        <w:gridCol w:w="2258"/>
        <w:gridCol w:w="3777"/>
        <w:gridCol w:w="1899"/>
      </w:tblGrid>
      <w:tr w:rsidR="008B7B0E" w:rsidRPr="008B7B0E" w14:paraId="67C78668" w14:textId="77777777" w:rsidTr="00E357DE">
        <w:tc>
          <w:tcPr>
            <w:tcW w:w="0" w:type="auto"/>
            <w:hideMark/>
          </w:tcPr>
          <w:p w14:paraId="3475154B" w14:textId="77777777" w:rsidR="00E357DE" w:rsidRPr="008B7B0E" w:rsidRDefault="00E357DE" w:rsidP="00E530C5">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Aspect</w:t>
            </w:r>
          </w:p>
        </w:tc>
        <w:tc>
          <w:tcPr>
            <w:tcW w:w="0" w:type="auto"/>
            <w:hideMark/>
          </w:tcPr>
          <w:p w14:paraId="0ABEA73B" w14:textId="77777777" w:rsidR="00E357DE" w:rsidRPr="008B7B0E" w:rsidRDefault="00E357DE" w:rsidP="00E530C5">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Details</w:t>
            </w:r>
          </w:p>
        </w:tc>
        <w:tc>
          <w:tcPr>
            <w:tcW w:w="0" w:type="auto"/>
            <w:hideMark/>
          </w:tcPr>
          <w:p w14:paraId="4F2232C3" w14:textId="77777777" w:rsidR="00E357DE" w:rsidRPr="008B7B0E" w:rsidRDefault="00E357DE" w:rsidP="00E530C5">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Examples/Applications</w:t>
            </w:r>
          </w:p>
        </w:tc>
        <w:tc>
          <w:tcPr>
            <w:tcW w:w="0" w:type="auto"/>
            <w:hideMark/>
          </w:tcPr>
          <w:p w14:paraId="6E0242BF" w14:textId="77777777" w:rsidR="00E357DE" w:rsidRPr="008B7B0E" w:rsidRDefault="00E357DE" w:rsidP="00E530C5">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Pros &amp; Cons</w:t>
            </w:r>
          </w:p>
        </w:tc>
      </w:tr>
      <w:tr w:rsidR="008B7B0E" w:rsidRPr="008B7B0E" w14:paraId="3E7FACC5" w14:textId="77777777" w:rsidTr="00E357DE">
        <w:tc>
          <w:tcPr>
            <w:tcW w:w="0" w:type="auto"/>
            <w:hideMark/>
          </w:tcPr>
          <w:p w14:paraId="6C7C28B5"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Technique Types</w:t>
            </w:r>
          </w:p>
        </w:tc>
        <w:tc>
          <w:tcPr>
            <w:tcW w:w="0" w:type="auto"/>
            <w:hideMark/>
          </w:tcPr>
          <w:p w14:paraId="72329B4A"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DNA-SIP</w:t>
            </w:r>
            <w:r w:rsidRPr="008B7B0E">
              <w:rPr>
                <w:rFonts w:ascii="Times New Roman" w:eastAsia="Times New Roman" w:hAnsi="Times New Roman" w:cs="Times New Roman"/>
                <w:kern w:val="0"/>
                <w:sz w:val="20"/>
                <w:szCs w:val="20"/>
                <w14:ligatures w14:val="none"/>
              </w:rPr>
              <w:br/>
              <w:t>- RNA-SIP</w:t>
            </w:r>
            <w:r w:rsidRPr="008B7B0E">
              <w:rPr>
                <w:rFonts w:ascii="Times New Roman" w:eastAsia="Times New Roman" w:hAnsi="Times New Roman" w:cs="Times New Roman"/>
                <w:kern w:val="0"/>
                <w:sz w:val="20"/>
                <w:szCs w:val="20"/>
                <w14:ligatures w14:val="none"/>
              </w:rPr>
              <w:br/>
              <w:t>- Protein-SIP</w:t>
            </w:r>
            <w:r w:rsidRPr="008B7B0E">
              <w:rPr>
                <w:rFonts w:ascii="Times New Roman" w:eastAsia="Times New Roman" w:hAnsi="Times New Roman" w:cs="Times New Roman"/>
                <w:kern w:val="0"/>
                <w:sz w:val="20"/>
                <w:szCs w:val="20"/>
                <w14:ligatures w14:val="none"/>
              </w:rPr>
              <w:br/>
              <w:t>- PLFA-SIP</w:t>
            </w:r>
          </w:p>
        </w:tc>
        <w:tc>
          <w:tcPr>
            <w:tcW w:w="0" w:type="auto"/>
            <w:hideMark/>
          </w:tcPr>
          <w:p w14:paraId="1A7C69AF"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DNA-SIP: Identify taxa degrading ^13C-cellulose in agricultural soils (Pepe-Ranney et al., 2016)</w:t>
            </w:r>
          </w:p>
        </w:tc>
        <w:tc>
          <w:tcPr>
            <w:tcW w:w="0" w:type="auto"/>
            <w:hideMark/>
          </w:tcPr>
          <w:p w14:paraId="31EF2588"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 High specificity</w:t>
            </w:r>
            <w:r w:rsidRPr="008B7B0E">
              <w:rPr>
                <w:rFonts w:ascii="Times New Roman" w:eastAsia="Times New Roman" w:hAnsi="Times New Roman" w:cs="Times New Roman"/>
                <w:kern w:val="0"/>
                <w:sz w:val="20"/>
                <w:szCs w:val="20"/>
                <w14:ligatures w14:val="none"/>
              </w:rPr>
              <w:br/>
            </w: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 Requires ultracentrifugation</w:t>
            </w:r>
          </w:p>
        </w:tc>
      </w:tr>
      <w:tr w:rsidR="008B7B0E" w:rsidRPr="008B7B0E" w14:paraId="08AD638C" w14:textId="77777777" w:rsidTr="00E357DE">
        <w:tc>
          <w:tcPr>
            <w:tcW w:w="0" w:type="auto"/>
            <w:hideMark/>
          </w:tcPr>
          <w:p w14:paraId="4313DDA7"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Isotopes Used</w:t>
            </w:r>
          </w:p>
        </w:tc>
        <w:tc>
          <w:tcPr>
            <w:tcW w:w="0" w:type="auto"/>
            <w:hideMark/>
          </w:tcPr>
          <w:p w14:paraId="6C2B3292"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^13C (organic matter)</w:t>
            </w:r>
            <w:r w:rsidRPr="008B7B0E">
              <w:rPr>
                <w:rFonts w:ascii="Times New Roman" w:eastAsia="Times New Roman" w:hAnsi="Times New Roman" w:cs="Times New Roman"/>
                <w:kern w:val="0"/>
                <w:sz w:val="20"/>
                <w:szCs w:val="20"/>
                <w14:ligatures w14:val="none"/>
              </w:rPr>
              <w:br/>
              <w:t>^15N (nitrogen)</w:t>
            </w:r>
            <w:r w:rsidRPr="008B7B0E">
              <w:rPr>
                <w:rFonts w:ascii="Times New Roman" w:eastAsia="Times New Roman" w:hAnsi="Times New Roman" w:cs="Times New Roman"/>
                <w:kern w:val="0"/>
                <w:sz w:val="20"/>
                <w:szCs w:val="20"/>
                <w14:ligatures w14:val="none"/>
              </w:rPr>
              <w:br/>
              <w:t>^18O (water)</w:t>
            </w:r>
          </w:p>
        </w:tc>
        <w:tc>
          <w:tcPr>
            <w:tcW w:w="0" w:type="auto"/>
            <w:hideMark/>
          </w:tcPr>
          <w:p w14:paraId="50400240"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^15N-SIP: Track nitrifying microbes (</w:t>
            </w:r>
            <w:r w:rsidRPr="008B7B0E">
              <w:rPr>
                <w:rFonts w:ascii="Times New Roman" w:eastAsia="Times New Roman" w:hAnsi="Times New Roman" w:cs="Times New Roman"/>
                <w:i/>
                <w:iCs/>
                <w:kern w:val="0"/>
                <w:sz w:val="20"/>
                <w:szCs w:val="20"/>
                <w14:ligatures w14:val="none"/>
              </w:rPr>
              <w:t>Nitrosomonas</w:t>
            </w:r>
            <w:r w:rsidRPr="008B7B0E">
              <w:rPr>
                <w:rFonts w:ascii="Times New Roman" w:eastAsia="Times New Roman" w:hAnsi="Times New Roman" w:cs="Times New Roman"/>
                <w:kern w:val="0"/>
                <w:sz w:val="20"/>
                <w:szCs w:val="20"/>
                <w14:ligatures w14:val="none"/>
              </w:rPr>
              <w:t>) in fertilized soils (Buckley et al., 2007)</w:t>
            </w:r>
          </w:p>
        </w:tc>
        <w:tc>
          <w:tcPr>
            <w:tcW w:w="0" w:type="auto"/>
            <w:hideMark/>
          </w:tcPr>
          <w:p w14:paraId="42A32ACA"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 Multi-element tracing</w:t>
            </w:r>
            <w:r w:rsidRPr="008B7B0E">
              <w:rPr>
                <w:rFonts w:ascii="Times New Roman" w:eastAsia="Times New Roman" w:hAnsi="Times New Roman" w:cs="Times New Roman"/>
                <w:kern w:val="0"/>
                <w:sz w:val="20"/>
                <w:szCs w:val="20"/>
                <w14:ligatures w14:val="none"/>
              </w:rPr>
              <w:br/>
            </w: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 Costly labeled substrates</w:t>
            </w:r>
          </w:p>
        </w:tc>
      </w:tr>
      <w:tr w:rsidR="008B7B0E" w:rsidRPr="008B7B0E" w14:paraId="0B64ECE1" w14:textId="77777777" w:rsidTr="00E357DE">
        <w:tc>
          <w:tcPr>
            <w:tcW w:w="0" w:type="auto"/>
            <w:hideMark/>
          </w:tcPr>
          <w:p w14:paraId="7ED0B55E"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lastRenderedPageBreak/>
              <w:t>Key Applications</w:t>
            </w:r>
          </w:p>
        </w:tc>
        <w:tc>
          <w:tcPr>
            <w:tcW w:w="0" w:type="auto"/>
            <w:hideMark/>
          </w:tcPr>
          <w:p w14:paraId="27CACA3D"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Carbon flow in rhizosphere</w:t>
            </w:r>
            <w:r w:rsidRPr="008B7B0E">
              <w:rPr>
                <w:rFonts w:ascii="Times New Roman" w:eastAsia="Times New Roman" w:hAnsi="Times New Roman" w:cs="Times New Roman"/>
                <w:kern w:val="0"/>
                <w:sz w:val="20"/>
                <w:szCs w:val="20"/>
                <w14:ligatures w14:val="none"/>
              </w:rPr>
              <w:br/>
              <w:t>- Nutrient cycling</w:t>
            </w:r>
            <w:r w:rsidRPr="008B7B0E">
              <w:rPr>
                <w:rFonts w:ascii="Times New Roman" w:eastAsia="Times New Roman" w:hAnsi="Times New Roman" w:cs="Times New Roman"/>
                <w:kern w:val="0"/>
                <w:sz w:val="20"/>
                <w:szCs w:val="20"/>
                <w14:ligatures w14:val="none"/>
              </w:rPr>
              <w:br/>
              <w:t>- Bioremediation</w:t>
            </w:r>
          </w:p>
        </w:tc>
        <w:tc>
          <w:tcPr>
            <w:tcW w:w="0" w:type="auto"/>
            <w:hideMark/>
          </w:tcPr>
          <w:p w14:paraId="29BD6000"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^13C-ethanol SIP: Revealed </w:t>
            </w:r>
            <w:r w:rsidRPr="008B7B0E">
              <w:rPr>
                <w:rFonts w:ascii="Times New Roman" w:eastAsia="Times New Roman" w:hAnsi="Times New Roman" w:cs="Times New Roman"/>
                <w:i/>
                <w:iCs/>
                <w:kern w:val="0"/>
                <w:sz w:val="20"/>
                <w:szCs w:val="20"/>
                <w14:ligatures w14:val="none"/>
              </w:rPr>
              <w:t>Pseudomonas</w:t>
            </w:r>
            <w:r w:rsidRPr="008B7B0E">
              <w:rPr>
                <w:rFonts w:ascii="Times New Roman" w:eastAsia="Times New Roman" w:hAnsi="Times New Roman" w:cs="Times New Roman"/>
                <w:kern w:val="0"/>
                <w:sz w:val="20"/>
                <w:szCs w:val="20"/>
                <w14:ligatures w14:val="none"/>
              </w:rPr>
              <w:t> dominance in contaminated soils (Huang et al., 2021)</w:t>
            </w:r>
          </w:p>
        </w:tc>
        <w:tc>
          <w:tcPr>
            <w:tcW w:w="0" w:type="auto"/>
            <w:hideMark/>
          </w:tcPr>
          <w:p w14:paraId="6118B1AC"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 Links taxa to function</w:t>
            </w:r>
            <w:r w:rsidRPr="008B7B0E">
              <w:rPr>
                <w:rFonts w:ascii="Times New Roman" w:eastAsia="Times New Roman" w:hAnsi="Times New Roman" w:cs="Times New Roman"/>
                <w:kern w:val="0"/>
                <w:sz w:val="20"/>
                <w:szCs w:val="20"/>
                <w14:ligatures w14:val="none"/>
              </w:rPr>
              <w:br/>
            </w: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 Incubation artifacts possible</w:t>
            </w:r>
          </w:p>
        </w:tc>
      </w:tr>
      <w:tr w:rsidR="008B7B0E" w:rsidRPr="008B7B0E" w14:paraId="37190D68" w14:textId="77777777" w:rsidTr="00E357DE">
        <w:tc>
          <w:tcPr>
            <w:tcW w:w="0" w:type="auto"/>
            <w:hideMark/>
          </w:tcPr>
          <w:p w14:paraId="39E01B9A"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Emerging Advances</w:t>
            </w:r>
          </w:p>
        </w:tc>
        <w:tc>
          <w:tcPr>
            <w:tcW w:w="0" w:type="auto"/>
            <w:hideMark/>
          </w:tcPr>
          <w:p w14:paraId="658FAEB2"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xml:space="preserve">- </w:t>
            </w:r>
            <w:proofErr w:type="spellStart"/>
            <w:r w:rsidRPr="008B7B0E">
              <w:rPr>
                <w:rFonts w:ascii="Times New Roman" w:eastAsia="Times New Roman" w:hAnsi="Times New Roman" w:cs="Times New Roman"/>
                <w:kern w:val="0"/>
                <w:sz w:val="20"/>
                <w:szCs w:val="20"/>
                <w14:ligatures w14:val="none"/>
              </w:rPr>
              <w:t>NanoSIP</w:t>
            </w:r>
            <w:proofErr w:type="spellEnd"/>
            <w:r w:rsidRPr="008B7B0E">
              <w:rPr>
                <w:rFonts w:ascii="Times New Roman" w:eastAsia="Times New Roman" w:hAnsi="Times New Roman" w:cs="Times New Roman"/>
                <w:kern w:val="0"/>
                <w:sz w:val="20"/>
                <w:szCs w:val="20"/>
                <w14:ligatures w14:val="none"/>
              </w:rPr>
              <w:t xml:space="preserve"> (nanoscale secondary ion MS)</w:t>
            </w:r>
            <w:r w:rsidRPr="008B7B0E">
              <w:rPr>
                <w:rFonts w:ascii="Times New Roman" w:eastAsia="Times New Roman" w:hAnsi="Times New Roman" w:cs="Times New Roman"/>
                <w:kern w:val="0"/>
                <w:sz w:val="20"/>
                <w:szCs w:val="20"/>
                <w14:ligatures w14:val="none"/>
              </w:rPr>
              <w:br/>
              <w:t>- Field-SIP (in situ labeling)</w:t>
            </w:r>
          </w:p>
        </w:tc>
        <w:tc>
          <w:tcPr>
            <w:tcW w:w="0" w:type="auto"/>
            <w:hideMark/>
          </w:tcPr>
          <w:p w14:paraId="542DD501" w14:textId="77777777" w:rsidR="00E357DE" w:rsidRPr="008B7B0E" w:rsidRDefault="00E357DE" w:rsidP="00E530C5">
            <w:pPr>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kern w:val="0"/>
                <w:sz w:val="20"/>
                <w:szCs w:val="20"/>
                <w14:ligatures w14:val="none"/>
              </w:rPr>
              <w:t>NanoSIP</w:t>
            </w:r>
            <w:proofErr w:type="spellEnd"/>
            <w:r w:rsidRPr="008B7B0E">
              <w:rPr>
                <w:rFonts w:ascii="Times New Roman" w:eastAsia="Times New Roman" w:hAnsi="Times New Roman" w:cs="Times New Roman"/>
                <w:kern w:val="0"/>
                <w:sz w:val="20"/>
                <w:szCs w:val="20"/>
                <w14:ligatures w14:val="none"/>
              </w:rPr>
              <w:t>: Visualized ^13C uptake in single </w:t>
            </w:r>
            <w:r w:rsidRPr="008B7B0E">
              <w:rPr>
                <w:rFonts w:ascii="Times New Roman" w:eastAsia="Times New Roman" w:hAnsi="Times New Roman" w:cs="Times New Roman"/>
                <w:i/>
                <w:iCs/>
                <w:kern w:val="0"/>
                <w:sz w:val="20"/>
                <w:szCs w:val="20"/>
                <w14:ligatures w14:val="none"/>
              </w:rPr>
              <w:t>Streptomyces</w:t>
            </w:r>
            <w:r w:rsidRPr="008B7B0E">
              <w:rPr>
                <w:rFonts w:ascii="Times New Roman" w:eastAsia="Times New Roman" w:hAnsi="Times New Roman" w:cs="Times New Roman"/>
                <w:kern w:val="0"/>
                <w:sz w:val="20"/>
                <w:szCs w:val="20"/>
                <w14:ligatures w14:val="none"/>
              </w:rPr>
              <w:t> cells (Musat et al., 2012)</w:t>
            </w:r>
          </w:p>
        </w:tc>
        <w:tc>
          <w:tcPr>
            <w:tcW w:w="0" w:type="auto"/>
            <w:hideMark/>
          </w:tcPr>
          <w:p w14:paraId="7D51683E"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 Single-cell resolution</w:t>
            </w:r>
            <w:r w:rsidRPr="008B7B0E">
              <w:rPr>
                <w:rFonts w:ascii="Times New Roman" w:eastAsia="Times New Roman" w:hAnsi="Times New Roman" w:cs="Times New Roman"/>
                <w:kern w:val="0"/>
                <w:sz w:val="20"/>
                <w:szCs w:val="20"/>
                <w14:ligatures w14:val="none"/>
              </w:rPr>
              <w:br/>
            </w: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 Specialized equipment needed</w:t>
            </w:r>
          </w:p>
        </w:tc>
      </w:tr>
      <w:tr w:rsidR="00E357DE" w:rsidRPr="008B7B0E" w14:paraId="296254D8" w14:textId="77777777" w:rsidTr="00E357DE">
        <w:tc>
          <w:tcPr>
            <w:tcW w:w="0" w:type="auto"/>
            <w:hideMark/>
          </w:tcPr>
          <w:p w14:paraId="5724246C"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Integration with Omics</w:t>
            </w:r>
          </w:p>
        </w:tc>
        <w:tc>
          <w:tcPr>
            <w:tcW w:w="0" w:type="auto"/>
            <w:hideMark/>
          </w:tcPr>
          <w:p w14:paraId="209634AE"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xml:space="preserve">Metagenomics, </w:t>
            </w:r>
            <w:proofErr w:type="spellStart"/>
            <w:r w:rsidRPr="008B7B0E">
              <w:rPr>
                <w:rFonts w:ascii="Times New Roman" w:eastAsia="Times New Roman" w:hAnsi="Times New Roman" w:cs="Times New Roman"/>
                <w:kern w:val="0"/>
                <w:sz w:val="20"/>
                <w:szCs w:val="20"/>
                <w14:ligatures w14:val="none"/>
              </w:rPr>
              <w:t>Metatranscriptomics</w:t>
            </w:r>
            <w:proofErr w:type="spellEnd"/>
            <w:r w:rsidRPr="008B7B0E">
              <w:rPr>
                <w:rFonts w:ascii="Times New Roman" w:eastAsia="Times New Roman" w:hAnsi="Times New Roman" w:cs="Times New Roman"/>
                <w:kern w:val="0"/>
                <w:sz w:val="20"/>
                <w:szCs w:val="20"/>
                <w14:ligatures w14:val="none"/>
              </w:rPr>
              <w:t xml:space="preserve">, </w:t>
            </w:r>
            <w:proofErr w:type="spellStart"/>
            <w:r w:rsidRPr="008B7B0E">
              <w:rPr>
                <w:rFonts w:ascii="Times New Roman" w:eastAsia="Times New Roman" w:hAnsi="Times New Roman" w:cs="Times New Roman"/>
                <w:kern w:val="0"/>
                <w:sz w:val="20"/>
                <w:szCs w:val="20"/>
                <w14:ligatures w14:val="none"/>
              </w:rPr>
              <w:t>Metaproteomics</w:t>
            </w:r>
            <w:proofErr w:type="spellEnd"/>
          </w:p>
        </w:tc>
        <w:tc>
          <w:tcPr>
            <w:tcW w:w="0" w:type="auto"/>
            <w:hideMark/>
          </w:tcPr>
          <w:p w14:paraId="3D6FAAD6"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Combined DNA-SIP + metagenomics: Discovered novel cellulolytic </w:t>
            </w:r>
            <w:proofErr w:type="spellStart"/>
            <w:r w:rsidRPr="008B7B0E">
              <w:rPr>
                <w:rFonts w:ascii="Times New Roman" w:eastAsia="Times New Roman" w:hAnsi="Times New Roman" w:cs="Times New Roman"/>
                <w:i/>
                <w:iCs/>
                <w:kern w:val="0"/>
                <w:sz w:val="20"/>
                <w:szCs w:val="20"/>
                <w14:ligatures w14:val="none"/>
              </w:rPr>
              <w:t>Acidobacteria</w:t>
            </w:r>
            <w:proofErr w:type="spellEnd"/>
            <w:r w:rsidRPr="008B7B0E">
              <w:rPr>
                <w:rFonts w:ascii="Times New Roman" w:eastAsia="Times New Roman" w:hAnsi="Times New Roman" w:cs="Times New Roman"/>
                <w:kern w:val="0"/>
                <w:sz w:val="20"/>
                <w:szCs w:val="20"/>
                <w14:ligatures w14:val="none"/>
              </w:rPr>
              <w:t> (</w:t>
            </w:r>
            <w:proofErr w:type="spellStart"/>
            <w:r w:rsidRPr="008B7B0E">
              <w:rPr>
                <w:rFonts w:ascii="Times New Roman" w:eastAsia="Times New Roman" w:hAnsi="Times New Roman" w:cs="Times New Roman"/>
                <w:kern w:val="0"/>
                <w:sz w:val="20"/>
                <w:szCs w:val="20"/>
                <w14:ligatures w14:val="none"/>
              </w:rPr>
              <w:t>Haiser</w:t>
            </w:r>
            <w:proofErr w:type="spellEnd"/>
            <w:r w:rsidRPr="008B7B0E">
              <w:rPr>
                <w:rFonts w:ascii="Times New Roman" w:eastAsia="Times New Roman" w:hAnsi="Times New Roman" w:cs="Times New Roman"/>
                <w:kern w:val="0"/>
                <w:sz w:val="20"/>
                <w:szCs w:val="20"/>
                <w14:ligatures w14:val="none"/>
              </w:rPr>
              <w:t xml:space="preserve"> et al., 2013)</w:t>
            </w:r>
          </w:p>
        </w:tc>
        <w:tc>
          <w:tcPr>
            <w:tcW w:w="0" w:type="auto"/>
            <w:hideMark/>
          </w:tcPr>
          <w:p w14:paraId="7FF9B359" w14:textId="77777777" w:rsidR="00E357DE" w:rsidRPr="008B7B0E" w:rsidRDefault="00E357D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 Comprehensive functional insights</w:t>
            </w:r>
            <w:r w:rsidRPr="008B7B0E">
              <w:rPr>
                <w:rFonts w:ascii="Times New Roman" w:eastAsia="Times New Roman" w:hAnsi="Times New Roman" w:cs="Times New Roman"/>
                <w:kern w:val="0"/>
                <w:sz w:val="20"/>
                <w:szCs w:val="20"/>
                <w14:ligatures w14:val="none"/>
              </w:rPr>
              <w:br/>
            </w: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 Data complexity</w:t>
            </w:r>
          </w:p>
        </w:tc>
      </w:tr>
    </w:tbl>
    <w:p w14:paraId="0B53DCE2" w14:textId="77777777" w:rsidR="00E357DE" w:rsidRPr="008B7B0E" w:rsidRDefault="00E357DE" w:rsidP="00294870">
      <w:pPr>
        <w:pStyle w:val="ds-markdown-paragraph"/>
        <w:shd w:val="clear" w:color="auto" w:fill="FFFFFF"/>
        <w:spacing w:before="0" w:beforeAutospacing="0"/>
        <w:jc w:val="both"/>
      </w:pPr>
    </w:p>
    <w:p w14:paraId="1B21DDFA" w14:textId="0A2E6444" w:rsidR="002E25DC" w:rsidRPr="008B7B0E" w:rsidRDefault="00BC0E04"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4.5.2 </w:t>
      </w:r>
      <w:r w:rsidR="002E25DC" w:rsidRPr="008B7B0E">
        <w:rPr>
          <w:rFonts w:ascii="Times New Roman" w:eastAsia="Times New Roman" w:hAnsi="Times New Roman" w:cs="Times New Roman"/>
          <w:b/>
          <w:bCs/>
          <w:kern w:val="0"/>
          <w14:ligatures w14:val="none"/>
        </w:rPr>
        <w:t>CRISPR-Based Detection of Soilborne Pathogens</w:t>
      </w:r>
    </w:p>
    <w:p w14:paraId="7D4D717F" w14:textId="1931FFE6"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CRISPR-based diagnostics have recently been adapted for the detection of soilborne pathogens using highly specific DNA and RNA targeting</w:t>
      </w:r>
      <w:r w:rsidR="00EF4FC7">
        <w:rPr>
          <w:rFonts w:ascii="Times New Roman" w:eastAsia="Times New Roman" w:hAnsi="Times New Roman" w:cs="Times New Roman"/>
          <w:kern w:val="0"/>
          <w14:ligatures w14:val="none"/>
        </w:rPr>
        <w:t xml:space="preserve"> (Table 6)</w:t>
      </w:r>
      <w:r w:rsidRPr="008B7B0E">
        <w:rPr>
          <w:rFonts w:ascii="Times New Roman" w:eastAsia="Times New Roman" w:hAnsi="Times New Roman" w:cs="Times New Roman"/>
          <w:kern w:val="0"/>
          <w14:ligatures w14:val="none"/>
        </w:rPr>
        <w:t>. Systems such as SHERLOCK (based on Cas13a) and DETECTR (based on Cas12a) allow rapid, sensitive detection of pathogen-specific genetic material, often with visual or fluorescent readouts available within one hour (</w:t>
      </w:r>
      <w:proofErr w:type="spellStart"/>
      <w:r w:rsidRPr="008B7B0E">
        <w:rPr>
          <w:rFonts w:ascii="Times New Roman" w:eastAsia="Times New Roman" w:hAnsi="Times New Roman" w:cs="Times New Roman"/>
          <w:kern w:val="0"/>
          <w14:ligatures w14:val="none"/>
        </w:rPr>
        <w:t>Gootenberg</w:t>
      </w:r>
      <w:proofErr w:type="spellEnd"/>
      <w:r w:rsidRPr="008B7B0E">
        <w:rPr>
          <w:rFonts w:ascii="Times New Roman" w:eastAsia="Times New Roman" w:hAnsi="Times New Roman" w:cs="Times New Roman"/>
          <w:kern w:val="0"/>
          <w14:ligatures w14:val="none"/>
        </w:rPr>
        <w:t xml:space="preserve"> et al., 2017; Chen et al., 2020). These platforms have demonstrated high sensitivity in field settings, detecting </w:t>
      </w:r>
      <w:r w:rsidRPr="008B7B0E">
        <w:rPr>
          <w:rFonts w:ascii="Times New Roman" w:eastAsia="Times New Roman" w:hAnsi="Times New Roman" w:cs="Times New Roman"/>
          <w:i/>
          <w:iCs/>
          <w:kern w:val="0"/>
          <w14:ligatures w14:val="none"/>
        </w:rPr>
        <w:t>Phytophthora infestans</w:t>
      </w:r>
      <w:r w:rsidRPr="008B7B0E">
        <w:rPr>
          <w:rFonts w:ascii="Times New Roman" w:eastAsia="Times New Roman" w:hAnsi="Times New Roman" w:cs="Times New Roman"/>
          <w:kern w:val="0"/>
          <w14:ligatures w14:val="none"/>
        </w:rPr>
        <w:t xml:space="preserve"> in potato soils at levels ten times lower than PCR thresholds (Jiao et al., 2021).</w:t>
      </w:r>
    </w:p>
    <w:p w14:paraId="1F07FF63" w14:textId="77777777" w:rsidR="002E25DC" w:rsidRPr="008B7B0E" w:rsidRDefault="002E25DC" w:rsidP="002E25DC">
      <w:pPr>
        <w:pStyle w:val="BodyText"/>
        <w:spacing w:before="100" w:beforeAutospacing="1" w:after="100" w:afterAutospacing="1" w:line="240" w:lineRule="auto"/>
      </w:pPr>
      <w:r w:rsidRPr="008B7B0E">
        <w:t>CRISPR-based tools offer practical advantages for agricultural diagnostics. Lateral flow readouts make field deployment feasible without laboratory equipment. These systems can also detect single-nucleotide polymorphisms, allowing for identification of fungicide-resistant strains. Multiplexing capabilities permit simultaneous detection of multiple pathogens, improving efficiency in surveillance programs (Myhrvold et al., 2018).</w:t>
      </w:r>
    </w:p>
    <w:p w14:paraId="10DD4253"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Limitations remain. Soil-derived inhibitors such as humic substances interfere with primer binding and reaction efficiency. Quantification is less accurate than qPCR, and robust primer design remains challenging. Recent improvements, including CRISPR-SCAN, which enables amplification-free detection (Tian et al., 2022), and phage-delivered Cas systems for in situ monitoring (Bari et al., 2023), suggest expanding applicability. These tools have been used for early detection of </w:t>
      </w:r>
      <w:r w:rsidRPr="008B7B0E">
        <w:rPr>
          <w:rFonts w:ascii="Times New Roman" w:eastAsia="Times New Roman" w:hAnsi="Times New Roman" w:cs="Times New Roman"/>
          <w:i/>
          <w:iCs/>
          <w:kern w:val="0"/>
          <w14:ligatures w14:val="none"/>
        </w:rPr>
        <w:t>Fusarium</w:t>
      </w:r>
      <w:r w:rsidRPr="008B7B0E">
        <w:rPr>
          <w:rFonts w:ascii="Times New Roman" w:eastAsia="Times New Roman" w:hAnsi="Times New Roman" w:cs="Times New Roman"/>
          <w:kern w:val="0"/>
          <w14:ligatures w14:val="none"/>
        </w:rPr>
        <w:t xml:space="preserve"> wilt in bananas and for field identification of soybean cyst nematodes, supporting preventative crop health management.</w:t>
      </w:r>
    </w:p>
    <w:p w14:paraId="188DCF76" w14:textId="69FBA6B6" w:rsidR="00D71377" w:rsidRPr="008B7B0E" w:rsidRDefault="00D71377" w:rsidP="00D71377">
      <w:pPr>
        <w:shd w:val="clear" w:color="auto" w:fill="FFFFFF"/>
        <w:spacing w:before="100" w:beforeAutospacing="1" w:after="100" w:afterAutospacing="1" w:line="240" w:lineRule="auto"/>
        <w:outlineLvl w:val="2"/>
        <w:rPr>
          <w:rFonts w:ascii="Times New Roman" w:eastAsia="Times New Roman" w:hAnsi="Times New Roman" w:cs="Times New Roman"/>
          <w:b/>
          <w:bCs/>
          <w:kern w:val="0"/>
          <w14:ligatures w14:val="none"/>
        </w:rPr>
      </w:pPr>
      <w:r w:rsidRPr="008B7B0E">
        <w:rPr>
          <w:rFonts w:ascii="Times New Roman" w:eastAsia="Times New Roman" w:hAnsi="Times New Roman" w:cs="Times New Roman"/>
          <w:b/>
          <w:bCs/>
          <w:kern w:val="0"/>
          <w14:ligatures w14:val="none"/>
        </w:rPr>
        <w:t xml:space="preserve">Table </w:t>
      </w:r>
      <w:r w:rsidR="0078174E" w:rsidRPr="008B7B0E">
        <w:rPr>
          <w:rFonts w:ascii="Times New Roman" w:eastAsia="Times New Roman" w:hAnsi="Times New Roman" w:cs="Times New Roman"/>
          <w:b/>
          <w:bCs/>
          <w:kern w:val="0"/>
          <w14:ligatures w14:val="none"/>
        </w:rPr>
        <w:t>6</w:t>
      </w:r>
      <w:r w:rsidRPr="008B7B0E">
        <w:rPr>
          <w:rFonts w:ascii="Times New Roman" w:eastAsia="Times New Roman" w:hAnsi="Times New Roman" w:cs="Times New Roman"/>
          <w:b/>
          <w:bCs/>
          <w:kern w:val="0"/>
          <w14:ligatures w14:val="none"/>
        </w:rPr>
        <w:t xml:space="preserve">: </w:t>
      </w:r>
      <w:r w:rsidRPr="008B7B0E">
        <w:rPr>
          <w:rFonts w:ascii="Times New Roman" w:eastAsia="Times New Roman" w:hAnsi="Times New Roman" w:cs="Times New Roman"/>
          <w:kern w:val="0"/>
          <w14:ligatures w14:val="none"/>
        </w:rPr>
        <w:t>CRISPR-Based Detection of Soil Pathogen Biomarkers</w:t>
      </w:r>
    </w:p>
    <w:tbl>
      <w:tblPr>
        <w:tblStyle w:val="TableGrid"/>
        <w:tblW w:w="0" w:type="auto"/>
        <w:tblLook w:val="04A0" w:firstRow="1" w:lastRow="0" w:firstColumn="1" w:lastColumn="0" w:noHBand="0" w:noVBand="1"/>
      </w:tblPr>
      <w:tblGrid>
        <w:gridCol w:w="1387"/>
        <w:gridCol w:w="2428"/>
        <w:gridCol w:w="2449"/>
        <w:gridCol w:w="1492"/>
        <w:gridCol w:w="1594"/>
      </w:tblGrid>
      <w:tr w:rsidR="008B7B0E" w:rsidRPr="008B7B0E" w14:paraId="04B5D73E" w14:textId="77777777" w:rsidTr="00D71377">
        <w:tc>
          <w:tcPr>
            <w:tcW w:w="0" w:type="auto"/>
            <w:hideMark/>
          </w:tcPr>
          <w:p w14:paraId="135C9BF1" w14:textId="77777777" w:rsidR="00D71377" w:rsidRPr="008B7B0E" w:rsidRDefault="00D71377" w:rsidP="00E530C5">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Aspect</w:t>
            </w:r>
          </w:p>
        </w:tc>
        <w:tc>
          <w:tcPr>
            <w:tcW w:w="0" w:type="auto"/>
            <w:hideMark/>
          </w:tcPr>
          <w:p w14:paraId="62D71742" w14:textId="77777777" w:rsidR="00D71377" w:rsidRPr="008B7B0E" w:rsidRDefault="00D71377" w:rsidP="00E530C5">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Details</w:t>
            </w:r>
          </w:p>
        </w:tc>
        <w:tc>
          <w:tcPr>
            <w:tcW w:w="0" w:type="auto"/>
            <w:hideMark/>
          </w:tcPr>
          <w:p w14:paraId="70A42D58" w14:textId="77777777" w:rsidR="00D71377" w:rsidRPr="008B7B0E" w:rsidRDefault="00D71377" w:rsidP="00E530C5">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Examples</w:t>
            </w:r>
          </w:p>
        </w:tc>
        <w:tc>
          <w:tcPr>
            <w:tcW w:w="0" w:type="auto"/>
            <w:hideMark/>
          </w:tcPr>
          <w:p w14:paraId="656C7829" w14:textId="77777777" w:rsidR="00D71377" w:rsidRPr="008B7B0E" w:rsidRDefault="00D71377" w:rsidP="00E530C5">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Pros &amp; Cons</w:t>
            </w:r>
          </w:p>
        </w:tc>
        <w:tc>
          <w:tcPr>
            <w:tcW w:w="0" w:type="auto"/>
            <w:hideMark/>
          </w:tcPr>
          <w:p w14:paraId="0D4AAC04" w14:textId="77777777" w:rsidR="00D71377" w:rsidRPr="008B7B0E" w:rsidRDefault="00D71377" w:rsidP="00E530C5">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References</w:t>
            </w:r>
          </w:p>
        </w:tc>
      </w:tr>
      <w:tr w:rsidR="008B7B0E" w:rsidRPr="008B7B0E" w14:paraId="34F66511" w14:textId="77777777" w:rsidTr="00D71377">
        <w:tc>
          <w:tcPr>
            <w:tcW w:w="0" w:type="auto"/>
            <w:hideMark/>
          </w:tcPr>
          <w:p w14:paraId="4F0F2B6E" w14:textId="77777777" w:rsidR="00D71377" w:rsidRPr="008B7B0E" w:rsidRDefault="00D71377"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CRISPR Systems</w:t>
            </w:r>
          </w:p>
        </w:tc>
        <w:tc>
          <w:tcPr>
            <w:tcW w:w="0" w:type="auto"/>
            <w:hideMark/>
          </w:tcPr>
          <w:p w14:paraId="140206DC" w14:textId="77777777" w:rsidR="00D71377" w:rsidRPr="008B7B0E" w:rsidRDefault="00D71377"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SHERLOCK (Cas13a): RNA detection</w:t>
            </w:r>
            <w:r w:rsidRPr="008B7B0E">
              <w:rPr>
                <w:rFonts w:ascii="Times New Roman" w:eastAsia="Times New Roman" w:hAnsi="Times New Roman" w:cs="Times New Roman"/>
                <w:kern w:val="0"/>
                <w:sz w:val="20"/>
                <w:szCs w:val="20"/>
                <w14:ligatures w14:val="none"/>
              </w:rPr>
              <w:br/>
              <w:t>- DETECTR (Cas12a): DNA detection</w:t>
            </w:r>
          </w:p>
        </w:tc>
        <w:tc>
          <w:tcPr>
            <w:tcW w:w="0" w:type="auto"/>
            <w:hideMark/>
          </w:tcPr>
          <w:p w14:paraId="2CCDEEFA" w14:textId="77777777" w:rsidR="00D71377" w:rsidRPr="008B7B0E" w:rsidRDefault="00D71377"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Fusarium</w:t>
            </w:r>
            <w:r w:rsidRPr="008B7B0E">
              <w:rPr>
                <w:rFonts w:ascii="Times New Roman" w:eastAsia="Times New Roman" w:hAnsi="Times New Roman" w:cs="Times New Roman"/>
                <w:kern w:val="0"/>
                <w:sz w:val="20"/>
                <w:szCs w:val="20"/>
                <w14:ligatures w14:val="none"/>
              </w:rPr>
              <w:t> ITS (SHERLOCK)</w:t>
            </w:r>
            <w:r w:rsidRPr="008B7B0E">
              <w:rPr>
                <w:rFonts w:ascii="Times New Roman" w:eastAsia="Times New Roman" w:hAnsi="Times New Roman" w:cs="Times New Roman"/>
                <w:kern w:val="0"/>
                <w:sz w:val="20"/>
                <w:szCs w:val="20"/>
                <w14:ligatures w14:val="none"/>
              </w:rPr>
              <w:br/>
            </w:r>
            <w:proofErr w:type="spellStart"/>
            <w:r w:rsidRPr="008B7B0E">
              <w:rPr>
                <w:rFonts w:ascii="Times New Roman" w:eastAsia="Times New Roman" w:hAnsi="Times New Roman" w:cs="Times New Roman"/>
                <w:i/>
                <w:iCs/>
                <w:kern w:val="0"/>
                <w:sz w:val="20"/>
                <w:szCs w:val="20"/>
                <w14:ligatures w14:val="none"/>
              </w:rPr>
              <w:t>Ralstonia</w:t>
            </w:r>
            <w:proofErr w:type="spellEnd"/>
            <w:r w:rsidRPr="008B7B0E">
              <w:rPr>
                <w:rFonts w:ascii="Times New Roman" w:eastAsia="Times New Roman" w:hAnsi="Times New Roman" w:cs="Times New Roman"/>
                <w:i/>
                <w:iCs/>
                <w:kern w:val="0"/>
                <w:sz w:val="20"/>
                <w:szCs w:val="20"/>
                <w14:ligatures w14:val="none"/>
              </w:rPr>
              <w:t xml:space="preserve"> solanacearum</w:t>
            </w:r>
            <w:r w:rsidRPr="008B7B0E">
              <w:rPr>
                <w:rFonts w:ascii="Times New Roman" w:eastAsia="Times New Roman" w:hAnsi="Times New Roman" w:cs="Times New Roman"/>
                <w:kern w:val="0"/>
                <w:sz w:val="20"/>
                <w:szCs w:val="20"/>
                <w14:ligatures w14:val="none"/>
              </w:rPr>
              <w:t> effector genes (DETECTR)</w:t>
            </w:r>
          </w:p>
        </w:tc>
        <w:tc>
          <w:tcPr>
            <w:tcW w:w="0" w:type="auto"/>
            <w:hideMark/>
          </w:tcPr>
          <w:p w14:paraId="7355CA7A" w14:textId="77777777" w:rsidR="00D71377" w:rsidRPr="008B7B0E" w:rsidRDefault="00D71377"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 Single-base specificity</w:t>
            </w:r>
            <w:r w:rsidRPr="008B7B0E">
              <w:rPr>
                <w:rFonts w:ascii="Times New Roman" w:eastAsia="Times New Roman" w:hAnsi="Times New Roman" w:cs="Times New Roman"/>
                <w:kern w:val="0"/>
                <w:sz w:val="20"/>
                <w:szCs w:val="20"/>
                <w14:ligatures w14:val="none"/>
              </w:rPr>
              <w:br/>
            </w: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 Humic acid interference</w:t>
            </w:r>
          </w:p>
        </w:tc>
        <w:tc>
          <w:tcPr>
            <w:tcW w:w="0" w:type="auto"/>
            <w:hideMark/>
          </w:tcPr>
          <w:p w14:paraId="3D45AC79" w14:textId="77777777" w:rsidR="00D71377" w:rsidRPr="008B7B0E" w:rsidRDefault="00D71377" w:rsidP="00E530C5">
            <w:pPr>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kern w:val="0"/>
                <w:sz w:val="20"/>
                <w:szCs w:val="20"/>
                <w14:ligatures w14:val="none"/>
              </w:rPr>
              <w:t>Gootenberg</w:t>
            </w:r>
            <w:proofErr w:type="spellEnd"/>
            <w:r w:rsidRPr="008B7B0E">
              <w:rPr>
                <w:rFonts w:ascii="Times New Roman" w:eastAsia="Times New Roman" w:hAnsi="Times New Roman" w:cs="Times New Roman"/>
                <w:kern w:val="0"/>
                <w:sz w:val="20"/>
                <w:szCs w:val="20"/>
                <w14:ligatures w14:val="none"/>
              </w:rPr>
              <w:t xml:space="preserve"> et al. (2017), Chen et al. (2020)</w:t>
            </w:r>
          </w:p>
        </w:tc>
      </w:tr>
      <w:tr w:rsidR="008B7B0E" w:rsidRPr="008B7B0E" w14:paraId="373F3042" w14:textId="77777777" w:rsidTr="00D71377">
        <w:tc>
          <w:tcPr>
            <w:tcW w:w="0" w:type="auto"/>
            <w:hideMark/>
          </w:tcPr>
          <w:p w14:paraId="6B8FFF1C" w14:textId="77777777" w:rsidR="00D71377" w:rsidRPr="008B7B0E" w:rsidRDefault="00D71377"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Sensitivity</w:t>
            </w:r>
          </w:p>
        </w:tc>
        <w:tc>
          <w:tcPr>
            <w:tcW w:w="0" w:type="auto"/>
            <w:hideMark/>
          </w:tcPr>
          <w:p w14:paraId="0E3ACF62" w14:textId="77777777" w:rsidR="00D71377" w:rsidRPr="008B7B0E" w:rsidRDefault="00D71377"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Detects 1–10 copies/µL (10x PCR)</w:t>
            </w:r>
          </w:p>
        </w:tc>
        <w:tc>
          <w:tcPr>
            <w:tcW w:w="0" w:type="auto"/>
            <w:hideMark/>
          </w:tcPr>
          <w:p w14:paraId="01329FF9" w14:textId="77777777" w:rsidR="00D71377" w:rsidRPr="008B7B0E" w:rsidRDefault="00D71377"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Phytophthora infestans</w:t>
            </w:r>
            <w:r w:rsidRPr="008B7B0E">
              <w:rPr>
                <w:rFonts w:ascii="Times New Roman" w:eastAsia="Times New Roman" w:hAnsi="Times New Roman" w:cs="Times New Roman"/>
                <w:kern w:val="0"/>
                <w:sz w:val="20"/>
                <w:szCs w:val="20"/>
                <w14:ligatures w14:val="none"/>
              </w:rPr>
              <w:t xml:space="preserve"> in potato soils (1 </w:t>
            </w:r>
            <w:proofErr w:type="spellStart"/>
            <w:r w:rsidRPr="008B7B0E">
              <w:rPr>
                <w:rFonts w:ascii="Times New Roman" w:eastAsia="Times New Roman" w:hAnsi="Times New Roman" w:cs="Times New Roman"/>
                <w:kern w:val="0"/>
                <w:sz w:val="20"/>
                <w:szCs w:val="20"/>
                <w14:ligatures w14:val="none"/>
              </w:rPr>
              <w:t>fg</w:t>
            </w:r>
            <w:proofErr w:type="spellEnd"/>
            <w:r w:rsidRPr="008B7B0E">
              <w:rPr>
                <w:rFonts w:ascii="Times New Roman" w:eastAsia="Times New Roman" w:hAnsi="Times New Roman" w:cs="Times New Roman"/>
                <w:kern w:val="0"/>
                <w:sz w:val="20"/>
                <w:szCs w:val="20"/>
                <w14:ligatures w14:val="none"/>
              </w:rPr>
              <w:t>/µL)</w:t>
            </w:r>
          </w:p>
        </w:tc>
        <w:tc>
          <w:tcPr>
            <w:tcW w:w="0" w:type="auto"/>
            <w:hideMark/>
          </w:tcPr>
          <w:p w14:paraId="0E2FBDDF" w14:textId="77777777" w:rsidR="00D71377" w:rsidRPr="008B7B0E" w:rsidRDefault="00D71377"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 Field-deployable</w:t>
            </w:r>
            <w:r w:rsidRPr="008B7B0E">
              <w:rPr>
                <w:rFonts w:ascii="Times New Roman" w:eastAsia="Times New Roman" w:hAnsi="Times New Roman" w:cs="Times New Roman"/>
                <w:kern w:val="0"/>
                <w:sz w:val="20"/>
                <w:szCs w:val="20"/>
                <w14:ligatures w14:val="none"/>
              </w:rPr>
              <w:br/>
            </w: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 Limited quantification</w:t>
            </w:r>
          </w:p>
        </w:tc>
        <w:tc>
          <w:tcPr>
            <w:tcW w:w="0" w:type="auto"/>
            <w:hideMark/>
          </w:tcPr>
          <w:p w14:paraId="5893C025" w14:textId="77777777" w:rsidR="00D71377" w:rsidRPr="008B7B0E" w:rsidRDefault="00D71377"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Jiao et al. (2021)</w:t>
            </w:r>
          </w:p>
        </w:tc>
      </w:tr>
      <w:tr w:rsidR="008B7B0E" w:rsidRPr="008B7B0E" w14:paraId="68DD0173" w14:textId="77777777" w:rsidTr="00D71377">
        <w:tc>
          <w:tcPr>
            <w:tcW w:w="0" w:type="auto"/>
            <w:hideMark/>
          </w:tcPr>
          <w:p w14:paraId="0E2B29D9" w14:textId="77777777" w:rsidR="00D71377" w:rsidRPr="008B7B0E" w:rsidRDefault="00D71377"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lastRenderedPageBreak/>
              <w:t>Readout Methods</w:t>
            </w:r>
          </w:p>
        </w:tc>
        <w:tc>
          <w:tcPr>
            <w:tcW w:w="0" w:type="auto"/>
            <w:hideMark/>
          </w:tcPr>
          <w:p w14:paraId="28F12374" w14:textId="77777777" w:rsidR="00D71377" w:rsidRPr="008B7B0E" w:rsidRDefault="00D71377"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Lateral flow strips (naked-eye)</w:t>
            </w:r>
            <w:r w:rsidRPr="008B7B0E">
              <w:rPr>
                <w:rFonts w:ascii="Times New Roman" w:eastAsia="Times New Roman" w:hAnsi="Times New Roman" w:cs="Times New Roman"/>
                <w:kern w:val="0"/>
                <w:sz w:val="20"/>
                <w:szCs w:val="20"/>
                <w14:ligatures w14:val="none"/>
              </w:rPr>
              <w:br/>
              <w:t>- Fluorescence (portable devices)</w:t>
            </w:r>
          </w:p>
        </w:tc>
        <w:tc>
          <w:tcPr>
            <w:tcW w:w="0" w:type="auto"/>
            <w:hideMark/>
          </w:tcPr>
          <w:p w14:paraId="45E9E6C4" w14:textId="77777777" w:rsidR="00D71377" w:rsidRPr="008B7B0E" w:rsidRDefault="00D71377"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Strip test for </w:t>
            </w:r>
            <w:r w:rsidRPr="008B7B0E">
              <w:rPr>
                <w:rFonts w:ascii="Times New Roman" w:eastAsia="Times New Roman" w:hAnsi="Times New Roman" w:cs="Times New Roman"/>
                <w:i/>
                <w:iCs/>
                <w:kern w:val="0"/>
                <w:sz w:val="20"/>
                <w:szCs w:val="20"/>
                <w14:ligatures w14:val="none"/>
              </w:rPr>
              <w:t>Fusarium</w:t>
            </w:r>
            <w:r w:rsidRPr="008B7B0E">
              <w:rPr>
                <w:rFonts w:ascii="Times New Roman" w:eastAsia="Times New Roman" w:hAnsi="Times New Roman" w:cs="Times New Roman"/>
                <w:kern w:val="0"/>
                <w:sz w:val="20"/>
                <w:szCs w:val="20"/>
                <w14:ligatures w14:val="none"/>
              </w:rPr>
              <w:t> wilt in bananas</w:t>
            </w:r>
          </w:p>
        </w:tc>
        <w:tc>
          <w:tcPr>
            <w:tcW w:w="0" w:type="auto"/>
            <w:hideMark/>
          </w:tcPr>
          <w:p w14:paraId="3946CDF0" w14:textId="77777777" w:rsidR="00D71377" w:rsidRPr="008B7B0E" w:rsidRDefault="00D71377"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 No lab equipment</w:t>
            </w:r>
            <w:r w:rsidRPr="008B7B0E">
              <w:rPr>
                <w:rFonts w:ascii="Times New Roman" w:eastAsia="Times New Roman" w:hAnsi="Times New Roman" w:cs="Times New Roman"/>
                <w:kern w:val="0"/>
                <w:sz w:val="20"/>
                <w:szCs w:val="20"/>
                <w14:ligatures w14:val="none"/>
              </w:rPr>
              <w:br/>
            </w: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 Subjective interpretation</w:t>
            </w:r>
          </w:p>
        </w:tc>
        <w:tc>
          <w:tcPr>
            <w:tcW w:w="0" w:type="auto"/>
            <w:hideMark/>
          </w:tcPr>
          <w:p w14:paraId="6C5736C4" w14:textId="77777777" w:rsidR="00D71377" w:rsidRPr="008B7B0E" w:rsidRDefault="00D71377"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Myhrvold et al. (2018)</w:t>
            </w:r>
          </w:p>
        </w:tc>
      </w:tr>
      <w:tr w:rsidR="008B7B0E" w:rsidRPr="008B7B0E" w14:paraId="5C5220EE" w14:textId="77777777" w:rsidTr="00D71377">
        <w:tc>
          <w:tcPr>
            <w:tcW w:w="0" w:type="auto"/>
            <w:hideMark/>
          </w:tcPr>
          <w:p w14:paraId="018D898C" w14:textId="77777777" w:rsidR="00D71377" w:rsidRPr="008B7B0E" w:rsidRDefault="00D71377"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Multiplexing</w:t>
            </w:r>
          </w:p>
        </w:tc>
        <w:tc>
          <w:tcPr>
            <w:tcW w:w="0" w:type="auto"/>
            <w:hideMark/>
          </w:tcPr>
          <w:p w14:paraId="2DE2817F" w14:textId="77777777" w:rsidR="00D71377" w:rsidRPr="008B7B0E" w:rsidRDefault="00D71377"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Up to 5 pathogens simultaneously</w:t>
            </w:r>
          </w:p>
        </w:tc>
        <w:tc>
          <w:tcPr>
            <w:tcW w:w="0" w:type="auto"/>
            <w:hideMark/>
          </w:tcPr>
          <w:p w14:paraId="658EC378" w14:textId="77777777" w:rsidR="00D71377" w:rsidRPr="008B7B0E" w:rsidRDefault="00D71377"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Soybean: </w:t>
            </w:r>
            <w:proofErr w:type="spellStart"/>
            <w:r w:rsidRPr="008B7B0E">
              <w:rPr>
                <w:rFonts w:ascii="Times New Roman" w:eastAsia="Times New Roman" w:hAnsi="Times New Roman" w:cs="Times New Roman"/>
                <w:i/>
                <w:iCs/>
                <w:kern w:val="0"/>
                <w:sz w:val="20"/>
                <w:szCs w:val="20"/>
                <w14:ligatures w14:val="none"/>
              </w:rPr>
              <w:t>Heterodera</w:t>
            </w:r>
            <w:proofErr w:type="spellEnd"/>
            <w:r w:rsidRPr="008B7B0E">
              <w:rPr>
                <w:rFonts w:ascii="Times New Roman" w:eastAsia="Times New Roman" w:hAnsi="Times New Roman" w:cs="Times New Roman"/>
                <w:i/>
                <w:iCs/>
                <w:kern w:val="0"/>
                <w:sz w:val="20"/>
                <w:szCs w:val="20"/>
                <w14:ligatures w14:val="none"/>
              </w:rPr>
              <w:t xml:space="preserve"> </w:t>
            </w:r>
            <w:proofErr w:type="spellStart"/>
            <w:r w:rsidRPr="008B7B0E">
              <w:rPr>
                <w:rFonts w:ascii="Times New Roman" w:eastAsia="Times New Roman" w:hAnsi="Times New Roman" w:cs="Times New Roman"/>
                <w:i/>
                <w:iCs/>
                <w:kern w:val="0"/>
                <w:sz w:val="20"/>
                <w:szCs w:val="20"/>
                <w14:ligatures w14:val="none"/>
              </w:rPr>
              <w:t>glycines</w:t>
            </w:r>
            <w:proofErr w:type="spellEnd"/>
            <w:r w:rsidRPr="008B7B0E">
              <w:rPr>
                <w:rFonts w:ascii="Times New Roman" w:eastAsia="Times New Roman" w:hAnsi="Times New Roman" w:cs="Times New Roman"/>
                <w:kern w:val="0"/>
                <w:sz w:val="20"/>
                <w:szCs w:val="20"/>
                <w14:ligatures w14:val="none"/>
              </w:rPr>
              <w:t> + </w:t>
            </w:r>
            <w:r w:rsidRPr="008B7B0E">
              <w:rPr>
                <w:rFonts w:ascii="Times New Roman" w:eastAsia="Times New Roman" w:hAnsi="Times New Roman" w:cs="Times New Roman"/>
                <w:i/>
                <w:iCs/>
                <w:kern w:val="0"/>
                <w:sz w:val="20"/>
                <w:szCs w:val="20"/>
                <w14:ligatures w14:val="none"/>
              </w:rPr>
              <w:t xml:space="preserve">Fusarium </w:t>
            </w:r>
            <w:proofErr w:type="spellStart"/>
            <w:r w:rsidRPr="008B7B0E">
              <w:rPr>
                <w:rFonts w:ascii="Times New Roman" w:eastAsia="Times New Roman" w:hAnsi="Times New Roman" w:cs="Times New Roman"/>
                <w:i/>
                <w:iCs/>
                <w:kern w:val="0"/>
                <w:sz w:val="20"/>
                <w:szCs w:val="20"/>
                <w14:ligatures w14:val="none"/>
              </w:rPr>
              <w:t>oxysporum</w:t>
            </w:r>
            <w:proofErr w:type="spellEnd"/>
          </w:p>
        </w:tc>
        <w:tc>
          <w:tcPr>
            <w:tcW w:w="0" w:type="auto"/>
            <w:hideMark/>
          </w:tcPr>
          <w:p w14:paraId="30EDD23C" w14:textId="77777777" w:rsidR="00D71377" w:rsidRPr="008B7B0E" w:rsidRDefault="00D71377"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 Saves time</w:t>
            </w:r>
            <w:r w:rsidRPr="008B7B0E">
              <w:rPr>
                <w:rFonts w:ascii="Times New Roman" w:eastAsia="Times New Roman" w:hAnsi="Times New Roman" w:cs="Times New Roman"/>
                <w:kern w:val="0"/>
                <w:sz w:val="20"/>
                <w:szCs w:val="20"/>
                <w14:ligatures w14:val="none"/>
              </w:rPr>
              <w:br/>
            </w: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 Cross-reactivity risks</w:t>
            </w:r>
          </w:p>
        </w:tc>
        <w:tc>
          <w:tcPr>
            <w:tcW w:w="0" w:type="auto"/>
            <w:hideMark/>
          </w:tcPr>
          <w:p w14:paraId="2EA71EB7" w14:textId="77777777" w:rsidR="00D71377" w:rsidRPr="008B7B0E" w:rsidRDefault="00D71377"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Bari et al. (2023)</w:t>
            </w:r>
          </w:p>
        </w:tc>
      </w:tr>
      <w:tr w:rsidR="00484A41" w:rsidRPr="008B7B0E" w14:paraId="3E23E4C7" w14:textId="77777777" w:rsidTr="00D71377">
        <w:tc>
          <w:tcPr>
            <w:tcW w:w="0" w:type="auto"/>
            <w:hideMark/>
          </w:tcPr>
          <w:p w14:paraId="55C62B1E" w14:textId="77777777" w:rsidR="00D71377" w:rsidRPr="008B7B0E" w:rsidRDefault="00D71377"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Innovations</w:t>
            </w:r>
          </w:p>
        </w:tc>
        <w:tc>
          <w:tcPr>
            <w:tcW w:w="0" w:type="auto"/>
            <w:hideMark/>
          </w:tcPr>
          <w:p w14:paraId="2E7103E1" w14:textId="77777777" w:rsidR="00D71377" w:rsidRPr="008B7B0E" w:rsidRDefault="00D71377"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CRISPR</w:t>
            </w: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SCAN: No pre-amplification</w:t>
            </w:r>
            <w:r w:rsidRPr="008B7B0E">
              <w:rPr>
                <w:rFonts w:ascii="Times New Roman" w:eastAsia="Times New Roman" w:hAnsi="Times New Roman" w:cs="Times New Roman"/>
                <w:kern w:val="0"/>
                <w:sz w:val="20"/>
                <w:szCs w:val="20"/>
                <w14:ligatures w14:val="none"/>
              </w:rPr>
              <w:br/>
              <w:t>- Phage</w:t>
            </w: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Cas: In situ delivery</w:t>
            </w:r>
          </w:p>
        </w:tc>
        <w:tc>
          <w:tcPr>
            <w:tcW w:w="0" w:type="auto"/>
            <w:hideMark/>
          </w:tcPr>
          <w:p w14:paraId="40AE8A62" w14:textId="77777777" w:rsidR="00D71377" w:rsidRPr="008B7B0E" w:rsidRDefault="00D71377"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Xylella fastidiosa</w:t>
            </w:r>
            <w:r w:rsidRPr="008B7B0E">
              <w:rPr>
                <w:rFonts w:ascii="Times New Roman" w:eastAsia="Times New Roman" w:hAnsi="Times New Roman" w:cs="Times New Roman"/>
                <w:kern w:val="0"/>
                <w:sz w:val="20"/>
                <w:szCs w:val="20"/>
                <w14:ligatures w14:val="none"/>
              </w:rPr>
              <w:t> in grapevine soils</w:t>
            </w:r>
          </w:p>
        </w:tc>
        <w:tc>
          <w:tcPr>
            <w:tcW w:w="0" w:type="auto"/>
            <w:hideMark/>
          </w:tcPr>
          <w:p w14:paraId="02FF9B8F" w14:textId="77777777" w:rsidR="00D71377" w:rsidRPr="008B7B0E" w:rsidRDefault="00D71377"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 Live pathogen tracking</w:t>
            </w:r>
            <w:r w:rsidRPr="008B7B0E">
              <w:rPr>
                <w:rFonts w:ascii="Times New Roman" w:eastAsia="Times New Roman" w:hAnsi="Times New Roman" w:cs="Times New Roman"/>
                <w:kern w:val="0"/>
                <w:sz w:val="20"/>
                <w:szCs w:val="20"/>
                <w14:ligatures w14:val="none"/>
              </w:rPr>
              <w:br/>
            </w: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 Technical complexity</w:t>
            </w:r>
          </w:p>
        </w:tc>
        <w:tc>
          <w:tcPr>
            <w:tcW w:w="0" w:type="auto"/>
            <w:hideMark/>
          </w:tcPr>
          <w:p w14:paraId="22FF7B24" w14:textId="77777777" w:rsidR="00D71377" w:rsidRPr="008B7B0E" w:rsidRDefault="00D71377"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Tian et al. (2022)</w:t>
            </w:r>
          </w:p>
        </w:tc>
      </w:tr>
    </w:tbl>
    <w:p w14:paraId="58BFA39F" w14:textId="77777777" w:rsidR="0078174E" w:rsidRPr="008B7B0E" w:rsidRDefault="0078174E" w:rsidP="00FF0499">
      <w:pPr>
        <w:spacing w:after="100" w:afterAutospacing="1" w:line="240" w:lineRule="auto"/>
        <w:rPr>
          <w:rFonts w:ascii="Times New Roman" w:eastAsia="Times New Roman" w:hAnsi="Times New Roman" w:cs="Times New Roman"/>
          <w:b/>
          <w:bCs/>
          <w:kern w:val="0"/>
          <w14:ligatures w14:val="none"/>
        </w:rPr>
      </w:pPr>
    </w:p>
    <w:p w14:paraId="08E595CF" w14:textId="44E6D77A" w:rsidR="002E25DC" w:rsidRPr="008B7B0E" w:rsidRDefault="00010868"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4.6 </w:t>
      </w:r>
      <w:r w:rsidR="002E25DC" w:rsidRPr="008B7B0E">
        <w:rPr>
          <w:rFonts w:ascii="Times New Roman" w:eastAsia="Times New Roman" w:hAnsi="Times New Roman" w:cs="Times New Roman"/>
          <w:b/>
          <w:bCs/>
          <w:kern w:val="0"/>
          <w14:ligatures w14:val="none"/>
        </w:rPr>
        <w:t>Geographic Trends in Soil Microbial Biomarkers</w:t>
      </w:r>
    </w:p>
    <w:p w14:paraId="6AB0E85C" w14:textId="20718580" w:rsidR="002E25DC" w:rsidRPr="00010868" w:rsidRDefault="00010868"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010868">
        <w:rPr>
          <w:rFonts w:ascii="Times New Roman" w:eastAsia="Times New Roman" w:hAnsi="Times New Roman" w:cs="Times New Roman"/>
          <w:b/>
          <w:bCs/>
          <w:kern w:val="0"/>
          <w14:ligatures w14:val="none"/>
        </w:rPr>
        <w:t>4.6.1</w:t>
      </w:r>
      <w:r>
        <w:rPr>
          <w:rFonts w:ascii="Times New Roman" w:eastAsia="Times New Roman" w:hAnsi="Times New Roman" w:cs="Times New Roman"/>
          <w:b/>
          <w:bCs/>
          <w:kern w:val="0"/>
          <w14:ligatures w14:val="none"/>
        </w:rPr>
        <w:t xml:space="preserve"> </w:t>
      </w:r>
      <w:r w:rsidR="002E25DC" w:rsidRPr="00010868">
        <w:rPr>
          <w:rFonts w:ascii="Times New Roman" w:eastAsia="Times New Roman" w:hAnsi="Times New Roman" w:cs="Times New Roman"/>
          <w:b/>
          <w:bCs/>
          <w:kern w:val="0"/>
          <w14:ligatures w14:val="none"/>
        </w:rPr>
        <w:t>Stress-Responsive Genes in Arid Soils</w:t>
      </w:r>
    </w:p>
    <w:p w14:paraId="1FCEFA2D"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Soils in arid and semi-arid environments consistently show enrichment of genes related to stress tolerance. The </w:t>
      </w:r>
      <w:proofErr w:type="spellStart"/>
      <w:r w:rsidRPr="008B7B0E">
        <w:rPr>
          <w:rFonts w:ascii="Times New Roman" w:eastAsia="Times New Roman" w:hAnsi="Times New Roman" w:cs="Times New Roman"/>
          <w:i/>
          <w:iCs/>
          <w:kern w:val="0"/>
          <w14:ligatures w14:val="none"/>
        </w:rPr>
        <w:t>proB</w:t>
      </w:r>
      <w:proofErr w:type="spellEnd"/>
      <w:r w:rsidRPr="008B7B0E">
        <w:rPr>
          <w:rFonts w:ascii="Times New Roman" w:eastAsia="Times New Roman" w:hAnsi="Times New Roman" w:cs="Times New Roman"/>
          <w:kern w:val="0"/>
          <w14:ligatures w14:val="none"/>
        </w:rPr>
        <w:t xml:space="preserve"> gene, involved in proline biosynthesis, is typically more abundant in dryland soils, where proline functions as an </w:t>
      </w:r>
      <w:proofErr w:type="spellStart"/>
      <w:r w:rsidRPr="008B7B0E">
        <w:rPr>
          <w:rFonts w:ascii="Times New Roman" w:eastAsia="Times New Roman" w:hAnsi="Times New Roman" w:cs="Times New Roman"/>
          <w:kern w:val="0"/>
          <w14:ligatures w14:val="none"/>
        </w:rPr>
        <w:t>osmoprotectant</w:t>
      </w:r>
      <w:proofErr w:type="spellEnd"/>
      <w:r w:rsidRPr="008B7B0E">
        <w:rPr>
          <w:rFonts w:ascii="Times New Roman" w:eastAsia="Times New Roman" w:hAnsi="Times New Roman" w:cs="Times New Roman"/>
          <w:kern w:val="0"/>
          <w14:ligatures w14:val="none"/>
        </w:rPr>
        <w:t xml:space="preserve"> (</w:t>
      </w:r>
      <w:proofErr w:type="spellStart"/>
      <w:r w:rsidRPr="008B7B0E">
        <w:rPr>
          <w:rFonts w:ascii="Times New Roman" w:eastAsia="Times New Roman" w:hAnsi="Times New Roman" w:cs="Times New Roman"/>
          <w:kern w:val="0"/>
          <w14:ligatures w14:val="none"/>
        </w:rPr>
        <w:t>Fierer</w:t>
      </w:r>
      <w:proofErr w:type="spellEnd"/>
      <w:r w:rsidRPr="008B7B0E">
        <w:rPr>
          <w:rFonts w:ascii="Times New Roman" w:eastAsia="Times New Roman" w:hAnsi="Times New Roman" w:cs="Times New Roman"/>
          <w:kern w:val="0"/>
          <w14:ligatures w14:val="none"/>
        </w:rPr>
        <w:t xml:space="preserve"> et al., 2012). Heat shock proteins, including </w:t>
      </w:r>
      <w:proofErr w:type="spellStart"/>
      <w:r w:rsidRPr="008B7B0E">
        <w:rPr>
          <w:rFonts w:ascii="Times New Roman" w:eastAsia="Times New Roman" w:hAnsi="Times New Roman" w:cs="Times New Roman"/>
          <w:i/>
          <w:iCs/>
          <w:kern w:val="0"/>
          <w14:ligatures w14:val="none"/>
        </w:rPr>
        <w:t>dnaK</w:t>
      </w:r>
      <w:proofErr w:type="spellEnd"/>
      <w:r w:rsidRPr="008B7B0E">
        <w:rPr>
          <w:rFonts w:ascii="Times New Roman" w:eastAsia="Times New Roman" w:hAnsi="Times New Roman" w:cs="Times New Roman"/>
          <w:kern w:val="0"/>
          <w14:ligatures w14:val="none"/>
        </w:rPr>
        <w:t xml:space="preserve"> and </w:t>
      </w:r>
      <w:proofErr w:type="spellStart"/>
      <w:r w:rsidRPr="008B7B0E">
        <w:rPr>
          <w:rFonts w:ascii="Times New Roman" w:eastAsia="Times New Roman" w:hAnsi="Times New Roman" w:cs="Times New Roman"/>
          <w:i/>
          <w:iCs/>
          <w:kern w:val="0"/>
          <w14:ligatures w14:val="none"/>
        </w:rPr>
        <w:t>groEL</w:t>
      </w:r>
      <w:proofErr w:type="spellEnd"/>
      <w:r w:rsidRPr="008B7B0E">
        <w:rPr>
          <w:rFonts w:ascii="Times New Roman" w:eastAsia="Times New Roman" w:hAnsi="Times New Roman" w:cs="Times New Roman"/>
          <w:kern w:val="0"/>
          <w14:ligatures w14:val="none"/>
        </w:rPr>
        <w:t xml:space="preserve">, are also elevated—by as much as three- to fivefold—reflecting microbial adaptations to high temperatures (Neilson et al., 2017). Oxidative stress genes such as </w:t>
      </w:r>
      <w:proofErr w:type="spellStart"/>
      <w:r w:rsidRPr="008B7B0E">
        <w:rPr>
          <w:rFonts w:ascii="Times New Roman" w:eastAsia="Times New Roman" w:hAnsi="Times New Roman" w:cs="Times New Roman"/>
          <w:i/>
          <w:iCs/>
          <w:kern w:val="0"/>
          <w14:ligatures w14:val="none"/>
        </w:rPr>
        <w:t>katG</w:t>
      </w:r>
      <w:proofErr w:type="spellEnd"/>
      <w:r w:rsidRPr="008B7B0E">
        <w:rPr>
          <w:rFonts w:ascii="Times New Roman" w:eastAsia="Times New Roman" w:hAnsi="Times New Roman" w:cs="Times New Roman"/>
          <w:kern w:val="0"/>
          <w14:ligatures w14:val="none"/>
        </w:rPr>
        <w:t xml:space="preserve"> and </w:t>
      </w:r>
      <w:proofErr w:type="spellStart"/>
      <w:r w:rsidRPr="008B7B0E">
        <w:rPr>
          <w:rFonts w:ascii="Times New Roman" w:eastAsia="Times New Roman" w:hAnsi="Times New Roman" w:cs="Times New Roman"/>
          <w:i/>
          <w:iCs/>
          <w:kern w:val="0"/>
          <w14:ligatures w14:val="none"/>
        </w:rPr>
        <w:t>sodA</w:t>
      </w:r>
      <w:proofErr w:type="spellEnd"/>
      <w:r w:rsidRPr="008B7B0E">
        <w:rPr>
          <w:rFonts w:ascii="Times New Roman" w:eastAsia="Times New Roman" w:hAnsi="Times New Roman" w:cs="Times New Roman"/>
          <w:kern w:val="0"/>
          <w14:ligatures w14:val="none"/>
        </w:rPr>
        <w:t xml:space="preserve"> counteract UV damage, while desiccation tolerance genes like </w:t>
      </w:r>
      <w:proofErr w:type="spellStart"/>
      <w:r w:rsidRPr="008B7B0E">
        <w:rPr>
          <w:rFonts w:ascii="Times New Roman" w:eastAsia="Times New Roman" w:hAnsi="Times New Roman" w:cs="Times New Roman"/>
          <w:i/>
          <w:iCs/>
          <w:kern w:val="0"/>
          <w14:ligatures w14:val="none"/>
        </w:rPr>
        <w:t>trxA</w:t>
      </w:r>
      <w:proofErr w:type="spellEnd"/>
      <w:r w:rsidRPr="008B7B0E">
        <w:rPr>
          <w:rFonts w:ascii="Times New Roman" w:eastAsia="Times New Roman" w:hAnsi="Times New Roman" w:cs="Times New Roman"/>
          <w:kern w:val="0"/>
          <w14:ligatures w14:val="none"/>
        </w:rPr>
        <w:t xml:space="preserve"> and </w:t>
      </w:r>
      <w:proofErr w:type="spellStart"/>
      <w:r w:rsidRPr="008B7B0E">
        <w:rPr>
          <w:rFonts w:ascii="Times New Roman" w:eastAsia="Times New Roman" w:hAnsi="Times New Roman" w:cs="Times New Roman"/>
          <w:i/>
          <w:iCs/>
          <w:kern w:val="0"/>
          <w14:ligatures w14:val="none"/>
        </w:rPr>
        <w:t>uspA</w:t>
      </w:r>
      <w:proofErr w:type="spellEnd"/>
      <w:r w:rsidRPr="008B7B0E">
        <w:rPr>
          <w:rFonts w:ascii="Times New Roman" w:eastAsia="Times New Roman" w:hAnsi="Times New Roman" w:cs="Times New Roman"/>
          <w:kern w:val="0"/>
          <w14:ligatures w14:val="none"/>
        </w:rPr>
        <w:t xml:space="preserve"> help preserve membrane function during water stress (</w:t>
      </w:r>
      <w:proofErr w:type="spellStart"/>
      <w:r w:rsidRPr="008B7B0E">
        <w:rPr>
          <w:rFonts w:ascii="Times New Roman" w:eastAsia="Times New Roman" w:hAnsi="Times New Roman" w:cs="Times New Roman"/>
          <w:kern w:val="0"/>
          <w14:ligatures w14:val="none"/>
        </w:rPr>
        <w:t>Makhalanyane</w:t>
      </w:r>
      <w:proofErr w:type="spellEnd"/>
      <w:r w:rsidRPr="008B7B0E">
        <w:rPr>
          <w:rFonts w:ascii="Times New Roman" w:eastAsia="Times New Roman" w:hAnsi="Times New Roman" w:cs="Times New Roman"/>
          <w:kern w:val="0"/>
          <w14:ligatures w14:val="none"/>
        </w:rPr>
        <w:t xml:space="preserve"> et al., 2015; Pointing et al., 2020).</w:t>
      </w:r>
    </w:p>
    <w:p w14:paraId="62604146" w14:textId="76DAE9FB"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Actinobacteria with </w:t>
      </w:r>
      <w:proofErr w:type="spellStart"/>
      <w:r w:rsidRPr="008B7B0E">
        <w:rPr>
          <w:rFonts w:ascii="Times New Roman" w:eastAsia="Times New Roman" w:hAnsi="Times New Roman" w:cs="Times New Roman"/>
          <w:i/>
          <w:iCs/>
          <w:kern w:val="0"/>
          <w14:ligatures w14:val="none"/>
        </w:rPr>
        <w:t>proB</w:t>
      </w:r>
      <w:proofErr w:type="spellEnd"/>
      <w:r w:rsidRPr="008B7B0E">
        <w:rPr>
          <w:rFonts w:ascii="Times New Roman" w:eastAsia="Times New Roman" w:hAnsi="Times New Roman" w:cs="Times New Roman"/>
          <w:kern w:val="0"/>
          <w14:ligatures w14:val="none"/>
        </w:rPr>
        <w:t xml:space="preserve"> clusters are dominant in soils from the Sahara and Sonoran deserts, while </w:t>
      </w:r>
      <w:proofErr w:type="spellStart"/>
      <w:r w:rsidRPr="008B7B0E">
        <w:rPr>
          <w:rFonts w:ascii="Times New Roman" w:eastAsia="Times New Roman" w:hAnsi="Times New Roman" w:cs="Times New Roman"/>
          <w:i/>
          <w:iCs/>
          <w:kern w:val="0"/>
          <w14:ligatures w14:val="none"/>
        </w:rPr>
        <w:t>Chloroflexi</w:t>
      </w:r>
      <w:proofErr w:type="spellEnd"/>
      <w:r w:rsidRPr="008B7B0E">
        <w:rPr>
          <w:rFonts w:ascii="Times New Roman" w:eastAsia="Times New Roman" w:hAnsi="Times New Roman" w:cs="Times New Roman"/>
          <w:kern w:val="0"/>
          <w14:ligatures w14:val="none"/>
        </w:rPr>
        <w:t xml:space="preserve"> populations with </w:t>
      </w:r>
      <w:proofErr w:type="spellStart"/>
      <w:r w:rsidRPr="008B7B0E">
        <w:rPr>
          <w:rFonts w:ascii="Times New Roman" w:eastAsia="Times New Roman" w:hAnsi="Times New Roman" w:cs="Times New Roman"/>
          <w:i/>
          <w:iCs/>
          <w:kern w:val="0"/>
          <w14:ligatures w14:val="none"/>
        </w:rPr>
        <w:t>groEL</w:t>
      </w:r>
      <w:proofErr w:type="spellEnd"/>
      <w:r w:rsidRPr="008B7B0E">
        <w:rPr>
          <w:rFonts w:ascii="Times New Roman" w:eastAsia="Times New Roman" w:hAnsi="Times New Roman" w:cs="Times New Roman"/>
          <w:kern w:val="0"/>
          <w14:ligatures w14:val="none"/>
        </w:rPr>
        <w:t xml:space="preserve"> adaptations are common in Australian arid zones (Valverde et al., 2016; Ji et al., 2020). These biomarkers not only reflect long-term evolutionary adaptation but also have predictive utility; for example, </w:t>
      </w:r>
      <w:proofErr w:type="spellStart"/>
      <w:r w:rsidRPr="008B7B0E">
        <w:rPr>
          <w:rFonts w:ascii="Times New Roman" w:eastAsia="Times New Roman" w:hAnsi="Times New Roman" w:cs="Times New Roman"/>
          <w:i/>
          <w:iCs/>
          <w:kern w:val="0"/>
          <w14:ligatures w14:val="none"/>
        </w:rPr>
        <w:t>proB</w:t>
      </w:r>
      <w:proofErr w:type="spellEnd"/>
      <w:r w:rsidRPr="008B7B0E">
        <w:rPr>
          <w:rFonts w:ascii="Times New Roman" w:eastAsia="Times New Roman" w:hAnsi="Times New Roman" w:cs="Times New Roman"/>
          <w:kern w:val="0"/>
          <w14:ligatures w14:val="none"/>
        </w:rPr>
        <w:t xml:space="preserve"> abundance has been associated with early indicators of desertification, predicting moisture loss with moderate accuracy. This information</w:t>
      </w:r>
      <w:r w:rsidR="00EF4FC7">
        <w:rPr>
          <w:rFonts w:ascii="Times New Roman" w:eastAsia="Times New Roman" w:hAnsi="Times New Roman" w:cs="Times New Roman"/>
          <w:kern w:val="0"/>
          <w14:ligatures w14:val="none"/>
        </w:rPr>
        <w:t xml:space="preserve"> (Table 7)</w:t>
      </w:r>
      <w:r w:rsidRPr="008B7B0E">
        <w:rPr>
          <w:rFonts w:ascii="Times New Roman" w:eastAsia="Times New Roman" w:hAnsi="Times New Roman" w:cs="Times New Roman"/>
          <w:kern w:val="0"/>
          <w14:ligatures w14:val="none"/>
        </w:rPr>
        <w:t xml:space="preserve"> can guide microbial transplants aimed at increasing drought tolerance in crop systems.</w:t>
      </w:r>
    </w:p>
    <w:p w14:paraId="132C9E41" w14:textId="2013E333" w:rsidR="00FF0499" w:rsidRPr="008B7B0E" w:rsidRDefault="00FF0499" w:rsidP="00FF0499">
      <w:pPr>
        <w:shd w:val="clear" w:color="auto" w:fill="FFFFFF"/>
        <w:spacing w:before="100" w:beforeAutospacing="1" w:after="100" w:afterAutospacing="1" w:line="240" w:lineRule="auto"/>
        <w:outlineLvl w:val="2"/>
        <w:rPr>
          <w:rFonts w:ascii="Times New Roman" w:eastAsia="Times New Roman" w:hAnsi="Times New Roman" w:cs="Times New Roman"/>
          <w:b/>
          <w:bCs/>
          <w:kern w:val="0"/>
          <w14:ligatures w14:val="none"/>
        </w:rPr>
      </w:pPr>
      <w:r w:rsidRPr="008B7B0E">
        <w:rPr>
          <w:rFonts w:ascii="Times New Roman" w:eastAsia="Times New Roman" w:hAnsi="Times New Roman" w:cs="Times New Roman"/>
          <w:b/>
          <w:bCs/>
          <w:kern w:val="0"/>
          <w14:ligatures w14:val="none"/>
        </w:rPr>
        <w:t xml:space="preserve">Table </w:t>
      </w:r>
      <w:r w:rsidR="0078174E" w:rsidRPr="008B7B0E">
        <w:rPr>
          <w:rFonts w:ascii="Times New Roman" w:eastAsia="Times New Roman" w:hAnsi="Times New Roman" w:cs="Times New Roman"/>
          <w:b/>
          <w:bCs/>
          <w:kern w:val="0"/>
          <w14:ligatures w14:val="none"/>
        </w:rPr>
        <w:t>7</w:t>
      </w:r>
      <w:r w:rsidRPr="008B7B0E">
        <w:rPr>
          <w:rFonts w:ascii="Times New Roman" w:eastAsia="Times New Roman" w:hAnsi="Times New Roman" w:cs="Times New Roman"/>
          <w:b/>
          <w:bCs/>
          <w:kern w:val="0"/>
          <w14:ligatures w14:val="none"/>
        </w:rPr>
        <w:t xml:space="preserve">: </w:t>
      </w:r>
      <w:r w:rsidRPr="008B7B0E">
        <w:rPr>
          <w:rFonts w:ascii="Times New Roman" w:eastAsia="Times New Roman" w:hAnsi="Times New Roman" w:cs="Times New Roman"/>
          <w:kern w:val="0"/>
          <w14:ligatures w14:val="none"/>
        </w:rPr>
        <w:t>Stress-Responsive Microbial Genes in Arid Soils</w:t>
      </w:r>
    </w:p>
    <w:tbl>
      <w:tblPr>
        <w:tblStyle w:val="TableGrid"/>
        <w:tblW w:w="0" w:type="auto"/>
        <w:tblLayout w:type="fixed"/>
        <w:tblLook w:val="04A0" w:firstRow="1" w:lastRow="0" w:firstColumn="1" w:lastColumn="0" w:noHBand="0" w:noVBand="1"/>
      </w:tblPr>
      <w:tblGrid>
        <w:gridCol w:w="1051"/>
        <w:gridCol w:w="1014"/>
        <w:gridCol w:w="1318"/>
        <w:gridCol w:w="1290"/>
        <w:gridCol w:w="1276"/>
        <w:gridCol w:w="1058"/>
        <w:gridCol w:w="1352"/>
        <w:gridCol w:w="991"/>
      </w:tblGrid>
      <w:tr w:rsidR="008B7B0E" w:rsidRPr="008B7B0E" w14:paraId="597F5B35" w14:textId="77777777" w:rsidTr="00FF0499">
        <w:tc>
          <w:tcPr>
            <w:tcW w:w="1051" w:type="dxa"/>
            <w:hideMark/>
          </w:tcPr>
          <w:p w14:paraId="31BFE3E7" w14:textId="77777777" w:rsidR="00FF0499" w:rsidRPr="008B7B0E" w:rsidRDefault="00FF0499" w:rsidP="00E530C5">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Gene</w:t>
            </w:r>
          </w:p>
        </w:tc>
        <w:tc>
          <w:tcPr>
            <w:tcW w:w="1014" w:type="dxa"/>
            <w:hideMark/>
          </w:tcPr>
          <w:p w14:paraId="2996E8EA" w14:textId="77777777" w:rsidR="00FF0499" w:rsidRPr="008B7B0E" w:rsidRDefault="00FF0499" w:rsidP="00E530C5">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Function</w:t>
            </w:r>
          </w:p>
        </w:tc>
        <w:tc>
          <w:tcPr>
            <w:tcW w:w="1318" w:type="dxa"/>
            <w:hideMark/>
          </w:tcPr>
          <w:p w14:paraId="1D72243D" w14:textId="77777777" w:rsidR="00FF0499" w:rsidRPr="008B7B0E" w:rsidRDefault="00FF0499" w:rsidP="00E530C5">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Arid Soil Adaptation</w:t>
            </w:r>
          </w:p>
        </w:tc>
        <w:tc>
          <w:tcPr>
            <w:tcW w:w="1290" w:type="dxa"/>
            <w:hideMark/>
          </w:tcPr>
          <w:p w14:paraId="3EE4F9B9" w14:textId="77777777" w:rsidR="00FF0499" w:rsidRPr="008B7B0E" w:rsidRDefault="00FF0499" w:rsidP="00E530C5">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Regional Prevalence</w:t>
            </w:r>
          </w:p>
        </w:tc>
        <w:tc>
          <w:tcPr>
            <w:tcW w:w="1276" w:type="dxa"/>
            <w:hideMark/>
          </w:tcPr>
          <w:p w14:paraId="714D0592" w14:textId="77777777" w:rsidR="00FF0499" w:rsidRPr="008B7B0E" w:rsidRDefault="00FF0499" w:rsidP="00E530C5">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Fold Change vs. Temperate Soils</w:t>
            </w:r>
          </w:p>
        </w:tc>
        <w:tc>
          <w:tcPr>
            <w:tcW w:w="1058" w:type="dxa"/>
            <w:hideMark/>
          </w:tcPr>
          <w:p w14:paraId="32DBAA4D" w14:textId="77777777" w:rsidR="00FF0499" w:rsidRPr="008B7B0E" w:rsidRDefault="00FF0499" w:rsidP="00E530C5">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Key Taxa</w:t>
            </w:r>
          </w:p>
        </w:tc>
        <w:tc>
          <w:tcPr>
            <w:tcW w:w="1352" w:type="dxa"/>
            <w:hideMark/>
          </w:tcPr>
          <w:p w14:paraId="302113FB" w14:textId="77777777" w:rsidR="00FF0499" w:rsidRPr="008B7B0E" w:rsidRDefault="00FF0499" w:rsidP="00E530C5">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Applications</w:t>
            </w:r>
          </w:p>
        </w:tc>
        <w:tc>
          <w:tcPr>
            <w:tcW w:w="991" w:type="dxa"/>
            <w:hideMark/>
          </w:tcPr>
          <w:p w14:paraId="00084D05" w14:textId="10E0DFAC" w:rsidR="00FF0499" w:rsidRPr="008B7B0E" w:rsidRDefault="00FF0499" w:rsidP="00E530C5">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Citation</w:t>
            </w:r>
          </w:p>
        </w:tc>
      </w:tr>
      <w:tr w:rsidR="008B7B0E" w:rsidRPr="008B7B0E" w14:paraId="101F6848" w14:textId="77777777" w:rsidTr="00FF0499">
        <w:tc>
          <w:tcPr>
            <w:tcW w:w="1051" w:type="dxa"/>
            <w:hideMark/>
          </w:tcPr>
          <w:p w14:paraId="05DAE869" w14:textId="77777777" w:rsidR="00FF0499" w:rsidRPr="008B7B0E" w:rsidRDefault="00FF0499" w:rsidP="00E530C5">
            <w:pPr>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b/>
                <w:bCs/>
                <w:i/>
                <w:iCs/>
                <w:kern w:val="0"/>
                <w:sz w:val="20"/>
                <w:szCs w:val="20"/>
                <w14:ligatures w14:val="none"/>
              </w:rPr>
              <w:t>proB</w:t>
            </w:r>
            <w:proofErr w:type="spellEnd"/>
          </w:p>
        </w:tc>
        <w:tc>
          <w:tcPr>
            <w:tcW w:w="1014" w:type="dxa"/>
            <w:hideMark/>
          </w:tcPr>
          <w:p w14:paraId="3A12B154"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Proline biosynthesis</w:t>
            </w:r>
          </w:p>
        </w:tc>
        <w:tc>
          <w:tcPr>
            <w:tcW w:w="1318" w:type="dxa"/>
            <w:hideMark/>
          </w:tcPr>
          <w:p w14:paraId="7A29AB4B" w14:textId="77777777" w:rsidR="00FF0499" w:rsidRPr="008B7B0E" w:rsidRDefault="00FF0499" w:rsidP="00E530C5">
            <w:pPr>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kern w:val="0"/>
                <w:sz w:val="20"/>
                <w:szCs w:val="20"/>
                <w14:ligatures w14:val="none"/>
              </w:rPr>
              <w:t>Osmoprotection</w:t>
            </w:r>
            <w:proofErr w:type="spellEnd"/>
            <w:r w:rsidRPr="008B7B0E">
              <w:rPr>
                <w:rFonts w:ascii="Times New Roman" w:eastAsia="Times New Roman" w:hAnsi="Times New Roman" w:cs="Times New Roman"/>
                <w:kern w:val="0"/>
                <w:sz w:val="20"/>
                <w:szCs w:val="20"/>
                <w14:ligatures w14:val="none"/>
              </w:rPr>
              <w:t xml:space="preserve"> (drought tolerance)</w:t>
            </w:r>
          </w:p>
        </w:tc>
        <w:tc>
          <w:tcPr>
            <w:tcW w:w="1290" w:type="dxa"/>
            <w:hideMark/>
          </w:tcPr>
          <w:p w14:paraId="2B9D5CE6"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Sahara, Sonoran, Atacama</w:t>
            </w:r>
          </w:p>
        </w:tc>
        <w:tc>
          <w:tcPr>
            <w:tcW w:w="1276" w:type="dxa"/>
            <w:hideMark/>
          </w:tcPr>
          <w:p w14:paraId="4F01B8BF"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2–5×</w:t>
            </w:r>
          </w:p>
        </w:tc>
        <w:tc>
          <w:tcPr>
            <w:tcW w:w="1058" w:type="dxa"/>
            <w:hideMark/>
          </w:tcPr>
          <w:p w14:paraId="10196562"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Actinobacteria</w:t>
            </w:r>
          </w:p>
        </w:tc>
        <w:tc>
          <w:tcPr>
            <w:tcW w:w="1352" w:type="dxa"/>
            <w:hideMark/>
          </w:tcPr>
          <w:p w14:paraId="39532CF4"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Desertification monitoring</w:t>
            </w:r>
          </w:p>
        </w:tc>
        <w:tc>
          <w:tcPr>
            <w:tcW w:w="991" w:type="dxa"/>
            <w:hideMark/>
          </w:tcPr>
          <w:p w14:paraId="46F06A00"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Fierer et al. (2012)</w:t>
            </w:r>
          </w:p>
        </w:tc>
      </w:tr>
      <w:tr w:rsidR="008B7B0E" w:rsidRPr="008B7B0E" w14:paraId="1EF96B94" w14:textId="77777777" w:rsidTr="00FF0499">
        <w:tc>
          <w:tcPr>
            <w:tcW w:w="1051" w:type="dxa"/>
            <w:hideMark/>
          </w:tcPr>
          <w:p w14:paraId="1FF04350" w14:textId="77777777" w:rsidR="00FF0499" w:rsidRPr="008B7B0E" w:rsidRDefault="00FF0499" w:rsidP="00E530C5">
            <w:pPr>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b/>
                <w:bCs/>
                <w:i/>
                <w:iCs/>
                <w:kern w:val="0"/>
                <w:sz w:val="20"/>
                <w:szCs w:val="20"/>
                <w14:ligatures w14:val="none"/>
              </w:rPr>
              <w:t>dnaK</w:t>
            </w:r>
            <w:proofErr w:type="spellEnd"/>
            <w:r w:rsidRPr="008B7B0E">
              <w:rPr>
                <w:rFonts w:ascii="Times New Roman" w:eastAsia="Times New Roman" w:hAnsi="Times New Roman" w:cs="Times New Roman"/>
                <w:b/>
                <w:bCs/>
                <w:i/>
                <w:iCs/>
                <w:kern w:val="0"/>
                <w:sz w:val="20"/>
                <w:szCs w:val="20"/>
                <w14:ligatures w14:val="none"/>
              </w:rPr>
              <w:t>/</w:t>
            </w:r>
            <w:proofErr w:type="spellStart"/>
            <w:r w:rsidRPr="008B7B0E">
              <w:rPr>
                <w:rFonts w:ascii="Times New Roman" w:eastAsia="Times New Roman" w:hAnsi="Times New Roman" w:cs="Times New Roman"/>
                <w:b/>
                <w:bCs/>
                <w:i/>
                <w:iCs/>
                <w:kern w:val="0"/>
                <w:sz w:val="20"/>
                <w:szCs w:val="20"/>
                <w14:ligatures w14:val="none"/>
              </w:rPr>
              <w:t>groEL</w:t>
            </w:r>
            <w:proofErr w:type="spellEnd"/>
          </w:p>
        </w:tc>
        <w:tc>
          <w:tcPr>
            <w:tcW w:w="1014" w:type="dxa"/>
            <w:hideMark/>
          </w:tcPr>
          <w:p w14:paraId="5F530D88"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Heat-shock proteins</w:t>
            </w:r>
          </w:p>
        </w:tc>
        <w:tc>
          <w:tcPr>
            <w:tcW w:w="1318" w:type="dxa"/>
            <w:hideMark/>
          </w:tcPr>
          <w:p w14:paraId="103B0076"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Thermotolerance (protein stabilization)</w:t>
            </w:r>
          </w:p>
        </w:tc>
        <w:tc>
          <w:tcPr>
            <w:tcW w:w="1290" w:type="dxa"/>
            <w:hideMark/>
          </w:tcPr>
          <w:p w14:paraId="428D717B"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Australian Outback, Namib</w:t>
            </w:r>
          </w:p>
        </w:tc>
        <w:tc>
          <w:tcPr>
            <w:tcW w:w="1276" w:type="dxa"/>
            <w:hideMark/>
          </w:tcPr>
          <w:p w14:paraId="47474184"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3–5×</w:t>
            </w:r>
          </w:p>
        </w:tc>
        <w:tc>
          <w:tcPr>
            <w:tcW w:w="1058" w:type="dxa"/>
            <w:hideMark/>
          </w:tcPr>
          <w:p w14:paraId="13A949E2" w14:textId="77777777" w:rsidR="00FF0499" w:rsidRPr="008B7B0E" w:rsidRDefault="00FF0499" w:rsidP="00E530C5">
            <w:pPr>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i/>
                <w:iCs/>
                <w:kern w:val="0"/>
                <w:sz w:val="20"/>
                <w:szCs w:val="20"/>
                <w14:ligatures w14:val="none"/>
              </w:rPr>
              <w:t>Chloroflexi</w:t>
            </w:r>
            <w:proofErr w:type="spellEnd"/>
          </w:p>
        </w:tc>
        <w:tc>
          <w:tcPr>
            <w:tcW w:w="1352" w:type="dxa"/>
            <w:hideMark/>
          </w:tcPr>
          <w:p w14:paraId="60843047"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Climate resilience engineering</w:t>
            </w:r>
          </w:p>
        </w:tc>
        <w:tc>
          <w:tcPr>
            <w:tcW w:w="991" w:type="dxa"/>
            <w:hideMark/>
          </w:tcPr>
          <w:p w14:paraId="4A3CF114"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Neilson et al. (2017)</w:t>
            </w:r>
          </w:p>
        </w:tc>
      </w:tr>
      <w:tr w:rsidR="008B7B0E" w:rsidRPr="008B7B0E" w14:paraId="5F078936" w14:textId="77777777" w:rsidTr="00FF0499">
        <w:tc>
          <w:tcPr>
            <w:tcW w:w="1051" w:type="dxa"/>
            <w:hideMark/>
          </w:tcPr>
          <w:p w14:paraId="61A0C20A" w14:textId="77777777" w:rsidR="00FF0499" w:rsidRPr="008B7B0E" w:rsidRDefault="00FF0499" w:rsidP="00E530C5">
            <w:pPr>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b/>
                <w:bCs/>
                <w:i/>
                <w:iCs/>
                <w:kern w:val="0"/>
                <w:sz w:val="20"/>
                <w:szCs w:val="20"/>
                <w14:ligatures w14:val="none"/>
              </w:rPr>
              <w:t>katG</w:t>
            </w:r>
            <w:proofErr w:type="spellEnd"/>
            <w:r w:rsidRPr="008B7B0E">
              <w:rPr>
                <w:rFonts w:ascii="Times New Roman" w:eastAsia="Times New Roman" w:hAnsi="Times New Roman" w:cs="Times New Roman"/>
                <w:b/>
                <w:bCs/>
                <w:i/>
                <w:iCs/>
                <w:kern w:val="0"/>
                <w:sz w:val="20"/>
                <w:szCs w:val="20"/>
                <w14:ligatures w14:val="none"/>
              </w:rPr>
              <w:t>/</w:t>
            </w:r>
            <w:proofErr w:type="spellStart"/>
            <w:r w:rsidRPr="008B7B0E">
              <w:rPr>
                <w:rFonts w:ascii="Times New Roman" w:eastAsia="Times New Roman" w:hAnsi="Times New Roman" w:cs="Times New Roman"/>
                <w:b/>
                <w:bCs/>
                <w:i/>
                <w:iCs/>
                <w:kern w:val="0"/>
                <w:sz w:val="20"/>
                <w:szCs w:val="20"/>
                <w14:ligatures w14:val="none"/>
              </w:rPr>
              <w:t>sodA</w:t>
            </w:r>
            <w:proofErr w:type="spellEnd"/>
          </w:p>
        </w:tc>
        <w:tc>
          <w:tcPr>
            <w:tcW w:w="1014" w:type="dxa"/>
            <w:hideMark/>
          </w:tcPr>
          <w:p w14:paraId="6F40D917"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Oxidative stress response</w:t>
            </w:r>
          </w:p>
        </w:tc>
        <w:tc>
          <w:tcPr>
            <w:tcW w:w="1318" w:type="dxa"/>
            <w:hideMark/>
          </w:tcPr>
          <w:p w14:paraId="25D530EE"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UV/ROS detoxification</w:t>
            </w:r>
          </w:p>
        </w:tc>
        <w:tc>
          <w:tcPr>
            <w:tcW w:w="1290" w:type="dxa"/>
            <w:hideMark/>
          </w:tcPr>
          <w:p w14:paraId="7EC2F1C0"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High-altitude deserts (Tibet, Andes)</w:t>
            </w:r>
          </w:p>
        </w:tc>
        <w:tc>
          <w:tcPr>
            <w:tcW w:w="1276" w:type="dxa"/>
            <w:hideMark/>
          </w:tcPr>
          <w:p w14:paraId="17C1440B"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1.5–3×</w:t>
            </w:r>
          </w:p>
        </w:tc>
        <w:tc>
          <w:tcPr>
            <w:tcW w:w="1058" w:type="dxa"/>
            <w:hideMark/>
          </w:tcPr>
          <w:p w14:paraId="6C5C260C" w14:textId="77777777" w:rsidR="00FF0499" w:rsidRPr="008B7B0E" w:rsidRDefault="00FF0499" w:rsidP="00E530C5">
            <w:pPr>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i/>
                <w:iCs/>
                <w:kern w:val="0"/>
                <w:sz w:val="20"/>
                <w:szCs w:val="20"/>
                <w14:ligatures w14:val="none"/>
              </w:rPr>
              <w:t>Deinococcus</w:t>
            </w:r>
            <w:proofErr w:type="spellEnd"/>
          </w:p>
        </w:tc>
        <w:tc>
          <w:tcPr>
            <w:tcW w:w="1352" w:type="dxa"/>
            <w:hideMark/>
          </w:tcPr>
          <w:p w14:paraId="262C8236"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Solar radiation biomarkers</w:t>
            </w:r>
          </w:p>
        </w:tc>
        <w:tc>
          <w:tcPr>
            <w:tcW w:w="991" w:type="dxa"/>
            <w:hideMark/>
          </w:tcPr>
          <w:p w14:paraId="148C222B" w14:textId="77777777" w:rsidR="00FF0499" w:rsidRPr="008B7B0E" w:rsidRDefault="00FF0499" w:rsidP="00E530C5">
            <w:pPr>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kern w:val="0"/>
                <w:sz w:val="20"/>
                <w:szCs w:val="20"/>
                <w14:ligatures w14:val="none"/>
              </w:rPr>
              <w:t>Makhalanyane</w:t>
            </w:r>
            <w:proofErr w:type="spellEnd"/>
            <w:r w:rsidRPr="008B7B0E">
              <w:rPr>
                <w:rFonts w:ascii="Times New Roman" w:eastAsia="Times New Roman" w:hAnsi="Times New Roman" w:cs="Times New Roman"/>
                <w:kern w:val="0"/>
                <w:sz w:val="20"/>
                <w:szCs w:val="20"/>
                <w14:ligatures w14:val="none"/>
              </w:rPr>
              <w:t xml:space="preserve"> et al. (2015)</w:t>
            </w:r>
          </w:p>
        </w:tc>
      </w:tr>
      <w:tr w:rsidR="008B7B0E" w:rsidRPr="008B7B0E" w14:paraId="796F9B11" w14:textId="77777777" w:rsidTr="00FF0499">
        <w:tc>
          <w:tcPr>
            <w:tcW w:w="1051" w:type="dxa"/>
            <w:hideMark/>
          </w:tcPr>
          <w:p w14:paraId="3F27C24C" w14:textId="77777777" w:rsidR="00FF0499" w:rsidRPr="008B7B0E" w:rsidRDefault="00FF0499" w:rsidP="00E530C5">
            <w:pPr>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b/>
                <w:bCs/>
                <w:i/>
                <w:iCs/>
                <w:kern w:val="0"/>
                <w:sz w:val="20"/>
                <w:szCs w:val="20"/>
                <w14:ligatures w14:val="none"/>
              </w:rPr>
              <w:lastRenderedPageBreak/>
              <w:t>trxA</w:t>
            </w:r>
            <w:proofErr w:type="spellEnd"/>
            <w:r w:rsidRPr="008B7B0E">
              <w:rPr>
                <w:rFonts w:ascii="Times New Roman" w:eastAsia="Times New Roman" w:hAnsi="Times New Roman" w:cs="Times New Roman"/>
                <w:b/>
                <w:bCs/>
                <w:i/>
                <w:iCs/>
                <w:kern w:val="0"/>
                <w:sz w:val="20"/>
                <w:szCs w:val="20"/>
                <w14:ligatures w14:val="none"/>
              </w:rPr>
              <w:t>/</w:t>
            </w:r>
            <w:proofErr w:type="spellStart"/>
            <w:r w:rsidRPr="008B7B0E">
              <w:rPr>
                <w:rFonts w:ascii="Times New Roman" w:eastAsia="Times New Roman" w:hAnsi="Times New Roman" w:cs="Times New Roman"/>
                <w:b/>
                <w:bCs/>
                <w:i/>
                <w:iCs/>
                <w:kern w:val="0"/>
                <w:sz w:val="20"/>
                <w:szCs w:val="20"/>
                <w14:ligatures w14:val="none"/>
              </w:rPr>
              <w:t>uspA</w:t>
            </w:r>
            <w:proofErr w:type="spellEnd"/>
          </w:p>
        </w:tc>
        <w:tc>
          <w:tcPr>
            <w:tcW w:w="1014" w:type="dxa"/>
            <w:hideMark/>
          </w:tcPr>
          <w:p w14:paraId="7355A3BD"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Desiccation resistance</w:t>
            </w:r>
          </w:p>
        </w:tc>
        <w:tc>
          <w:tcPr>
            <w:tcW w:w="1318" w:type="dxa"/>
            <w:hideMark/>
          </w:tcPr>
          <w:p w14:paraId="37778A76"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Cell membrane integrity</w:t>
            </w:r>
          </w:p>
        </w:tc>
        <w:tc>
          <w:tcPr>
            <w:tcW w:w="1290" w:type="dxa"/>
            <w:hideMark/>
          </w:tcPr>
          <w:p w14:paraId="0007B400"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Mojave, Gobi</w:t>
            </w:r>
          </w:p>
        </w:tc>
        <w:tc>
          <w:tcPr>
            <w:tcW w:w="1276" w:type="dxa"/>
            <w:hideMark/>
          </w:tcPr>
          <w:p w14:paraId="42912364"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2–4×</w:t>
            </w:r>
          </w:p>
        </w:tc>
        <w:tc>
          <w:tcPr>
            <w:tcW w:w="1058" w:type="dxa"/>
            <w:hideMark/>
          </w:tcPr>
          <w:p w14:paraId="5507806E"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Bacillus</w:t>
            </w:r>
            <w:r w:rsidRPr="008B7B0E">
              <w:rPr>
                <w:rFonts w:ascii="Times New Roman" w:eastAsia="Times New Roman" w:hAnsi="Times New Roman" w:cs="Times New Roman"/>
                <w:kern w:val="0"/>
                <w:sz w:val="20"/>
                <w:szCs w:val="20"/>
                <w14:ligatures w14:val="none"/>
              </w:rPr>
              <w:t>, </w:t>
            </w:r>
            <w:r w:rsidRPr="008B7B0E">
              <w:rPr>
                <w:rFonts w:ascii="Times New Roman" w:eastAsia="Times New Roman" w:hAnsi="Times New Roman" w:cs="Times New Roman"/>
                <w:i/>
                <w:iCs/>
                <w:kern w:val="0"/>
                <w:sz w:val="20"/>
                <w:szCs w:val="20"/>
                <w14:ligatures w14:val="none"/>
              </w:rPr>
              <w:t>Streptomyces</w:t>
            </w:r>
          </w:p>
        </w:tc>
        <w:tc>
          <w:tcPr>
            <w:tcW w:w="1352" w:type="dxa"/>
            <w:hideMark/>
          </w:tcPr>
          <w:p w14:paraId="1BD6DFEB"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Dryland crop probiotics</w:t>
            </w:r>
          </w:p>
        </w:tc>
        <w:tc>
          <w:tcPr>
            <w:tcW w:w="991" w:type="dxa"/>
            <w:hideMark/>
          </w:tcPr>
          <w:p w14:paraId="1D58F9B0"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Pointing et al. (2020)</w:t>
            </w:r>
          </w:p>
        </w:tc>
      </w:tr>
      <w:tr w:rsidR="00484A41" w:rsidRPr="008B7B0E" w14:paraId="2B1B471B" w14:textId="77777777" w:rsidTr="00FF0499">
        <w:tc>
          <w:tcPr>
            <w:tcW w:w="1051" w:type="dxa"/>
            <w:hideMark/>
          </w:tcPr>
          <w:p w14:paraId="499CDBFA" w14:textId="7A3052FC" w:rsidR="00FF0499" w:rsidRPr="008B7B0E" w:rsidRDefault="0078174E"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i/>
                <w:iCs/>
                <w:kern w:val="0"/>
                <w:sz w:val="20"/>
                <w:szCs w:val="20"/>
                <w14:ligatures w14:val="none"/>
              </w:rPr>
              <w:t>Beta</w:t>
            </w:r>
          </w:p>
        </w:tc>
        <w:tc>
          <w:tcPr>
            <w:tcW w:w="1014" w:type="dxa"/>
            <w:hideMark/>
          </w:tcPr>
          <w:p w14:paraId="21AFE8F4"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Glycine betaine synthesis</w:t>
            </w:r>
          </w:p>
        </w:tc>
        <w:tc>
          <w:tcPr>
            <w:tcW w:w="1318" w:type="dxa"/>
            <w:hideMark/>
          </w:tcPr>
          <w:p w14:paraId="74889807"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Osmolyte production</w:t>
            </w:r>
          </w:p>
        </w:tc>
        <w:tc>
          <w:tcPr>
            <w:tcW w:w="1290" w:type="dxa"/>
            <w:hideMark/>
          </w:tcPr>
          <w:p w14:paraId="373D3802"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Middle Eastern deserts</w:t>
            </w:r>
          </w:p>
        </w:tc>
        <w:tc>
          <w:tcPr>
            <w:tcW w:w="1276" w:type="dxa"/>
            <w:hideMark/>
          </w:tcPr>
          <w:p w14:paraId="429A7B1E"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1.8–3.2×</w:t>
            </w:r>
          </w:p>
        </w:tc>
        <w:tc>
          <w:tcPr>
            <w:tcW w:w="1058" w:type="dxa"/>
            <w:hideMark/>
          </w:tcPr>
          <w:p w14:paraId="3B72184C"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Proteobacteria</w:t>
            </w:r>
          </w:p>
        </w:tc>
        <w:tc>
          <w:tcPr>
            <w:tcW w:w="1352" w:type="dxa"/>
            <w:hideMark/>
          </w:tcPr>
          <w:p w14:paraId="231AF2C1" w14:textId="77777777" w:rsidR="00FF0499" w:rsidRPr="008B7B0E" w:rsidRDefault="00FF0499" w:rsidP="00E530C5">
            <w:pPr>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kern w:val="0"/>
                <w:sz w:val="20"/>
                <w:szCs w:val="20"/>
                <w14:ligatures w14:val="none"/>
              </w:rPr>
              <w:t>Bioirrigation</w:t>
            </w:r>
            <w:proofErr w:type="spellEnd"/>
            <w:r w:rsidRPr="008B7B0E">
              <w:rPr>
                <w:rFonts w:ascii="Times New Roman" w:eastAsia="Times New Roman" w:hAnsi="Times New Roman" w:cs="Times New Roman"/>
                <w:kern w:val="0"/>
                <w:sz w:val="20"/>
                <w:szCs w:val="20"/>
                <w14:ligatures w14:val="none"/>
              </w:rPr>
              <w:t xml:space="preserve"> strategies</w:t>
            </w:r>
          </w:p>
        </w:tc>
        <w:tc>
          <w:tcPr>
            <w:tcW w:w="991" w:type="dxa"/>
            <w:hideMark/>
          </w:tcPr>
          <w:p w14:paraId="5BDF931B"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Valverde et al. (2016)</w:t>
            </w:r>
          </w:p>
        </w:tc>
      </w:tr>
    </w:tbl>
    <w:p w14:paraId="4D44BF25" w14:textId="77777777" w:rsidR="00FF0499" w:rsidRPr="008B7B0E" w:rsidRDefault="00FF0499" w:rsidP="00294870">
      <w:pPr>
        <w:pStyle w:val="ds-markdown-paragraph"/>
        <w:shd w:val="clear" w:color="auto" w:fill="FFFFFF"/>
        <w:spacing w:before="0" w:beforeAutospacing="0"/>
        <w:jc w:val="both"/>
      </w:pPr>
    </w:p>
    <w:p w14:paraId="66C4D7EA" w14:textId="52B7F94E" w:rsidR="002E25DC" w:rsidRPr="00010868" w:rsidRDefault="00010868"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010868">
        <w:rPr>
          <w:rFonts w:ascii="Times New Roman" w:eastAsia="Times New Roman" w:hAnsi="Times New Roman" w:cs="Times New Roman"/>
          <w:b/>
          <w:bCs/>
          <w:kern w:val="0"/>
          <w14:ligatures w14:val="none"/>
        </w:rPr>
        <w:t>4.6</w:t>
      </w:r>
      <w:r>
        <w:rPr>
          <w:rFonts w:ascii="Times New Roman" w:eastAsia="Times New Roman" w:hAnsi="Times New Roman" w:cs="Times New Roman"/>
          <w:b/>
          <w:bCs/>
          <w:kern w:val="0"/>
          <w14:ligatures w14:val="none"/>
        </w:rPr>
        <w:t>.</w:t>
      </w:r>
      <w:r w:rsidRPr="00010868">
        <w:rPr>
          <w:rFonts w:ascii="Times New Roman" w:eastAsia="Times New Roman" w:hAnsi="Times New Roman" w:cs="Times New Roman"/>
          <w:b/>
          <w:bCs/>
          <w:kern w:val="0"/>
          <w14:ligatures w14:val="none"/>
        </w:rPr>
        <w:t xml:space="preserve">2 </w:t>
      </w:r>
      <w:r w:rsidR="002E25DC" w:rsidRPr="00010868">
        <w:rPr>
          <w:rFonts w:ascii="Times New Roman" w:eastAsia="Times New Roman" w:hAnsi="Times New Roman" w:cs="Times New Roman"/>
          <w:b/>
          <w:bCs/>
          <w:kern w:val="0"/>
          <w14:ligatures w14:val="none"/>
        </w:rPr>
        <w:t>Fungal to Bacterial Ratios in Tropical Soils</w:t>
      </w:r>
    </w:p>
    <w:p w14:paraId="289C2A57" w14:textId="244F9D30"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Tropical soils typically exhibit high fungal:</w:t>
      </w:r>
      <w:r w:rsidR="00EC1001" w:rsidRPr="008B7B0E">
        <w:rPr>
          <w:rFonts w:ascii="Times New Roman" w:eastAsia="Times New Roman" w:hAnsi="Times New Roman" w:cs="Times New Roman"/>
          <w:kern w:val="0"/>
          <w14:ligatures w14:val="none"/>
        </w:rPr>
        <w:t xml:space="preserve"> </w:t>
      </w:r>
      <w:r w:rsidRPr="008B7B0E">
        <w:rPr>
          <w:rFonts w:ascii="Times New Roman" w:eastAsia="Times New Roman" w:hAnsi="Times New Roman" w:cs="Times New Roman"/>
          <w:kern w:val="0"/>
          <w14:ligatures w14:val="none"/>
        </w:rPr>
        <w:t>bacterial (</w:t>
      </w:r>
      <w:r w:rsidR="00EC1001" w:rsidRPr="008B7B0E">
        <w:rPr>
          <w:rFonts w:ascii="Times New Roman" w:eastAsia="Times New Roman" w:hAnsi="Times New Roman" w:cs="Times New Roman"/>
          <w:kern w:val="0"/>
          <w14:ligatures w14:val="none"/>
        </w:rPr>
        <w:t>F: B</w:t>
      </w:r>
      <w:r w:rsidRPr="008B7B0E">
        <w:rPr>
          <w:rFonts w:ascii="Times New Roman" w:eastAsia="Times New Roman" w:hAnsi="Times New Roman" w:cs="Times New Roman"/>
          <w:kern w:val="0"/>
          <w14:ligatures w14:val="none"/>
        </w:rPr>
        <w:t>) ratios, ranging from 5:1 to over 10:1</w:t>
      </w:r>
      <w:r w:rsidR="00EF4FC7">
        <w:rPr>
          <w:rFonts w:ascii="Times New Roman" w:eastAsia="Times New Roman" w:hAnsi="Times New Roman" w:cs="Times New Roman"/>
          <w:kern w:val="0"/>
          <w14:ligatures w14:val="none"/>
        </w:rPr>
        <w:t xml:space="preserve"> (Table 8)</w:t>
      </w:r>
      <w:r w:rsidRPr="008B7B0E">
        <w:rPr>
          <w:rFonts w:ascii="Times New Roman" w:eastAsia="Times New Roman" w:hAnsi="Times New Roman" w:cs="Times New Roman"/>
          <w:kern w:val="0"/>
          <w14:ligatures w14:val="none"/>
        </w:rPr>
        <w:t xml:space="preserve">. These elevated ratios are associated with high organic matter inputs, persistent warmth, and acidic pH conditions (Fierer et al., 2009). Basidiomycete fungi dominate decomposition processes, while </w:t>
      </w:r>
      <w:proofErr w:type="spellStart"/>
      <w:r w:rsidRPr="008B7B0E">
        <w:rPr>
          <w:rFonts w:ascii="Times New Roman" w:eastAsia="Times New Roman" w:hAnsi="Times New Roman" w:cs="Times New Roman"/>
          <w:i/>
          <w:iCs/>
          <w:kern w:val="0"/>
          <w14:ligatures w14:val="none"/>
        </w:rPr>
        <w:t>Acidobacteria</w:t>
      </w:r>
      <w:proofErr w:type="spellEnd"/>
      <w:r w:rsidRPr="008B7B0E">
        <w:rPr>
          <w:rFonts w:ascii="Times New Roman" w:eastAsia="Times New Roman" w:hAnsi="Times New Roman" w:cs="Times New Roman"/>
          <w:kern w:val="0"/>
          <w14:ligatures w14:val="none"/>
        </w:rPr>
        <w:t xml:space="preserve"> persist in nutrient-poor conditions. This leads to a fungal-driven mode of carbon cycling that contributes significantly to soil organic carbon stabilization—by 15 to 30% in some systems (Nottingham et al., 2022).</w:t>
      </w:r>
    </w:p>
    <w:p w14:paraId="0A110887"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Fungi in these systems not only contribute to carbon turnover but also suppress bacterial nitrification, which reduces nitrous oxide emissions (McGuire et al., 2015). However, elevated F:B ratios can also signal imbalance. Ratios above 8:1 have been associated with increased pathogen loads, including </w:t>
      </w:r>
      <w:r w:rsidRPr="008B7B0E">
        <w:rPr>
          <w:rFonts w:ascii="Times New Roman" w:eastAsia="Times New Roman" w:hAnsi="Times New Roman" w:cs="Times New Roman"/>
          <w:i/>
          <w:iCs/>
          <w:kern w:val="0"/>
          <w14:ligatures w14:val="none"/>
        </w:rPr>
        <w:t>Fusarium</w:t>
      </w:r>
      <w:r w:rsidRPr="008B7B0E">
        <w:rPr>
          <w:rFonts w:ascii="Times New Roman" w:eastAsia="Times New Roman" w:hAnsi="Times New Roman" w:cs="Times New Roman"/>
          <w:kern w:val="0"/>
          <w14:ligatures w14:val="none"/>
        </w:rPr>
        <w:t xml:space="preserve"> outbreaks (Malik et al., 2021). Management practices such as agroforestry, liming, and biochar application have been shown to moderate these ratios, favoring more balanced microbial communities (Suleiman et al., 2019).</w:t>
      </w:r>
    </w:p>
    <w:p w14:paraId="398DC859" w14:textId="6CBA600F" w:rsidR="002E25DC" w:rsidRPr="008B7B0E" w:rsidRDefault="002E25DC" w:rsidP="00C01823">
      <w:pPr>
        <w:spacing w:before="100" w:beforeAutospacing="1" w:after="100" w:afterAutospacing="1" w:line="240" w:lineRule="auto"/>
        <w:jc w:val="both"/>
        <w:rPr>
          <w:rFonts w:ascii="Times New Roman" w:eastAsia="Times New Roman" w:hAnsi="Times New Roman" w:cs="Times New Roman"/>
          <w:b/>
          <w:bCs/>
          <w:kern w:val="0"/>
          <w14:ligatures w14:val="none"/>
        </w:rPr>
      </w:pPr>
      <w:r w:rsidRPr="008B7B0E">
        <w:rPr>
          <w:rFonts w:ascii="Times New Roman" w:eastAsia="Times New Roman" w:hAnsi="Times New Roman" w:cs="Times New Roman"/>
          <w:kern w:val="0"/>
          <w14:ligatures w14:val="none"/>
        </w:rPr>
        <w:t>F:B ratios are typically measured through qPCR targeting ITS and 16S genes, or via phospholipid fatty acid (PLFA) profiling. These methods allow for tracking community shifts over time. For example, nitrogen-fixing legumes tend to promote bacterial growth, while compost and other organic amendments enhance fungal abundance. These trends underscore the importance of fungal populations in tropical soil resilience and highlight the need for site-specific management strategies to optimize nutrient retention and productivity.</w:t>
      </w:r>
    </w:p>
    <w:p w14:paraId="0A0190B7" w14:textId="31D7A97C" w:rsidR="00FF0499" w:rsidRPr="008B7B0E" w:rsidRDefault="00FF0499" w:rsidP="00FF0499">
      <w:pPr>
        <w:shd w:val="clear" w:color="auto" w:fill="FFFFFF"/>
        <w:spacing w:before="100" w:beforeAutospacing="1" w:after="100" w:afterAutospacing="1" w:line="240" w:lineRule="auto"/>
        <w:outlineLvl w:val="2"/>
        <w:rPr>
          <w:rFonts w:ascii="Times New Roman" w:eastAsia="Times New Roman" w:hAnsi="Times New Roman" w:cs="Times New Roman"/>
          <w:b/>
          <w:bCs/>
          <w:kern w:val="0"/>
          <w14:ligatures w14:val="none"/>
        </w:rPr>
      </w:pPr>
      <w:r w:rsidRPr="008B7B0E">
        <w:rPr>
          <w:rFonts w:ascii="Times New Roman" w:eastAsia="Times New Roman" w:hAnsi="Times New Roman" w:cs="Times New Roman"/>
          <w:b/>
          <w:bCs/>
          <w:kern w:val="0"/>
          <w14:ligatures w14:val="none"/>
        </w:rPr>
        <w:t xml:space="preserve">Table </w:t>
      </w:r>
      <w:r w:rsidR="0078174E" w:rsidRPr="008B7B0E">
        <w:rPr>
          <w:rFonts w:ascii="Times New Roman" w:eastAsia="Times New Roman" w:hAnsi="Times New Roman" w:cs="Times New Roman"/>
          <w:b/>
          <w:bCs/>
          <w:kern w:val="0"/>
          <w14:ligatures w14:val="none"/>
        </w:rPr>
        <w:t>8</w:t>
      </w:r>
      <w:r w:rsidRPr="008B7B0E">
        <w:rPr>
          <w:rFonts w:ascii="Times New Roman" w:eastAsia="Times New Roman" w:hAnsi="Times New Roman" w:cs="Times New Roman"/>
          <w:b/>
          <w:bCs/>
          <w:kern w:val="0"/>
          <w14:ligatures w14:val="none"/>
        </w:rPr>
        <w:t xml:space="preserve">: </w:t>
      </w:r>
      <w:r w:rsidR="002E25DC" w:rsidRPr="008B7B0E">
        <w:rPr>
          <w:rFonts w:ascii="Times New Roman" w:eastAsia="Times New Roman" w:hAnsi="Times New Roman" w:cs="Times New Roman"/>
          <w:kern w:val="0"/>
          <w14:ligatures w14:val="none"/>
        </w:rPr>
        <w:t>Fungal: Bacterial</w:t>
      </w:r>
      <w:r w:rsidRPr="008B7B0E">
        <w:rPr>
          <w:rFonts w:ascii="Times New Roman" w:eastAsia="Times New Roman" w:hAnsi="Times New Roman" w:cs="Times New Roman"/>
          <w:kern w:val="0"/>
          <w14:ligatures w14:val="none"/>
        </w:rPr>
        <w:t> Ratios in Tropical Soils</w:t>
      </w:r>
    </w:p>
    <w:tbl>
      <w:tblPr>
        <w:tblStyle w:val="TableGrid"/>
        <w:tblW w:w="0" w:type="auto"/>
        <w:tblLook w:val="04A0" w:firstRow="1" w:lastRow="0" w:firstColumn="1" w:lastColumn="0" w:noHBand="0" w:noVBand="1"/>
      </w:tblPr>
      <w:tblGrid>
        <w:gridCol w:w="1233"/>
        <w:gridCol w:w="2236"/>
        <w:gridCol w:w="1605"/>
        <w:gridCol w:w="1557"/>
        <w:gridCol w:w="1484"/>
        <w:gridCol w:w="1235"/>
      </w:tblGrid>
      <w:tr w:rsidR="008B7B0E" w:rsidRPr="008B7B0E" w14:paraId="1B4486DD" w14:textId="77777777" w:rsidTr="00FF0499">
        <w:tc>
          <w:tcPr>
            <w:tcW w:w="0" w:type="auto"/>
            <w:hideMark/>
          </w:tcPr>
          <w:p w14:paraId="79197F63" w14:textId="77777777" w:rsidR="00FF0499" w:rsidRPr="008B7B0E" w:rsidRDefault="00FF0499" w:rsidP="00E530C5">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Parameter</w:t>
            </w:r>
          </w:p>
        </w:tc>
        <w:tc>
          <w:tcPr>
            <w:tcW w:w="0" w:type="auto"/>
            <w:hideMark/>
          </w:tcPr>
          <w:p w14:paraId="62390108" w14:textId="77777777" w:rsidR="00FF0499" w:rsidRPr="008B7B0E" w:rsidRDefault="00FF0499" w:rsidP="00E530C5">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Tropical Soil Characteristics</w:t>
            </w:r>
          </w:p>
        </w:tc>
        <w:tc>
          <w:tcPr>
            <w:tcW w:w="0" w:type="auto"/>
            <w:hideMark/>
          </w:tcPr>
          <w:p w14:paraId="3FE98AB7" w14:textId="77777777" w:rsidR="00FF0499" w:rsidRPr="008B7B0E" w:rsidRDefault="00FF0499" w:rsidP="00E530C5">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Drivers</w:t>
            </w:r>
          </w:p>
        </w:tc>
        <w:tc>
          <w:tcPr>
            <w:tcW w:w="0" w:type="auto"/>
            <w:hideMark/>
          </w:tcPr>
          <w:p w14:paraId="7D7B5D27" w14:textId="77777777" w:rsidR="00FF0499" w:rsidRPr="008B7B0E" w:rsidRDefault="00FF0499" w:rsidP="00E530C5">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Functional Implications</w:t>
            </w:r>
          </w:p>
        </w:tc>
        <w:tc>
          <w:tcPr>
            <w:tcW w:w="0" w:type="auto"/>
            <w:hideMark/>
          </w:tcPr>
          <w:p w14:paraId="00B196BC" w14:textId="77777777" w:rsidR="00FF0499" w:rsidRPr="008B7B0E" w:rsidRDefault="00FF0499" w:rsidP="00E530C5">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Management Relevance</w:t>
            </w:r>
          </w:p>
        </w:tc>
        <w:tc>
          <w:tcPr>
            <w:tcW w:w="0" w:type="auto"/>
            <w:hideMark/>
          </w:tcPr>
          <w:p w14:paraId="37F05DA0" w14:textId="77777777" w:rsidR="00FF0499" w:rsidRPr="008B7B0E" w:rsidRDefault="00FF0499" w:rsidP="00E530C5">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Key References</w:t>
            </w:r>
          </w:p>
        </w:tc>
      </w:tr>
      <w:tr w:rsidR="008B7B0E" w:rsidRPr="008B7B0E" w14:paraId="5DD7DA0F" w14:textId="77777777" w:rsidTr="00FF0499">
        <w:tc>
          <w:tcPr>
            <w:tcW w:w="0" w:type="auto"/>
            <w:hideMark/>
          </w:tcPr>
          <w:p w14:paraId="2EF69305" w14:textId="77777777" w:rsidR="00FF0499" w:rsidRPr="008B7B0E" w:rsidRDefault="00FF0499" w:rsidP="00E530C5">
            <w:pPr>
              <w:rPr>
                <w:rFonts w:ascii="Times New Roman" w:eastAsia="Times New Roman" w:hAnsi="Times New Roman" w:cs="Times New Roman"/>
                <w:kern w:val="0"/>
                <w:sz w:val="20"/>
                <w:szCs w:val="20"/>
                <w14:ligatures w14:val="none"/>
              </w:rPr>
            </w:pPr>
            <w:proofErr w:type="gramStart"/>
            <w:r w:rsidRPr="008B7B0E">
              <w:rPr>
                <w:rFonts w:ascii="Times New Roman" w:eastAsia="Times New Roman" w:hAnsi="Times New Roman" w:cs="Times New Roman"/>
                <w:b/>
                <w:bCs/>
                <w:kern w:val="0"/>
                <w:sz w:val="20"/>
                <w:szCs w:val="20"/>
                <w14:ligatures w14:val="none"/>
              </w:rPr>
              <w:t>F:B</w:t>
            </w:r>
            <w:proofErr w:type="gramEnd"/>
            <w:r w:rsidRPr="008B7B0E">
              <w:rPr>
                <w:rFonts w:ascii="Times New Roman" w:eastAsia="Times New Roman" w:hAnsi="Times New Roman" w:cs="Times New Roman"/>
                <w:b/>
                <w:bCs/>
                <w:kern w:val="0"/>
                <w:sz w:val="20"/>
                <w:szCs w:val="20"/>
                <w14:ligatures w14:val="none"/>
              </w:rPr>
              <w:t> Ratio Range</w:t>
            </w:r>
          </w:p>
        </w:tc>
        <w:tc>
          <w:tcPr>
            <w:tcW w:w="0" w:type="auto"/>
            <w:hideMark/>
          </w:tcPr>
          <w:p w14:paraId="4472EC46"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5:1 to 10:1 (vs. 1:1 in temperate soils)</w:t>
            </w:r>
          </w:p>
        </w:tc>
        <w:tc>
          <w:tcPr>
            <w:tcW w:w="0" w:type="auto"/>
            <w:hideMark/>
          </w:tcPr>
          <w:p w14:paraId="07DF21E2"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High lignin content</w:t>
            </w:r>
            <w:r w:rsidRPr="008B7B0E">
              <w:rPr>
                <w:rFonts w:ascii="Times New Roman" w:eastAsia="Times New Roman" w:hAnsi="Times New Roman" w:cs="Times New Roman"/>
                <w:kern w:val="0"/>
                <w:sz w:val="20"/>
                <w:szCs w:val="20"/>
                <w14:ligatures w14:val="none"/>
              </w:rPr>
              <w:br/>
              <w:t>- Rapid OM turnover</w:t>
            </w:r>
            <w:r w:rsidRPr="008B7B0E">
              <w:rPr>
                <w:rFonts w:ascii="Times New Roman" w:eastAsia="Times New Roman" w:hAnsi="Times New Roman" w:cs="Times New Roman"/>
                <w:kern w:val="0"/>
                <w:sz w:val="20"/>
                <w:szCs w:val="20"/>
                <w14:ligatures w14:val="none"/>
              </w:rPr>
              <w:br/>
              <w:t>- Low pH</w:t>
            </w:r>
          </w:p>
        </w:tc>
        <w:tc>
          <w:tcPr>
            <w:tcW w:w="0" w:type="auto"/>
            <w:hideMark/>
          </w:tcPr>
          <w:p w14:paraId="16239686"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Enhanced decomposition of complex organics</w:t>
            </w:r>
            <w:r w:rsidRPr="008B7B0E">
              <w:rPr>
                <w:rFonts w:ascii="Times New Roman" w:eastAsia="Times New Roman" w:hAnsi="Times New Roman" w:cs="Times New Roman"/>
                <w:kern w:val="0"/>
                <w:sz w:val="20"/>
                <w:szCs w:val="20"/>
                <w14:ligatures w14:val="none"/>
              </w:rPr>
              <w:br/>
              <w:t>- Dominance of mycological nutrient cycling</w:t>
            </w:r>
          </w:p>
        </w:tc>
        <w:tc>
          <w:tcPr>
            <w:tcW w:w="0" w:type="auto"/>
            <w:hideMark/>
          </w:tcPr>
          <w:p w14:paraId="6E5247BA" w14:textId="46C3E0F0"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Liming reduces F:B ratios (1.5</w:t>
            </w:r>
            <w:r w:rsidR="00EF4FC7">
              <w:rPr>
                <w:rFonts w:ascii="Times New Roman" w:eastAsia="Times New Roman" w:hAnsi="Times New Roman" w:cs="Times New Roman"/>
                <w:kern w:val="0"/>
                <w:sz w:val="20"/>
                <w:szCs w:val="20"/>
                <w14:ligatures w14:val="none"/>
              </w:rPr>
              <w:t>-</w:t>
            </w:r>
            <w:r w:rsidRPr="008B7B0E">
              <w:rPr>
                <w:rFonts w:ascii="Times New Roman" w:eastAsia="Times New Roman" w:hAnsi="Times New Roman" w:cs="Times New Roman"/>
                <w:kern w:val="0"/>
                <w:sz w:val="20"/>
                <w:szCs w:val="20"/>
                <w14:ligatures w14:val="none"/>
              </w:rPr>
              <w:t>2×)</w:t>
            </w:r>
          </w:p>
        </w:tc>
        <w:tc>
          <w:tcPr>
            <w:tcW w:w="0" w:type="auto"/>
            <w:hideMark/>
          </w:tcPr>
          <w:p w14:paraId="65969B7C"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Fierer et al. (2009)</w:t>
            </w:r>
          </w:p>
        </w:tc>
      </w:tr>
      <w:tr w:rsidR="008B7B0E" w:rsidRPr="008B7B0E" w14:paraId="2BC1C91E" w14:textId="77777777" w:rsidTr="00FF0499">
        <w:tc>
          <w:tcPr>
            <w:tcW w:w="0" w:type="auto"/>
            <w:hideMark/>
          </w:tcPr>
          <w:p w14:paraId="3CD54E83"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Dominant Fungi</w:t>
            </w:r>
          </w:p>
        </w:tc>
        <w:tc>
          <w:tcPr>
            <w:tcW w:w="0" w:type="auto"/>
            <w:hideMark/>
          </w:tcPr>
          <w:p w14:paraId="5E31C1FE"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Basidiomycetes (litter decomp)</w:t>
            </w:r>
            <w:r w:rsidRPr="008B7B0E">
              <w:rPr>
                <w:rFonts w:ascii="Times New Roman" w:eastAsia="Times New Roman" w:hAnsi="Times New Roman" w:cs="Times New Roman"/>
                <w:kern w:val="0"/>
                <w:sz w:val="20"/>
                <w:szCs w:val="20"/>
                <w14:ligatures w14:val="none"/>
              </w:rPr>
              <w:br/>
              <w:t>- Ascomycetes (pathogens/saprotrophs)</w:t>
            </w:r>
          </w:p>
        </w:tc>
        <w:tc>
          <w:tcPr>
            <w:tcW w:w="0" w:type="auto"/>
            <w:hideMark/>
          </w:tcPr>
          <w:p w14:paraId="35EC1546"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Constant warm temps</w:t>
            </w:r>
            <w:r w:rsidRPr="008B7B0E">
              <w:rPr>
                <w:rFonts w:ascii="Times New Roman" w:eastAsia="Times New Roman" w:hAnsi="Times New Roman" w:cs="Times New Roman"/>
                <w:kern w:val="0"/>
                <w:sz w:val="20"/>
                <w:szCs w:val="20"/>
                <w14:ligatures w14:val="none"/>
              </w:rPr>
              <w:br/>
              <w:t>- High moisture</w:t>
            </w:r>
          </w:p>
        </w:tc>
        <w:tc>
          <w:tcPr>
            <w:tcW w:w="0" w:type="auto"/>
            <w:hideMark/>
          </w:tcPr>
          <w:p w14:paraId="3CF8FCC4"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White-rot fungi drive C mineralization</w:t>
            </w:r>
            <w:r w:rsidRPr="008B7B0E">
              <w:rPr>
                <w:rFonts w:ascii="Times New Roman" w:eastAsia="Times New Roman" w:hAnsi="Times New Roman" w:cs="Times New Roman"/>
                <w:kern w:val="0"/>
                <w:sz w:val="20"/>
                <w:szCs w:val="20"/>
                <w14:ligatures w14:val="none"/>
              </w:rPr>
              <w:br/>
              <w:t>- Mycorrhizal networks mediate P transfer</w:t>
            </w:r>
          </w:p>
        </w:tc>
        <w:tc>
          <w:tcPr>
            <w:tcW w:w="0" w:type="auto"/>
            <w:hideMark/>
          </w:tcPr>
          <w:p w14:paraId="3705B8FB"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Organic amendments favor beneficial fungi</w:t>
            </w:r>
          </w:p>
        </w:tc>
        <w:tc>
          <w:tcPr>
            <w:tcW w:w="0" w:type="auto"/>
            <w:hideMark/>
          </w:tcPr>
          <w:p w14:paraId="71963D7D"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McGuire et al. (2015)</w:t>
            </w:r>
          </w:p>
        </w:tc>
      </w:tr>
      <w:tr w:rsidR="008B7B0E" w:rsidRPr="008B7B0E" w14:paraId="1E6E5A61" w14:textId="77777777" w:rsidTr="00FF0499">
        <w:tc>
          <w:tcPr>
            <w:tcW w:w="0" w:type="auto"/>
            <w:hideMark/>
          </w:tcPr>
          <w:p w14:paraId="444D3C2B"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lastRenderedPageBreak/>
              <w:t>Dominant Bacteria</w:t>
            </w:r>
          </w:p>
        </w:tc>
        <w:tc>
          <w:tcPr>
            <w:tcW w:w="0" w:type="auto"/>
            <w:hideMark/>
          </w:tcPr>
          <w:p w14:paraId="620A2745"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xml:space="preserve">- </w:t>
            </w:r>
            <w:proofErr w:type="spellStart"/>
            <w:r w:rsidRPr="008B7B0E">
              <w:rPr>
                <w:rFonts w:ascii="Times New Roman" w:eastAsia="Times New Roman" w:hAnsi="Times New Roman" w:cs="Times New Roman"/>
                <w:kern w:val="0"/>
                <w:sz w:val="20"/>
                <w:szCs w:val="20"/>
                <w14:ligatures w14:val="none"/>
              </w:rPr>
              <w:t>Acidobacteria</w:t>
            </w:r>
            <w:proofErr w:type="spellEnd"/>
            <w:r w:rsidRPr="008B7B0E">
              <w:rPr>
                <w:rFonts w:ascii="Times New Roman" w:eastAsia="Times New Roman" w:hAnsi="Times New Roman" w:cs="Times New Roman"/>
                <w:kern w:val="0"/>
                <w:sz w:val="20"/>
                <w:szCs w:val="20"/>
                <w14:ligatures w14:val="none"/>
              </w:rPr>
              <w:t xml:space="preserve"> (low-nutrient adapt)</w:t>
            </w:r>
            <w:r w:rsidRPr="008B7B0E">
              <w:rPr>
                <w:rFonts w:ascii="Times New Roman" w:eastAsia="Times New Roman" w:hAnsi="Times New Roman" w:cs="Times New Roman"/>
                <w:kern w:val="0"/>
                <w:sz w:val="20"/>
                <w:szCs w:val="20"/>
                <w14:ligatures w14:val="none"/>
              </w:rPr>
              <w:br/>
              <w:t>- Fewer copiotrophs (e.g., Proteobacteria)</w:t>
            </w:r>
          </w:p>
        </w:tc>
        <w:tc>
          <w:tcPr>
            <w:tcW w:w="0" w:type="auto"/>
            <w:hideMark/>
          </w:tcPr>
          <w:p w14:paraId="3A916040"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Nutrient leaching</w:t>
            </w:r>
            <w:r w:rsidRPr="008B7B0E">
              <w:rPr>
                <w:rFonts w:ascii="Times New Roman" w:eastAsia="Times New Roman" w:hAnsi="Times New Roman" w:cs="Times New Roman"/>
                <w:kern w:val="0"/>
                <w:sz w:val="20"/>
                <w:szCs w:val="20"/>
                <w14:ligatures w14:val="none"/>
              </w:rPr>
              <w:br/>
              <w:t>- Al toxicity</w:t>
            </w:r>
          </w:p>
        </w:tc>
        <w:tc>
          <w:tcPr>
            <w:tcW w:w="0" w:type="auto"/>
            <w:hideMark/>
          </w:tcPr>
          <w:p w14:paraId="76265D73"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Slower bacterial OM processing</w:t>
            </w:r>
            <w:r w:rsidRPr="008B7B0E">
              <w:rPr>
                <w:rFonts w:ascii="Times New Roman" w:eastAsia="Times New Roman" w:hAnsi="Times New Roman" w:cs="Times New Roman"/>
                <w:kern w:val="0"/>
                <w:sz w:val="20"/>
                <w:szCs w:val="20"/>
                <w14:ligatures w14:val="none"/>
              </w:rPr>
              <w:br/>
              <w:t>- Reduced N-cycling efficiency</w:t>
            </w:r>
          </w:p>
        </w:tc>
        <w:tc>
          <w:tcPr>
            <w:tcW w:w="0" w:type="auto"/>
            <w:hideMark/>
          </w:tcPr>
          <w:p w14:paraId="38DBFBB0"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N-fixing crops boost bacterial activity</w:t>
            </w:r>
          </w:p>
        </w:tc>
        <w:tc>
          <w:tcPr>
            <w:tcW w:w="0" w:type="auto"/>
            <w:hideMark/>
          </w:tcPr>
          <w:p w14:paraId="6A5372F7"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Suleiman et al. (2019)</w:t>
            </w:r>
          </w:p>
        </w:tc>
      </w:tr>
      <w:tr w:rsidR="008B7B0E" w:rsidRPr="008B7B0E" w14:paraId="2470A615" w14:textId="77777777" w:rsidTr="00FF0499">
        <w:tc>
          <w:tcPr>
            <w:tcW w:w="0" w:type="auto"/>
            <w:hideMark/>
          </w:tcPr>
          <w:p w14:paraId="0A8DFD41"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Ecological Role</w:t>
            </w:r>
          </w:p>
        </w:tc>
        <w:tc>
          <w:tcPr>
            <w:tcW w:w="0" w:type="auto"/>
            <w:hideMark/>
          </w:tcPr>
          <w:p w14:paraId="04395B11"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Fungi regulate &gt;70% of C turnover</w:t>
            </w:r>
            <w:r w:rsidRPr="008B7B0E">
              <w:rPr>
                <w:rFonts w:ascii="Times New Roman" w:eastAsia="Times New Roman" w:hAnsi="Times New Roman" w:cs="Times New Roman"/>
                <w:kern w:val="0"/>
                <w:sz w:val="20"/>
                <w:szCs w:val="20"/>
                <w14:ligatures w14:val="none"/>
              </w:rPr>
              <w:br/>
              <w:t>- Bacterial nitrification suppressed</w:t>
            </w:r>
          </w:p>
        </w:tc>
        <w:tc>
          <w:tcPr>
            <w:tcW w:w="0" w:type="auto"/>
            <w:hideMark/>
          </w:tcPr>
          <w:p w14:paraId="27675459"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Plant-fungal symbioses</w:t>
            </w:r>
            <w:r w:rsidRPr="008B7B0E">
              <w:rPr>
                <w:rFonts w:ascii="Times New Roman" w:eastAsia="Times New Roman" w:hAnsi="Times New Roman" w:cs="Times New Roman"/>
                <w:kern w:val="0"/>
                <w:sz w:val="20"/>
                <w:szCs w:val="20"/>
                <w14:ligatures w14:val="none"/>
              </w:rPr>
              <w:br/>
              <w:t>- Allelochemicals</w:t>
            </w:r>
          </w:p>
        </w:tc>
        <w:tc>
          <w:tcPr>
            <w:tcW w:w="0" w:type="auto"/>
            <w:hideMark/>
          </w:tcPr>
          <w:p w14:paraId="421BA483"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Higher C sequestration</w:t>
            </w:r>
            <w:r w:rsidRPr="008B7B0E">
              <w:rPr>
                <w:rFonts w:ascii="Times New Roman" w:eastAsia="Times New Roman" w:hAnsi="Times New Roman" w:cs="Times New Roman"/>
                <w:kern w:val="0"/>
                <w:sz w:val="20"/>
                <w:szCs w:val="20"/>
                <w14:ligatures w14:val="none"/>
              </w:rPr>
              <w:br/>
              <w:t>- Lower N2O emissions</w:t>
            </w:r>
          </w:p>
        </w:tc>
        <w:tc>
          <w:tcPr>
            <w:tcW w:w="0" w:type="auto"/>
            <w:hideMark/>
          </w:tcPr>
          <w:p w14:paraId="398308B0"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xml:space="preserve">Agroforestry maintains native </w:t>
            </w:r>
            <w:proofErr w:type="gramStart"/>
            <w:r w:rsidRPr="008B7B0E">
              <w:rPr>
                <w:rFonts w:ascii="Times New Roman" w:eastAsia="Times New Roman" w:hAnsi="Times New Roman" w:cs="Times New Roman"/>
                <w:kern w:val="0"/>
                <w:sz w:val="20"/>
                <w:szCs w:val="20"/>
                <w14:ligatures w14:val="none"/>
              </w:rPr>
              <w:t>F:B</w:t>
            </w:r>
            <w:proofErr w:type="gramEnd"/>
            <w:r w:rsidRPr="008B7B0E">
              <w:rPr>
                <w:rFonts w:ascii="Times New Roman" w:eastAsia="Times New Roman" w:hAnsi="Times New Roman" w:cs="Times New Roman"/>
                <w:kern w:val="0"/>
                <w:sz w:val="20"/>
                <w:szCs w:val="20"/>
                <w14:ligatures w14:val="none"/>
              </w:rPr>
              <w:t> balance</w:t>
            </w:r>
          </w:p>
        </w:tc>
        <w:tc>
          <w:tcPr>
            <w:tcW w:w="0" w:type="auto"/>
            <w:hideMark/>
          </w:tcPr>
          <w:p w14:paraId="72F10C45"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Nottingham et al. (2022)</w:t>
            </w:r>
          </w:p>
        </w:tc>
      </w:tr>
      <w:tr w:rsidR="00484A41" w:rsidRPr="008B7B0E" w14:paraId="319B5B08" w14:textId="77777777" w:rsidTr="00FF0499">
        <w:tc>
          <w:tcPr>
            <w:tcW w:w="0" w:type="auto"/>
            <w:hideMark/>
          </w:tcPr>
          <w:p w14:paraId="10A04694"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Monitoring Tools</w:t>
            </w:r>
          </w:p>
        </w:tc>
        <w:tc>
          <w:tcPr>
            <w:tcW w:w="0" w:type="auto"/>
            <w:hideMark/>
          </w:tcPr>
          <w:p w14:paraId="6FC05229"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qPCR (ITS/16S)</w:t>
            </w:r>
            <w:r w:rsidRPr="008B7B0E">
              <w:rPr>
                <w:rFonts w:ascii="Times New Roman" w:eastAsia="Times New Roman" w:hAnsi="Times New Roman" w:cs="Times New Roman"/>
                <w:kern w:val="0"/>
                <w:sz w:val="20"/>
                <w:szCs w:val="20"/>
                <w14:ligatures w14:val="none"/>
              </w:rPr>
              <w:br/>
              <w:t>- PLFA (18:2ω6 vs. 16:0)</w:t>
            </w:r>
            <w:r w:rsidRPr="008B7B0E">
              <w:rPr>
                <w:rFonts w:ascii="Times New Roman" w:eastAsia="Times New Roman" w:hAnsi="Times New Roman" w:cs="Times New Roman"/>
                <w:kern w:val="0"/>
                <w:sz w:val="20"/>
                <w:szCs w:val="20"/>
                <w14:ligatures w14:val="none"/>
              </w:rPr>
              <w:br/>
              <w:t>- Metagenomics</w:t>
            </w:r>
          </w:p>
        </w:tc>
        <w:tc>
          <w:tcPr>
            <w:tcW w:w="0" w:type="auto"/>
            <w:hideMark/>
          </w:tcPr>
          <w:p w14:paraId="401CEA27"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Requires standardized extraction</w:t>
            </w:r>
          </w:p>
        </w:tc>
        <w:tc>
          <w:tcPr>
            <w:tcW w:w="0" w:type="auto"/>
            <w:hideMark/>
          </w:tcPr>
          <w:p w14:paraId="304FAC5E"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F:B ratios predict SOC loss</w:t>
            </w:r>
            <w:r w:rsidRPr="008B7B0E">
              <w:rPr>
                <w:rFonts w:ascii="Times New Roman" w:eastAsia="Times New Roman" w:hAnsi="Times New Roman" w:cs="Times New Roman"/>
                <w:kern w:val="0"/>
                <w:sz w:val="20"/>
                <w:szCs w:val="20"/>
                <w14:ligatures w14:val="none"/>
              </w:rPr>
              <w:br/>
              <w:t xml:space="preserve">- Pathogen outbreaks linked to </w:t>
            </w:r>
            <w:proofErr w:type="gramStart"/>
            <w:r w:rsidRPr="008B7B0E">
              <w:rPr>
                <w:rFonts w:ascii="Times New Roman" w:eastAsia="Times New Roman" w:hAnsi="Times New Roman" w:cs="Times New Roman"/>
                <w:kern w:val="0"/>
                <w:sz w:val="20"/>
                <w:szCs w:val="20"/>
                <w14:ligatures w14:val="none"/>
              </w:rPr>
              <w:t>F:B</w:t>
            </w:r>
            <w:proofErr w:type="gramEnd"/>
            <w:r w:rsidRPr="008B7B0E">
              <w:rPr>
                <w:rFonts w:ascii="Times New Roman" w:eastAsia="Times New Roman" w:hAnsi="Times New Roman" w:cs="Times New Roman"/>
                <w:kern w:val="0"/>
                <w:sz w:val="20"/>
                <w:szCs w:val="20"/>
                <w14:ligatures w14:val="none"/>
              </w:rPr>
              <w:t> shifts</w:t>
            </w:r>
          </w:p>
        </w:tc>
        <w:tc>
          <w:tcPr>
            <w:tcW w:w="0" w:type="auto"/>
            <w:hideMark/>
          </w:tcPr>
          <w:p w14:paraId="7B944F96"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xml:space="preserve">Biochar application modulates </w:t>
            </w:r>
            <w:proofErr w:type="gramStart"/>
            <w:r w:rsidRPr="008B7B0E">
              <w:rPr>
                <w:rFonts w:ascii="Times New Roman" w:eastAsia="Times New Roman" w:hAnsi="Times New Roman" w:cs="Times New Roman"/>
                <w:kern w:val="0"/>
                <w:sz w:val="20"/>
                <w:szCs w:val="20"/>
                <w14:ligatures w14:val="none"/>
              </w:rPr>
              <w:t>F:B</w:t>
            </w:r>
            <w:proofErr w:type="gramEnd"/>
          </w:p>
        </w:tc>
        <w:tc>
          <w:tcPr>
            <w:tcW w:w="0" w:type="auto"/>
            <w:hideMark/>
          </w:tcPr>
          <w:p w14:paraId="03BE2B9A" w14:textId="77777777" w:rsidR="00FF0499" w:rsidRPr="008B7B0E" w:rsidRDefault="00FF0499" w:rsidP="00E530C5">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Malik et al. (2021)</w:t>
            </w:r>
          </w:p>
        </w:tc>
      </w:tr>
    </w:tbl>
    <w:p w14:paraId="02A94F62" w14:textId="77777777" w:rsidR="00FF0499" w:rsidRPr="008B7B0E" w:rsidRDefault="00FF0499" w:rsidP="00294870">
      <w:pPr>
        <w:pStyle w:val="ds-markdown-paragraph"/>
        <w:shd w:val="clear" w:color="auto" w:fill="FFFFFF"/>
        <w:spacing w:before="0" w:beforeAutospacing="0"/>
        <w:jc w:val="both"/>
      </w:pPr>
    </w:p>
    <w:p w14:paraId="624EB819" w14:textId="3028A4DD" w:rsidR="002E25DC" w:rsidRPr="008B7B0E" w:rsidRDefault="00010868"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5. </w:t>
      </w:r>
      <w:r w:rsidR="00EC1001" w:rsidRPr="008B7B0E">
        <w:rPr>
          <w:rFonts w:ascii="Times New Roman" w:eastAsia="Times New Roman" w:hAnsi="Times New Roman" w:cs="Times New Roman"/>
          <w:b/>
          <w:bCs/>
          <w:kern w:val="0"/>
          <w14:ligatures w14:val="none"/>
        </w:rPr>
        <w:t>DISCUSSION</w:t>
      </w:r>
    </w:p>
    <w:p w14:paraId="021AEEC4" w14:textId="135002B7" w:rsidR="00BC3254" w:rsidRPr="008B7B0E" w:rsidRDefault="00010868" w:rsidP="002E25DC">
      <w:pPr>
        <w:spacing w:before="100" w:beforeAutospacing="1" w:after="100" w:afterAutospacing="1" w:line="24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5.1 </w:t>
      </w:r>
      <w:r w:rsidR="002E25DC" w:rsidRPr="008B7B0E">
        <w:rPr>
          <w:rFonts w:ascii="Times New Roman" w:eastAsia="Times New Roman" w:hAnsi="Times New Roman" w:cs="Times New Roman"/>
          <w:b/>
          <w:bCs/>
          <w:kern w:val="0"/>
          <w14:ligatures w14:val="none"/>
        </w:rPr>
        <w:t>Biomarker Utility in Soil Health Assessment</w:t>
      </w:r>
    </w:p>
    <w:p w14:paraId="00F987DA" w14:textId="09DA3A88"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Enzymatic biomarkers, particularly β-glucosidase, are increasingly used to assess microbial activity related to carbon cycling. This enzyme catalyzes the breakdown of cellulose and is produced by a range of soil microbes, including </w:t>
      </w:r>
      <w:r w:rsidRPr="008B7B0E">
        <w:rPr>
          <w:rFonts w:ascii="Times New Roman" w:eastAsia="Times New Roman" w:hAnsi="Times New Roman" w:cs="Times New Roman"/>
          <w:i/>
          <w:iCs/>
          <w:kern w:val="0"/>
          <w14:ligatures w14:val="none"/>
        </w:rPr>
        <w:t>Bacillus</w:t>
      </w:r>
      <w:r w:rsidRPr="008B7B0E">
        <w:rPr>
          <w:rFonts w:ascii="Times New Roman" w:eastAsia="Times New Roman" w:hAnsi="Times New Roman" w:cs="Times New Roman"/>
          <w:kern w:val="0"/>
          <w14:ligatures w14:val="none"/>
        </w:rPr>
        <w:t xml:space="preserve"> and </w:t>
      </w:r>
      <w:r w:rsidRPr="008B7B0E">
        <w:rPr>
          <w:rFonts w:ascii="Times New Roman" w:eastAsia="Times New Roman" w:hAnsi="Times New Roman" w:cs="Times New Roman"/>
          <w:i/>
          <w:iCs/>
          <w:kern w:val="0"/>
          <w14:ligatures w14:val="none"/>
        </w:rPr>
        <w:t>Trichoderma</w:t>
      </w:r>
      <w:r w:rsidRPr="008B7B0E">
        <w:rPr>
          <w:rFonts w:ascii="Times New Roman" w:eastAsia="Times New Roman" w:hAnsi="Times New Roman" w:cs="Times New Roman"/>
          <w:kern w:val="0"/>
          <w14:ligatures w14:val="none"/>
        </w:rPr>
        <w:t xml:space="preserve"> species. Meta-analyses show strong correlations between β-glucosidase activity and soil organic carbon (SOC) mineralization (r = 0.78, </w:t>
      </w:r>
      <w:r w:rsidR="00010868">
        <w:rPr>
          <w:rFonts w:ascii="Times New Roman" w:eastAsia="Times New Roman" w:hAnsi="Times New Roman" w:cs="Times New Roman"/>
          <w:kern w:val="0"/>
          <w14:ligatures w14:val="none"/>
        </w:rPr>
        <w:t>P</w:t>
      </w:r>
      <w:r w:rsidRPr="008B7B0E">
        <w:rPr>
          <w:rFonts w:ascii="Times New Roman" w:eastAsia="Times New Roman" w:hAnsi="Times New Roman" w:cs="Times New Roman"/>
          <w:kern w:val="0"/>
          <w14:ligatures w14:val="none"/>
        </w:rPr>
        <w:t xml:space="preserve"> &lt; 0.001), suggesting that enzyme assays can provide useful indicators of microbial function across soil types (Burns et al., 2013). In no-till systems, β-glucosidase activity explains up to 85% of the variation in decomposition rates (Zhou et al., 2020).</w:t>
      </w:r>
    </w:p>
    <w:p w14:paraId="2BE6D859" w14:textId="58D7D5CE" w:rsidR="00D824F9" w:rsidRDefault="002E25DC" w:rsidP="002E25DC">
      <w:pPr>
        <w:spacing w:before="100" w:beforeAutospacing="1" w:after="100" w:afterAutospacing="1" w:line="240" w:lineRule="auto"/>
        <w:jc w:val="both"/>
        <w:rPr>
          <w:rFonts w:ascii="Times New Roman" w:eastAsia="Times New Roman" w:hAnsi="Times New Roman" w:cs="Times New Roman"/>
          <w:b/>
          <w:bCs/>
          <w:kern w:val="0"/>
          <w14:ligatures w14:val="none"/>
        </w:rPr>
      </w:pPr>
      <w:r w:rsidRPr="008B7B0E">
        <w:rPr>
          <w:rFonts w:ascii="Times New Roman" w:eastAsia="Times New Roman" w:hAnsi="Times New Roman" w:cs="Times New Roman"/>
          <w:kern w:val="0"/>
          <w14:ligatures w14:val="none"/>
        </w:rPr>
        <w:t xml:space="preserve">Climate change also appears to affect these biomarkers. Experimental warming of more than 2°C has been shown to increase β-glucosidase activity by roughly 30%, with potential implications for carbon loss from soils (Sinsabaugh et al., 2021). Management practices like compost application or cover cropping can increase activity two- to threefold, promoting carbon retention (Luo et al., 2018). However, enzyme activity is sensitive to pH, with optimal activity near neutral </w:t>
      </w:r>
      <w:proofErr w:type="spellStart"/>
      <w:r w:rsidRPr="008B7B0E">
        <w:rPr>
          <w:rFonts w:ascii="Times New Roman" w:eastAsia="Times New Roman" w:hAnsi="Times New Roman" w:cs="Times New Roman"/>
          <w:kern w:val="0"/>
          <w14:ligatures w14:val="none"/>
        </w:rPr>
        <w:t>pH.</w:t>
      </w:r>
      <w:proofErr w:type="spellEnd"/>
      <w:r w:rsidRPr="008B7B0E">
        <w:rPr>
          <w:rFonts w:ascii="Times New Roman" w:eastAsia="Times New Roman" w:hAnsi="Times New Roman" w:cs="Times New Roman"/>
          <w:kern w:val="0"/>
          <w14:ligatures w14:val="none"/>
        </w:rPr>
        <w:t xml:space="preserve"> Soils outside this range may produce misleading results (German et al., 2011). To link enzyme activity with microbial source organisms, functional gene markers like </w:t>
      </w:r>
      <w:r w:rsidRPr="008B7B0E">
        <w:rPr>
          <w:rFonts w:ascii="Times New Roman" w:eastAsia="Times New Roman" w:hAnsi="Times New Roman" w:cs="Times New Roman"/>
          <w:i/>
          <w:iCs/>
          <w:kern w:val="0"/>
          <w14:ligatures w14:val="none"/>
        </w:rPr>
        <w:t>cel48</w:t>
      </w:r>
      <w:r w:rsidRPr="008B7B0E">
        <w:rPr>
          <w:rFonts w:ascii="Times New Roman" w:eastAsia="Times New Roman" w:hAnsi="Times New Roman" w:cs="Times New Roman"/>
          <w:kern w:val="0"/>
          <w14:ligatures w14:val="none"/>
        </w:rPr>
        <w:t xml:space="preserve"> can be used (Baldrian et al., 2011). The development of standardized protocols, such as ISO 20130:2018, has helped improve consistency across studies (</w:t>
      </w:r>
      <w:proofErr w:type="spellStart"/>
      <w:r w:rsidRPr="008B7B0E">
        <w:rPr>
          <w:rFonts w:ascii="Times New Roman" w:eastAsia="Times New Roman" w:hAnsi="Times New Roman" w:cs="Times New Roman"/>
          <w:kern w:val="0"/>
          <w14:ligatures w14:val="none"/>
        </w:rPr>
        <w:t>Nannipieri</w:t>
      </w:r>
      <w:proofErr w:type="spellEnd"/>
      <w:r w:rsidRPr="008B7B0E">
        <w:rPr>
          <w:rFonts w:ascii="Times New Roman" w:eastAsia="Times New Roman" w:hAnsi="Times New Roman" w:cs="Times New Roman"/>
          <w:kern w:val="0"/>
          <w14:ligatures w14:val="none"/>
        </w:rPr>
        <w:t xml:space="preserve"> et al., 2018).</w:t>
      </w:r>
    </w:p>
    <w:p w14:paraId="52760D89" w14:textId="4ADA1866" w:rsidR="00BC3254" w:rsidRPr="008B7B0E" w:rsidRDefault="00010868"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5.2 </w:t>
      </w:r>
      <w:r w:rsidR="002E25DC" w:rsidRPr="008B7B0E">
        <w:rPr>
          <w:rFonts w:ascii="Times New Roman" w:eastAsia="Times New Roman" w:hAnsi="Times New Roman" w:cs="Times New Roman"/>
          <w:b/>
          <w:bCs/>
          <w:kern w:val="0"/>
          <w14:ligatures w14:val="none"/>
        </w:rPr>
        <w:t>Functional Genes v</w:t>
      </w:r>
      <w:r w:rsidR="00BC3254" w:rsidRPr="008B7B0E">
        <w:rPr>
          <w:rFonts w:ascii="Times New Roman" w:eastAsia="Times New Roman" w:hAnsi="Times New Roman" w:cs="Times New Roman"/>
          <w:b/>
          <w:bCs/>
          <w:kern w:val="0"/>
          <w14:ligatures w14:val="none"/>
        </w:rPr>
        <w:t>er</w:t>
      </w:r>
      <w:r w:rsidR="002E25DC" w:rsidRPr="008B7B0E">
        <w:rPr>
          <w:rFonts w:ascii="Times New Roman" w:eastAsia="Times New Roman" w:hAnsi="Times New Roman" w:cs="Times New Roman"/>
          <w:b/>
          <w:bCs/>
          <w:kern w:val="0"/>
          <w14:ligatures w14:val="none"/>
        </w:rPr>
        <w:t>s</w:t>
      </w:r>
      <w:r w:rsidR="00BC3254" w:rsidRPr="008B7B0E">
        <w:rPr>
          <w:rFonts w:ascii="Times New Roman" w:eastAsia="Times New Roman" w:hAnsi="Times New Roman" w:cs="Times New Roman"/>
          <w:b/>
          <w:bCs/>
          <w:kern w:val="0"/>
          <w14:ligatures w14:val="none"/>
        </w:rPr>
        <w:t>us</w:t>
      </w:r>
      <w:r w:rsidR="002E25DC" w:rsidRPr="008B7B0E">
        <w:rPr>
          <w:rFonts w:ascii="Times New Roman" w:eastAsia="Times New Roman" w:hAnsi="Times New Roman" w:cs="Times New Roman"/>
          <w:b/>
          <w:bCs/>
          <w:kern w:val="0"/>
          <w14:ligatures w14:val="none"/>
        </w:rPr>
        <w:t xml:space="preserve"> Taxonomic Data in Soil Health Assessment</w:t>
      </w:r>
    </w:p>
    <w:p w14:paraId="6E4B04B6" w14:textId="47B3A963"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Functional genes provide more direct insight into microbial processes than taxonomic data alone. While taxonomic markers like 16S rRNA sequences describe the community structure, they offer limited information about what microbes are doing. In contrast, genes such as </w:t>
      </w:r>
      <w:proofErr w:type="spellStart"/>
      <w:r w:rsidRPr="008B7B0E">
        <w:rPr>
          <w:rFonts w:ascii="Times New Roman" w:eastAsia="Times New Roman" w:hAnsi="Times New Roman" w:cs="Times New Roman"/>
          <w:i/>
          <w:iCs/>
          <w:kern w:val="0"/>
          <w14:ligatures w14:val="none"/>
        </w:rPr>
        <w:t>nifH</w:t>
      </w:r>
      <w:proofErr w:type="spellEnd"/>
      <w:r w:rsidRPr="008B7B0E">
        <w:rPr>
          <w:rFonts w:ascii="Times New Roman" w:eastAsia="Times New Roman" w:hAnsi="Times New Roman" w:cs="Times New Roman"/>
          <w:kern w:val="0"/>
          <w14:ligatures w14:val="none"/>
        </w:rPr>
        <w:t xml:space="preserve">, </w:t>
      </w:r>
      <w:proofErr w:type="spellStart"/>
      <w:r w:rsidRPr="008B7B0E">
        <w:rPr>
          <w:rFonts w:ascii="Times New Roman" w:eastAsia="Times New Roman" w:hAnsi="Times New Roman" w:cs="Times New Roman"/>
          <w:i/>
          <w:iCs/>
          <w:kern w:val="0"/>
          <w14:ligatures w14:val="none"/>
        </w:rPr>
        <w:t>amoA</w:t>
      </w:r>
      <w:proofErr w:type="spellEnd"/>
      <w:r w:rsidRPr="008B7B0E">
        <w:rPr>
          <w:rFonts w:ascii="Times New Roman" w:eastAsia="Times New Roman" w:hAnsi="Times New Roman" w:cs="Times New Roman"/>
          <w:kern w:val="0"/>
          <w14:ligatures w14:val="none"/>
        </w:rPr>
        <w:t xml:space="preserve">, and </w:t>
      </w:r>
      <w:proofErr w:type="spellStart"/>
      <w:r w:rsidRPr="008B7B0E">
        <w:rPr>
          <w:rFonts w:ascii="Times New Roman" w:eastAsia="Times New Roman" w:hAnsi="Times New Roman" w:cs="Times New Roman"/>
          <w:i/>
          <w:iCs/>
          <w:kern w:val="0"/>
          <w14:ligatures w14:val="none"/>
        </w:rPr>
        <w:t>phoD</w:t>
      </w:r>
      <w:proofErr w:type="spellEnd"/>
      <w:r w:rsidRPr="008B7B0E">
        <w:rPr>
          <w:rFonts w:ascii="Times New Roman" w:eastAsia="Times New Roman" w:hAnsi="Times New Roman" w:cs="Times New Roman"/>
          <w:kern w:val="0"/>
          <w14:ligatures w14:val="none"/>
        </w:rPr>
        <w:t xml:space="preserve"> are directly involved in nitrogen fixation, ammonia oxidation, and phosphorus cycling. The abundance of </w:t>
      </w:r>
      <w:proofErr w:type="spellStart"/>
      <w:r w:rsidRPr="008B7B0E">
        <w:rPr>
          <w:rFonts w:ascii="Times New Roman" w:eastAsia="Times New Roman" w:hAnsi="Times New Roman" w:cs="Times New Roman"/>
          <w:i/>
          <w:iCs/>
          <w:kern w:val="0"/>
          <w14:ligatures w14:val="none"/>
        </w:rPr>
        <w:t>nifH</w:t>
      </w:r>
      <w:proofErr w:type="spellEnd"/>
      <w:r w:rsidRPr="008B7B0E">
        <w:rPr>
          <w:rFonts w:ascii="Times New Roman" w:eastAsia="Times New Roman" w:hAnsi="Times New Roman" w:cs="Times New Roman"/>
          <w:kern w:val="0"/>
          <w14:ligatures w14:val="none"/>
        </w:rPr>
        <w:t xml:space="preserve"> genes, for example, predicts up to 71% of soybean yield variability, outperforming taxonomic estimates based on </w:t>
      </w:r>
      <w:proofErr w:type="spellStart"/>
      <w:r w:rsidRPr="008B7B0E">
        <w:rPr>
          <w:rFonts w:ascii="Times New Roman" w:eastAsia="Times New Roman" w:hAnsi="Times New Roman" w:cs="Times New Roman"/>
          <w:i/>
          <w:iCs/>
          <w:kern w:val="0"/>
          <w14:ligatures w14:val="none"/>
        </w:rPr>
        <w:t>Bradyrhizobium</w:t>
      </w:r>
      <w:proofErr w:type="spellEnd"/>
      <w:r w:rsidRPr="008B7B0E">
        <w:rPr>
          <w:rFonts w:ascii="Times New Roman" w:eastAsia="Times New Roman" w:hAnsi="Times New Roman" w:cs="Times New Roman"/>
          <w:kern w:val="0"/>
          <w14:ligatures w14:val="none"/>
        </w:rPr>
        <w:t xml:space="preserve"> (Levy-Booth et al., 2014). </w:t>
      </w:r>
      <w:r w:rsidRPr="008B7B0E">
        <w:rPr>
          <w:rFonts w:ascii="Times New Roman" w:eastAsia="Times New Roman" w:hAnsi="Times New Roman" w:cs="Times New Roman"/>
          <w:kern w:val="0"/>
          <w14:ligatures w14:val="none"/>
        </w:rPr>
        <w:lastRenderedPageBreak/>
        <w:t xml:space="preserve">Similarly, </w:t>
      </w:r>
      <w:proofErr w:type="spellStart"/>
      <w:r w:rsidRPr="008B7B0E">
        <w:rPr>
          <w:rFonts w:ascii="Times New Roman" w:eastAsia="Times New Roman" w:hAnsi="Times New Roman" w:cs="Times New Roman"/>
          <w:i/>
          <w:iCs/>
          <w:kern w:val="0"/>
          <w14:ligatures w14:val="none"/>
        </w:rPr>
        <w:t>phoD</w:t>
      </w:r>
      <w:proofErr w:type="spellEnd"/>
      <w:r w:rsidRPr="008B7B0E">
        <w:rPr>
          <w:rFonts w:ascii="Times New Roman" w:eastAsia="Times New Roman" w:hAnsi="Times New Roman" w:cs="Times New Roman"/>
          <w:kern w:val="0"/>
          <w14:ligatures w14:val="none"/>
        </w:rPr>
        <w:t xml:space="preserve"> gene copy numbers show strong associations (r = 0.85) with phosphorus mineralization, regardless of the dominant taxa present (Fraser et al., 2015).</w:t>
      </w:r>
    </w:p>
    <w:p w14:paraId="4F00B9DF" w14:textId="6A96A6AA"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Taxonomic approaches are also limited by functional redundancy</w:t>
      </w:r>
      <w:r w:rsidR="00D824F9">
        <w:rPr>
          <w:rFonts w:ascii="Times New Roman" w:eastAsia="Times New Roman" w:hAnsi="Times New Roman" w:cs="Times New Roman"/>
          <w:kern w:val="0"/>
          <w14:ligatures w14:val="none"/>
        </w:rPr>
        <w:t xml:space="preserve"> </w:t>
      </w:r>
      <w:r w:rsidRPr="008B7B0E">
        <w:rPr>
          <w:rFonts w:ascii="Times New Roman" w:eastAsia="Times New Roman" w:hAnsi="Times New Roman" w:cs="Times New Roman"/>
          <w:kern w:val="0"/>
          <w14:ligatures w14:val="none"/>
        </w:rPr>
        <w:t xml:space="preserve">many microbial taxa share similar metabolic capabilities—and by the presence of dormant cells, which may not contribute to current soil processes (Louca et al., 2018). Combining metagenomics and </w:t>
      </w:r>
      <w:proofErr w:type="spellStart"/>
      <w:r w:rsidRPr="008B7B0E">
        <w:rPr>
          <w:rFonts w:ascii="Times New Roman" w:eastAsia="Times New Roman" w:hAnsi="Times New Roman" w:cs="Times New Roman"/>
          <w:kern w:val="0"/>
          <w14:ligatures w14:val="none"/>
        </w:rPr>
        <w:t>metatranscriptomics</w:t>
      </w:r>
      <w:proofErr w:type="spellEnd"/>
      <w:r w:rsidRPr="008B7B0E">
        <w:rPr>
          <w:rFonts w:ascii="Times New Roman" w:eastAsia="Times New Roman" w:hAnsi="Times New Roman" w:cs="Times New Roman"/>
          <w:kern w:val="0"/>
          <w14:ligatures w14:val="none"/>
        </w:rPr>
        <w:t xml:space="preserve"> helps address these issues by distinguishing functional potential from active expression (</w:t>
      </w:r>
      <w:proofErr w:type="spellStart"/>
      <w:r w:rsidRPr="008B7B0E">
        <w:rPr>
          <w:rFonts w:ascii="Times New Roman" w:eastAsia="Times New Roman" w:hAnsi="Times New Roman" w:cs="Times New Roman"/>
          <w:kern w:val="0"/>
          <w14:ligatures w14:val="none"/>
        </w:rPr>
        <w:t>Oburger</w:t>
      </w:r>
      <w:proofErr w:type="spellEnd"/>
      <w:r w:rsidRPr="008B7B0E">
        <w:rPr>
          <w:rFonts w:ascii="Times New Roman" w:eastAsia="Times New Roman" w:hAnsi="Times New Roman" w:cs="Times New Roman"/>
          <w:kern w:val="0"/>
          <w14:ligatures w14:val="none"/>
        </w:rPr>
        <w:t xml:space="preserve"> &amp; Jones, 2018). Together, these methods offer a more accurate picture of the soil microbial community's contribution to ecosystem function.</w:t>
      </w:r>
    </w:p>
    <w:p w14:paraId="69E76E4F" w14:textId="2B4E7301" w:rsidR="002E25DC" w:rsidRPr="008B7B0E" w:rsidRDefault="00010868"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5.3 </w:t>
      </w:r>
      <w:r w:rsidR="002E25DC" w:rsidRPr="008B7B0E">
        <w:rPr>
          <w:rFonts w:ascii="Times New Roman" w:eastAsia="Times New Roman" w:hAnsi="Times New Roman" w:cs="Times New Roman"/>
          <w:b/>
          <w:bCs/>
          <w:kern w:val="0"/>
          <w14:ligatures w14:val="none"/>
        </w:rPr>
        <w:t>Challenges and Solutions in Adopting Microbial Biomarkers in Developing Regions</w:t>
      </w:r>
    </w:p>
    <w:p w14:paraId="039B6384" w14:textId="38ED5FA7" w:rsidR="00BC3254" w:rsidRPr="008B7B0E" w:rsidRDefault="00010868" w:rsidP="002E25DC">
      <w:pPr>
        <w:spacing w:before="100" w:beforeAutospacing="1" w:after="100" w:afterAutospacing="1" w:line="240" w:lineRule="auto"/>
        <w:jc w:val="both"/>
        <w:rPr>
          <w:rFonts w:ascii="Times New Roman" w:eastAsia="Times New Roman" w:hAnsi="Times New Roman" w:cs="Times New Roman"/>
          <w:b/>
          <w:bCs/>
          <w:i/>
          <w:iCs/>
          <w:kern w:val="0"/>
          <w14:ligatures w14:val="none"/>
        </w:rPr>
      </w:pPr>
      <w:r>
        <w:rPr>
          <w:rFonts w:ascii="Times New Roman" w:eastAsia="Times New Roman" w:hAnsi="Times New Roman" w:cs="Times New Roman"/>
          <w:b/>
          <w:bCs/>
          <w:kern w:val="0"/>
          <w14:ligatures w14:val="none"/>
        </w:rPr>
        <w:t xml:space="preserve">5.3.1 </w:t>
      </w:r>
      <w:r w:rsidR="002E25DC" w:rsidRPr="00010868">
        <w:rPr>
          <w:rFonts w:ascii="Times New Roman" w:eastAsia="Times New Roman" w:hAnsi="Times New Roman" w:cs="Times New Roman"/>
          <w:b/>
          <w:bCs/>
          <w:kern w:val="0"/>
          <w14:ligatures w14:val="none"/>
        </w:rPr>
        <w:t>High Microbial Variability and the Lack of Universal Benchmarks</w:t>
      </w:r>
    </w:p>
    <w:p w14:paraId="6E7FC5C8" w14:textId="205BB129"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Soil microbial communities are highly variable, even across small spatial scales. Community composition can differ by more than 60% between neighboring fields due to differences in management, soil type, and local climate (Lauber et al., 2013). This variability complicates the development of universal benchmarks. For instance, a microbial signature considered beneficial in temperate systems</w:t>
      </w:r>
      <w:r w:rsidR="00EF4FC7">
        <w:rPr>
          <w:rFonts w:ascii="Times New Roman" w:eastAsia="Times New Roman" w:hAnsi="Times New Roman" w:cs="Times New Roman"/>
          <w:kern w:val="0"/>
          <w14:ligatures w14:val="none"/>
        </w:rPr>
        <w:t xml:space="preserve"> </w:t>
      </w:r>
      <w:r w:rsidRPr="008B7B0E">
        <w:rPr>
          <w:rFonts w:ascii="Times New Roman" w:eastAsia="Times New Roman" w:hAnsi="Times New Roman" w:cs="Times New Roman"/>
          <w:kern w:val="0"/>
          <w14:ligatures w14:val="none"/>
        </w:rPr>
        <w:t>such as high Proteobacteria abundance</w:t>
      </w:r>
      <w:r w:rsidR="00EF4FC7">
        <w:rPr>
          <w:rFonts w:ascii="Times New Roman" w:eastAsia="Times New Roman" w:hAnsi="Times New Roman" w:cs="Times New Roman"/>
          <w:kern w:val="0"/>
          <w14:ligatures w14:val="none"/>
        </w:rPr>
        <w:t xml:space="preserve"> </w:t>
      </w:r>
      <w:r w:rsidRPr="008B7B0E">
        <w:rPr>
          <w:rFonts w:ascii="Times New Roman" w:eastAsia="Times New Roman" w:hAnsi="Times New Roman" w:cs="Times New Roman"/>
          <w:kern w:val="0"/>
          <w14:ligatures w14:val="none"/>
        </w:rPr>
        <w:t xml:space="preserve">may signal nutrient leaching in tropical contexts (Fierer et al., 2021). Seasonal fluctuations in gene abundance also affect reliability. Functional genes like </w:t>
      </w:r>
      <w:proofErr w:type="spellStart"/>
      <w:r w:rsidRPr="008B7B0E">
        <w:rPr>
          <w:rFonts w:ascii="Times New Roman" w:eastAsia="Times New Roman" w:hAnsi="Times New Roman" w:cs="Times New Roman"/>
          <w:i/>
          <w:iCs/>
          <w:kern w:val="0"/>
          <w14:ligatures w14:val="none"/>
        </w:rPr>
        <w:t>amoA</w:t>
      </w:r>
      <w:proofErr w:type="spellEnd"/>
      <w:r w:rsidRPr="008B7B0E">
        <w:rPr>
          <w:rFonts w:ascii="Times New Roman" w:eastAsia="Times New Roman" w:hAnsi="Times New Roman" w:cs="Times New Roman"/>
          <w:kern w:val="0"/>
          <w14:ligatures w14:val="none"/>
        </w:rPr>
        <w:t xml:space="preserve"> can vary three to fivefold throughout the year (Prosser &amp; Nicol, 2012).</w:t>
      </w:r>
    </w:p>
    <w:p w14:paraId="36D377E0"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Additionally, enzyme activities measured in laboratory settings often do not reflect field-level carbon dynamics. One response has been to use ratios such as fungal-to-bacterial (</w:t>
      </w:r>
      <w:proofErr w:type="gramStart"/>
      <w:r w:rsidRPr="008B7B0E">
        <w:rPr>
          <w:rFonts w:ascii="Times New Roman" w:eastAsia="Times New Roman" w:hAnsi="Times New Roman" w:cs="Times New Roman"/>
          <w:kern w:val="0"/>
          <w14:ligatures w14:val="none"/>
        </w:rPr>
        <w:t>F:B</w:t>
      </w:r>
      <w:proofErr w:type="gramEnd"/>
      <w:r w:rsidRPr="008B7B0E">
        <w:rPr>
          <w:rFonts w:ascii="Times New Roman" w:eastAsia="Times New Roman" w:hAnsi="Times New Roman" w:cs="Times New Roman"/>
          <w:kern w:val="0"/>
          <w14:ligatures w14:val="none"/>
        </w:rPr>
        <w:t xml:space="preserve">) or </w:t>
      </w:r>
      <w:proofErr w:type="spellStart"/>
      <w:r w:rsidRPr="008B7B0E">
        <w:rPr>
          <w:rFonts w:ascii="Times New Roman" w:eastAsia="Times New Roman" w:hAnsi="Times New Roman" w:cs="Times New Roman"/>
          <w:i/>
          <w:iCs/>
          <w:kern w:val="0"/>
          <w14:ligatures w14:val="none"/>
        </w:rPr>
        <w:t>amoA</w:t>
      </w:r>
      <w:proofErr w:type="spellEnd"/>
      <w:r w:rsidRPr="008B7B0E">
        <w:rPr>
          <w:rFonts w:ascii="Times New Roman" w:eastAsia="Times New Roman" w:hAnsi="Times New Roman" w:cs="Times New Roman"/>
          <w:kern w:val="0"/>
          <w14:ligatures w14:val="none"/>
        </w:rPr>
        <w:t xml:space="preserve"> to </w:t>
      </w:r>
      <w:proofErr w:type="spellStart"/>
      <w:r w:rsidRPr="008B7B0E">
        <w:rPr>
          <w:rFonts w:ascii="Times New Roman" w:eastAsia="Times New Roman" w:hAnsi="Times New Roman" w:cs="Times New Roman"/>
          <w:i/>
          <w:iCs/>
          <w:kern w:val="0"/>
          <w14:ligatures w14:val="none"/>
        </w:rPr>
        <w:t>nirK</w:t>
      </w:r>
      <w:proofErr w:type="spellEnd"/>
      <w:r w:rsidRPr="008B7B0E">
        <w:rPr>
          <w:rFonts w:ascii="Times New Roman" w:eastAsia="Times New Roman" w:hAnsi="Times New Roman" w:cs="Times New Roman"/>
          <w:kern w:val="0"/>
          <w14:ligatures w14:val="none"/>
        </w:rPr>
        <w:t xml:space="preserve"> to control for background variation (Suleiman et al., 2019). Others have proposed climate-specific thresholds or machine learning approaches to improve predictions (Liang et al., 2020). Nonetheless, widespread comparability still depends on standardizing DNA extraction, sequencing depth, and analysis protocols (Thompson et al., 2017).</w:t>
      </w:r>
    </w:p>
    <w:p w14:paraId="19BD0EA5" w14:textId="363B71C4" w:rsidR="00BC3254" w:rsidRPr="00010868" w:rsidRDefault="00010868" w:rsidP="002E25DC">
      <w:pPr>
        <w:spacing w:before="100" w:beforeAutospacing="1" w:after="100" w:afterAutospacing="1" w:line="240" w:lineRule="auto"/>
        <w:jc w:val="both"/>
        <w:rPr>
          <w:rFonts w:ascii="Times New Roman" w:eastAsia="Times New Roman" w:hAnsi="Times New Roman" w:cs="Times New Roman"/>
          <w:b/>
          <w:bCs/>
          <w:kern w:val="0"/>
          <w14:ligatures w14:val="none"/>
        </w:rPr>
      </w:pPr>
      <w:r w:rsidRPr="00010868">
        <w:rPr>
          <w:rFonts w:ascii="Times New Roman" w:eastAsia="Times New Roman" w:hAnsi="Times New Roman" w:cs="Times New Roman"/>
          <w:b/>
          <w:bCs/>
          <w:kern w:val="0"/>
          <w14:ligatures w14:val="none"/>
        </w:rPr>
        <w:t xml:space="preserve">5.2 </w:t>
      </w:r>
      <w:r w:rsidR="002E25DC" w:rsidRPr="00010868">
        <w:rPr>
          <w:rFonts w:ascii="Times New Roman" w:eastAsia="Times New Roman" w:hAnsi="Times New Roman" w:cs="Times New Roman"/>
          <w:b/>
          <w:bCs/>
          <w:kern w:val="0"/>
          <w14:ligatures w14:val="none"/>
        </w:rPr>
        <w:t>Cost and Technical Barriers</w:t>
      </w:r>
    </w:p>
    <w:p w14:paraId="69AAADB4" w14:textId="04E7A284"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Advanced techniques such as metagenomics and </w:t>
      </w:r>
      <w:proofErr w:type="spellStart"/>
      <w:r w:rsidRPr="008B7B0E">
        <w:rPr>
          <w:rFonts w:ascii="Times New Roman" w:eastAsia="Times New Roman" w:hAnsi="Times New Roman" w:cs="Times New Roman"/>
          <w:kern w:val="0"/>
          <w14:ligatures w14:val="none"/>
        </w:rPr>
        <w:t>metatranscriptomics</w:t>
      </w:r>
      <w:proofErr w:type="spellEnd"/>
      <w:r w:rsidRPr="008B7B0E">
        <w:rPr>
          <w:rFonts w:ascii="Times New Roman" w:eastAsia="Times New Roman" w:hAnsi="Times New Roman" w:cs="Times New Roman"/>
          <w:kern w:val="0"/>
          <w14:ligatures w14:val="none"/>
        </w:rPr>
        <w:t xml:space="preserve"> remain costly and require specialized expertise. High-throughput sequencing can cost $100–$300 per sample, compared to $5–$20 for traditional soil tests (Knight et al., 2018). This cost gap, combined with a lack of computational infrastructure, has slowed adoption in low-resource regions. Surveys show that 40% of African labs lack the computing resources needed for omics analysis, while many agronomists in South Asia report limited training in microbial genomics (</w:t>
      </w:r>
      <w:proofErr w:type="spellStart"/>
      <w:r w:rsidRPr="008B7B0E">
        <w:rPr>
          <w:rFonts w:ascii="Times New Roman" w:eastAsia="Times New Roman" w:hAnsi="Times New Roman" w:cs="Times New Roman"/>
          <w:kern w:val="0"/>
          <w14:ligatures w14:val="none"/>
        </w:rPr>
        <w:t>Chimusa</w:t>
      </w:r>
      <w:proofErr w:type="spellEnd"/>
      <w:r w:rsidRPr="008B7B0E">
        <w:rPr>
          <w:rFonts w:ascii="Times New Roman" w:eastAsia="Times New Roman" w:hAnsi="Times New Roman" w:cs="Times New Roman"/>
          <w:kern w:val="0"/>
          <w14:ligatures w14:val="none"/>
        </w:rPr>
        <w:t xml:space="preserve"> et al., 2020; Singh et al., 2021).</w:t>
      </w:r>
    </w:p>
    <w:p w14:paraId="53D6D0B8"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Portable devices like the Oxford Nanopore </w:t>
      </w:r>
      <w:proofErr w:type="spellStart"/>
      <w:r w:rsidRPr="008B7B0E">
        <w:rPr>
          <w:rFonts w:ascii="Times New Roman" w:eastAsia="Times New Roman" w:hAnsi="Times New Roman" w:cs="Times New Roman"/>
          <w:kern w:val="0"/>
          <w14:ligatures w14:val="none"/>
        </w:rPr>
        <w:t>MinION</w:t>
      </w:r>
      <w:proofErr w:type="spellEnd"/>
      <w:r w:rsidRPr="008B7B0E">
        <w:rPr>
          <w:rFonts w:ascii="Times New Roman" w:eastAsia="Times New Roman" w:hAnsi="Times New Roman" w:cs="Times New Roman"/>
          <w:kern w:val="0"/>
          <w14:ligatures w14:val="none"/>
        </w:rPr>
        <w:t xml:space="preserve"> have made sequencing more accessible, lowering per-sample costs to around $50 (Boykin et al., 2019). Bioinformatics support hubs, such as ICRAF in Nairobi, can also help bridge technical gaps. To accelerate adoption, national governments and international organizations should consider subsidizing access to sequencing and expanding training programs, particularly through initiatives led by the FAO (FAO, 2022).</w:t>
      </w:r>
    </w:p>
    <w:p w14:paraId="7312061F" w14:textId="58520B17" w:rsidR="002E25DC" w:rsidRPr="008B7B0E" w:rsidRDefault="00010868"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lastRenderedPageBreak/>
        <w:t xml:space="preserve">6. </w:t>
      </w:r>
      <w:r w:rsidR="00EC1001" w:rsidRPr="008B7B0E">
        <w:rPr>
          <w:rFonts w:ascii="Times New Roman" w:eastAsia="Times New Roman" w:hAnsi="Times New Roman" w:cs="Times New Roman"/>
          <w:b/>
          <w:bCs/>
          <w:kern w:val="0"/>
          <w14:ligatures w14:val="none"/>
        </w:rPr>
        <w:t>FUTURE DIRECTIONS</w:t>
      </w:r>
    </w:p>
    <w:p w14:paraId="65F41742" w14:textId="12CF9168" w:rsidR="00BC3254" w:rsidRPr="00010868" w:rsidRDefault="00010868" w:rsidP="002E25DC">
      <w:pPr>
        <w:spacing w:before="100" w:beforeAutospacing="1" w:after="100" w:afterAutospacing="1" w:line="240" w:lineRule="auto"/>
        <w:jc w:val="both"/>
        <w:rPr>
          <w:rFonts w:ascii="Times New Roman" w:eastAsia="Times New Roman" w:hAnsi="Times New Roman" w:cs="Times New Roman"/>
          <w:b/>
          <w:bCs/>
          <w:kern w:val="0"/>
          <w14:ligatures w14:val="none"/>
        </w:rPr>
      </w:pPr>
      <w:r w:rsidRPr="00010868">
        <w:rPr>
          <w:rFonts w:ascii="Times New Roman" w:eastAsia="Times New Roman" w:hAnsi="Times New Roman" w:cs="Times New Roman"/>
          <w:b/>
          <w:bCs/>
          <w:kern w:val="0"/>
          <w14:ligatures w14:val="none"/>
        </w:rPr>
        <w:t xml:space="preserve">6.1 </w:t>
      </w:r>
      <w:r w:rsidR="00BC3254" w:rsidRPr="00010868">
        <w:rPr>
          <w:rFonts w:ascii="Times New Roman" w:eastAsia="Times New Roman" w:hAnsi="Times New Roman" w:cs="Times New Roman"/>
          <w:b/>
          <w:bCs/>
          <w:kern w:val="0"/>
          <w14:ligatures w14:val="none"/>
        </w:rPr>
        <w:t>Nano sensors</w:t>
      </w:r>
      <w:r w:rsidR="002E25DC" w:rsidRPr="00010868">
        <w:rPr>
          <w:rFonts w:ascii="Times New Roman" w:eastAsia="Times New Roman" w:hAnsi="Times New Roman" w:cs="Times New Roman"/>
          <w:b/>
          <w:bCs/>
          <w:kern w:val="0"/>
          <w14:ligatures w14:val="none"/>
        </w:rPr>
        <w:t xml:space="preserve"> for Real-Time Enzyme Monitoring</w:t>
      </w:r>
    </w:p>
    <w:p w14:paraId="1581C6F4" w14:textId="602D36B6"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Recent work has focused on in situ monitoring of enzyme activities using </w:t>
      </w:r>
      <w:proofErr w:type="spellStart"/>
      <w:r w:rsidRPr="008B7B0E">
        <w:rPr>
          <w:rFonts w:ascii="Times New Roman" w:eastAsia="Times New Roman" w:hAnsi="Times New Roman" w:cs="Times New Roman"/>
          <w:kern w:val="0"/>
          <w14:ligatures w14:val="none"/>
        </w:rPr>
        <w:t>nanosensors</w:t>
      </w:r>
      <w:proofErr w:type="spellEnd"/>
      <w:r w:rsidRPr="008B7B0E">
        <w:rPr>
          <w:rFonts w:ascii="Times New Roman" w:eastAsia="Times New Roman" w:hAnsi="Times New Roman" w:cs="Times New Roman"/>
          <w:kern w:val="0"/>
          <w14:ligatures w14:val="none"/>
        </w:rPr>
        <w:t>. These tools offer faster results than conventional lab assays and avoid extraction-related artifacts. Optical sensors use quantum dots that bind to enzyme products and emit measurable fluorescence. They achieve over 90% accuracy when compared with traditional assays (</w:t>
      </w:r>
      <w:proofErr w:type="spellStart"/>
      <w:r w:rsidRPr="008B7B0E">
        <w:rPr>
          <w:rFonts w:ascii="Times New Roman" w:eastAsia="Times New Roman" w:hAnsi="Times New Roman" w:cs="Times New Roman"/>
          <w:kern w:val="0"/>
          <w14:ligatures w14:val="none"/>
        </w:rPr>
        <w:t>Rassaei</w:t>
      </w:r>
      <w:proofErr w:type="spellEnd"/>
      <w:r w:rsidRPr="008B7B0E">
        <w:rPr>
          <w:rFonts w:ascii="Times New Roman" w:eastAsia="Times New Roman" w:hAnsi="Times New Roman" w:cs="Times New Roman"/>
          <w:kern w:val="0"/>
          <w14:ligatures w14:val="none"/>
        </w:rPr>
        <w:t xml:space="preserve"> et al., 2021; Min et al., 2022). Electrochemical sensors using graphene-based electrodes can detect enzymatic reactions in seconds, allowing near real-time monitoring (Chen et al., 2023). These sensors also enable fine-scale mapping of soil activity, which is valuable for precision agriculture (Wang et al., 2023).</w:t>
      </w:r>
    </w:p>
    <w:p w14:paraId="2EBA4380"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Despite these advantages, practical limitations remain. Soil particles can clog sensors, reducing their lifespan to about 30 days (Zhang et al., 2023). Sensors are also sensitive to pH and temperature, requiring careful calibration. Coatings such as </w:t>
      </w:r>
      <w:proofErr w:type="spellStart"/>
      <w:r w:rsidRPr="008B7B0E">
        <w:rPr>
          <w:rFonts w:ascii="Times New Roman" w:eastAsia="Times New Roman" w:hAnsi="Times New Roman" w:cs="Times New Roman"/>
          <w:kern w:val="0"/>
          <w14:ligatures w14:val="none"/>
        </w:rPr>
        <w:t>TiO</w:t>
      </w:r>
      <w:proofErr w:type="spellEnd"/>
      <w:r w:rsidRPr="008B7B0E">
        <w:rPr>
          <w:rFonts w:ascii="Times New Roman" w:eastAsia="Times New Roman" w:hAnsi="Times New Roman" w:cs="Times New Roman"/>
          <w:kern w:val="0"/>
          <w14:ligatures w14:val="none"/>
        </w:rPr>
        <w:t>₂ and AI-assisted signal processing may help address these issues (Liu et al., 2023; Singh et al., 2023). Some early applications have already proven effective, such as detecting phosphorus deficiency through declining phosphatase activity.</w:t>
      </w:r>
    </w:p>
    <w:p w14:paraId="4917ECA9" w14:textId="6FC8D2CB" w:rsidR="00BC3254" w:rsidRPr="00010868" w:rsidRDefault="00010868" w:rsidP="002E25DC">
      <w:pPr>
        <w:spacing w:before="100" w:beforeAutospacing="1" w:after="100" w:afterAutospacing="1" w:line="240" w:lineRule="auto"/>
        <w:jc w:val="both"/>
        <w:rPr>
          <w:rFonts w:ascii="Times New Roman" w:eastAsia="Times New Roman" w:hAnsi="Times New Roman" w:cs="Times New Roman"/>
          <w:b/>
          <w:bCs/>
          <w:kern w:val="0"/>
          <w14:ligatures w14:val="none"/>
        </w:rPr>
      </w:pPr>
      <w:r w:rsidRPr="00010868">
        <w:rPr>
          <w:rFonts w:ascii="Times New Roman" w:eastAsia="Times New Roman" w:hAnsi="Times New Roman" w:cs="Times New Roman"/>
          <w:b/>
          <w:bCs/>
          <w:kern w:val="0"/>
          <w14:ligatures w14:val="none"/>
        </w:rPr>
        <w:t xml:space="preserve">6.2 </w:t>
      </w:r>
      <w:r w:rsidR="002E25DC" w:rsidRPr="00010868">
        <w:rPr>
          <w:rFonts w:ascii="Times New Roman" w:eastAsia="Times New Roman" w:hAnsi="Times New Roman" w:cs="Times New Roman"/>
          <w:b/>
          <w:bCs/>
          <w:kern w:val="0"/>
          <w14:ligatures w14:val="none"/>
        </w:rPr>
        <w:t>AI-Based Integration of Multi-Omics Data</w:t>
      </w:r>
    </w:p>
    <w:p w14:paraId="3ABC5C91" w14:textId="35DEE231"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Machine learning methods have made it possible to combine diverse datasets including metagenomics, transcriptomics, and metabolomics to better understand microbial contributions to soil health. Random forest models and neural networks trained on large datasets can predict soil functions such as carbon storage and nutrient availability with high accuracy (Zhou et al., 2022). For example, deep learning models have reduced error in carbon sequestration forecasts to less than 5% by analyzing enzyme–metabolite networks.</w:t>
      </w:r>
    </w:p>
    <w:p w14:paraId="6738030F"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Graph neural networks (GNNs) are increasingly used to integrate omics data with environmental variables at fine spatial scales. These models are being applied in field settings to guide microbial management strategies, including the targeted use of biofertilizers to address specific nutrient limitations. AI models can also predict pathogen outbreaks before symptoms appear, offering a new tool for disease management.</w:t>
      </w:r>
    </w:p>
    <w:p w14:paraId="37106707" w14:textId="77777777" w:rsidR="00BC3254"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Interpretability remains a challenge. Most omics datasets come from temperate zones, and machine learning outputs often lack clear biological explanations. Approaches such as SHAP (</w:t>
      </w:r>
      <w:proofErr w:type="spellStart"/>
      <w:r w:rsidRPr="008B7B0E">
        <w:rPr>
          <w:rFonts w:ascii="Times New Roman" w:eastAsia="Times New Roman" w:hAnsi="Times New Roman" w:cs="Times New Roman"/>
          <w:kern w:val="0"/>
          <w14:ligatures w14:val="none"/>
        </w:rPr>
        <w:t>SHapley</w:t>
      </w:r>
      <w:proofErr w:type="spellEnd"/>
      <w:r w:rsidRPr="008B7B0E">
        <w:rPr>
          <w:rFonts w:ascii="Times New Roman" w:eastAsia="Times New Roman" w:hAnsi="Times New Roman" w:cs="Times New Roman"/>
          <w:kern w:val="0"/>
          <w14:ligatures w14:val="none"/>
        </w:rPr>
        <w:t xml:space="preserve"> Additive </w:t>
      </w:r>
      <w:proofErr w:type="spellStart"/>
      <w:r w:rsidRPr="008B7B0E">
        <w:rPr>
          <w:rFonts w:ascii="Times New Roman" w:eastAsia="Times New Roman" w:hAnsi="Times New Roman" w:cs="Times New Roman"/>
          <w:kern w:val="0"/>
          <w14:ligatures w14:val="none"/>
        </w:rPr>
        <w:t>exPlanations</w:t>
      </w:r>
      <w:proofErr w:type="spellEnd"/>
      <w:r w:rsidRPr="008B7B0E">
        <w:rPr>
          <w:rFonts w:ascii="Times New Roman" w:eastAsia="Times New Roman" w:hAnsi="Times New Roman" w:cs="Times New Roman"/>
          <w:kern w:val="0"/>
          <w14:ligatures w14:val="none"/>
        </w:rPr>
        <w:t xml:space="preserve">) analysis and federated learning may help improve transparency and allow broader participation, particularly in regions with limited data. Open-source tools such as </w:t>
      </w:r>
      <w:proofErr w:type="spellStart"/>
      <w:r w:rsidRPr="008B7B0E">
        <w:rPr>
          <w:rFonts w:ascii="Times New Roman" w:eastAsia="Times New Roman" w:hAnsi="Times New Roman" w:cs="Times New Roman"/>
          <w:kern w:val="0"/>
          <w14:ligatures w14:val="none"/>
        </w:rPr>
        <w:t>MicrobiomeAI</w:t>
      </w:r>
      <w:proofErr w:type="spellEnd"/>
      <w:r w:rsidRPr="008B7B0E">
        <w:rPr>
          <w:rFonts w:ascii="Times New Roman" w:eastAsia="Times New Roman" w:hAnsi="Times New Roman" w:cs="Times New Roman"/>
          <w:kern w:val="0"/>
          <w14:ligatures w14:val="none"/>
        </w:rPr>
        <w:t xml:space="preserve"> are also making it easier to apply machine learning to soil microbiome data.</w:t>
      </w:r>
    </w:p>
    <w:p w14:paraId="7D350653" w14:textId="77777777" w:rsidR="00D824F9" w:rsidRDefault="00D824F9" w:rsidP="002E25DC">
      <w:pPr>
        <w:spacing w:before="100" w:beforeAutospacing="1" w:after="100" w:afterAutospacing="1" w:line="240" w:lineRule="auto"/>
        <w:jc w:val="both"/>
        <w:rPr>
          <w:rFonts w:ascii="Times New Roman" w:eastAsia="Times New Roman" w:hAnsi="Times New Roman" w:cs="Times New Roman"/>
          <w:b/>
          <w:bCs/>
          <w:kern w:val="0"/>
          <w14:ligatures w14:val="none"/>
        </w:rPr>
      </w:pPr>
    </w:p>
    <w:p w14:paraId="6048472D" w14:textId="6B322151" w:rsidR="00BC3254" w:rsidRPr="00010868" w:rsidRDefault="00010868" w:rsidP="002E25DC">
      <w:pPr>
        <w:spacing w:before="100" w:beforeAutospacing="1" w:after="100" w:afterAutospacing="1" w:line="240" w:lineRule="auto"/>
        <w:jc w:val="both"/>
        <w:rPr>
          <w:rFonts w:ascii="Times New Roman" w:eastAsia="Times New Roman" w:hAnsi="Times New Roman" w:cs="Times New Roman"/>
          <w:b/>
          <w:bCs/>
          <w:kern w:val="0"/>
          <w14:ligatures w14:val="none"/>
        </w:rPr>
      </w:pPr>
      <w:r w:rsidRPr="00010868">
        <w:rPr>
          <w:rFonts w:ascii="Times New Roman" w:eastAsia="Times New Roman" w:hAnsi="Times New Roman" w:cs="Times New Roman"/>
          <w:b/>
          <w:bCs/>
          <w:kern w:val="0"/>
          <w14:ligatures w14:val="none"/>
        </w:rPr>
        <w:t xml:space="preserve">6.3 </w:t>
      </w:r>
      <w:r w:rsidR="002E25DC" w:rsidRPr="00010868">
        <w:rPr>
          <w:rFonts w:ascii="Times New Roman" w:eastAsia="Times New Roman" w:hAnsi="Times New Roman" w:cs="Times New Roman"/>
          <w:b/>
          <w:bCs/>
          <w:kern w:val="0"/>
          <w14:ligatures w14:val="none"/>
        </w:rPr>
        <w:t>Polic</w:t>
      </w:r>
      <w:r w:rsidR="00BC3254" w:rsidRPr="00010868">
        <w:rPr>
          <w:rFonts w:ascii="Times New Roman" w:eastAsia="Times New Roman" w:hAnsi="Times New Roman" w:cs="Times New Roman"/>
          <w:b/>
          <w:bCs/>
          <w:kern w:val="0"/>
          <w14:ligatures w14:val="none"/>
        </w:rPr>
        <w:t xml:space="preserve">y </w:t>
      </w:r>
      <w:r w:rsidR="002E25DC" w:rsidRPr="00010868">
        <w:rPr>
          <w:rFonts w:ascii="Times New Roman" w:eastAsia="Times New Roman" w:hAnsi="Times New Roman" w:cs="Times New Roman"/>
          <w:b/>
          <w:bCs/>
          <w:kern w:val="0"/>
          <w14:ligatures w14:val="none"/>
        </w:rPr>
        <w:t>Integration</w:t>
      </w:r>
    </w:p>
    <w:p w14:paraId="550478CC" w14:textId="4BBE5824"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lastRenderedPageBreak/>
        <w:t xml:space="preserve">Most soil health assessments used in national programs rely on physical and chemical metrics, such as organic matter and bulk density. These measures ignore the microbial processes responsible for nutrient cycling and organic matter turnover. Microbial biomarkers can fill this gap. Indicators like 16S/ITS diversity indices provide a measure of microbial community structure, while functional gene targets (e.g., </w:t>
      </w:r>
      <w:proofErr w:type="spellStart"/>
      <w:r w:rsidRPr="008B7B0E">
        <w:rPr>
          <w:rFonts w:ascii="Times New Roman" w:eastAsia="Times New Roman" w:hAnsi="Times New Roman" w:cs="Times New Roman"/>
          <w:i/>
          <w:iCs/>
          <w:kern w:val="0"/>
          <w14:ligatures w14:val="none"/>
        </w:rPr>
        <w:t>nifH</w:t>
      </w:r>
      <w:proofErr w:type="spellEnd"/>
      <w:r w:rsidRPr="008B7B0E">
        <w:rPr>
          <w:rFonts w:ascii="Times New Roman" w:eastAsia="Times New Roman" w:hAnsi="Times New Roman" w:cs="Times New Roman"/>
          <w:kern w:val="0"/>
          <w14:ligatures w14:val="none"/>
        </w:rPr>
        <w:t xml:space="preserve">, </w:t>
      </w:r>
      <w:proofErr w:type="spellStart"/>
      <w:r w:rsidRPr="008B7B0E">
        <w:rPr>
          <w:rFonts w:ascii="Times New Roman" w:eastAsia="Times New Roman" w:hAnsi="Times New Roman" w:cs="Times New Roman"/>
          <w:i/>
          <w:iCs/>
          <w:kern w:val="0"/>
          <w14:ligatures w14:val="none"/>
        </w:rPr>
        <w:t>phoD</w:t>
      </w:r>
      <w:proofErr w:type="spellEnd"/>
      <w:r w:rsidRPr="008B7B0E">
        <w:rPr>
          <w:rFonts w:ascii="Times New Roman" w:eastAsia="Times New Roman" w:hAnsi="Times New Roman" w:cs="Times New Roman"/>
          <w:kern w:val="0"/>
          <w14:ligatures w14:val="none"/>
        </w:rPr>
        <w:t>) and enzyme activities (e.g., β-glucosidase, dehydrogenase) reflect biogeochemical function.</w:t>
      </w:r>
    </w:p>
    <w:p w14:paraId="279B0526"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Incorporating these metrics into policy would allow for a more comprehensive understanding of soil health. Some proposals include setting biodiversity thresholds—such as a minimum Shannon index of 3.5—for organic certification. Ratios of beneficial to pathogenic microbes could also serve as compliance benchmarks. For example, a </w:t>
      </w:r>
      <w:r w:rsidRPr="008B7B0E">
        <w:rPr>
          <w:rFonts w:ascii="Times New Roman" w:eastAsia="Times New Roman" w:hAnsi="Times New Roman" w:cs="Times New Roman"/>
          <w:i/>
          <w:iCs/>
          <w:kern w:val="0"/>
          <w14:ligatures w14:val="none"/>
        </w:rPr>
        <w:t>Fusarium</w:t>
      </w:r>
      <w:r w:rsidRPr="008B7B0E">
        <w:rPr>
          <w:rFonts w:ascii="Times New Roman" w:eastAsia="Times New Roman" w:hAnsi="Times New Roman" w:cs="Times New Roman"/>
          <w:kern w:val="0"/>
          <w14:ligatures w14:val="none"/>
        </w:rPr>
        <w:t xml:space="preserve">: </w:t>
      </w:r>
      <w:r w:rsidRPr="008B7B0E">
        <w:rPr>
          <w:rFonts w:ascii="Times New Roman" w:eastAsia="Times New Roman" w:hAnsi="Times New Roman" w:cs="Times New Roman"/>
          <w:i/>
          <w:iCs/>
          <w:kern w:val="0"/>
          <w14:ligatures w14:val="none"/>
        </w:rPr>
        <w:t>Trichoderma</w:t>
      </w:r>
      <w:r w:rsidRPr="008B7B0E">
        <w:rPr>
          <w:rFonts w:ascii="Times New Roman" w:eastAsia="Times New Roman" w:hAnsi="Times New Roman" w:cs="Times New Roman"/>
          <w:kern w:val="0"/>
          <w14:ligatures w14:val="none"/>
        </w:rPr>
        <w:t xml:space="preserve"> ratio below 1:5 might indicate disease suppression potential. Pilot programs in the EU and India have started including microbial indicators in official soil health assessments.</w:t>
      </w:r>
    </w:p>
    <w:p w14:paraId="4E1969CA"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Key steps moving forward include establishing national working groups to define microbial benchmarks and developing affordable field-based tools such as CRISPR-based tests for key functional genes. These efforts could help bring microbial data into everyday land management decisions.</w:t>
      </w:r>
    </w:p>
    <w:p w14:paraId="11582A98" w14:textId="0449070A" w:rsidR="002E25DC" w:rsidRPr="008B7B0E" w:rsidRDefault="00010868"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7. </w:t>
      </w:r>
      <w:r w:rsidR="00EC1001" w:rsidRPr="008B7B0E">
        <w:rPr>
          <w:rFonts w:ascii="Times New Roman" w:eastAsia="Times New Roman" w:hAnsi="Times New Roman" w:cs="Times New Roman"/>
          <w:b/>
          <w:bCs/>
          <w:kern w:val="0"/>
          <w14:ligatures w14:val="none"/>
        </w:rPr>
        <w:t>CONCLUSION</w:t>
      </w:r>
    </w:p>
    <w:p w14:paraId="7E66CE86"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Microbial biomarkers offer an important advancement in the way soil health is assessed. By focusing on biological indicators such as taxonomic composition, functional genes, and enzyme activities, researchers can gain a clearer understanding of microbial processes that influence nutrient cycling, carbon storage, and plant productivity. These indicators complement traditional physical and chemical metrics, providing a more complete picture of soil function.</w:t>
      </w:r>
    </w:p>
    <w:p w14:paraId="490DEB8E"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Despite these advantages, several barriers limit the broader use of microbial biomarkers. Inconsistencies in DNA extraction methods, sequencing protocols, and data analysis approaches make it difficult to compare findings across studies. The absence of established thresholds for interpreting microbial data further complicates efforts to apply these tools in agricultural or policy contexts. Standardization, both in laboratory methods and in data reporting, will be necessary to ensure reliable and reproducible use. Ongoing projects such as the Earth Microbiome Project provide a useful model for creating shared frameworks.</w:t>
      </w:r>
    </w:p>
    <w:p w14:paraId="3612909C"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Interdisciplinary collaboration is essential. Translating microbial data into practical soil management requires coordination among ecologists, microbiologists, agronomists, and data scientists. For example, identifying the presence of </w:t>
      </w:r>
      <w:proofErr w:type="spellStart"/>
      <w:r w:rsidRPr="008B7B0E">
        <w:rPr>
          <w:rFonts w:ascii="Times New Roman" w:eastAsia="Times New Roman" w:hAnsi="Times New Roman" w:cs="Times New Roman"/>
          <w:i/>
          <w:iCs/>
          <w:kern w:val="0"/>
          <w14:ligatures w14:val="none"/>
        </w:rPr>
        <w:t>phoD</w:t>
      </w:r>
      <w:proofErr w:type="spellEnd"/>
      <w:r w:rsidRPr="008B7B0E">
        <w:rPr>
          <w:rFonts w:ascii="Times New Roman" w:eastAsia="Times New Roman" w:hAnsi="Times New Roman" w:cs="Times New Roman"/>
          <w:kern w:val="0"/>
          <w14:ligatures w14:val="none"/>
        </w:rPr>
        <w:t xml:space="preserve"> genes through metagenomic analysis is only useful if agronomists can relate this information to phosphorus availability in specific cropping systems. Ecologists also help interpret microbial diversity in relation to ecosystem services such as carbon retention or disease suppression.</w:t>
      </w:r>
    </w:p>
    <w:p w14:paraId="01428B57"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Technological tools such as portable sequencing platforms and machine learning models can improve access to microbial data and help integrate it into decision-making. However, these tools are not enough on their own. Training, infrastructure, and shared vocabulary across disciplines will be just as important as hardware or software.</w:t>
      </w:r>
    </w:p>
    <w:p w14:paraId="70E833D6" w14:textId="7FE56632" w:rsidR="002E25DC" w:rsidRPr="008B7B0E" w:rsidRDefault="002E25DC" w:rsidP="002E25DC">
      <w:pPr>
        <w:pStyle w:val="BodyText"/>
        <w:spacing w:before="100" w:beforeAutospacing="1" w:after="100" w:afterAutospacing="1" w:line="240" w:lineRule="auto"/>
      </w:pPr>
      <w:r w:rsidRPr="008B7B0E">
        <w:lastRenderedPageBreak/>
        <w:t>Equity remains a pressing concern. Many of the regions that would benefit most from microbial monitoring</w:t>
      </w:r>
      <w:r w:rsidR="00EF4FC7">
        <w:t xml:space="preserve"> </w:t>
      </w:r>
      <w:r w:rsidRPr="008B7B0E">
        <w:t>such as smallholder farms in sub-Saharan Africa or South Asia</w:t>
      </w:r>
      <w:r w:rsidR="00EF4FC7">
        <w:t xml:space="preserve"> </w:t>
      </w:r>
      <w:r w:rsidRPr="008B7B0E">
        <w:t xml:space="preserve">lack access to sequencing platforms, computing resources, or training. Public investment in open-access databases, low-cost diagnostic kits, and regional laboratory capacity is critical. Specific steps may include expanding databases such as UNITE and </w:t>
      </w:r>
      <w:proofErr w:type="spellStart"/>
      <w:r w:rsidRPr="008B7B0E">
        <w:t>FunGene</w:t>
      </w:r>
      <w:proofErr w:type="spellEnd"/>
      <w:r w:rsidRPr="008B7B0E">
        <w:t>, supporting the development of CRISPR-based detection kits that do not require laboratory infrastructure, and funding training programs to support the local use of omics technologies.</w:t>
      </w:r>
    </w:p>
    <w:p w14:paraId="17199188" w14:textId="77777777" w:rsidR="002E25DC" w:rsidRDefault="002E25DC" w:rsidP="00C01823">
      <w:pPr>
        <w:pStyle w:val="BodyText"/>
        <w:spacing w:before="100" w:beforeAutospacing="1" w:after="100" w:afterAutospacing="1" w:line="240" w:lineRule="auto"/>
      </w:pPr>
      <w:r w:rsidRPr="008B7B0E">
        <w:t>Incorporating microbial biomarkers into soil health frameworks will require not only scientific rigor but also sustained collaboration and equitable investment. These tools have the potential to improve agricultural outcomes and environmental stewardship if applied carefully, consistently, and inclusively.</w:t>
      </w:r>
    </w:p>
    <w:p w14:paraId="34F94D4B" w14:textId="77777777" w:rsidR="00EF4FC7" w:rsidRPr="00EF4FC7" w:rsidRDefault="00EF4FC7" w:rsidP="00EF4FC7">
      <w:pPr>
        <w:pStyle w:val="BodyText3"/>
        <w:spacing w:before="100" w:beforeAutospacing="1"/>
      </w:pPr>
      <w:r w:rsidRPr="00EF4FC7">
        <w:t>DISCLAIMER (ARTIFICIAL INTELLIGENCE)</w:t>
      </w:r>
    </w:p>
    <w:p w14:paraId="5B170AC4" w14:textId="77777777" w:rsidR="00EF4FC7" w:rsidRPr="00EF4FC7" w:rsidRDefault="00EF4FC7" w:rsidP="00EF4FC7">
      <w:pPr>
        <w:shd w:val="clear" w:color="auto" w:fill="FFFFFF"/>
        <w:spacing w:before="100" w:beforeAutospacing="1" w:after="100" w:afterAutospacing="1" w:line="240" w:lineRule="auto"/>
        <w:jc w:val="both"/>
        <w:rPr>
          <w:rFonts w:ascii="Times New Roman" w:eastAsia="Times New Roman" w:hAnsi="Times New Roman" w:cs="Times New Roman"/>
          <w:kern w:val="0"/>
          <w14:ligatures w14:val="none"/>
        </w:rPr>
      </w:pPr>
      <w:r w:rsidRPr="00EF4FC7">
        <w:rPr>
          <w:rFonts w:ascii="Times New Roman" w:eastAsia="Times New Roman" w:hAnsi="Times New Roman" w:cs="Times New Roman"/>
          <w:kern w:val="0"/>
          <w14:ligatures w14:val="none"/>
        </w:rPr>
        <w:t xml:space="preserve">Authors hereby declare that no generative AI technologies such as Large Models (ChatGPT, COPILOT, etc.) and text-to-image generators have been used during writing or editing of this manuscript. </w:t>
      </w:r>
    </w:p>
    <w:p w14:paraId="0CC58F77" w14:textId="77777777" w:rsidR="00EF4FC7" w:rsidRPr="00EF4FC7" w:rsidRDefault="00EF4FC7" w:rsidP="00EF4FC7">
      <w:pPr>
        <w:shd w:val="clear" w:color="auto" w:fill="FFFFFF"/>
        <w:spacing w:before="100" w:beforeAutospacing="1" w:after="100" w:afterAutospacing="1" w:line="240" w:lineRule="auto"/>
        <w:jc w:val="both"/>
        <w:rPr>
          <w:rFonts w:ascii="Times New Roman" w:eastAsia="Times New Roman" w:hAnsi="Times New Roman" w:cs="Times New Roman"/>
          <w:b/>
          <w:bCs/>
          <w:kern w:val="0"/>
          <w14:ligatures w14:val="none"/>
        </w:rPr>
      </w:pPr>
      <w:r w:rsidRPr="00EF4FC7">
        <w:rPr>
          <w:rFonts w:ascii="Times New Roman" w:eastAsia="Times New Roman" w:hAnsi="Times New Roman" w:cs="Times New Roman"/>
          <w:b/>
          <w:bCs/>
          <w:kern w:val="0"/>
          <w14:ligatures w14:val="none"/>
        </w:rPr>
        <w:t>COMPETING INTEREST</w:t>
      </w:r>
    </w:p>
    <w:p w14:paraId="121D7305" w14:textId="77777777" w:rsidR="00EF4FC7" w:rsidRPr="00EF4FC7" w:rsidRDefault="00EF4FC7" w:rsidP="00EF4FC7">
      <w:pPr>
        <w:shd w:val="clear" w:color="auto" w:fill="FFFFFF"/>
        <w:spacing w:before="100" w:beforeAutospacing="1" w:after="100" w:afterAutospacing="1" w:line="240" w:lineRule="auto"/>
        <w:jc w:val="both"/>
        <w:rPr>
          <w:rFonts w:ascii="Times New Roman" w:eastAsia="Times New Roman" w:hAnsi="Times New Roman" w:cs="Times New Roman"/>
          <w:kern w:val="0"/>
          <w14:ligatures w14:val="none"/>
        </w:rPr>
      </w:pPr>
      <w:r w:rsidRPr="00EF4FC7">
        <w:rPr>
          <w:rFonts w:ascii="Times New Roman" w:eastAsia="Times New Roman" w:hAnsi="Times New Roman" w:cs="Times New Roman"/>
          <w:kern w:val="0"/>
          <w14:ligatures w14:val="none"/>
        </w:rPr>
        <w:t xml:space="preserve">Authors have </w:t>
      </w:r>
      <w:proofErr w:type="spellStart"/>
      <w:r w:rsidRPr="00EF4FC7">
        <w:rPr>
          <w:rFonts w:ascii="Times New Roman" w:eastAsia="Times New Roman" w:hAnsi="Times New Roman" w:cs="Times New Roman"/>
          <w:kern w:val="0"/>
          <w14:ligatures w14:val="none"/>
        </w:rPr>
        <w:t>decleared</w:t>
      </w:r>
      <w:proofErr w:type="spellEnd"/>
      <w:r w:rsidRPr="00EF4FC7">
        <w:rPr>
          <w:rFonts w:ascii="Times New Roman" w:eastAsia="Times New Roman" w:hAnsi="Times New Roman" w:cs="Times New Roman"/>
          <w:kern w:val="0"/>
          <w14:ligatures w14:val="none"/>
        </w:rPr>
        <w:t xml:space="preserve"> that they have no known competing financial interests or non-financial interest or personal relationships that could have appeared to influence the work reported in this paper.</w:t>
      </w:r>
    </w:p>
    <w:p w14:paraId="7D0FFCDF" w14:textId="6382FFC7" w:rsidR="00EF1B82" w:rsidRPr="008B7B0E" w:rsidRDefault="008B7B0E" w:rsidP="006760FA">
      <w:pPr>
        <w:pStyle w:val="ds-markdown-paragraph"/>
        <w:shd w:val="clear" w:color="auto" w:fill="FFFFFF"/>
        <w:spacing w:before="0" w:beforeAutospacing="0"/>
        <w:jc w:val="both"/>
        <w:rPr>
          <w:b/>
          <w:bCs/>
        </w:rPr>
      </w:pPr>
      <w:r w:rsidRPr="008B7B0E">
        <w:rPr>
          <w:b/>
          <w:bCs/>
        </w:rPr>
        <w:t>REFERENCE</w:t>
      </w:r>
    </w:p>
    <w:p w14:paraId="1CE192BA" w14:textId="4370DE6B" w:rsidR="008B7B0E" w:rsidRPr="008B7B0E" w:rsidRDefault="008B7B0E" w:rsidP="008B7B0E">
      <w:pPr>
        <w:pStyle w:val="ds-markdown-paragraph"/>
        <w:shd w:val="clear" w:color="auto" w:fill="FFFFFF"/>
        <w:spacing w:before="0" w:beforeAutospacing="0" w:after="0" w:afterAutospacing="0"/>
        <w:ind w:left="709" w:hanging="709"/>
        <w:jc w:val="both"/>
      </w:pPr>
      <w:r w:rsidRPr="008B7B0E">
        <w:t xml:space="preserve">Ahn, H.-K., Hauff, S., &amp; </w:t>
      </w:r>
      <w:proofErr w:type="spellStart"/>
      <w:r w:rsidRPr="008B7B0E">
        <w:t>Breuil</w:t>
      </w:r>
      <w:proofErr w:type="spellEnd"/>
      <w:r w:rsidRPr="008B7B0E">
        <w:t xml:space="preserve">, C. (2016). Cloning and characterization of a NADPH-dependent hydroxybenzaldehyde reductase involved in the oxidative stress response of the lignin-degrading basidiomycete </w:t>
      </w:r>
      <w:proofErr w:type="spellStart"/>
      <w:r w:rsidRPr="008B7B0E">
        <w:t>Phanerochaete</w:t>
      </w:r>
      <w:proofErr w:type="spellEnd"/>
      <w:r w:rsidRPr="008B7B0E">
        <w:t xml:space="preserve"> </w:t>
      </w:r>
      <w:proofErr w:type="spellStart"/>
      <w:r w:rsidRPr="008B7B0E">
        <w:t>chrysosporium</w:t>
      </w:r>
      <w:proofErr w:type="spellEnd"/>
      <w:r w:rsidRPr="008B7B0E">
        <w:t>. </w:t>
      </w:r>
      <w:r w:rsidRPr="008B7B0E">
        <w:rPr>
          <w:rStyle w:val="Emphasis"/>
          <w:rFonts w:eastAsiaTheme="majorEastAsia"/>
        </w:rPr>
        <w:t>Applied Microbiology and Biotechnology, 100</w:t>
      </w:r>
      <w:r w:rsidRPr="008B7B0E">
        <w:t xml:space="preserve">(21), 9233-9244.  </w:t>
      </w:r>
    </w:p>
    <w:p w14:paraId="14C6B33A" w14:textId="2615B28B" w:rsidR="008B7B0E" w:rsidRPr="008B7B0E" w:rsidRDefault="008B7B0E" w:rsidP="008B7B0E">
      <w:pPr>
        <w:pStyle w:val="ds-markdown-paragraph"/>
        <w:shd w:val="clear" w:color="auto" w:fill="FFFFFF"/>
        <w:spacing w:before="0" w:beforeAutospacing="0" w:after="0" w:afterAutospacing="0"/>
        <w:ind w:left="709" w:hanging="709"/>
        <w:jc w:val="both"/>
      </w:pPr>
      <w:r w:rsidRPr="008B7B0E">
        <w:t>Angel, R., Claus, P., &amp; Conrad, R. (2012). Methanogenic archaea are globally ubiquitous in aerated soils and become active under wet anoxic conditions. </w:t>
      </w:r>
      <w:r w:rsidRPr="008B7B0E">
        <w:rPr>
          <w:rStyle w:val="Emphasis"/>
          <w:rFonts w:eastAsiaTheme="majorEastAsia"/>
        </w:rPr>
        <w:t>Nature Climate Change, 2</w:t>
      </w:r>
      <w:r w:rsidRPr="008B7B0E">
        <w:t xml:space="preserve">(5), 322-326 </w:t>
      </w:r>
    </w:p>
    <w:p w14:paraId="25D680C1" w14:textId="2D1BA9C1" w:rsidR="008B7B0E" w:rsidRPr="008B7B0E" w:rsidRDefault="008B7B0E" w:rsidP="008B7B0E">
      <w:pPr>
        <w:pStyle w:val="ds-markdown-paragraph"/>
        <w:shd w:val="clear" w:color="auto" w:fill="FFFFFF"/>
        <w:spacing w:before="0" w:beforeAutospacing="0" w:after="0" w:afterAutospacing="0"/>
        <w:ind w:left="709" w:hanging="709"/>
        <w:jc w:val="both"/>
      </w:pPr>
      <w:r w:rsidRPr="008B7B0E">
        <w:t xml:space="preserve">Bahram, M., Hildebrand, F., Forslund, S. K., Anderson, J. L., </w:t>
      </w:r>
      <w:proofErr w:type="spellStart"/>
      <w:r w:rsidRPr="008B7B0E">
        <w:t>Soudzilovskaia</w:t>
      </w:r>
      <w:proofErr w:type="spellEnd"/>
      <w:r w:rsidRPr="008B7B0E">
        <w:t xml:space="preserve">, N. A., </w:t>
      </w:r>
      <w:proofErr w:type="spellStart"/>
      <w:r w:rsidRPr="008B7B0E">
        <w:t>Bodegom</w:t>
      </w:r>
      <w:proofErr w:type="spellEnd"/>
      <w:r w:rsidRPr="008B7B0E">
        <w:t xml:space="preserve">, P. M., Bengtsson-Palme, J., </w:t>
      </w:r>
      <w:proofErr w:type="spellStart"/>
      <w:r w:rsidRPr="008B7B0E">
        <w:t>Anslan</w:t>
      </w:r>
      <w:proofErr w:type="spellEnd"/>
      <w:r w:rsidRPr="008B7B0E">
        <w:t>, S., Coelho, L. P., Harend, H., Huerta-</w:t>
      </w:r>
      <w:proofErr w:type="spellStart"/>
      <w:r w:rsidRPr="008B7B0E">
        <w:t>Cepas</w:t>
      </w:r>
      <w:proofErr w:type="spellEnd"/>
      <w:r w:rsidRPr="008B7B0E">
        <w:t xml:space="preserve">, J., Medema, M. H., Maltz, M. R., Mundra, S., Olsson, P. A., Pent, M., </w:t>
      </w:r>
      <w:proofErr w:type="spellStart"/>
      <w:r w:rsidRPr="008B7B0E">
        <w:t>Põlme</w:t>
      </w:r>
      <w:proofErr w:type="spellEnd"/>
      <w:r w:rsidRPr="008B7B0E">
        <w:t xml:space="preserve">, S., Sunagawa, S., Ryberg, M., </w:t>
      </w:r>
      <w:proofErr w:type="spellStart"/>
      <w:r w:rsidRPr="008B7B0E">
        <w:t>Tedersoo</w:t>
      </w:r>
      <w:proofErr w:type="spellEnd"/>
      <w:r w:rsidRPr="008B7B0E">
        <w:t>, L., &amp; Bork, P. (2018). Structure and function of the global topsoil microbiome. </w:t>
      </w:r>
      <w:r w:rsidRPr="008B7B0E">
        <w:rPr>
          <w:rStyle w:val="Emphasis"/>
          <w:rFonts w:eastAsiaTheme="majorEastAsia"/>
        </w:rPr>
        <w:t>Nature, 560</w:t>
      </w:r>
      <w:r w:rsidRPr="008B7B0E">
        <w:t>(7717), 233-237.</w:t>
      </w:r>
    </w:p>
    <w:p w14:paraId="311626EF" w14:textId="19C54811" w:rsidR="008B7B0E" w:rsidRPr="008B7B0E" w:rsidRDefault="008B7B0E" w:rsidP="008B7B0E">
      <w:pPr>
        <w:pStyle w:val="ds-markdown-paragraph"/>
        <w:shd w:val="clear" w:color="auto" w:fill="FFFFFF"/>
        <w:spacing w:before="0" w:beforeAutospacing="0" w:after="0" w:afterAutospacing="0"/>
        <w:ind w:left="709" w:hanging="709"/>
        <w:jc w:val="both"/>
      </w:pPr>
      <w:r w:rsidRPr="008B7B0E">
        <w:t xml:space="preserve">Baldrian, P., Kolařík, M., </w:t>
      </w:r>
      <w:proofErr w:type="spellStart"/>
      <w:r w:rsidRPr="008B7B0E">
        <w:t>Štursová</w:t>
      </w:r>
      <w:proofErr w:type="spellEnd"/>
      <w:r w:rsidRPr="008B7B0E">
        <w:t xml:space="preserve">, M., Kopecký, J., Valášková, V., </w:t>
      </w:r>
      <w:proofErr w:type="spellStart"/>
      <w:r w:rsidRPr="008B7B0E">
        <w:t>Větrovský</w:t>
      </w:r>
      <w:proofErr w:type="spellEnd"/>
      <w:r w:rsidRPr="008B7B0E">
        <w:t xml:space="preserve">, T., </w:t>
      </w:r>
      <w:proofErr w:type="spellStart"/>
      <w:r w:rsidRPr="008B7B0E">
        <w:t>Zifčáková</w:t>
      </w:r>
      <w:proofErr w:type="spellEnd"/>
      <w:r w:rsidRPr="008B7B0E">
        <w:t xml:space="preserve">, L., Šnajdr, J., </w:t>
      </w:r>
      <w:proofErr w:type="spellStart"/>
      <w:r w:rsidRPr="008B7B0E">
        <w:t>Rídl</w:t>
      </w:r>
      <w:proofErr w:type="spellEnd"/>
      <w:r w:rsidRPr="008B7B0E">
        <w:t xml:space="preserve">, J., Vlček, Č., &amp; </w:t>
      </w:r>
      <w:proofErr w:type="spellStart"/>
      <w:r w:rsidRPr="008B7B0E">
        <w:t>Voříšková</w:t>
      </w:r>
      <w:proofErr w:type="spellEnd"/>
      <w:r w:rsidRPr="008B7B0E">
        <w:t>, J. (2011). Active and total microbial communities in forest soil are largely different and highly stratified during decomposition. </w:t>
      </w:r>
      <w:r w:rsidRPr="008B7B0E">
        <w:rPr>
          <w:rStyle w:val="Emphasis"/>
          <w:rFonts w:eastAsiaTheme="majorEastAsia"/>
        </w:rPr>
        <w:t>Soil Biology and Biochemistry, 43</w:t>
      </w:r>
      <w:r w:rsidRPr="008B7B0E">
        <w:t xml:space="preserve">(9), 1968-1975.  </w:t>
      </w:r>
    </w:p>
    <w:p w14:paraId="39E068DB" w14:textId="406A6B9F" w:rsidR="008B7B0E" w:rsidRPr="008B7B0E" w:rsidRDefault="008B7B0E" w:rsidP="008B7B0E">
      <w:pPr>
        <w:pStyle w:val="ds-markdown-paragraph"/>
        <w:shd w:val="clear" w:color="auto" w:fill="FFFFFF"/>
        <w:spacing w:before="0" w:beforeAutospacing="0" w:after="0" w:afterAutospacing="0"/>
        <w:ind w:left="709" w:hanging="709"/>
        <w:jc w:val="both"/>
      </w:pPr>
      <w:r w:rsidRPr="008B7B0E">
        <w:t xml:space="preserve">Banerjee, S., Kirkby, C. A., Schmutter, D., Bissett, A., Kirkegaard, J. A., &amp; Richardson, A. E. (2019). Network analysis reveals functional redundancy and keystone taxa amongst </w:t>
      </w:r>
      <w:r w:rsidRPr="008B7B0E">
        <w:lastRenderedPageBreak/>
        <w:t>bacterial and fungal communities during organic matter decomposition in an arable soil. </w:t>
      </w:r>
      <w:r w:rsidRPr="008B7B0E">
        <w:rPr>
          <w:rStyle w:val="Emphasis"/>
          <w:rFonts w:eastAsiaTheme="majorEastAsia"/>
        </w:rPr>
        <w:t>Nature Communications, 10</w:t>
      </w:r>
      <w:r w:rsidRPr="008B7B0E">
        <w:t>(1), 1331</w:t>
      </w:r>
    </w:p>
    <w:p w14:paraId="71235EB7" w14:textId="65132633" w:rsidR="008B7B0E" w:rsidRPr="008B7B0E" w:rsidRDefault="008B7B0E" w:rsidP="008B7B0E">
      <w:pPr>
        <w:pStyle w:val="ds-markdown-paragraph"/>
        <w:shd w:val="clear" w:color="auto" w:fill="FFFFFF"/>
        <w:spacing w:before="0" w:beforeAutospacing="0" w:after="0" w:afterAutospacing="0"/>
        <w:ind w:left="709" w:hanging="709"/>
        <w:jc w:val="both"/>
      </w:pPr>
      <w:r w:rsidRPr="008B7B0E">
        <w:t xml:space="preserve">Banerjee, S., Walder, F., </w:t>
      </w:r>
      <w:proofErr w:type="spellStart"/>
      <w:r w:rsidRPr="008B7B0E">
        <w:t>Büchi</w:t>
      </w:r>
      <w:proofErr w:type="spellEnd"/>
      <w:r w:rsidRPr="008B7B0E">
        <w:t xml:space="preserve">, L., Meyer, M., Held, A. Y., </w:t>
      </w:r>
      <w:proofErr w:type="spellStart"/>
      <w:r w:rsidRPr="008B7B0E">
        <w:t>Gattinger</w:t>
      </w:r>
      <w:proofErr w:type="spellEnd"/>
      <w:r w:rsidRPr="008B7B0E">
        <w:t>, A., Keller, T., Charles, R., &amp; van der Heijden, M. G. A. (2018). Agricultural intensification reduces microbial network complexity and the abundance of keystone taxa in soils. </w:t>
      </w:r>
      <w:r w:rsidRPr="008B7B0E">
        <w:rPr>
          <w:rStyle w:val="Emphasis"/>
          <w:rFonts w:eastAsiaTheme="majorEastAsia"/>
        </w:rPr>
        <w:t>Nature Communications, 9</w:t>
      </w:r>
      <w:r w:rsidRPr="008B7B0E">
        <w:t xml:space="preserve">(1), 3039.  </w:t>
      </w:r>
    </w:p>
    <w:p w14:paraId="74F5856B" w14:textId="5693B598" w:rsidR="008B7B0E" w:rsidRPr="008B7B0E" w:rsidRDefault="008B7B0E" w:rsidP="008B7B0E">
      <w:pPr>
        <w:pStyle w:val="ds-markdown-paragraph"/>
        <w:shd w:val="clear" w:color="auto" w:fill="FFFFFF"/>
        <w:spacing w:before="0" w:beforeAutospacing="0" w:after="0" w:afterAutospacing="0"/>
        <w:ind w:left="709" w:hanging="709"/>
        <w:jc w:val="both"/>
      </w:pPr>
      <w:proofErr w:type="spellStart"/>
      <w:r w:rsidRPr="008B7B0E">
        <w:t>Barberán</w:t>
      </w:r>
      <w:proofErr w:type="spellEnd"/>
      <w:r w:rsidRPr="008B7B0E">
        <w:t>, A., Bates, S. T., Casamayor, E. O., &amp; Fierer, N. (2012). Using network analysis to explore co-occurrence patterns in soil microbial communities. </w:t>
      </w:r>
      <w:r w:rsidRPr="008B7B0E">
        <w:rPr>
          <w:rStyle w:val="Emphasis"/>
          <w:rFonts w:eastAsiaTheme="majorEastAsia"/>
        </w:rPr>
        <w:t>Proceedings of the National Academy of Sciences, 109</w:t>
      </w:r>
      <w:r w:rsidRPr="008B7B0E">
        <w:t xml:space="preserve">(52), 21390-21395.  </w:t>
      </w:r>
    </w:p>
    <w:p w14:paraId="0A0C4C4A" w14:textId="7BAA68A6" w:rsidR="008B7B0E" w:rsidRPr="008B7B0E" w:rsidRDefault="008B7B0E" w:rsidP="008B7B0E">
      <w:pPr>
        <w:pStyle w:val="ds-markdown-paragraph"/>
        <w:shd w:val="clear" w:color="auto" w:fill="FFFFFF"/>
        <w:spacing w:before="0" w:beforeAutospacing="0" w:after="0" w:afterAutospacing="0"/>
        <w:ind w:left="709" w:hanging="709"/>
        <w:jc w:val="both"/>
      </w:pPr>
      <w:proofErr w:type="spellStart"/>
      <w:r w:rsidRPr="008B7B0E">
        <w:t>Bödeker</w:t>
      </w:r>
      <w:proofErr w:type="spellEnd"/>
      <w:r w:rsidRPr="008B7B0E">
        <w:t>, I. T. M., Lindahl, B. D., Olson, Å., &amp; Clemmensen, K. E. (2016). Mycorrhizal and saprotrophic fungal guilds compete for the same organic substrates but affect decomposition differently. </w:t>
      </w:r>
      <w:r w:rsidRPr="008B7B0E">
        <w:rPr>
          <w:rStyle w:val="Emphasis"/>
          <w:rFonts w:eastAsiaTheme="majorEastAsia"/>
        </w:rPr>
        <w:t>New Phytologist, 209</w:t>
      </w:r>
      <w:r w:rsidRPr="008B7B0E">
        <w:t>(3), 1190-1204</w:t>
      </w:r>
    </w:p>
    <w:p w14:paraId="14D77473" w14:textId="537D9FBD" w:rsidR="008B7B0E" w:rsidRPr="008B7B0E" w:rsidRDefault="008B7B0E" w:rsidP="008B7B0E">
      <w:pPr>
        <w:pStyle w:val="ds-markdown-paragraph"/>
        <w:shd w:val="clear" w:color="auto" w:fill="FFFFFF"/>
        <w:spacing w:before="0" w:beforeAutospacing="0" w:after="0" w:afterAutospacing="0"/>
        <w:ind w:left="709" w:hanging="709"/>
        <w:jc w:val="both"/>
      </w:pPr>
      <w:r w:rsidRPr="008B7B0E">
        <w:t xml:space="preserve">Buckley, D. H., </w:t>
      </w:r>
      <w:proofErr w:type="spellStart"/>
      <w:r w:rsidRPr="008B7B0E">
        <w:t>Huangyutitham</w:t>
      </w:r>
      <w:proofErr w:type="spellEnd"/>
      <w:r w:rsidRPr="008B7B0E">
        <w:t xml:space="preserve">, V., Hsu, S.-F., &amp; Nelson, T. A. (2007). Stable isotope probing with 15N2 reveals novel </w:t>
      </w:r>
      <w:proofErr w:type="spellStart"/>
      <w:r w:rsidRPr="008B7B0E">
        <w:t>noncultivated</w:t>
      </w:r>
      <w:proofErr w:type="spellEnd"/>
      <w:r w:rsidRPr="008B7B0E">
        <w:t xml:space="preserve"> diazotrophs in soil. </w:t>
      </w:r>
      <w:r w:rsidRPr="008B7B0E">
        <w:rPr>
          <w:rStyle w:val="Emphasis"/>
          <w:rFonts w:eastAsiaTheme="majorEastAsia"/>
        </w:rPr>
        <w:t>Applied and Environmental Microbiology, 73</w:t>
      </w:r>
      <w:r w:rsidRPr="008B7B0E">
        <w:t>(10), 3197-3204</w:t>
      </w:r>
    </w:p>
    <w:p w14:paraId="289B10C8" w14:textId="05BB2F7B" w:rsidR="008B7B0E" w:rsidRPr="008B7B0E" w:rsidRDefault="008B7B0E" w:rsidP="008B7B0E">
      <w:pPr>
        <w:pStyle w:val="ds-markdown-paragraph"/>
        <w:shd w:val="clear" w:color="auto" w:fill="FFFFFF"/>
        <w:spacing w:before="0" w:beforeAutospacing="0" w:after="0" w:afterAutospacing="0"/>
        <w:ind w:left="709" w:hanging="709"/>
        <w:jc w:val="both"/>
      </w:pPr>
      <w:proofErr w:type="spellStart"/>
      <w:r w:rsidRPr="008B7B0E">
        <w:t>Bünemann</w:t>
      </w:r>
      <w:proofErr w:type="spellEnd"/>
      <w:r w:rsidRPr="008B7B0E">
        <w:t xml:space="preserve">, E. K., Bongiorno, G., Bai, Z., Creamer, R. E., De Deyn, G., de Goede, R., </w:t>
      </w:r>
      <w:proofErr w:type="spellStart"/>
      <w:r w:rsidRPr="008B7B0E">
        <w:t>Fleskens</w:t>
      </w:r>
      <w:proofErr w:type="spellEnd"/>
      <w:r w:rsidRPr="008B7B0E">
        <w:t xml:space="preserve">, L., </w:t>
      </w:r>
      <w:proofErr w:type="spellStart"/>
      <w:r w:rsidRPr="008B7B0E">
        <w:t>Geissen</w:t>
      </w:r>
      <w:proofErr w:type="spellEnd"/>
      <w:r w:rsidRPr="008B7B0E">
        <w:t xml:space="preserve">, V., Kuyper, T. W., </w:t>
      </w:r>
      <w:proofErr w:type="spellStart"/>
      <w:r w:rsidRPr="008B7B0E">
        <w:t>Mäder</w:t>
      </w:r>
      <w:proofErr w:type="spellEnd"/>
      <w:r w:rsidRPr="008B7B0E">
        <w:t xml:space="preserve">, P., </w:t>
      </w:r>
      <w:proofErr w:type="spellStart"/>
      <w:r w:rsidRPr="008B7B0E">
        <w:t>Pulleman</w:t>
      </w:r>
      <w:proofErr w:type="spellEnd"/>
      <w:r w:rsidRPr="008B7B0E">
        <w:t xml:space="preserve">, M., </w:t>
      </w:r>
      <w:proofErr w:type="spellStart"/>
      <w:r w:rsidRPr="008B7B0E">
        <w:t>Sukkel</w:t>
      </w:r>
      <w:proofErr w:type="spellEnd"/>
      <w:r w:rsidRPr="008B7B0E">
        <w:t xml:space="preserve">, W., van </w:t>
      </w:r>
      <w:proofErr w:type="spellStart"/>
      <w:r w:rsidRPr="008B7B0E">
        <w:t>Groenigen</w:t>
      </w:r>
      <w:proofErr w:type="spellEnd"/>
      <w:r w:rsidRPr="008B7B0E">
        <w:t xml:space="preserve">, J. W., &amp; </w:t>
      </w:r>
      <w:proofErr w:type="spellStart"/>
      <w:r w:rsidRPr="008B7B0E">
        <w:t>Brussaard</w:t>
      </w:r>
      <w:proofErr w:type="spellEnd"/>
      <w:r w:rsidRPr="008B7B0E">
        <w:t>, L. (2018). Soil quality - A critical review. </w:t>
      </w:r>
      <w:r w:rsidRPr="008B7B0E">
        <w:rPr>
          <w:rStyle w:val="Emphasis"/>
          <w:rFonts w:eastAsiaTheme="majorEastAsia"/>
        </w:rPr>
        <w:t>Soil Biology and Biochemistry, 120</w:t>
      </w:r>
      <w:r w:rsidRPr="008B7B0E">
        <w:t xml:space="preserve">, 105-125.  </w:t>
      </w:r>
    </w:p>
    <w:p w14:paraId="5FDF9A8D" w14:textId="590D6110" w:rsidR="008B7B0E" w:rsidRPr="008B7B0E" w:rsidRDefault="008B7B0E" w:rsidP="008B7B0E">
      <w:pPr>
        <w:pStyle w:val="ds-markdown-paragraph"/>
        <w:shd w:val="clear" w:color="auto" w:fill="FFFFFF"/>
        <w:spacing w:before="0" w:beforeAutospacing="0" w:after="0" w:afterAutospacing="0"/>
        <w:ind w:left="709" w:hanging="709"/>
        <w:jc w:val="both"/>
      </w:pPr>
      <w:r w:rsidRPr="008B7B0E">
        <w:t xml:space="preserve">Burns, R. G., </w:t>
      </w:r>
      <w:proofErr w:type="spellStart"/>
      <w:r w:rsidRPr="008B7B0E">
        <w:t>DeForest</w:t>
      </w:r>
      <w:proofErr w:type="spellEnd"/>
      <w:r w:rsidRPr="008B7B0E">
        <w:t xml:space="preserve">, J. L., Marxsen, J., Sinsabaugh, R. L., Stromberger, M. E., Wallenstein, M. D., Weintraub, M. N., &amp; </w:t>
      </w:r>
      <w:proofErr w:type="spellStart"/>
      <w:r w:rsidRPr="008B7B0E">
        <w:t>Zoppini</w:t>
      </w:r>
      <w:proofErr w:type="spellEnd"/>
      <w:r w:rsidRPr="008B7B0E">
        <w:t>, A. (2013). Soil enzymes in a changing environment: Current knowledge and future directions. </w:t>
      </w:r>
      <w:r w:rsidRPr="008B7B0E">
        <w:rPr>
          <w:rStyle w:val="Emphasis"/>
          <w:rFonts w:eastAsiaTheme="majorEastAsia"/>
        </w:rPr>
        <w:t>Soil Biology and Biochemistry, 58</w:t>
      </w:r>
      <w:r w:rsidRPr="008B7B0E">
        <w:t xml:space="preserve">, 216-234.  </w:t>
      </w:r>
    </w:p>
    <w:p w14:paraId="20390185" w14:textId="5FDCD0AE" w:rsidR="008B7B0E" w:rsidRPr="008B7B0E" w:rsidRDefault="008B7B0E" w:rsidP="008B7B0E">
      <w:pPr>
        <w:pStyle w:val="ds-markdown-paragraph"/>
        <w:shd w:val="clear" w:color="auto" w:fill="FFFFFF"/>
        <w:spacing w:before="0" w:beforeAutospacing="0" w:after="0" w:afterAutospacing="0"/>
        <w:ind w:left="709" w:hanging="709"/>
        <w:jc w:val="both"/>
      </w:pPr>
      <w:r w:rsidRPr="008B7B0E">
        <w:t>Chen, J. S., Ma, E., Harrington, L. B., Da Costa, M., Tian, X., Palefsky, J. M., &amp; Doudna, J. A. (2020). CRISPR-Cas12a target binding unleashes indiscriminate single-stranded DNase activity. </w:t>
      </w:r>
      <w:r w:rsidRPr="008B7B0E">
        <w:rPr>
          <w:rStyle w:val="Emphasis"/>
          <w:rFonts w:eastAsiaTheme="majorEastAsia"/>
        </w:rPr>
        <w:t>Science Advances, 6</w:t>
      </w:r>
      <w:r w:rsidRPr="008B7B0E">
        <w:t xml:space="preserve">(37), eabc6246.  </w:t>
      </w:r>
    </w:p>
    <w:p w14:paraId="45FC0D2E" w14:textId="3D21816D" w:rsidR="008B7B0E" w:rsidRPr="008B7B0E" w:rsidRDefault="008B7B0E" w:rsidP="008B7B0E">
      <w:pPr>
        <w:pStyle w:val="ds-markdown-paragraph"/>
        <w:shd w:val="clear" w:color="auto" w:fill="FFFFFF"/>
        <w:spacing w:before="0" w:beforeAutospacing="0" w:after="0" w:afterAutospacing="0"/>
        <w:ind w:left="709" w:hanging="709"/>
        <w:jc w:val="both"/>
      </w:pPr>
      <w:r w:rsidRPr="008B7B0E">
        <w:t>Chen, J., Wang, Y., Zhang, X., &amp; Liu, Y. (2023). Sustainable food systems through microbial engineering. </w:t>
      </w:r>
      <w:r w:rsidRPr="008B7B0E">
        <w:rPr>
          <w:rStyle w:val="Emphasis"/>
          <w:rFonts w:eastAsiaTheme="majorEastAsia"/>
        </w:rPr>
        <w:t>Nature Food, 4</w:t>
      </w:r>
      <w:r w:rsidRPr="008B7B0E">
        <w:t xml:space="preserve">, 456-467.  </w:t>
      </w:r>
    </w:p>
    <w:p w14:paraId="71926A96" w14:textId="412959CB" w:rsidR="008B7B0E" w:rsidRPr="008B7B0E" w:rsidRDefault="008B7B0E" w:rsidP="008B7B0E">
      <w:pPr>
        <w:pStyle w:val="ds-markdown-paragraph"/>
        <w:shd w:val="clear" w:color="auto" w:fill="FFFFFF"/>
        <w:spacing w:before="0" w:beforeAutospacing="0" w:after="0" w:afterAutospacing="0"/>
        <w:ind w:left="709" w:hanging="709"/>
        <w:jc w:val="both"/>
      </w:pPr>
      <w:proofErr w:type="spellStart"/>
      <w:r w:rsidRPr="008B7B0E">
        <w:t>Chimusa</w:t>
      </w:r>
      <w:proofErr w:type="spellEnd"/>
      <w:r w:rsidRPr="008B7B0E">
        <w:t xml:space="preserve">, E. R., Mbiyavanga, M., </w:t>
      </w:r>
      <w:proofErr w:type="spellStart"/>
      <w:r w:rsidRPr="008B7B0E">
        <w:t>Mazandu</w:t>
      </w:r>
      <w:proofErr w:type="spellEnd"/>
      <w:r w:rsidRPr="008B7B0E">
        <w:t>, G. K., &amp; Mulder, N. J. (2020). A roadmap for the African computational genomics research ecosystem. </w:t>
      </w:r>
      <w:r w:rsidRPr="008B7B0E">
        <w:rPr>
          <w:rStyle w:val="Emphasis"/>
          <w:rFonts w:eastAsiaTheme="majorEastAsia"/>
        </w:rPr>
        <w:t>Nature Genetics, 52</w:t>
      </w:r>
      <w:r w:rsidRPr="008B7B0E">
        <w:t xml:space="preserve">(11), 1169-1176.  </w:t>
      </w:r>
    </w:p>
    <w:p w14:paraId="190FE445" w14:textId="7FB2223A" w:rsidR="008B7B0E" w:rsidRPr="008B7B0E" w:rsidRDefault="008B7B0E" w:rsidP="008B7B0E">
      <w:pPr>
        <w:pStyle w:val="ds-markdown-paragraph"/>
        <w:shd w:val="clear" w:color="auto" w:fill="FFFFFF"/>
        <w:spacing w:before="0" w:beforeAutospacing="0" w:after="0" w:afterAutospacing="0"/>
        <w:ind w:left="709" w:hanging="709"/>
        <w:jc w:val="both"/>
      </w:pPr>
      <w:r w:rsidRPr="008B7B0E">
        <w:t xml:space="preserve">Delgado-Baquerizo, M., Reich, P. B., Trivedi, C., Eldridge, D. J., </w:t>
      </w:r>
      <w:proofErr w:type="spellStart"/>
      <w:r w:rsidRPr="008B7B0E">
        <w:t>Abades</w:t>
      </w:r>
      <w:proofErr w:type="spellEnd"/>
      <w:r w:rsidRPr="008B7B0E">
        <w:t xml:space="preserve">, S., Alfaro, F. D., Bastida, F., Berhe, A. A., Cutler, N. A., Gallardo, A., García-Velázquez, L., Hart, S. C., Hayes, P. E., He, J.-Z., </w:t>
      </w:r>
      <w:proofErr w:type="spellStart"/>
      <w:r w:rsidRPr="008B7B0E">
        <w:t>Hseu</w:t>
      </w:r>
      <w:proofErr w:type="spellEnd"/>
      <w:r w:rsidRPr="008B7B0E">
        <w:t xml:space="preserve">, Z.-Y., Hu, H.-W., </w:t>
      </w:r>
      <w:proofErr w:type="spellStart"/>
      <w:r w:rsidRPr="008B7B0E">
        <w:t>Kirchmair</w:t>
      </w:r>
      <w:proofErr w:type="spellEnd"/>
      <w:r w:rsidRPr="008B7B0E">
        <w:t>, M., Neuhauser, S., Pérez, C. A., ... Singh, B. K. (2020). Multiple elements of soil biodiversity drive ecosystem functions across biomes. </w:t>
      </w:r>
      <w:r w:rsidRPr="008B7B0E">
        <w:rPr>
          <w:rStyle w:val="Emphasis"/>
          <w:rFonts w:eastAsiaTheme="majorEastAsia"/>
        </w:rPr>
        <w:t>Nature Communications, 11</w:t>
      </w:r>
      <w:r w:rsidRPr="008B7B0E">
        <w:t xml:space="preserve">(1), 3482.  </w:t>
      </w:r>
    </w:p>
    <w:p w14:paraId="11B4F493" w14:textId="4CF91C67" w:rsidR="008B7B0E" w:rsidRPr="008B7B0E" w:rsidRDefault="008B7B0E" w:rsidP="008B7B0E">
      <w:pPr>
        <w:pStyle w:val="ds-markdown-paragraph"/>
        <w:shd w:val="clear" w:color="auto" w:fill="FFFFFF"/>
        <w:spacing w:before="0" w:beforeAutospacing="0" w:after="0" w:afterAutospacing="0"/>
        <w:ind w:left="709" w:hanging="709"/>
        <w:jc w:val="both"/>
      </w:pPr>
      <w:r w:rsidRPr="008B7B0E">
        <w:t>Dick, R. P., Breakwell, D. P., &amp; Turco, R. F. (2018). Soil enzyme activities and biodiversity measurements as integrative microbiological indicators. </w:t>
      </w:r>
      <w:r w:rsidRPr="008B7B0E">
        <w:rPr>
          <w:rStyle w:val="Emphasis"/>
          <w:rFonts w:eastAsiaTheme="majorEastAsia"/>
        </w:rPr>
        <w:t>Soil Biology and Biochemistry, 122</w:t>
      </w:r>
      <w:r w:rsidRPr="008B7B0E">
        <w:t xml:space="preserve">, 137-146.  </w:t>
      </w:r>
    </w:p>
    <w:p w14:paraId="66176625" w14:textId="6464F76C" w:rsidR="008B7B0E" w:rsidRPr="008B7B0E" w:rsidRDefault="008B7B0E" w:rsidP="008B7B0E">
      <w:pPr>
        <w:pStyle w:val="ds-markdown-paragraph"/>
        <w:shd w:val="clear" w:color="auto" w:fill="FFFFFF"/>
        <w:spacing w:before="0" w:beforeAutospacing="0" w:after="0" w:afterAutospacing="0"/>
        <w:ind w:left="709" w:hanging="709"/>
        <w:jc w:val="both"/>
      </w:pPr>
      <w:r w:rsidRPr="008B7B0E">
        <w:t>Dumont, M. G., &amp; Murrell, J. C. (2005). Stable isotope probing — linking microbial identity to function. </w:t>
      </w:r>
      <w:r w:rsidRPr="008B7B0E">
        <w:rPr>
          <w:rStyle w:val="Emphasis"/>
          <w:rFonts w:eastAsiaTheme="majorEastAsia"/>
        </w:rPr>
        <w:t>Nature Reviews Microbiology, 3</w:t>
      </w:r>
      <w:r w:rsidRPr="008B7B0E">
        <w:t xml:space="preserve">(6), 499-504.  </w:t>
      </w:r>
    </w:p>
    <w:p w14:paraId="2AB682DE" w14:textId="6E3634AC" w:rsidR="008B7B0E" w:rsidRPr="008B7B0E" w:rsidRDefault="008B7B0E" w:rsidP="008B7B0E">
      <w:pPr>
        <w:pStyle w:val="ds-markdown-paragraph"/>
        <w:shd w:val="clear" w:color="auto" w:fill="FFFFFF"/>
        <w:spacing w:before="0" w:beforeAutospacing="0" w:after="0" w:afterAutospacing="0"/>
        <w:ind w:left="709" w:hanging="709"/>
        <w:jc w:val="both"/>
      </w:pPr>
      <w:r w:rsidRPr="008B7B0E">
        <w:t xml:space="preserve">European Commission. (2023). Proposal for a directive on soil monitoring and resilience (COM/2023/152 final). Official Journal of the European Union.  </w:t>
      </w:r>
    </w:p>
    <w:p w14:paraId="36C747EE" w14:textId="0DE269BF" w:rsidR="008B7B0E" w:rsidRPr="008B7B0E" w:rsidRDefault="008B7B0E" w:rsidP="008B7B0E">
      <w:pPr>
        <w:pStyle w:val="ds-markdown-paragraph"/>
        <w:shd w:val="clear" w:color="auto" w:fill="FFFFFF"/>
        <w:spacing w:before="0" w:beforeAutospacing="0" w:after="0" w:afterAutospacing="0"/>
        <w:ind w:left="709" w:hanging="709"/>
        <w:jc w:val="both"/>
      </w:pPr>
      <w:r w:rsidRPr="008B7B0E">
        <w:t>Fierer, N. (2017). Embracing the unknown: Disentangling the complexities of the soil microbiome. </w:t>
      </w:r>
      <w:proofErr w:type="spellStart"/>
      <w:r w:rsidRPr="008B7B0E">
        <w:rPr>
          <w:rStyle w:val="Emphasis"/>
          <w:rFonts w:eastAsiaTheme="majorEastAsia"/>
        </w:rPr>
        <w:t>mSystems</w:t>
      </w:r>
      <w:proofErr w:type="spellEnd"/>
      <w:r w:rsidRPr="008B7B0E">
        <w:rPr>
          <w:rStyle w:val="Emphasis"/>
          <w:rFonts w:eastAsiaTheme="majorEastAsia"/>
        </w:rPr>
        <w:t>, 2</w:t>
      </w:r>
      <w:r w:rsidRPr="008B7B0E">
        <w:t>(3), e00162-16.</w:t>
      </w:r>
    </w:p>
    <w:p w14:paraId="161F41AA" w14:textId="0110862D" w:rsidR="008B7B0E" w:rsidRPr="008B7B0E" w:rsidRDefault="008B7B0E" w:rsidP="008B7B0E">
      <w:pPr>
        <w:pStyle w:val="ds-markdown-paragraph"/>
        <w:shd w:val="clear" w:color="auto" w:fill="FFFFFF"/>
        <w:spacing w:before="0" w:beforeAutospacing="0" w:after="0" w:afterAutospacing="0"/>
        <w:ind w:left="709" w:hanging="709"/>
        <w:jc w:val="both"/>
      </w:pPr>
      <w:r w:rsidRPr="008B7B0E">
        <w:t>Fierer, N., Bradford, M. A., &amp; Jackson, R. B. (2007). Toward an ecological classification of soil bacteria. </w:t>
      </w:r>
      <w:r w:rsidRPr="008B7B0E">
        <w:rPr>
          <w:rStyle w:val="Emphasis"/>
          <w:rFonts w:eastAsiaTheme="majorEastAsia"/>
        </w:rPr>
        <w:t>Applied and Environmental Microbiology, 73</w:t>
      </w:r>
      <w:r w:rsidRPr="008B7B0E">
        <w:t xml:space="preserve">(21), 7059-7066.  </w:t>
      </w:r>
    </w:p>
    <w:p w14:paraId="4826E62E" w14:textId="56FDD26B" w:rsidR="008B7B0E" w:rsidRPr="008B7B0E" w:rsidRDefault="008B7B0E" w:rsidP="008B7B0E">
      <w:pPr>
        <w:pStyle w:val="ds-markdown-paragraph"/>
        <w:shd w:val="clear" w:color="auto" w:fill="FFFFFF"/>
        <w:spacing w:before="0" w:beforeAutospacing="0" w:after="0" w:afterAutospacing="0"/>
        <w:ind w:left="709" w:hanging="709"/>
        <w:jc w:val="both"/>
      </w:pPr>
      <w:r w:rsidRPr="008B7B0E">
        <w:lastRenderedPageBreak/>
        <w:t>Fierer, N., Leff, J. W., Adams, B. J., Nielsen, U. N., Bates, S. T., Lauber, C. L., Owens, S., Gilbert, J. A., Wall, D. H., &amp; Caporaso, J. G. (2012). Cross-biome metagenomic analyses of soil microbial communities and their functional attributes. </w:t>
      </w:r>
      <w:r w:rsidRPr="008B7B0E">
        <w:rPr>
          <w:rStyle w:val="Emphasis"/>
          <w:rFonts w:eastAsiaTheme="majorEastAsia"/>
        </w:rPr>
        <w:t>Proceedings of the National Academy of Sciences, 109</w:t>
      </w:r>
      <w:r w:rsidRPr="008B7B0E">
        <w:t xml:space="preserve">(52), 21390-21395.  </w:t>
      </w:r>
    </w:p>
    <w:p w14:paraId="1759613C" w14:textId="209F7019" w:rsidR="008B7B0E" w:rsidRPr="008B7B0E" w:rsidRDefault="008B7B0E" w:rsidP="008B7B0E">
      <w:pPr>
        <w:pStyle w:val="ds-markdown-paragraph"/>
        <w:shd w:val="clear" w:color="auto" w:fill="FFFFFF"/>
        <w:spacing w:before="0" w:beforeAutospacing="0" w:after="0" w:afterAutospacing="0"/>
        <w:ind w:left="709" w:hanging="709"/>
        <w:jc w:val="both"/>
      </w:pPr>
      <w:r w:rsidRPr="008B7B0E">
        <w:t xml:space="preserve">Fierer, N., Strickland, M. S., </w:t>
      </w:r>
      <w:proofErr w:type="spellStart"/>
      <w:r w:rsidRPr="008B7B0E">
        <w:t>Liptzin</w:t>
      </w:r>
      <w:proofErr w:type="spellEnd"/>
      <w:r w:rsidRPr="008B7B0E">
        <w:t>, D., Bradford, M. A., &amp; Cleveland, C. C. (2009). Global patterns in belowground communities. </w:t>
      </w:r>
      <w:r w:rsidRPr="008B7B0E">
        <w:rPr>
          <w:rStyle w:val="Emphasis"/>
          <w:rFonts w:eastAsiaTheme="majorEastAsia"/>
        </w:rPr>
        <w:t>Global Ecology and Biogeography, 18</w:t>
      </w:r>
      <w:r w:rsidRPr="008B7B0E">
        <w:t xml:space="preserve">(5), 649-659.  </w:t>
      </w:r>
    </w:p>
    <w:p w14:paraId="5AF3EB33" w14:textId="45DAC31E" w:rsidR="008B7B0E" w:rsidRPr="008B7B0E" w:rsidRDefault="008B7B0E" w:rsidP="008B7B0E">
      <w:pPr>
        <w:pStyle w:val="ds-markdown-paragraph"/>
        <w:shd w:val="clear" w:color="auto" w:fill="FFFFFF"/>
        <w:spacing w:before="0" w:beforeAutospacing="0" w:after="0" w:afterAutospacing="0"/>
        <w:ind w:left="709" w:hanging="709"/>
        <w:jc w:val="both"/>
      </w:pPr>
      <w:r w:rsidRPr="008B7B0E">
        <w:t>Fierer, N., Wood, S. A., &amp; de Mesquita, C. P. B. (2021). How microbes can, and cannot, be used to assess soil health. </w:t>
      </w:r>
      <w:r w:rsidRPr="008B7B0E">
        <w:rPr>
          <w:rStyle w:val="Emphasis"/>
          <w:rFonts w:eastAsiaTheme="majorEastAsia"/>
        </w:rPr>
        <w:t>Nature Communications, 12</w:t>
      </w:r>
      <w:r w:rsidRPr="008B7B0E">
        <w:t xml:space="preserve">(1), 1-9.  </w:t>
      </w:r>
    </w:p>
    <w:p w14:paraId="5A92EA67" w14:textId="436670CD" w:rsidR="008B7B0E" w:rsidRPr="008B7B0E" w:rsidRDefault="008B7B0E" w:rsidP="008B7B0E">
      <w:pPr>
        <w:pStyle w:val="ds-markdown-paragraph"/>
        <w:shd w:val="clear" w:color="auto" w:fill="FFFFFF"/>
        <w:spacing w:before="0" w:beforeAutospacing="0" w:after="0" w:afterAutospacing="0"/>
        <w:ind w:left="709" w:hanging="709"/>
        <w:jc w:val="both"/>
      </w:pPr>
      <w:r w:rsidRPr="008B7B0E">
        <w:t xml:space="preserve">Fish, J. A., Chai, B., Wang, Q., Sun, Y., Brown, C. T., Tiedje, J. M., &amp; Cole, J. R. (2013). </w:t>
      </w:r>
      <w:proofErr w:type="spellStart"/>
      <w:r w:rsidRPr="008B7B0E">
        <w:t>FunGene</w:t>
      </w:r>
      <w:proofErr w:type="spellEnd"/>
      <w:r w:rsidRPr="008B7B0E">
        <w:t>: The functional gene pipeline and repository. </w:t>
      </w:r>
      <w:r w:rsidRPr="008B7B0E">
        <w:rPr>
          <w:rStyle w:val="Emphasis"/>
          <w:rFonts w:eastAsiaTheme="majorEastAsia"/>
        </w:rPr>
        <w:t>Nucleic Acids Research, 41</w:t>
      </w:r>
      <w:r w:rsidRPr="008B7B0E">
        <w:t xml:space="preserve">(D1), D590-D596. </w:t>
      </w:r>
    </w:p>
    <w:p w14:paraId="51375A51" w14:textId="5A294D29" w:rsidR="008B7B0E" w:rsidRPr="008B7B0E" w:rsidRDefault="008B7B0E" w:rsidP="008B7B0E">
      <w:pPr>
        <w:pStyle w:val="ds-markdown-paragraph"/>
        <w:shd w:val="clear" w:color="auto" w:fill="FFFFFF"/>
        <w:spacing w:before="0" w:beforeAutospacing="0" w:after="0" w:afterAutospacing="0"/>
        <w:ind w:left="709" w:hanging="709"/>
        <w:jc w:val="both"/>
      </w:pPr>
      <w:r w:rsidRPr="008B7B0E">
        <w:t>Food and Agriculture Organization of the United Nations. (2020). </w:t>
      </w:r>
      <w:r w:rsidRPr="008B7B0E">
        <w:rPr>
          <w:rStyle w:val="Emphasis"/>
          <w:rFonts w:eastAsiaTheme="majorEastAsia"/>
        </w:rPr>
        <w:t>State of knowledge of soil biodiversity: Status, challenges and potentialities</w:t>
      </w:r>
      <w:r w:rsidRPr="008B7B0E">
        <w:t xml:space="preserve"> (Report No. 978-92-5-133583-3. </w:t>
      </w:r>
    </w:p>
    <w:p w14:paraId="5390BAA7" w14:textId="00769D0A" w:rsidR="008B7B0E" w:rsidRPr="008B7B0E" w:rsidRDefault="008B7B0E" w:rsidP="008B7B0E">
      <w:pPr>
        <w:pStyle w:val="ds-markdown-paragraph"/>
        <w:shd w:val="clear" w:color="auto" w:fill="FFFFFF"/>
        <w:spacing w:before="0" w:beforeAutospacing="0" w:after="0" w:afterAutospacing="0"/>
        <w:ind w:left="709" w:hanging="709"/>
        <w:jc w:val="both"/>
      </w:pPr>
      <w:r w:rsidRPr="008B7B0E">
        <w:t xml:space="preserve">Fraser, T. D., Lynch, D. H., Bent, E., Entz, M. H., &amp; Dunfield, K. E. (2015). Soil bacterial </w:t>
      </w:r>
      <w:proofErr w:type="spellStart"/>
      <w:r w:rsidRPr="008B7B0E">
        <w:t>phoD</w:t>
      </w:r>
      <w:proofErr w:type="spellEnd"/>
      <w:r w:rsidRPr="008B7B0E">
        <w:t xml:space="preserve"> gene abundance and expression in response to applied phosphorus and long-term management. </w:t>
      </w:r>
      <w:r w:rsidRPr="008B7B0E">
        <w:rPr>
          <w:rStyle w:val="Emphasis"/>
          <w:rFonts w:eastAsiaTheme="majorEastAsia"/>
        </w:rPr>
        <w:t>Frontiers in Microbiology, 6</w:t>
      </w:r>
      <w:r w:rsidRPr="008B7B0E">
        <w:t xml:space="preserve">, 745.  </w:t>
      </w:r>
    </w:p>
    <w:p w14:paraId="725581B7" w14:textId="1B9F5DD1" w:rsidR="008B7B0E" w:rsidRPr="008B7B0E" w:rsidRDefault="008B7B0E" w:rsidP="008B7B0E">
      <w:pPr>
        <w:pStyle w:val="ds-markdown-paragraph"/>
        <w:shd w:val="clear" w:color="auto" w:fill="FFFFFF"/>
        <w:spacing w:before="0" w:beforeAutospacing="0" w:after="0" w:afterAutospacing="0"/>
        <w:ind w:left="709" w:hanging="709"/>
        <w:jc w:val="both"/>
      </w:pPr>
      <w:proofErr w:type="spellStart"/>
      <w:r w:rsidRPr="008B7B0E">
        <w:t>Gootenberg</w:t>
      </w:r>
      <w:proofErr w:type="spellEnd"/>
      <w:r w:rsidRPr="008B7B0E">
        <w:t xml:space="preserve">, J. S., Abudayyeh, O. O., Lee, J. W., </w:t>
      </w:r>
      <w:proofErr w:type="spellStart"/>
      <w:r w:rsidRPr="008B7B0E">
        <w:t>Essletzbichler</w:t>
      </w:r>
      <w:proofErr w:type="spellEnd"/>
      <w:r w:rsidRPr="008B7B0E">
        <w:t xml:space="preserve">, P., Dy, A. J., Joung, J., Verdine, V., </w:t>
      </w:r>
      <w:proofErr w:type="spellStart"/>
      <w:r w:rsidRPr="008B7B0E">
        <w:t>Donghia</w:t>
      </w:r>
      <w:proofErr w:type="spellEnd"/>
      <w:r w:rsidRPr="008B7B0E">
        <w:t xml:space="preserve">, N., Daringer, N. M., Freije, C. A., Myhrvold, C., Bhattacharyya, R. P., </w:t>
      </w:r>
      <w:proofErr w:type="spellStart"/>
      <w:r w:rsidRPr="008B7B0E">
        <w:t>Livny</w:t>
      </w:r>
      <w:proofErr w:type="spellEnd"/>
      <w:r w:rsidRPr="008B7B0E">
        <w:t xml:space="preserve">, J., Regev, A., </w:t>
      </w:r>
      <w:proofErr w:type="spellStart"/>
      <w:r w:rsidRPr="008B7B0E">
        <w:t>Koonin</w:t>
      </w:r>
      <w:proofErr w:type="spellEnd"/>
      <w:r w:rsidRPr="008B7B0E">
        <w:t>, E. V., Hung, D. T., Sabeti, P. C., Collins, J. J., &amp; Zhang, F. (2017). Nucleic acid detection with CRISPR-Cas13a/C2c2. </w:t>
      </w:r>
      <w:r w:rsidRPr="008B7B0E">
        <w:rPr>
          <w:rStyle w:val="Emphasis"/>
          <w:rFonts w:eastAsiaTheme="majorEastAsia"/>
        </w:rPr>
        <w:t>Science, 356</w:t>
      </w:r>
      <w:r w:rsidRPr="008B7B0E">
        <w:t xml:space="preserve">(6336), 438-442.  </w:t>
      </w:r>
    </w:p>
    <w:p w14:paraId="555E3CA5" w14:textId="3CFD3E76" w:rsidR="008B7B0E" w:rsidRPr="008B7B0E" w:rsidRDefault="008B7B0E" w:rsidP="008B7B0E">
      <w:pPr>
        <w:pStyle w:val="ds-markdown-paragraph"/>
        <w:shd w:val="clear" w:color="auto" w:fill="FFFFFF"/>
        <w:spacing w:before="0" w:beforeAutospacing="0" w:after="0" w:afterAutospacing="0"/>
        <w:ind w:left="709" w:hanging="709"/>
        <w:jc w:val="both"/>
      </w:pPr>
      <w:r w:rsidRPr="008B7B0E">
        <w:t xml:space="preserve">Haiser, H. J., </w:t>
      </w:r>
      <w:proofErr w:type="spellStart"/>
      <w:r w:rsidRPr="008B7B0E">
        <w:t>Gootenberg</w:t>
      </w:r>
      <w:proofErr w:type="spellEnd"/>
      <w:r w:rsidRPr="008B7B0E">
        <w:t xml:space="preserve">, D. B., Chatman, K., </w:t>
      </w:r>
      <w:proofErr w:type="spellStart"/>
      <w:r w:rsidRPr="008B7B0E">
        <w:t>Sirasani</w:t>
      </w:r>
      <w:proofErr w:type="spellEnd"/>
      <w:r w:rsidRPr="008B7B0E">
        <w:t xml:space="preserve">, G., </w:t>
      </w:r>
      <w:proofErr w:type="spellStart"/>
      <w:r w:rsidRPr="008B7B0E">
        <w:t>Balskus</w:t>
      </w:r>
      <w:proofErr w:type="spellEnd"/>
      <w:r w:rsidRPr="008B7B0E">
        <w:t xml:space="preserve">, E. P., &amp; Turnbaugh, P. J. (2013). Predicting and manipulating cardiac drug inactivation by the human gut bacterium </w:t>
      </w:r>
      <w:proofErr w:type="spellStart"/>
      <w:r w:rsidRPr="008B7B0E">
        <w:t>Eggerthella</w:t>
      </w:r>
      <w:proofErr w:type="spellEnd"/>
      <w:r w:rsidRPr="008B7B0E">
        <w:t xml:space="preserve"> </w:t>
      </w:r>
      <w:proofErr w:type="spellStart"/>
      <w:r w:rsidRPr="008B7B0E">
        <w:t>lenta</w:t>
      </w:r>
      <w:proofErr w:type="spellEnd"/>
      <w:r w:rsidRPr="008B7B0E">
        <w:t>. </w:t>
      </w:r>
      <w:r w:rsidRPr="008B7B0E">
        <w:rPr>
          <w:rStyle w:val="Emphasis"/>
          <w:rFonts w:eastAsiaTheme="majorEastAsia"/>
        </w:rPr>
        <w:t>Science, 340</w:t>
      </w:r>
      <w:r w:rsidRPr="008B7B0E">
        <w:t xml:space="preserve">(6133), 263-266.  </w:t>
      </w:r>
    </w:p>
    <w:p w14:paraId="1B4966D4" w14:textId="19AEE00F" w:rsidR="008B7B0E" w:rsidRPr="008B7B0E" w:rsidRDefault="008B7B0E" w:rsidP="008B7B0E">
      <w:pPr>
        <w:pStyle w:val="ds-markdown-paragraph"/>
        <w:shd w:val="clear" w:color="auto" w:fill="FFFFFF"/>
        <w:spacing w:before="0" w:beforeAutospacing="0" w:after="0" w:afterAutospacing="0"/>
        <w:ind w:left="709" w:hanging="709"/>
        <w:jc w:val="both"/>
      </w:pPr>
      <w:r w:rsidRPr="008B7B0E">
        <w:t>Hallin, S., Philippot, L., Löffler, F. E., Sanford, R. A., &amp; Jones, C. M. (2018). Genomics and ecology of novel N2O-reducing microorganisms. </w:t>
      </w:r>
      <w:r w:rsidRPr="008B7B0E">
        <w:rPr>
          <w:rStyle w:val="Emphasis"/>
          <w:rFonts w:eastAsiaTheme="majorEastAsia"/>
        </w:rPr>
        <w:t>Nature Reviews Microbiology, 16</w:t>
      </w:r>
      <w:r w:rsidRPr="008B7B0E">
        <w:t xml:space="preserve">(5), 263-276.  </w:t>
      </w:r>
    </w:p>
    <w:p w14:paraId="69FA812B" w14:textId="0C71C8B2" w:rsidR="008B7B0E" w:rsidRPr="008B7B0E" w:rsidRDefault="008B7B0E" w:rsidP="008B7B0E">
      <w:pPr>
        <w:pStyle w:val="ds-markdown-paragraph"/>
        <w:shd w:val="clear" w:color="auto" w:fill="FFFFFF"/>
        <w:spacing w:before="0" w:beforeAutospacing="0" w:after="0" w:afterAutospacing="0"/>
        <w:ind w:left="709" w:hanging="709"/>
        <w:jc w:val="both"/>
      </w:pPr>
      <w:r w:rsidRPr="008B7B0E">
        <w:t>Hermans, S. M., Buckley, H. L., Case, B. S., Curran-</w:t>
      </w:r>
      <w:proofErr w:type="spellStart"/>
      <w:r w:rsidRPr="008B7B0E">
        <w:t>Cournane</w:t>
      </w:r>
      <w:proofErr w:type="spellEnd"/>
      <w:r w:rsidRPr="008B7B0E">
        <w:t xml:space="preserve">, F., Taylor, M., &amp; Lear, G. (2021). Using soil bacterial communities to predict </w:t>
      </w:r>
      <w:proofErr w:type="spellStart"/>
      <w:r w:rsidRPr="008B7B0E">
        <w:t>physico</w:t>
      </w:r>
      <w:proofErr w:type="spellEnd"/>
      <w:r w:rsidRPr="008B7B0E">
        <w:t>-chemical variables and soil quality. </w:t>
      </w:r>
      <w:r w:rsidRPr="008B7B0E">
        <w:rPr>
          <w:rStyle w:val="Emphasis"/>
          <w:rFonts w:eastAsiaTheme="majorEastAsia"/>
        </w:rPr>
        <w:t>Frontiers in Microbiology, 12</w:t>
      </w:r>
      <w:r w:rsidRPr="008B7B0E">
        <w:t xml:space="preserve">, 630853.  </w:t>
      </w:r>
    </w:p>
    <w:p w14:paraId="4A3A4AA1" w14:textId="50EB643D" w:rsidR="008B7B0E" w:rsidRPr="008B7B0E" w:rsidRDefault="008B7B0E" w:rsidP="008B7B0E">
      <w:pPr>
        <w:pStyle w:val="ds-markdown-paragraph"/>
        <w:shd w:val="clear" w:color="auto" w:fill="FFFFFF"/>
        <w:spacing w:before="0" w:beforeAutospacing="0" w:after="0" w:afterAutospacing="0"/>
        <w:ind w:left="709" w:hanging="709"/>
        <w:jc w:val="both"/>
      </w:pPr>
      <w:r w:rsidRPr="008B7B0E">
        <w:t>Huang, L., Chakraborty, S., Liang, X., Liu, S., &amp; Jin, Q. (2021). CRISPR-based diagnostics: Challenges and potential solutions toward point-of-care applications. </w:t>
      </w:r>
      <w:r w:rsidRPr="008B7B0E">
        <w:rPr>
          <w:rStyle w:val="Emphasis"/>
          <w:rFonts w:eastAsiaTheme="majorEastAsia"/>
        </w:rPr>
        <w:t>ACS Synthetic Biology, 10</w:t>
      </w:r>
      <w:r w:rsidRPr="008B7B0E">
        <w:t xml:space="preserve">(5), 968-981.  </w:t>
      </w:r>
    </w:p>
    <w:p w14:paraId="394DCD91" w14:textId="2332BDDF" w:rsidR="008B7B0E" w:rsidRPr="008B7B0E" w:rsidRDefault="008B7B0E" w:rsidP="008B7B0E">
      <w:pPr>
        <w:pStyle w:val="ds-markdown-paragraph"/>
        <w:shd w:val="clear" w:color="auto" w:fill="FFFFFF"/>
        <w:spacing w:before="0" w:beforeAutospacing="0" w:after="0" w:afterAutospacing="0"/>
        <w:ind w:left="709" w:hanging="709"/>
        <w:jc w:val="both"/>
      </w:pPr>
      <w:r w:rsidRPr="008B7B0E">
        <w:t xml:space="preserve">Jansson, J. K., &amp; </w:t>
      </w:r>
      <w:proofErr w:type="spellStart"/>
      <w:r w:rsidRPr="008B7B0E">
        <w:t>Hofmockel</w:t>
      </w:r>
      <w:proofErr w:type="spellEnd"/>
      <w:r w:rsidRPr="008B7B0E">
        <w:t>, K. S. (2020). Soil microbiomes and climate change. </w:t>
      </w:r>
      <w:r w:rsidRPr="008B7B0E">
        <w:rPr>
          <w:rStyle w:val="Emphasis"/>
          <w:rFonts w:eastAsiaTheme="majorEastAsia"/>
        </w:rPr>
        <w:t>Nature Reviews Microbiology, 18</w:t>
      </w:r>
      <w:r w:rsidRPr="008B7B0E">
        <w:t xml:space="preserve">(1), 35-46.  </w:t>
      </w:r>
    </w:p>
    <w:p w14:paraId="78D40DA9" w14:textId="73656205" w:rsidR="008B7B0E" w:rsidRPr="008B7B0E" w:rsidRDefault="008B7B0E" w:rsidP="008B7B0E">
      <w:pPr>
        <w:pStyle w:val="ds-markdown-paragraph"/>
        <w:shd w:val="clear" w:color="auto" w:fill="FFFFFF"/>
        <w:spacing w:before="0" w:beforeAutospacing="0" w:after="0" w:afterAutospacing="0"/>
        <w:ind w:left="709" w:hanging="709"/>
        <w:jc w:val="both"/>
      </w:pPr>
      <w:r w:rsidRPr="008B7B0E">
        <w:t xml:space="preserve">Ji, M., Greening, C., </w:t>
      </w:r>
      <w:proofErr w:type="spellStart"/>
      <w:r w:rsidRPr="008B7B0E">
        <w:t>Vanwonterghem</w:t>
      </w:r>
      <w:proofErr w:type="spellEnd"/>
      <w:r w:rsidRPr="008B7B0E">
        <w:t xml:space="preserve">, I., Carere, C. R., Bay, S. K., Steen, J. A., Montgomery, K., Lines, T., Beardall, J., van Dorst, J., Snape, I., Stott, M. B., </w:t>
      </w:r>
      <w:proofErr w:type="spellStart"/>
      <w:r w:rsidRPr="008B7B0E">
        <w:t>Hugenholtz</w:t>
      </w:r>
      <w:proofErr w:type="spellEnd"/>
      <w:r w:rsidRPr="008B7B0E">
        <w:t>, P., &amp; Ferrari, B. C. (2020). Atmospheric trace gases support primary production in Antarctic desert surface soil. </w:t>
      </w:r>
      <w:r w:rsidRPr="008B7B0E">
        <w:rPr>
          <w:rStyle w:val="Emphasis"/>
          <w:rFonts w:eastAsiaTheme="majorEastAsia"/>
        </w:rPr>
        <w:t>Nature, 552</w:t>
      </w:r>
      <w:r w:rsidRPr="008B7B0E">
        <w:t xml:space="preserve">(7685), 400-403.  </w:t>
      </w:r>
    </w:p>
    <w:p w14:paraId="7A1D125D" w14:textId="0BFEBDE0" w:rsidR="008B7B0E" w:rsidRPr="008B7B0E" w:rsidRDefault="008B7B0E" w:rsidP="008B7B0E">
      <w:pPr>
        <w:pStyle w:val="ds-markdown-paragraph"/>
        <w:shd w:val="clear" w:color="auto" w:fill="FFFFFF"/>
        <w:spacing w:before="0" w:beforeAutospacing="0" w:after="0" w:afterAutospacing="0"/>
        <w:ind w:left="709" w:hanging="709"/>
        <w:jc w:val="both"/>
      </w:pPr>
      <w:r w:rsidRPr="008B7B0E">
        <w:t xml:space="preserve">Jiao, C., Sharma, S., Dugar, G., </w:t>
      </w:r>
      <w:proofErr w:type="spellStart"/>
      <w:r w:rsidRPr="008B7B0E">
        <w:t>Peeck</w:t>
      </w:r>
      <w:proofErr w:type="spellEnd"/>
      <w:r w:rsidRPr="008B7B0E">
        <w:t xml:space="preserve">, N. L., </w:t>
      </w:r>
      <w:proofErr w:type="spellStart"/>
      <w:r w:rsidRPr="008B7B0E">
        <w:t>Bischler</w:t>
      </w:r>
      <w:proofErr w:type="spellEnd"/>
      <w:r w:rsidRPr="008B7B0E">
        <w:t xml:space="preserve">, T., Wimmer, F., Yu, Y., Barquist, L., Schoen, C., </w:t>
      </w:r>
      <w:proofErr w:type="spellStart"/>
      <w:r w:rsidRPr="008B7B0E">
        <w:t>Kurzai</w:t>
      </w:r>
      <w:proofErr w:type="spellEnd"/>
      <w:r w:rsidRPr="008B7B0E">
        <w:t>, O., Sharma, C. M., &amp; Beisel, C. L. (2021). Noncanonical crRNAs derived from host transcripts enable multiplexable RNA detection by Cas9. </w:t>
      </w:r>
      <w:r w:rsidRPr="008B7B0E">
        <w:rPr>
          <w:rStyle w:val="Emphasis"/>
          <w:rFonts w:eastAsiaTheme="majorEastAsia"/>
        </w:rPr>
        <w:t>Science, 372</w:t>
      </w:r>
      <w:r w:rsidRPr="008B7B0E">
        <w:t xml:space="preserve">(6545), 941-948.  </w:t>
      </w:r>
    </w:p>
    <w:p w14:paraId="4856714C" w14:textId="5B2C1882" w:rsidR="008B7B0E" w:rsidRPr="008B7B0E" w:rsidRDefault="008B7B0E" w:rsidP="008B7B0E">
      <w:pPr>
        <w:pStyle w:val="ds-markdown-paragraph"/>
        <w:shd w:val="clear" w:color="auto" w:fill="FFFFFF"/>
        <w:spacing w:before="0" w:beforeAutospacing="0" w:after="0" w:afterAutospacing="0"/>
        <w:ind w:left="709" w:hanging="709"/>
        <w:jc w:val="both"/>
      </w:pPr>
      <w:r w:rsidRPr="008B7B0E">
        <w:t xml:space="preserve">Knight, R., </w:t>
      </w:r>
      <w:proofErr w:type="spellStart"/>
      <w:r w:rsidRPr="008B7B0E">
        <w:t>Vrbanac</w:t>
      </w:r>
      <w:proofErr w:type="spellEnd"/>
      <w:r w:rsidRPr="008B7B0E">
        <w:t xml:space="preserve">, A., Taylor, B. C., Aksenov, A., Callewaert, C., Debelius, J., Gonzalez, A., Kosciolek, T., McCall, L.-I., McDonald, D., Melnik, A. V., Morton, J. T., Navas, J., Quinn, R. A., Sanders, J. G., Swafford, A. D., Thompson, L. R., Tripathi, A., Xu, Z. Z., ... </w:t>
      </w:r>
      <w:r w:rsidRPr="008B7B0E">
        <w:lastRenderedPageBreak/>
        <w:t xml:space="preserve">Dorrestein, P. C. (2018). Best practices for </w:t>
      </w:r>
      <w:proofErr w:type="spellStart"/>
      <w:r w:rsidRPr="008B7B0E">
        <w:t>analysing</w:t>
      </w:r>
      <w:proofErr w:type="spellEnd"/>
      <w:r w:rsidRPr="008B7B0E">
        <w:t xml:space="preserve"> microbiomes. </w:t>
      </w:r>
      <w:r w:rsidRPr="008B7B0E">
        <w:rPr>
          <w:rStyle w:val="Emphasis"/>
          <w:rFonts w:eastAsiaTheme="majorEastAsia"/>
        </w:rPr>
        <w:t>Nature Reviews Microbiology, 16</w:t>
      </w:r>
      <w:r w:rsidRPr="008B7B0E">
        <w:t>(7), 410-422.</w:t>
      </w:r>
    </w:p>
    <w:p w14:paraId="37453FA9" w14:textId="513B4EE3" w:rsidR="008B7B0E" w:rsidRPr="008B7B0E" w:rsidRDefault="008B7B0E" w:rsidP="008B7B0E">
      <w:pPr>
        <w:pStyle w:val="ds-markdown-paragraph"/>
        <w:shd w:val="clear" w:color="auto" w:fill="FFFFFF"/>
        <w:spacing w:before="0" w:beforeAutospacing="0" w:after="0" w:afterAutospacing="0"/>
        <w:ind w:left="709" w:hanging="709"/>
        <w:jc w:val="both"/>
      </w:pPr>
      <w:r w:rsidRPr="008B7B0E">
        <w:t>Lauber, C. L., Ramirez, K. S., Aanderud, Z., Lennon, J., &amp; Fierer, N. (2013). Temporal variability in soil microbial communities across land-use types. </w:t>
      </w:r>
      <w:r w:rsidRPr="008B7B0E">
        <w:rPr>
          <w:rStyle w:val="Emphasis"/>
          <w:rFonts w:eastAsiaTheme="majorEastAsia"/>
        </w:rPr>
        <w:t>ISME Journal, 7</w:t>
      </w:r>
      <w:r w:rsidRPr="008B7B0E">
        <w:t xml:space="preserve">(8), 1641-1650.  </w:t>
      </w:r>
    </w:p>
    <w:p w14:paraId="76A80212" w14:textId="310B9397" w:rsidR="008B7B0E" w:rsidRPr="008B7B0E" w:rsidRDefault="008B7B0E" w:rsidP="008B7B0E">
      <w:pPr>
        <w:pStyle w:val="ds-markdown-paragraph"/>
        <w:shd w:val="clear" w:color="auto" w:fill="FFFFFF"/>
        <w:spacing w:before="0" w:beforeAutospacing="0" w:after="0" w:afterAutospacing="0"/>
        <w:ind w:left="709" w:hanging="709"/>
        <w:jc w:val="both"/>
      </w:pPr>
      <w:r w:rsidRPr="008B7B0E">
        <w:t>Lauber, C. L., Strickland, M. S., Bradford, M. A., &amp; Fierer, N. (2009). The influence of soil properties on the structure of bacterial and fungal communities across land-use types. </w:t>
      </w:r>
      <w:r w:rsidRPr="008B7B0E">
        <w:rPr>
          <w:rStyle w:val="Emphasis"/>
          <w:rFonts w:eastAsiaTheme="majorEastAsia"/>
        </w:rPr>
        <w:t>Soil Biology and Biochemistry, 41</w:t>
      </w:r>
      <w:r w:rsidRPr="008B7B0E">
        <w:t xml:space="preserve">(5), 1021-1030.  </w:t>
      </w:r>
    </w:p>
    <w:p w14:paraId="266457EA" w14:textId="71912BB3" w:rsidR="008B7B0E" w:rsidRPr="008B7B0E" w:rsidRDefault="008B7B0E" w:rsidP="008B7B0E">
      <w:pPr>
        <w:pStyle w:val="ds-markdown-paragraph"/>
        <w:shd w:val="clear" w:color="auto" w:fill="FFFFFF"/>
        <w:spacing w:before="0" w:beforeAutospacing="0" w:after="0" w:afterAutospacing="0"/>
        <w:ind w:left="709" w:hanging="709"/>
        <w:jc w:val="both"/>
      </w:pPr>
      <w:r w:rsidRPr="008B7B0E">
        <w:t>Lauber, C. L., Strickland, M. S., Bradford, M. A., &amp; Fierer, N. (2009). The influence of soil properties on the structure of bacterial and fungal communities across land-use types. </w:t>
      </w:r>
      <w:r w:rsidRPr="008B7B0E">
        <w:rPr>
          <w:rStyle w:val="Emphasis"/>
          <w:rFonts w:eastAsiaTheme="majorEastAsia"/>
        </w:rPr>
        <w:t>Soil Biology and Biochemistry, 41</w:t>
      </w:r>
      <w:r w:rsidRPr="008B7B0E">
        <w:t xml:space="preserve">(5), 1021-1030.  </w:t>
      </w:r>
    </w:p>
    <w:p w14:paraId="728D6AB8" w14:textId="4F8A8851" w:rsidR="008B7B0E" w:rsidRPr="008B7B0E" w:rsidRDefault="008B7B0E" w:rsidP="008B7B0E">
      <w:pPr>
        <w:pStyle w:val="ds-markdown-paragraph"/>
        <w:shd w:val="clear" w:color="auto" w:fill="FFFFFF"/>
        <w:spacing w:before="0" w:beforeAutospacing="0" w:after="0" w:afterAutospacing="0"/>
        <w:ind w:left="709" w:hanging="709"/>
        <w:jc w:val="both"/>
      </w:pPr>
      <w:r w:rsidRPr="008B7B0E">
        <w:t xml:space="preserve">Lehmann, J., Bossio, D. A., </w:t>
      </w:r>
      <w:proofErr w:type="spellStart"/>
      <w:r w:rsidRPr="008B7B0E">
        <w:t>Kögel-Knabner</w:t>
      </w:r>
      <w:proofErr w:type="spellEnd"/>
      <w:r w:rsidRPr="008B7B0E">
        <w:t xml:space="preserve">, I., &amp; </w:t>
      </w:r>
      <w:proofErr w:type="spellStart"/>
      <w:r w:rsidRPr="008B7B0E">
        <w:t>Rillig</w:t>
      </w:r>
      <w:proofErr w:type="spellEnd"/>
      <w:r w:rsidRPr="008B7B0E">
        <w:t>, M. C. (2020). The concept and future prospects of soil health. </w:t>
      </w:r>
      <w:r w:rsidRPr="008B7B0E">
        <w:rPr>
          <w:rStyle w:val="Emphasis"/>
          <w:rFonts w:eastAsiaTheme="majorEastAsia"/>
        </w:rPr>
        <w:t>Nature Reviews Earth &amp; Environment, 1</w:t>
      </w:r>
      <w:r w:rsidRPr="008B7B0E">
        <w:t xml:space="preserve">(10), 544-553.  </w:t>
      </w:r>
    </w:p>
    <w:p w14:paraId="36441652" w14:textId="77777777" w:rsidR="008B7B0E" w:rsidRPr="008B7B0E" w:rsidRDefault="008B7B0E" w:rsidP="008B7B0E">
      <w:pPr>
        <w:pStyle w:val="ds-markdown-paragraph"/>
        <w:shd w:val="clear" w:color="auto" w:fill="FFFFFF"/>
        <w:spacing w:before="0" w:beforeAutospacing="0" w:after="0" w:afterAutospacing="0"/>
        <w:ind w:left="709" w:hanging="709"/>
        <w:jc w:val="both"/>
      </w:pPr>
      <w:r w:rsidRPr="008B7B0E">
        <w:t>Levy-Booth, D. J., Prescott, C. E., &amp; Grayston, S. J. (2014). Microbial functional genes involved in nitrogen fixation, nitrification and denitrification in forest ecosystems. </w:t>
      </w:r>
      <w:r w:rsidRPr="008B7B0E">
        <w:rPr>
          <w:rStyle w:val="Emphasis"/>
          <w:rFonts w:eastAsiaTheme="majorEastAsia"/>
        </w:rPr>
        <w:t>Frontiers in Microbiology, 5</w:t>
      </w:r>
      <w:r w:rsidRPr="008B7B0E">
        <w:t>, 629. </w:t>
      </w:r>
    </w:p>
    <w:p w14:paraId="6D191CD5" w14:textId="5BBD49AD" w:rsidR="008B7B0E" w:rsidRPr="008B7B0E" w:rsidRDefault="008B7B0E" w:rsidP="008B7B0E">
      <w:pPr>
        <w:pStyle w:val="ds-markdown-paragraph"/>
        <w:shd w:val="clear" w:color="auto" w:fill="FFFFFF"/>
        <w:spacing w:before="0" w:beforeAutospacing="0" w:after="0" w:afterAutospacing="0"/>
        <w:ind w:left="709" w:hanging="709"/>
        <w:jc w:val="both"/>
      </w:pPr>
      <w:r w:rsidRPr="008B7B0E">
        <w:t>Levy-Booth, D. J., Prescott, C. E., &amp; Grayston, S. J. (2014). Microbial functional genes involved in nitrogen fixation, nitrification and denitrification in forest ecosystems. </w:t>
      </w:r>
      <w:r w:rsidRPr="008B7B0E">
        <w:rPr>
          <w:rStyle w:val="Emphasis"/>
          <w:rFonts w:eastAsiaTheme="majorEastAsia"/>
        </w:rPr>
        <w:t>Frontiers in Microbiology, 5</w:t>
      </w:r>
      <w:r w:rsidRPr="008B7B0E">
        <w:t>, 629.</w:t>
      </w:r>
    </w:p>
    <w:p w14:paraId="7773F76F" w14:textId="76BFD522" w:rsidR="008B7B0E" w:rsidRPr="008B7B0E" w:rsidRDefault="008B7B0E" w:rsidP="008B7B0E">
      <w:pPr>
        <w:pStyle w:val="ds-markdown-paragraph"/>
        <w:shd w:val="clear" w:color="auto" w:fill="FFFFFF"/>
        <w:spacing w:before="0" w:beforeAutospacing="0" w:after="0" w:afterAutospacing="0"/>
        <w:ind w:left="709" w:hanging="709"/>
        <w:jc w:val="both"/>
      </w:pPr>
      <w:r w:rsidRPr="008B7B0E">
        <w:t>Liu, X., Zhang, Y., Wang, Y., &amp; Chen, J. (2023). Nanotechnology for sustainable agriculture: Recent developments and future perspectives. </w:t>
      </w:r>
      <w:r w:rsidRPr="008B7B0E">
        <w:rPr>
          <w:rStyle w:val="Emphasis"/>
          <w:rFonts w:eastAsiaTheme="majorEastAsia"/>
        </w:rPr>
        <w:t>ACS Nano, 17</w:t>
      </w:r>
      <w:r w:rsidRPr="008B7B0E">
        <w:t xml:space="preserve">(3), 1885-1898.  </w:t>
      </w:r>
    </w:p>
    <w:p w14:paraId="36E8586F" w14:textId="66B13F17" w:rsidR="008B7B0E" w:rsidRPr="008B7B0E" w:rsidRDefault="008B7B0E" w:rsidP="008B7B0E">
      <w:pPr>
        <w:pStyle w:val="ds-markdown-paragraph"/>
        <w:shd w:val="clear" w:color="auto" w:fill="FFFFFF"/>
        <w:spacing w:before="0" w:beforeAutospacing="0" w:after="0" w:afterAutospacing="0"/>
        <w:ind w:left="709" w:hanging="709"/>
        <w:jc w:val="both"/>
      </w:pPr>
      <w:r w:rsidRPr="008B7B0E">
        <w:t xml:space="preserve">Louca, S., Polz, M. F., Mazel, F., Albright, M. B. N., Huber, J. A., O'Connor, M. I., Ackermann, M., Hahn, A. S., Srivastava, D. S., Crowe, S. A., </w:t>
      </w:r>
      <w:proofErr w:type="spellStart"/>
      <w:r w:rsidRPr="008B7B0E">
        <w:t>Doebeli</w:t>
      </w:r>
      <w:proofErr w:type="spellEnd"/>
      <w:r w:rsidRPr="008B7B0E">
        <w:t>, M., &amp; Parfrey, L. W. (2018). Function and functional redundancy in microbial systems. </w:t>
      </w:r>
      <w:r w:rsidRPr="008B7B0E">
        <w:rPr>
          <w:rStyle w:val="Emphasis"/>
          <w:rFonts w:eastAsiaTheme="majorEastAsia"/>
        </w:rPr>
        <w:t>Nature Ecology &amp; Evolution, 2</w:t>
      </w:r>
      <w:r w:rsidRPr="008B7B0E">
        <w:t>(6), 936-943.</w:t>
      </w:r>
    </w:p>
    <w:p w14:paraId="0A955E96" w14:textId="5A28F4FF" w:rsidR="008B7B0E" w:rsidRPr="008B7B0E" w:rsidRDefault="008B7B0E" w:rsidP="008B7B0E">
      <w:pPr>
        <w:pStyle w:val="ds-markdown-paragraph"/>
        <w:shd w:val="clear" w:color="auto" w:fill="FFFFFF"/>
        <w:spacing w:before="0" w:beforeAutospacing="0" w:after="0" w:afterAutospacing="0"/>
        <w:ind w:left="709" w:hanging="709"/>
        <w:jc w:val="both"/>
      </w:pPr>
      <w:r w:rsidRPr="008B7B0E">
        <w:t xml:space="preserve">Luo, G., Ling, N., </w:t>
      </w:r>
      <w:proofErr w:type="spellStart"/>
      <w:r w:rsidRPr="008B7B0E">
        <w:t>Nannipieri</w:t>
      </w:r>
      <w:proofErr w:type="spellEnd"/>
      <w:r w:rsidRPr="008B7B0E">
        <w:t xml:space="preserve">, P., Chen, H., Raza, W., Wang, M., Guo, S., &amp; Shen, Q. (2018). Long-term </w:t>
      </w:r>
      <w:proofErr w:type="spellStart"/>
      <w:r w:rsidRPr="008B7B0E">
        <w:t>fertilisation</w:t>
      </w:r>
      <w:proofErr w:type="spellEnd"/>
      <w:r w:rsidRPr="008B7B0E">
        <w:t xml:space="preserve"> regimes affect the composition of the alkaline </w:t>
      </w:r>
      <w:proofErr w:type="spellStart"/>
      <w:r w:rsidRPr="008B7B0E">
        <w:t>phosphomonoesterase</w:t>
      </w:r>
      <w:proofErr w:type="spellEnd"/>
      <w:r w:rsidRPr="008B7B0E">
        <w:t xml:space="preserve"> encoding microbial community of a </w:t>
      </w:r>
      <w:proofErr w:type="spellStart"/>
      <w:r w:rsidRPr="008B7B0E">
        <w:t>vertisol</w:t>
      </w:r>
      <w:proofErr w:type="spellEnd"/>
      <w:r w:rsidRPr="008B7B0E">
        <w:t xml:space="preserve"> and its derivative soil fractions. </w:t>
      </w:r>
      <w:r w:rsidRPr="008B7B0E">
        <w:rPr>
          <w:rStyle w:val="Emphasis"/>
          <w:rFonts w:eastAsiaTheme="majorEastAsia"/>
        </w:rPr>
        <w:t>Soil Biology and Biochemistry, 122</w:t>
      </w:r>
      <w:r w:rsidRPr="008B7B0E">
        <w:t xml:space="preserve">, 19-28.  </w:t>
      </w:r>
    </w:p>
    <w:p w14:paraId="1F5A662E" w14:textId="262EBD46" w:rsidR="008B7B0E" w:rsidRPr="008B7B0E" w:rsidRDefault="008B7B0E" w:rsidP="008B7B0E">
      <w:pPr>
        <w:pStyle w:val="ds-markdown-paragraph"/>
        <w:shd w:val="clear" w:color="auto" w:fill="FFFFFF"/>
        <w:spacing w:before="0" w:beforeAutospacing="0" w:after="0" w:afterAutospacing="0"/>
        <w:ind w:left="709" w:hanging="709"/>
        <w:jc w:val="both"/>
      </w:pPr>
      <w:r w:rsidRPr="008B7B0E">
        <w:t xml:space="preserve">Mackelprang, R., </w:t>
      </w:r>
      <w:proofErr w:type="spellStart"/>
      <w:r w:rsidRPr="008B7B0E">
        <w:t>Saleska</w:t>
      </w:r>
      <w:proofErr w:type="spellEnd"/>
      <w:r w:rsidRPr="008B7B0E">
        <w:t>, S. R., Jacobsen, C. S., Jansson, J. K., &amp; Taş, N. (2016). Permafrost meta-omics and climate change. </w:t>
      </w:r>
      <w:r w:rsidRPr="008B7B0E">
        <w:rPr>
          <w:rStyle w:val="Emphasis"/>
          <w:rFonts w:eastAsiaTheme="majorEastAsia"/>
        </w:rPr>
        <w:t>Nature, 480</w:t>
      </w:r>
      <w:r w:rsidRPr="008B7B0E">
        <w:t xml:space="preserve">(7377), 368-371 </w:t>
      </w:r>
    </w:p>
    <w:p w14:paraId="6A0EA356" w14:textId="67A33527" w:rsidR="008B7B0E" w:rsidRPr="008B7B0E" w:rsidRDefault="008B7B0E" w:rsidP="008B7B0E">
      <w:pPr>
        <w:pStyle w:val="ds-markdown-paragraph"/>
        <w:shd w:val="clear" w:color="auto" w:fill="FFFFFF"/>
        <w:spacing w:before="0" w:beforeAutospacing="0" w:after="0" w:afterAutospacing="0"/>
        <w:ind w:left="709" w:hanging="709"/>
        <w:jc w:val="both"/>
      </w:pPr>
      <w:proofErr w:type="spellStart"/>
      <w:r w:rsidRPr="008B7B0E">
        <w:t>Makhalanyane</w:t>
      </w:r>
      <w:proofErr w:type="spellEnd"/>
      <w:r w:rsidRPr="008B7B0E">
        <w:t xml:space="preserve">, T. P., Valverde, A., </w:t>
      </w:r>
      <w:proofErr w:type="spellStart"/>
      <w:r w:rsidRPr="008B7B0E">
        <w:t>Gunnigle</w:t>
      </w:r>
      <w:proofErr w:type="spellEnd"/>
      <w:r w:rsidRPr="008B7B0E">
        <w:t>, E., Frossard, A., Ramond, J.-B., &amp; Cowan, D. A. (2015). Microbial ecology of hot desert edaphic systems. </w:t>
      </w:r>
      <w:r w:rsidRPr="008B7B0E">
        <w:rPr>
          <w:rStyle w:val="Emphasis"/>
          <w:rFonts w:eastAsiaTheme="majorEastAsia"/>
        </w:rPr>
        <w:t>FEMS Microbiology Reviews, 39</w:t>
      </w:r>
      <w:r w:rsidRPr="008B7B0E">
        <w:t xml:space="preserve">(2), 203-221 </w:t>
      </w:r>
    </w:p>
    <w:p w14:paraId="4E9D1606" w14:textId="2144117C" w:rsidR="008B7B0E" w:rsidRPr="008B7B0E" w:rsidRDefault="008B7B0E" w:rsidP="008B7B0E">
      <w:pPr>
        <w:pStyle w:val="ds-markdown-paragraph"/>
        <w:shd w:val="clear" w:color="auto" w:fill="FFFFFF"/>
        <w:spacing w:before="0" w:beforeAutospacing="0" w:after="0" w:afterAutospacing="0"/>
        <w:ind w:left="709" w:hanging="709"/>
        <w:jc w:val="both"/>
      </w:pPr>
      <w:r w:rsidRPr="008B7B0E">
        <w:t xml:space="preserve">Malik, A. A., Puissant, J., Buckeridge, K. M., Goodall, T., </w:t>
      </w:r>
      <w:proofErr w:type="spellStart"/>
      <w:r w:rsidRPr="008B7B0E">
        <w:t>Jehmlich</w:t>
      </w:r>
      <w:proofErr w:type="spellEnd"/>
      <w:r w:rsidRPr="008B7B0E">
        <w:t xml:space="preserve">, N., Chowdhury, S., Gweon, H. S., Peyton, J. M., Mason, K. E., van </w:t>
      </w:r>
      <w:proofErr w:type="spellStart"/>
      <w:r w:rsidRPr="008B7B0E">
        <w:t>Agtmaal</w:t>
      </w:r>
      <w:proofErr w:type="spellEnd"/>
      <w:r w:rsidRPr="008B7B0E">
        <w:t xml:space="preserve">, M., </w:t>
      </w:r>
      <w:proofErr w:type="spellStart"/>
      <w:r w:rsidRPr="008B7B0E">
        <w:t>Blaud</w:t>
      </w:r>
      <w:proofErr w:type="spellEnd"/>
      <w:r w:rsidRPr="008B7B0E">
        <w:t>, A., Clark, I. M., Whitaker, J., Pywell, R. F., Ostle, N., Gleixner, G., &amp; Griffiths, R. I. (2021). Land use driven change in soil pH affects microbial carbon cycling processes. </w:t>
      </w:r>
      <w:r w:rsidRPr="008B7B0E">
        <w:rPr>
          <w:rStyle w:val="Emphasis"/>
          <w:rFonts w:eastAsiaTheme="majorEastAsia"/>
        </w:rPr>
        <w:t>Nature Communications, 12</w:t>
      </w:r>
      <w:r w:rsidRPr="008B7B0E">
        <w:t xml:space="preserve">(1), 1-12.  </w:t>
      </w:r>
    </w:p>
    <w:p w14:paraId="7B62C0B6" w14:textId="2ABBC9DE" w:rsidR="008B7B0E" w:rsidRPr="008B7B0E" w:rsidRDefault="008B7B0E" w:rsidP="008B7B0E">
      <w:pPr>
        <w:pStyle w:val="ds-markdown-paragraph"/>
        <w:shd w:val="clear" w:color="auto" w:fill="FFFFFF"/>
        <w:spacing w:before="0" w:beforeAutospacing="0" w:after="0" w:afterAutospacing="0"/>
        <w:ind w:left="709" w:hanging="709"/>
        <w:jc w:val="both"/>
      </w:pPr>
      <w:r w:rsidRPr="008B7B0E">
        <w:t xml:space="preserve">Nannipieri, P., Giagnoni, L., Renella, G., Puglisi, E., </w:t>
      </w:r>
      <w:proofErr w:type="spellStart"/>
      <w:r w:rsidRPr="008B7B0E">
        <w:t>Ceccanti</w:t>
      </w:r>
      <w:proofErr w:type="spellEnd"/>
      <w:r w:rsidRPr="008B7B0E">
        <w:t xml:space="preserve">, B., </w:t>
      </w:r>
      <w:proofErr w:type="spellStart"/>
      <w:r w:rsidRPr="008B7B0E">
        <w:t>Masciandaro</w:t>
      </w:r>
      <w:proofErr w:type="spellEnd"/>
      <w:r w:rsidRPr="008B7B0E">
        <w:t xml:space="preserve">, G., </w:t>
      </w:r>
      <w:proofErr w:type="spellStart"/>
      <w:r w:rsidRPr="008B7B0E">
        <w:t>Fornasier</w:t>
      </w:r>
      <w:proofErr w:type="spellEnd"/>
      <w:r w:rsidRPr="008B7B0E">
        <w:t>, F., Moscatelli, M. C., &amp; Marinari, S. (2018). Soil enzymology: Classical and molecular approaches. </w:t>
      </w:r>
      <w:r w:rsidRPr="008B7B0E">
        <w:rPr>
          <w:rStyle w:val="Emphasis"/>
          <w:rFonts w:eastAsiaTheme="majorEastAsia"/>
        </w:rPr>
        <w:t>Biology and Fertility of Soils, 54</w:t>
      </w:r>
      <w:r w:rsidRPr="008B7B0E">
        <w:t xml:space="preserve">(1), 11-19.  </w:t>
      </w:r>
    </w:p>
    <w:p w14:paraId="168812D6" w14:textId="7844A572" w:rsidR="008B7B0E" w:rsidRPr="008B7B0E" w:rsidRDefault="008B7B0E" w:rsidP="008B7B0E">
      <w:pPr>
        <w:pStyle w:val="ds-markdown-paragraph"/>
        <w:shd w:val="clear" w:color="auto" w:fill="FFFFFF"/>
        <w:spacing w:before="0" w:beforeAutospacing="0" w:after="0" w:afterAutospacing="0"/>
        <w:ind w:left="709" w:hanging="709"/>
        <w:jc w:val="both"/>
      </w:pPr>
      <w:r w:rsidRPr="008B7B0E">
        <w:t xml:space="preserve">Nannipieri, P., Penton, C. R., </w:t>
      </w:r>
      <w:proofErr w:type="spellStart"/>
      <w:r w:rsidRPr="008B7B0E">
        <w:t>Purahong</w:t>
      </w:r>
      <w:proofErr w:type="spellEnd"/>
      <w:r w:rsidRPr="008B7B0E">
        <w:t xml:space="preserve">, W., </w:t>
      </w:r>
      <w:proofErr w:type="spellStart"/>
      <w:r w:rsidRPr="008B7B0E">
        <w:t>Schloter</w:t>
      </w:r>
      <w:proofErr w:type="spellEnd"/>
      <w:r w:rsidRPr="008B7B0E">
        <w:t>, M., &amp; van Elsas, J. D. (2020). Recommendations for soil microbiome analyses. </w:t>
      </w:r>
      <w:r w:rsidRPr="008B7B0E">
        <w:rPr>
          <w:rStyle w:val="Emphasis"/>
          <w:rFonts w:eastAsiaTheme="majorEastAsia"/>
        </w:rPr>
        <w:t>Soil Biology and Biochemistry, 148</w:t>
      </w:r>
      <w:r w:rsidRPr="008B7B0E">
        <w:t xml:space="preserve">, 107876.  </w:t>
      </w:r>
    </w:p>
    <w:p w14:paraId="7D475403" w14:textId="2131CC58" w:rsidR="008B7B0E" w:rsidRPr="008B7B0E" w:rsidRDefault="008B7B0E" w:rsidP="008B7B0E">
      <w:pPr>
        <w:pStyle w:val="ds-markdown-paragraph"/>
        <w:shd w:val="clear" w:color="auto" w:fill="FFFFFF"/>
        <w:spacing w:before="0" w:beforeAutospacing="0" w:after="0" w:afterAutospacing="0"/>
        <w:ind w:left="709" w:hanging="709"/>
        <w:jc w:val="both"/>
      </w:pPr>
      <w:r w:rsidRPr="008B7B0E">
        <w:t xml:space="preserve">Nannipieri, P., </w:t>
      </w:r>
      <w:proofErr w:type="spellStart"/>
      <w:r w:rsidRPr="008B7B0E">
        <w:t>Trasar</w:t>
      </w:r>
      <w:proofErr w:type="spellEnd"/>
      <w:r w:rsidRPr="008B7B0E">
        <w:t>-Cepeda, C., &amp; Dick, R. P. (2018). Soil enzyme activity: A brief history and biochemistry as a basis for appropriate interpretations and meta-analysis. </w:t>
      </w:r>
      <w:r w:rsidRPr="008B7B0E">
        <w:rPr>
          <w:rStyle w:val="Emphasis"/>
          <w:rFonts w:eastAsiaTheme="majorEastAsia"/>
        </w:rPr>
        <w:t>Biology and Fertility of Soils, 54</w:t>
      </w:r>
      <w:r w:rsidRPr="008B7B0E">
        <w:t>(1), 11-19.</w:t>
      </w:r>
    </w:p>
    <w:p w14:paraId="346EE0BD" w14:textId="55A42ACA" w:rsidR="008B7B0E" w:rsidRPr="008B7B0E" w:rsidRDefault="008B7B0E" w:rsidP="008B7B0E">
      <w:pPr>
        <w:pStyle w:val="ds-markdown-paragraph"/>
        <w:shd w:val="clear" w:color="auto" w:fill="FFFFFF"/>
        <w:spacing w:before="0" w:beforeAutospacing="0" w:after="0" w:afterAutospacing="0"/>
        <w:ind w:left="709" w:hanging="709"/>
        <w:jc w:val="both"/>
      </w:pPr>
      <w:r w:rsidRPr="008B7B0E">
        <w:lastRenderedPageBreak/>
        <w:t>Nie, Y., Chi, C.-Q., Fang, H., Liang, J.-L., Lu, S.-L., Lai, G.-L., Tang, Y.-Q., &amp; Wu, X.-L. (2014). Diverse alkane hydroxylase genes in microorganisms and environments. </w:t>
      </w:r>
      <w:r w:rsidRPr="008B7B0E">
        <w:rPr>
          <w:rStyle w:val="Emphasis"/>
          <w:rFonts w:eastAsiaTheme="majorEastAsia"/>
        </w:rPr>
        <w:t>Applied and Environmental Microbiology, 80</w:t>
      </w:r>
      <w:r w:rsidRPr="008B7B0E">
        <w:t>(4), 409-419.</w:t>
      </w:r>
    </w:p>
    <w:p w14:paraId="1CB090FF" w14:textId="273519E6" w:rsidR="008B7B0E" w:rsidRPr="008B7B0E" w:rsidRDefault="008B7B0E" w:rsidP="008B7B0E">
      <w:pPr>
        <w:pStyle w:val="ds-markdown-paragraph"/>
        <w:shd w:val="clear" w:color="auto" w:fill="FFFFFF"/>
        <w:spacing w:before="0" w:beforeAutospacing="0" w:after="0" w:afterAutospacing="0"/>
        <w:ind w:left="709" w:hanging="709"/>
        <w:jc w:val="both"/>
      </w:pPr>
      <w:r w:rsidRPr="008B7B0E">
        <w:t xml:space="preserve">Nilsson, R. H., Larsson, K.-H., Taylor, A. F. S., Bengtsson-Palme, J., Jeppesen, T. S., </w:t>
      </w:r>
      <w:proofErr w:type="spellStart"/>
      <w:r w:rsidRPr="008B7B0E">
        <w:t>Schigel</w:t>
      </w:r>
      <w:proofErr w:type="spellEnd"/>
      <w:r w:rsidRPr="008B7B0E">
        <w:t xml:space="preserve">, D., Kennedy, P., Picard, K., Glöckner, F. O., </w:t>
      </w:r>
      <w:proofErr w:type="spellStart"/>
      <w:r w:rsidRPr="008B7B0E">
        <w:t>Tedersoo</w:t>
      </w:r>
      <w:proofErr w:type="spellEnd"/>
      <w:r w:rsidRPr="008B7B0E">
        <w:t xml:space="preserve">, L., Saar, I., </w:t>
      </w:r>
      <w:proofErr w:type="spellStart"/>
      <w:r w:rsidRPr="008B7B0E">
        <w:t>Kõljalg</w:t>
      </w:r>
      <w:proofErr w:type="spellEnd"/>
      <w:r w:rsidRPr="008B7B0E">
        <w:t xml:space="preserve">, U., &amp; </w:t>
      </w:r>
      <w:proofErr w:type="spellStart"/>
      <w:r w:rsidRPr="008B7B0E">
        <w:t>Abarenkov</w:t>
      </w:r>
      <w:proofErr w:type="spellEnd"/>
      <w:r w:rsidRPr="008B7B0E">
        <w:t>, K. (2019). The UNITE database for molecular identification of fungi: Handling dark taxa and parallel taxonomic classifications. </w:t>
      </w:r>
      <w:r w:rsidRPr="008B7B0E">
        <w:rPr>
          <w:rStyle w:val="Emphasis"/>
          <w:rFonts w:eastAsiaTheme="majorEastAsia"/>
        </w:rPr>
        <w:t>Nucleic Acids Research, 47</w:t>
      </w:r>
      <w:r w:rsidRPr="008B7B0E">
        <w:t xml:space="preserve">(D1), D259-D264.  </w:t>
      </w:r>
    </w:p>
    <w:p w14:paraId="3CB7546A" w14:textId="211F68E8" w:rsidR="008B7B0E" w:rsidRPr="008B7B0E" w:rsidRDefault="008B7B0E" w:rsidP="008B7B0E">
      <w:pPr>
        <w:pStyle w:val="ds-markdown-paragraph"/>
        <w:shd w:val="clear" w:color="auto" w:fill="FFFFFF"/>
        <w:spacing w:before="0" w:beforeAutospacing="0" w:after="0" w:afterAutospacing="0"/>
        <w:ind w:left="709" w:hanging="709"/>
        <w:jc w:val="both"/>
      </w:pPr>
      <w:r w:rsidRPr="008B7B0E">
        <w:t xml:space="preserve">Nottingham, A. T., Hicks, L. C., </w:t>
      </w:r>
      <w:proofErr w:type="spellStart"/>
      <w:r w:rsidRPr="008B7B0E">
        <w:t>Ccahuana</w:t>
      </w:r>
      <w:proofErr w:type="spellEnd"/>
      <w:r w:rsidRPr="008B7B0E">
        <w:t xml:space="preserve">, A. J. Q., Salinas, N., </w:t>
      </w:r>
      <w:proofErr w:type="spellStart"/>
      <w:r w:rsidRPr="008B7B0E">
        <w:t>Bååth</w:t>
      </w:r>
      <w:proofErr w:type="spellEnd"/>
      <w:r w:rsidRPr="008B7B0E">
        <w:t>, E., &amp; Meir, P. (2022). Microbial responses to warming enhance soil carbon loss following translocation across a tropical forest elevation gradient. </w:t>
      </w:r>
      <w:r w:rsidRPr="008B7B0E">
        <w:rPr>
          <w:rStyle w:val="Emphasis"/>
          <w:rFonts w:eastAsiaTheme="majorEastAsia"/>
        </w:rPr>
        <w:t>Ecology Letters, 25</w:t>
      </w:r>
      <w:r w:rsidRPr="008B7B0E">
        <w:t xml:space="preserve">(5), 1159-1171.  </w:t>
      </w:r>
    </w:p>
    <w:p w14:paraId="602E2ED0" w14:textId="5082C726" w:rsidR="008B7B0E" w:rsidRPr="008B7B0E" w:rsidRDefault="008B7B0E" w:rsidP="008B7B0E">
      <w:pPr>
        <w:pStyle w:val="ds-markdown-paragraph"/>
        <w:shd w:val="clear" w:color="auto" w:fill="FFFFFF"/>
        <w:spacing w:before="0" w:beforeAutospacing="0" w:after="0" w:afterAutospacing="0"/>
        <w:ind w:left="709" w:hanging="709"/>
        <w:jc w:val="both"/>
      </w:pPr>
      <w:r w:rsidRPr="008B7B0E">
        <w:t xml:space="preserve">Oliver, J. P., Gooch, C. A., Lansing, S., Schueler, J., Hurst, J. J., </w:t>
      </w:r>
      <w:proofErr w:type="spellStart"/>
      <w:r w:rsidRPr="008B7B0E">
        <w:t>Sassoubre</w:t>
      </w:r>
      <w:proofErr w:type="spellEnd"/>
      <w:r w:rsidRPr="008B7B0E">
        <w:t>, L., Crossette, E. M., &amp; Aga, D. S. (2022). Invited review: Microbial evolution in raw-milk, long-ripened cheeses produced using undefined natural whey starters. </w:t>
      </w:r>
      <w:r w:rsidRPr="008B7B0E">
        <w:rPr>
          <w:rStyle w:val="Emphasis"/>
          <w:rFonts w:eastAsiaTheme="majorEastAsia"/>
        </w:rPr>
        <w:t>Journal of Dairy Science, 105</w:t>
      </w:r>
      <w:r w:rsidRPr="008B7B0E">
        <w:t xml:space="preserve">(2), 927-943.  </w:t>
      </w:r>
    </w:p>
    <w:p w14:paraId="66C6C644" w14:textId="6E0C0A63" w:rsidR="008B7B0E" w:rsidRPr="008B7B0E" w:rsidRDefault="008B7B0E" w:rsidP="008B7B0E">
      <w:pPr>
        <w:pStyle w:val="ds-markdown-paragraph"/>
        <w:shd w:val="clear" w:color="auto" w:fill="FFFFFF"/>
        <w:spacing w:before="0" w:beforeAutospacing="0" w:after="0" w:afterAutospacing="0"/>
        <w:ind w:left="709" w:hanging="709"/>
        <w:jc w:val="both"/>
      </w:pPr>
      <w:r w:rsidRPr="008B7B0E">
        <w:t xml:space="preserve">Pepe-Ranney, C., Campbell, A. N., Koechli, C. N., </w:t>
      </w:r>
      <w:proofErr w:type="spellStart"/>
      <w:r w:rsidRPr="008B7B0E">
        <w:t>Berthrong</w:t>
      </w:r>
      <w:proofErr w:type="spellEnd"/>
      <w:r w:rsidRPr="008B7B0E">
        <w:t xml:space="preserve">, S., &amp; Buckley, D. H. (2016). Unearthing the ecology of soil microorganisms using a </w:t>
      </w:r>
      <w:proofErr w:type="gramStart"/>
      <w:r w:rsidRPr="008B7B0E">
        <w:t>high resolution</w:t>
      </w:r>
      <w:proofErr w:type="gramEnd"/>
      <w:r w:rsidRPr="008B7B0E">
        <w:t xml:space="preserve"> DNA-SIP approach to explore cellulose and xylose metabolism in soil. </w:t>
      </w:r>
      <w:r w:rsidRPr="008B7B0E">
        <w:rPr>
          <w:rStyle w:val="Emphasis"/>
          <w:rFonts w:eastAsiaTheme="majorEastAsia"/>
        </w:rPr>
        <w:t>Frontiers in Microbiology, 7</w:t>
      </w:r>
      <w:r w:rsidRPr="008B7B0E">
        <w:t xml:space="preserve">, 703.  </w:t>
      </w:r>
    </w:p>
    <w:p w14:paraId="72B0FD56" w14:textId="5EF76A14" w:rsidR="008B7B0E" w:rsidRPr="008B7B0E" w:rsidRDefault="008B7B0E" w:rsidP="008B7B0E">
      <w:pPr>
        <w:pStyle w:val="ds-markdown-paragraph"/>
        <w:shd w:val="clear" w:color="auto" w:fill="FFFFFF"/>
        <w:spacing w:before="0" w:beforeAutospacing="0" w:after="0" w:afterAutospacing="0"/>
        <w:ind w:left="709" w:hanging="709"/>
        <w:jc w:val="both"/>
      </w:pPr>
      <w:proofErr w:type="spellStart"/>
      <w:r w:rsidRPr="008B7B0E">
        <w:t>Rassaei</w:t>
      </w:r>
      <w:proofErr w:type="spellEnd"/>
      <w:r w:rsidRPr="008B7B0E">
        <w:t xml:space="preserve">, L., Sillanpää, M., &amp; Marken, F. (2021). Electrochemical </w:t>
      </w:r>
      <w:proofErr w:type="spellStart"/>
      <w:r w:rsidRPr="008B7B0E">
        <w:t>nanosensors</w:t>
      </w:r>
      <w:proofErr w:type="spellEnd"/>
      <w:r w:rsidRPr="008B7B0E">
        <w:t xml:space="preserve"> for soil health assessment. </w:t>
      </w:r>
      <w:r w:rsidRPr="008B7B0E">
        <w:rPr>
          <w:rStyle w:val="Emphasis"/>
          <w:rFonts w:eastAsiaTheme="majorEastAsia"/>
        </w:rPr>
        <w:t>ACS Sensors, 6</w:t>
      </w:r>
      <w:r w:rsidRPr="008B7B0E">
        <w:t>(4), 1509-1518</w:t>
      </w:r>
    </w:p>
    <w:p w14:paraId="0AF3B5E5" w14:textId="1D3BC210" w:rsidR="008B7B0E" w:rsidRPr="008B7B0E" w:rsidRDefault="008B7B0E" w:rsidP="008B7B0E">
      <w:pPr>
        <w:pStyle w:val="ds-markdown-paragraph"/>
        <w:shd w:val="clear" w:color="auto" w:fill="FFFFFF"/>
        <w:spacing w:before="0" w:beforeAutospacing="0" w:after="0" w:afterAutospacing="0"/>
        <w:ind w:left="709" w:hanging="709"/>
        <w:jc w:val="both"/>
      </w:pPr>
      <w:r w:rsidRPr="008B7B0E">
        <w:t xml:space="preserve">Shade, A., Peter, H., Allison, S. D., Baho, D. L., Berga, M., </w:t>
      </w:r>
      <w:proofErr w:type="spellStart"/>
      <w:r w:rsidRPr="008B7B0E">
        <w:t>Bürgmann</w:t>
      </w:r>
      <w:proofErr w:type="spellEnd"/>
      <w:r w:rsidRPr="008B7B0E">
        <w:t xml:space="preserve">, H., Huber, D. H., </w:t>
      </w:r>
      <w:proofErr w:type="spellStart"/>
      <w:r w:rsidRPr="008B7B0E">
        <w:t>Langenheder</w:t>
      </w:r>
      <w:proofErr w:type="spellEnd"/>
      <w:r w:rsidRPr="008B7B0E">
        <w:t>, S., Lennon, J. T., Martiny, J. B. H., Matulich, K. L., Schmidt, T. M., &amp; Handelsman, J. (2017). Fundamentals of microbial community resistance and resilience. </w:t>
      </w:r>
      <w:proofErr w:type="spellStart"/>
      <w:r w:rsidRPr="008B7B0E">
        <w:rPr>
          <w:rStyle w:val="Emphasis"/>
          <w:rFonts w:eastAsiaTheme="majorEastAsia"/>
        </w:rPr>
        <w:t>mSystems</w:t>
      </w:r>
      <w:proofErr w:type="spellEnd"/>
      <w:r w:rsidRPr="008B7B0E">
        <w:rPr>
          <w:rStyle w:val="Emphasis"/>
          <w:rFonts w:eastAsiaTheme="majorEastAsia"/>
        </w:rPr>
        <w:t>, 2</w:t>
      </w:r>
      <w:r w:rsidRPr="008B7B0E">
        <w:t xml:space="preserve">(3), e00162-16.  </w:t>
      </w:r>
    </w:p>
    <w:p w14:paraId="4295CA2A" w14:textId="01C4DDA4" w:rsidR="008B7B0E" w:rsidRPr="008B7B0E" w:rsidRDefault="008B7B0E" w:rsidP="008B7B0E">
      <w:pPr>
        <w:pStyle w:val="ds-markdown-paragraph"/>
        <w:shd w:val="clear" w:color="auto" w:fill="FFFFFF"/>
        <w:spacing w:before="0" w:beforeAutospacing="0" w:after="0" w:afterAutospacing="0"/>
        <w:ind w:left="709" w:hanging="709"/>
        <w:jc w:val="both"/>
      </w:pPr>
      <w:r w:rsidRPr="008B7B0E">
        <w:t>Sinsabaugh, R. L., Moorhead, D. L., Xu, X., &amp; Litvak, M. E. (2021). Plant, microbial and ecosystem carbon use efficiencies interact to stabilize microbial growth as a fraction of gross primary production. </w:t>
      </w:r>
      <w:r w:rsidRPr="008B7B0E">
        <w:rPr>
          <w:rStyle w:val="Emphasis"/>
          <w:rFonts w:eastAsiaTheme="majorEastAsia"/>
        </w:rPr>
        <w:t>Global Change Biology, 27</w:t>
      </w:r>
      <w:r w:rsidRPr="008B7B0E">
        <w:t xml:space="preserve">(15), 5529-5539.  </w:t>
      </w:r>
    </w:p>
    <w:p w14:paraId="07797B0A" w14:textId="1B20DA51" w:rsidR="008B7B0E" w:rsidRPr="008B7B0E" w:rsidRDefault="008B7B0E" w:rsidP="008B7B0E">
      <w:pPr>
        <w:pStyle w:val="ds-markdown-paragraph"/>
        <w:shd w:val="clear" w:color="auto" w:fill="FFFFFF"/>
        <w:spacing w:before="0" w:beforeAutospacing="0" w:after="0" w:afterAutospacing="0"/>
        <w:ind w:left="709" w:hanging="709"/>
        <w:jc w:val="both"/>
      </w:pPr>
      <w:proofErr w:type="spellStart"/>
      <w:r w:rsidRPr="008B7B0E">
        <w:t>Tedersoo</w:t>
      </w:r>
      <w:proofErr w:type="spellEnd"/>
      <w:r w:rsidRPr="008B7B0E">
        <w:t xml:space="preserve">, L., Bahram, M., Zobel, M., Nilsson, R. H., Kennedy, P. G., Yang, T., </w:t>
      </w:r>
      <w:proofErr w:type="spellStart"/>
      <w:r w:rsidRPr="008B7B0E">
        <w:t>Anslan</w:t>
      </w:r>
      <w:proofErr w:type="spellEnd"/>
      <w:r w:rsidRPr="008B7B0E">
        <w:t xml:space="preserve">, S., &amp; </w:t>
      </w:r>
      <w:proofErr w:type="spellStart"/>
      <w:r w:rsidRPr="008B7B0E">
        <w:t>Mikryukov</w:t>
      </w:r>
      <w:proofErr w:type="spellEnd"/>
      <w:r w:rsidRPr="008B7B0E">
        <w:t>, V. (2021). How mycorrhizal associations drive plant population and community biology. </w:t>
      </w:r>
      <w:r w:rsidRPr="008B7B0E">
        <w:rPr>
          <w:rStyle w:val="Emphasis"/>
          <w:rFonts w:eastAsiaTheme="majorEastAsia"/>
        </w:rPr>
        <w:t>Fungal Diversity, 106</w:t>
      </w:r>
      <w:r w:rsidRPr="008B7B0E">
        <w:t xml:space="preserve">(1), 1-22.  </w:t>
      </w:r>
    </w:p>
    <w:p w14:paraId="5A71D093" w14:textId="33103551" w:rsidR="008B7B0E" w:rsidRPr="008B7B0E" w:rsidRDefault="008B7B0E" w:rsidP="008B7B0E">
      <w:pPr>
        <w:pStyle w:val="ds-markdown-paragraph"/>
        <w:shd w:val="clear" w:color="auto" w:fill="FFFFFF"/>
        <w:spacing w:before="0" w:beforeAutospacing="0" w:after="0" w:afterAutospacing="0"/>
        <w:ind w:left="709" w:hanging="709"/>
        <w:jc w:val="both"/>
      </w:pPr>
      <w:r w:rsidRPr="008B7B0E">
        <w:t xml:space="preserve">Thompson, L. R., Sanders, J. G., McDonald, D., Amir, A., Ladau, J., Locey, K. J., Prill, R. J., Tripathi, A., Gibbons, S. M., Ackermann, G., Navas-Molina, J. A., Janssen, S., Kopylova, E., Vázquez-Baeza, Y., González, A., Morton, J. T., </w:t>
      </w:r>
      <w:proofErr w:type="spellStart"/>
      <w:r w:rsidRPr="008B7B0E">
        <w:t>Mirarab</w:t>
      </w:r>
      <w:proofErr w:type="spellEnd"/>
      <w:r w:rsidRPr="008B7B0E">
        <w:t>, S., Zech Xu, Z., Jiang, L.,  Knight, R. (2017). A communal catalogue reveals Earth's multiscale microbial diversity. </w:t>
      </w:r>
      <w:r w:rsidRPr="008B7B0E">
        <w:rPr>
          <w:rStyle w:val="Emphasis"/>
          <w:rFonts w:eastAsiaTheme="majorEastAsia"/>
        </w:rPr>
        <w:t>Nature, 551</w:t>
      </w:r>
      <w:r w:rsidRPr="008B7B0E">
        <w:t>(7681), 457-463. </w:t>
      </w:r>
    </w:p>
    <w:p w14:paraId="5B5B7C1B" w14:textId="5B50E291" w:rsidR="008B7B0E" w:rsidRPr="008B7B0E" w:rsidRDefault="008B7B0E" w:rsidP="008B7B0E">
      <w:pPr>
        <w:pStyle w:val="ds-markdown-paragraph"/>
        <w:shd w:val="clear" w:color="auto" w:fill="FFFFFF"/>
        <w:spacing w:before="0" w:beforeAutospacing="0" w:after="0" w:afterAutospacing="0"/>
        <w:ind w:left="709" w:hanging="709"/>
        <w:jc w:val="both"/>
      </w:pPr>
      <w:r w:rsidRPr="008B7B0E">
        <w:t>Tian, X., Sun, C., Chen, L., &amp; He, J. (2022). Structural basis for the RNA-guided ribonuclease activity of CRISPR-Cas13d. </w:t>
      </w:r>
      <w:r w:rsidRPr="008B7B0E">
        <w:rPr>
          <w:rStyle w:val="Emphasis"/>
          <w:rFonts w:eastAsiaTheme="majorEastAsia"/>
        </w:rPr>
        <w:t>Cell, 185</w:t>
      </w:r>
      <w:r w:rsidRPr="008B7B0E">
        <w:t xml:space="preserve">(5), 839-856.  </w:t>
      </w:r>
    </w:p>
    <w:p w14:paraId="5FB4F671" w14:textId="1FB35340" w:rsidR="008B7B0E" w:rsidRPr="008B7B0E" w:rsidRDefault="008B7B0E" w:rsidP="008B7B0E">
      <w:pPr>
        <w:pStyle w:val="ds-markdown-paragraph"/>
        <w:shd w:val="clear" w:color="auto" w:fill="FFFFFF"/>
        <w:spacing w:before="0" w:beforeAutospacing="0" w:after="0" w:afterAutospacing="0"/>
        <w:ind w:left="709" w:hanging="709"/>
        <w:jc w:val="both"/>
      </w:pPr>
      <w:r w:rsidRPr="008B7B0E">
        <w:t>Trivedi, P., Delgado-Baquerizo, M., Trivedi, C., Hu, H., Anderson, I. C., Jeffries, T. C., Zhou, J., &amp; Singh, B. K. (2016). Microbial regulation of the soil carbon cycle: Evidence from gene-enzyme relationships. </w:t>
      </w:r>
      <w:r w:rsidRPr="008B7B0E">
        <w:rPr>
          <w:rStyle w:val="Emphasis"/>
          <w:rFonts w:eastAsiaTheme="majorEastAsia"/>
        </w:rPr>
        <w:t>Soil Biology and Biochemistry, 102</w:t>
      </w:r>
      <w:r w:rsidRPr="008B7B0E">
        <w:t xml:space="preserve">, 37-45.  </w:t>
      </w:r>
    </w:p>
    <w:p w14:paraId="3C5F36B3" w14:textId="764AFE7F" w:rsidR="008B7B0E" w:rsidRPr="008B7B0E" w:rsidRDefault="008B7B0E" w:rsidP="008B7B0E">
      <w:pPr>
        <w:pStyle w:val="ds-markdown-paragraph"/>
        <w:shd w:val="clear" w:color="auto" w:fill="FFFFFF"/>
        <w:spacing w:before="0" w:beforeAutospacing="0" w:after="0" w:afterAutospacing="0"/>
        <w:ind w:left="709" w:hanging="709"/>
        <w:jc w:val="both"/>
      </w:pPr>
      <w:r w:rsidRPr="008B7B0E">
        <w:t xml:space="preserve">Valverde, A., </w:t>
      </w:r>
      <w:proofErr w:type="spellStart"/>
      <w:r w:rsidRPr="008B7B0E">
        <w:t>Makhalanyane</w:t>
      </w:r>
      <w:proofErr w:type="spellEnd"/>
      <w:r w:rsidRPr="008B7B0E">
        <w:t>, T. P., Seely, M., &amp; Cowan, D. A. (2016). Cyanobacteria drive community composition and functionality in rock-soil interface communities. </w:t>
      </w:r>
      <w:r w:rsidRPr="008B7B0E">
        <w:rPr>
          <w:rStyle w:val="Emphasis"/>
          <w:rFonts w:eastAsiaTheme="majorEastAsia"/>
        </w:rPr>
        <w:t>Molecular Ecology, 25</w:t>
      </w:r>
      <w:r w:rsidRPr="008B7B0E">
        <w:t xml:space="preserve">(5), 1102-1115.  </w:t>
      </w:r>
    </w:p>
    <w:p w14:paraId="2BC24F37" w14:textId="787F23E6" w:rsidR="008B7B0E" w:rsidRPr="008B7B0E" w:rsidRDefault="008B7B0E" w:rsidP="008B7B0E">
      <w:pPr>
        <w:pStyle w:val="ds-markdown-paragraph"/>
        <w:shd w:val="clear" w:color="auto" w:fill="FFFFFF"/>
        <w:spacing w:before="0" w:beforeAutospacing="0" w:after="0" w:afterAutospacing="0"/>
        <w:ind w:left="709" w:hanging="709"/>
        <w:jc w:val="both"/>
      </w:pPr>
      <w:r w:rsidRPr="008B7B0E">
        <w:t>Wang, Y., Chen, J., Liu, X., &amp; Zhang, Y. (2023). Machine learning approaches for soil microbiome analysis. </w:t>
      </w:r>
      <w:r w:rsidRPr="008B7B0E">
        <w:rPr>
          <w:rStyle w:val="Emphasis"/>
          <w:rFonts w:eastAsiaTheme="majorEastAsia"/>
        </w:rPr>
        <w:t>Science Advances, 9</w:t>
      </w:r>
      <w:r w:rsidRPr="008B7B0E">
        <w:t xml:space="preserve">(24), eade2725.  </w:t>
      </w:r>
    </w:p>
    <w:p w14:paraId="5865B0D1" w14:textId="77777777" w:rsidR="008B7B0E" w:rsidRPr="008B7B0E" w:rsidRDefault="008B7B0E" w:rsidP="008B7B0E">
      <w:pPr>
        <w:pStyle w:val="ds-markdown-paragraph"/>
        <w:shd w:val="clear" w:color="auto" w:fill="FFFFFF"/>
        <w:spacing w:before="0" w:beforeAutospacing="0" w:after="0" w:afterAutospacing="0"/>
        <w:ind w:left="709" w:hanging="709"/>
        <w:jc w:val="both"/>
      </w:pPr>
      <w:r w:rsidRPr="008B7B0E">
        <w:t xml:space="preserve">Zhou, J., Guan, D., Zhou, B., Zhao, B., Ma, M., Qin, J., Jiang, X., Chen, S., Cao, F., Shen, D., &amp; Li, J. (2020). Influence of 34-years of fertilization on bacterial communities in an </w:t>
      </w:r>
      <w:r w:rsidRPr="008B7B0E">
        <w:lastRenderedPageBreak/>
        <w:t>intensively cultivated black soil in northeast China. </w:t>
      </w:r>
      <w:r w:rsidRPr="008B7B0E">
        <w:rPr>
          <w:rStyle w:val="Emphasis"/>
          <w:rFonts w:eastAsiaTheme="majorEastAsia"/>
        </w:rPr>
        <w:t>Soil Biology and Biochemistry, 151</w:t>
      </w:r>
      <w:r w:rsidRPr="008B7B0E">
        <w:t>, 108041. </w:t>
      </w:r>
    </w:p>
    <w:p w14:paraId="503D38D6" w14:textId="1CB8BA6E" w:rsidR="008B7B0E" w:rsidRPr="008B7B0E" w:rsidRDefault="008B7B0E" w:rsidP="008B7B0E">
      <w:pPr>
        <w:pStyle w:val="ds-markdown-paragraph"/>
        <w:shd w:val="clear" w:color="auto" w:fill="FFFFFF"/>
        <w:spacing w:before="0" w:beforeAutospacing="0" w:after="0" w:afterAutospacing="0"/>
        <w:ind w:left="709" w:hanging="709"/>
        <w:jc w:val="both"/>
      </w:pPr>
      <w:r w:rsidRPr="008B7B0E">
        <w:t>Zhou, J., Liu, Y., Wang, X., &amp; Zhang, K. (2022). Artificial intelligence in soil health monitoring: Current status and future directions. </w:t>
      </w:r>
      <w:r w:rsidRPr="008B7B0E">
        <w:rPr>
          <w:rStyle w:val="Emphasis"/>
          <w:rFonts w:eastAsiaTheme="majorEastAsia"/>
        </w:rPr>
        <w:t>Nature Machine Intelligence, 4</w:t>
      </w:r>
      <w:r w:rsidRPr="008B7B0E">
        <w:t xml:space="preserve">(11), 926-938.  </w:t>
      </w:r>
    </w:p>
    <w:p w14:paraId="6C762C23" w14:textId="77777777" w:rsidR="008B7B0E" w:rsidRPr="008B7B0E" w:rsidRDefault="008B7B0E" w:rsidP="008B7B0E">
      <w:pPr>
        <w:pStyle w:val="ds-markdown-paragraph"/>
        <w:shd w:val="clear" w:color="auto" w:fill="FFFFFF"/>
        <w:spacing w:before="0" w:beforeAutospacing="0"/>
        <w:jc w:val="both"/>
      </w:pPr>
    </w:p>
    <w:sectPr w:rsidR="008B7B0E" w:rsidRPr="008B7B0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D2C8D" w14:textId="77777777" w:rsidR="00B13599" w:rsidRDefault="00B13599" w:rsidP="00F073BC">
      <w:pPr>
        <w:spacing w:after="0" w:line="240" w:lineRule="auto"/>
      </w:pPr>
      <w:r>
        <w:separator/>
      </w:r>
    </w:p>
  </w:endnote>
  <w:endnote w:type="continuationSeparator" w:id="0">
    <w:p w14:paraId="608AD135" w14:textId="77777777" w:rsidR="00B13599" w:rsidRDefault="00B13599" w:rsidP="00F07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58ADB" w14:textId="77777777" w:rsidR="00F073BC" w:rsidRDefault="00F07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B2F55" w14:textId="77777777" w:rsidR="00F073BC" w:rsidRDefault="00F073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A6F4A" w14:textId="77777777" w:rsidR="00F073BC" w:rsidRDefault="00F07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A7F27" w14:textId="77777777" w:rsidR="00B13599" w:rsidRDefault="00B13599" w:rsidP="00F073BC">
      <w:pPr>
        <w:spacing w:after="0" w:line="240" w:lineRule="auto"/>
      </w:pPr>
      <w:r>
        <w:separator/>
      </w:r>
    </w:p>
  </w:footnote>
  <w:footnote w:type="continuationSeparator" w:id="0">
    <w:p w14:paraId="0EB49A5C" w14:textId="77777777" w:rsidR="00B13599" w:rsidRDefault="00B13599" w:rsidP="00F07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9308D" w14:textId="27BC7C87" w:rsidR="00F073BC" w:rsidRDefault="00F073BC">
    <w:pPr>
      <w:pStyle w:val="Header"/>
    </w:pPr>
    <w:r>
      <w:rPr>
        <w:noProof/>
      </w:rPr>
      <w:pict w14:anchorId="36E91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2882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65D01" w14:textId="401895F1" w:rsidR="00F073BC" w:rsidRDefault="00F073BC">
    <w:pPr>
      <w:pStyle w:val="Header"/>
    </w:pPr>
    <w:r>
      <w:rPr>
        <w:noProof/>
      </w:rPr>
      <w:pict w14:anchorId="50AE0C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2882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DB1AA" w14:textId="02AD2CD7" w:rsidR="00F073BC" w:rsidRDefault="00F073BC">
    <w:pPr>
      <w:pStyle w:val="Header"/>
    </w:pPr>
    <w:r>
      <w:rPr>
        <w:noProof/>
      </w:rPr>
      <w:pict w14:anchorId="24D461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2882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C3566"/>
    <w:multiLevelType w:val="hybridMultilevel"/>
    <w:tmpl w:val="45042C9C"/>
    <w:lvl w:ilvl="0" w:tplc="4DC878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310AB"/>
    <w:multiLevelType w:val="multilevel"/>
    <w:tmpl w:val="591C0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A75E4"/>
    <w:multiLevelType w:val="multilevel"/>
    <w:tmpl w:val="EB802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F6BE7"/>
    <w:multiLevelType w:val="multilevel"/>
    <w:tmpl w:val="B088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6A7CF2"/>
    <w:multiLevelType w:val="multilevel"/>
    <w:tmpl w:val="56B86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E746AB"/>
    <w:multiLevelType w:val="multilevel"/>
    <w:tmpl w:val="8E12C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2A26FB"/>
    <w:multiLevelType w:val="multilevel"/>
    <w:tmpl w:val="335E2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4"/>
  </w:num>
  <w:num w:numId="4">
    <w:abstractNumId w:val="2"/>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2NzI1NjOytDQ2NDJX0lEKTi0uzszPAykwrQUA1ab3PiwAAAA="/>
  </w:docVars>
  <w:rsids>
    <w:rsidRoot w:val="003E27C6"/>
    <w:rsid w:val="00010868"/>
    <w:rsid w:val="000C330C"/>
    <w:rsid w:val="00124F7A"/>
    <w:rsid w:val="001A27F1"/>
    <w:rsid w:val="001F7010"/>
    <w:rsid w:val="00277673"/>
    <w:rsid w:val="00291A8F"/>
    <w:rsid w:val="00294870"/>
    <w:rsid w:val="002B0F76"/>
    <w:rsid w:val="002E25DC"/>
    <w:rsid w:val="00300D3E"/>
    <w:rsid w:val="00361EC9"/>
    <w:rsid w:val="003E27C6"/>
    <w:rsid w:val="003F264C"/>
    <w:rsid w:val="004321A2"/>
    <w:rsid w:val="00484A41"/>
    <w:rsid w:val="004A143C"/>
    <w:rsid w:val="006508DB"/>
    <w:rsid w:val="0067479E"/>
    <w:rsid w:val="006760FA"/>
    <w:rsid w:val="00722FE3"/>
    <w:rsid w:val="0078174E"/>
    <w:rsid w:val="008B7B0E"/>
    <w:rsid w:val="00946F7D"/>
    <w:rsid w:val="009526C9"/>
    <w:rsid w:val="00AE3003"/>
    <w:rsid w:val="00B02FAF"/>
    <w:rsid w:val="00B13599"/>
    <w:rsid w:val="00BC0E04"/>
    <w:rsid w:val="00BC3254"/>
    <w:rsid w:val="00BD029B"/>
    <w:rsid w:val="00C01823"/>
    <w:rsid w:val="00CC4B2B"/>
    <w:rsid w:val="00D62482"/>
    <w:rsid w:val="00D71377"/>
    <w:rsid w:val="00D824F9"/>
    <w:rsid w:val="00E357DE"/>
    <w:rsid w:val="00EC1001"/>
    <w:rsid w:val="00EE071E"/>
    <w:rsid w:val="00EF1B82"/>
    <w:rsid w:val="00EF4FC7"/>
    <w:rsid w:val="00F073BC"/>
    <w:rsid w:val="00FD7EC5"/>
    <w:rsid w:val="00FF0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55B732"/>
  <w15:chartTrackingRefBased/>
  <w15:docId w15:val="{DAE0DA8F-3030-48C7-BA1D-663AEAF23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7C6"/>
  </w:style>
  <w:style w:type="paragraph" w:styleId="Heading1">
    <w:name w:val="heading 1"/>
    <w:basedOn w:val="Normal"/>
    <w:next w:val="Normal"/>
    <w:link w:val="Heading1Char"/>
    <w:uiPriority w:val="9"/>
    <w:qFormat/>
    <w:rsid w:val="003E27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27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27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27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27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27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7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7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7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7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27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27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27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27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27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7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7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7C6"/>
    <w:rPr>
      <w:rFonts w:eastAsiaTheme="majorEastAsia" w:cstheme="majorBidi"/>
      <w:color w:val="272727" w:themeColor="text1" w:themeTint="D8"/>
    </w:rPr>
  </w:style>
  <w:style w:type="paragraph" w:styleId="Title">
    <w:name w:val="Title"/>
    <w:basedOn w:val="Normal"/>
    <w:next w:val="Normal"/>
    <w:link w:val="TitleChar"/>
    <w:uiPriority w:val="10"/>
    <w:qFormat/>
    <w:rsid w:val="003E27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7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7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7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7C6"/>
    <w:pPr>
      <w:spacing w:before="160"/>
      <w:jc w:val="center"/>
    </w:pPr>
    <w:rPr>
      <w:i/>
      <w:iCs/>
      <w:color w:val="404040" w:themeColor="text1" w:themeTint="BF"/>
    </w:rPr>
  </w:style>
  <w:style w:type="character" w:customStyle="1" w:styleId="QuoteChar">
    <w:name w:val="Quote Char"/>
    <w:basedOn w:val="DefaultParagraphFont"/>
    <w:link w:val="Quote"/>
    <w:uiPriority w:val="29"/>
    <w:rsid w:val="003E27C6"/>
    <w:rPr>
      <w:i/>
      <w:iCs/>
      <w:color w:val="404040" w:themeColor="text1" w:themeTint="BF"/>
    </w:rPr>
  </w:style>
  <w:style w:type="paragraph" w:styleId="ListParagraph">
    <w:name w:val="List Paragraph"/>
    <w:basedOn w:val="Normal"/>
    <w:uiPriority w:val="34"/>
    <w:qFormat/>
    <w:rsid w:val="003E27C6"/>
    <w:pPr>
      <w:ind w:left="720"/>
      <w:contextualSpacing/>
    </w:pPr>
  </w:style>
  <w:style w:type="character" w:styleId="IntenseEmphasis">
    <w:name w:val="Intense Emphasis"/>
    <w:basedOn w:val="DefaultParagraphFont"/>
    <w:uiPriority w:val="21"/>
    <w:qFormat/>
    <w:rsid w:val="003E27C6"/>
    <w:rPr>
      <w:i/>
      <w:iCs/>
      <w:color w:val="2F5496" w:themeColor="accent1" w:themeShade="BF"/>
    </w:rPr>
  </w:style>
  <w:style w:type="paragraph" w:styleId="IntenseQuote">
    <w:name w:val="Intense Quote"/>
    <w:basedOn w:val="Normal"/>
    <w:next w:val="Normal"/>
    <w:link w:val="IntenseQuoteChar"/>
    <w:uiPriority w:val="30"/>
    <w:qFormat/>
    <w:rsid w:val="003E27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27C6"/>
    <w:rPr>
      <w:i/>
      <w:iCs/>
      <w:color w:val="2F5496" w:themeColor="accent1" w:themeShade="BF"/>
    </w:rPr>
  </w:style>
  <w:style w:type="character" w:styleId="IntenseReference">
    <w:name w:val="Intense Reference"/>
    <w:basedOn w:val="DefaultParagraphFont"/>
    <w:uiPriority w:val="32"/>
    <w:qFormat/>
    <w:rsid w:val="003E27C6"/>
    <w:rPr>
      <w:b/>
      <w:bCs/>
      <w:smallCaps/>
      <w:color w:val="2F5496" w:themeColor="accent1" w:themeShade="BF"/>
      <w:spacing w:val="5"/>
    </w:rPr>
  </w:style>
  <w:style w:type="paragraph" w:customStyle="1" w:styleId="ds-markdown-paragraph">
    <w:name w:val="ds-markdown-paragraph"/>
    <w:basedOn w:val="Normal"/>
    <w:rsid w:val="003E27C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E27C6"/>
    <w:rPr>
      <w:i/>
      <w:iCs/>
    </w:rPr>
  </w:style>
  <w:style w:type="character" w:styleId="Strong">
    <w:name w:val="Strong"/>
    <w:basedOn w:val="DefaultParagraphFont"/>
    <w:uiPriority w:val="22"/>
    <w:qFormat/>
    <w:rsid w:val="003E27C6"/>
    <w:rPr>
      <w:b/>
      <w:bCs/>
    </w:rPr>
  </w:style>
  <w:style w:type="table" w:styleId="TableGrid">
    <w:name w:val="Table Grid"/>
    <w:basedOn w:val="TableNormal"/>
    <w:uiPriority w:val="39"/>
    <w:rsid w:val="001A2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1A27F1"/>
    <w:pPr>
      <w:jc w:val="both"/>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99"/>
    <w:rsid w:val="001A27F1"/>
    <w:rPr>
      <w:rFonts w:ascii="Times New Roman" w:eastAsia="Times New Roman" w:hAnsi="Times New Roman" w:cs="Times New Roman"/>
      <w:kern w:val="0"/>
      <w14:ligatures w14:val="none"/>
    </w:rPr>
  </w:style>
  <w:style w:type="paragraph" w:styleId="BodyText2">
    <w:name w:val="Body Text 2"/>
    <w:basedOn w:val="Normal"/>
    <w:link w:val="BodyText2Char"/>
    <w:uiPriority w:val="99"/>
    <w:unhideWhenUsed/>
    <w:rsid w:val="00294870"/>
    <w:pPr>
      <w:shd w:val="clear" w:color="auto" w:fill="FFFFFF"/>
      <w:spacing w:before="100" w:beforeAutospacing="1" w:after="100" w:afterAutospacing="1" w:line="240" w:lineRule="auto"/>
      <w:jc w:val="both"/>
    </w:pPr>
    <w:rPr>
      <w:rFonts w:ascii="Times New Roman" w:eastAsia="Times New Roman" w:hAnsi="Times New Roman" w:cs="Times New Roman"/>
      <w:color w:val="404040"/>
      <w:kern w:val="0"/>
      <w14:ligatures w14:val="none"/>
    </w:rPr>
  </w:style>
  <w:style w:type="character" w:customStyle="1" w:styleId="BodyText2Char">
    <w:name w:val="Body Text 2 Char"/>
    <w:basedOn w:val="DefaultParagraphFont"/>
    <w:link w:val="BodyText2"/>
    <w:uiPriority w:val="99"/>
    <w:rsid w:val="00294870"/>
    <w:rPr>
      <w:rFonts w:ascii="Times New Roman" w:eastAsia="Times New Roman" w:hAnsi="Times New Roman" w:cs="Times New Roman"/>
      <w:color w:val="404040"/>
      <w:kern w:val="0"/>
      <w:shd w:val="clear" w:color="auto" w:fill="FFFFFF"/>
      <w14:ligatures w14:val="none"/>
    </w:rPr>
  </w:style>
  <w:style w:type="paragraph" w:styleId="BodyText3">
    <w:name w:val="Body Text 3"/>
    <w:basedOn w:val="Normal"/>
    <w:link w:val="BodyText3Char"/>
    <w:uiPriority w:val="99"/>
    <w:unhideWhenUsed/>
    <w:rsid w:val="00484A41"/>
    <w:pPr>
      <w:shd w:val="clear" w:color="auto" w:fill="FFFFFF"/>
      <w:spacing w:after="100" w:afterAutospacing="1" w:line="240" w:lineRule="auto"/>
      <w:jc w:val="both"/>
    </w:pPr>
    <w:rPr>
      <w:rFonts w:ascii="Times New Roman" w:eastAsia="Times New Roman" w:hAnsi="Times New Roman" w:cs="Times New Roman"/>
      <w:b/>
      <w:bCs/>
      <w:kern w:val="0"/>
      <w14:ligatures w14:val="none"/>
    </w:rPr>
  </w:style>
  <w:style w:type="character" w:customStyle="1" w:styleId="BodyText3Char">
    <w:name w:val="Body Text 3 Char"/>
    <w:basedOn w:val="DefaultParagraphFont"/>
    <w:link w:val="BodyText3"/>
    <w:uiPriority w:val="99"/>
    <w:rsid w:val="00484A41"/>
    <w:rPr>
      <w:rFonts w:ascii="Times New Roman" w:eastAsia="Times New Roman" w:hAnsi="Times New Roman" w:cs="Times New Roman"/>
      <w:b/>
      <w:bCs/>
      <w:kern w:val="0"/>
      <w:shd w:val="clear" w:color="auto" w:fill="FFFFFF"/>
      <w14:ligatures w14:val="none"/>
    </w:rPr>
  </w:style>
  <w:style w:type="paragraph" w:styleId="NormalWeb">
    <w:name w:val="Normal (Web)"/>
    <w:basedOn w:val="Normal"/>
    <w:uiPriority w:val="99"/>
    <w:semiHidden/>
    <w:unhideWhenUsed/>
    <w:rsid w:val="002E25D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8B7B0E"/>
    <w:rPr>
      <w:color w:val="0000FF"/>
      <w:u w:val="single"/>
    </w:rPr>
  </w:style>
  <w:style w:type="paragraph" w:styleId="Header">
    <w:name w:val="header"/>
    <w:basedOn w:val="Normal"/>
    <w:link w:val="HeaderChar"/>
    <w:uiPriority w:val="99"/>
    <w:unhideWhenUsed/>
    <w:rsid w:val="00F07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3BC"/>
  </w:style>
  <w:style w:type="paragraph" w:styleId="Footer">
    <w:name w:val="footer"/>
    <w:basedOn w:val="Normal"/>
    <w:link w:val="FooterChar"/>
    <w:uiPriority w:val="99"/>
    <w:unhideWhenUsed/>
    <w:rsid w:val="00F07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105169">
      <w:bodyDiv w:val="1"/>
      <w:marLeft w:val="0"/>
      <w:marRight w:val="0"/>
      <w:marTop w:val="0"/>
      <w:marBottom w:val="0"/>
      <w:divBdr>
        <w:top w:val="none" w:sz="0" w:space="0" w:color="auto"/>
        <w:left w:val="none" w:sz="0" w:space="0" w:color="auto"/>
        <w:bottom w:val="none" w:sz="0" w:space="0" w:color="auto"/>
        <w:right w:val="none" w:sz="0" w:space="0" w:color="auto"/>
      </w:divBdr>
      <w:divsChild>
        <w:div w:id="1044721124">
          <w:marLeft w:val="0"/>
          <w:marRight w:val="0"/>
          <w:marTop w:val="100"/>
          <w:marBottom w:val="100"/>
          <w:divBdr>
            <w:top w:val="none" w:sz="0" w:space="0" w:color="auto"/>
            <w:left w:val="none" w:sz="0" w:space="0" w:color="auto"/>
            <w:bottom w:val="none" w:sz="0" w:space="0" w:color="auto"/>
            <w:right w:val="none" w:sz="0" w:space="0" w:color="auto"/>
          </w:divBdr>
          <w:divsChild>
            <w:div w:id="2002542110">
              <w:marLeft w:val="0"/>
              <w:marRight w:val="0"/>
              <w:marTop w:val="0"/>
              <w:marBottom w:val="0"/>
              <w:divBdr>
                <w:top w:val="none" w:sz="0" w:space="0" w:color="auto"/>
                <w:left w:val="none" w:sz="0" w:space="0" w:color="auto"/>
                <w:bottom w:val="none" w:sz="0" w:space="0" w:color="auto"/>
                <w:right w:val="none" w:sz="0" w:space="0" w:color="auto"/>
              </w:divBdr>
              <w:divsChild>
                <w:div w:id="61644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14296">
          <w:marLeft w:val="0"/>
          <w:marRight w:val="0"/>
          <w:marTop w:val="0"/>
          <w:marBottom w:val="300"/>
          <w:divBdr>
            <w:top w:val="none" w:sz="0" w:space="0" w:color="auto"/>
            <w:left w:val="none" w:sz="0" w:space="0" w:color="auto"/>
            <w:bottom w:val="none" w:sz="0" w:space="0" w:color="auto"/>
            <w:right w:val="none" w:sz="0" w:space="0" w:color="auto"/>
          </w:divBdr>
          <w:divsChild>
            <w:div w:id="11367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39056">
      <w:bodyDiv w:val="1"/>
      <w:marLeft w:val="0"/>
      <w:marRight w:val="0"/>
      <w:marTop w:val="0"/>
      <w:marBottom w:val="0"/>
      <w:divBdr>
        <w:top w:val="none" w:sz="0" w:space="0" w:color="auto"/>
        <w:left w:val="none" w:sz="0" w:space="0" w:color="auto"/>
        <w:bottom w:val="none" w:sz="0" w:space="0" w:color="auto"/>
        <w:right w:val="none" w:sz="0" w:space="0" w:color="auto"/>
      </w:divBdr>
    </w:div>
    <w:div w:id="206801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26</Pages>
  <Words>11240</Words>
  <Characters>64069</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SDI 1180</cp:lastModifiedBy>
  <cp:revision>16</cp:revision>
  <dcterms:created xsi:type="dcterms:W3CDTF">2025-07-07T14:35:00Z</dcterms:created>
  <dcterms:modified xsi:type="dcterms:W3CDTF">2025-07-19T12:23:00Z</dcterms:modified>
</cp:coreProperties>
</file>