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70AD88" w14:textId="3530FA27" w:rsidR="00163BC4" w:rsidRPr="00163BC4" w:rsidRDefault="00277776" w:rsidP="00441B6F">
      <w:pPr>
        <w:pStyle w:val="Author"/>
        <w:spacing w:line="240" w:lineRule="auto"/>
        <w:rPr>
          <w:rFonts w:ascii="Arial" w:hAnsi="Arial" w:cs="Arial"/>
          <w:bCs/>
          <w:iCs/>
          <w:kern w:val="28"/>
          <w:sz w:val="36"/>
        </w:rPr>
      </w:pPr>
      <w:r w:rsidRPr="00277776">
        <w:rPr>
          <w:rFonts w:ascii="Arial" w:hAnsi="Arial" w:cs="Arial"/>
          <w:bCs/>
          <w:iCs/>
          <w:kern w:val="28"/>
          <w:sz w:val="36"/>
        </w:rPr>
        <w:t xml:space="preserve">The Effect of Arbuscular Mycorrhizal Tablets and Sachets on Mineral Content in </w:t>
      </w:r>
      <w:r w:rsidR="00100155">
        <w:rPr>
          <w:rFonts w:ascii="Arial" w:hAnsi="Arial" w:cs="Arial"/>
          <w:bCs/>
          <w:i/>
          <w:iCs/>
          <w:kern w:val="28"/>
          <w:sz w:val="36"/>
        </w:rPr>
        <w:t xml:space="preserve">Aloe </w:t>
      </w:r>
      <w:r w:rsidR="00100155">
        <w:rPr>
          <w:rFonts w:ascii="Arial" w:hAnsi="Arial" w:cs="Arial"/>
          <w:bCs/>
          <w:i/>
          <w:iCs/>
          <w:kern w:val="28"/>
          <w:sz w:val="36"/>
          <w:lang w:val="id-ID"/>
        </w:rPr>
        <w:t>v</w:t>
      </w:r>
      <w:r w:rsidRPr="00100155">
        <w:rPr>
          <w:rFonts w:ascii="Arial" w:hAnsi="Arial" w:cs="Arial"/>
          <w:bCs/>
          <w:i/>
          <w:iCs/>
          <w:kern w:val="28"/>
          <w:sz w:val="36"/>
        </w:rPr>
        <w:t>era</w:t>
      </w:r>
      <w:r w:rsidRPr="00277776">
        <w:rPr>
          <w:rFonts w:ascii="Arial" w:hAnsi="Arial" w:cs="Arial"/>
          <w:bCs/>
          <w:iCs/>
          <w:kern w:val="28"/>
          <w:sz w:val="36"/>
        </w:rPr>
        <w:t xml:space="preserve"> Tissue.</w:t>
      </w:r>
    </w:p>
    <w:p w14:paraId="23BE2003" w14:textId="77777777" w:rsidR="00A258C3" w:rsidRPr="00790ADA" w:rsidRDefault="00A258C3" w:rsidP="00441B6F">
      <w:pPr>
        <w:pStyle w:val="Author"/>
        <w:spacing w:line="240" w:lineRule="auto"/>
        <w:jc w:val="both"/>
        <w:rPr>
          <w:rFonts w:ascii="Arial" w:hAnsi="Arial" w:cs="Arial"/>
          <w:sz w:val="36"/>
        </w:rPr>
      </w:pPr>
    </w:p>
    <w:p w14:paraId="14D7C6CE" w14:textId="2E144233" w:rsidR="00B01FCD" w:rsidRPr="00FB3A86" w:rsidRDefault="00B01FCD" w:rsidP="00441B6F">
      <w:pPr>
        <w:pStyle w:val="Copyright"/>
        <w:spacing w:after="0" w:line="240" w:lineRule="auto"/>
        <w:jc w:val="both"/>
        <w:rPr>
          <w:rFonts w:ascii="Arial" w:hAnsi="Arial" w:cs="Arial"/>
        </w:rPr>
        <w:sectPr w:rsidR="00B01FCD" w:rsidRPr="00FB3A86" w:rsidSect="00E33B9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34F2881B"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75C414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085E51B7" w14:textId="77777777" w:rsidTr="001E44FE">
        <w:tc>
          <w:tcPr>
            <w:tcW w:w="9576" w:type="dxa"/>
            <w:shd w:val="clear" w:color="auto" w:fill="F2F2F2"/>
          </w:tcPr>
          <w:p w14:paraId="09416052"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276B5E" w:rsidRPr="00276B5E">
              <w:rPr>
                <w:rFonts w:ascii="Arial" w:eastAsia="Calibri" w:hAnsi="Arial" w:cs="Arial"/>
                <w:szCs w:val="22"/>
              </w:rPr>
              <w:t xml:space="preserve">This study aims to test the effect of arbuscular mycorrhizal (AM) tablets and sachets on the mineral nutrient content of </w:t>
            </w:r>
            <w:r w:rsidR="00276B5E" w:rsidRPr="00276B5E">
              <w:rPr>
                <w:rFonts w:ascii="Arial" w:eastAsia="Calibri" w:hAnsi="Arial" w:cs="Arial"/>
                <w:i/>
                <w:szCs w:val="22"/>
                <w:lang w:val="id-ID"/>
              </w:rPr>
              <w:t>A</w:t>
            </w:r>
            <w:proofErr w:type="spellStart"/>
            <w:r w:rsidR="00276B5E" w:rsidRPr="00276B5E">
              <w:rPr>
                <w:rFonts w:ascii="Arial" w:eastAsia="Calibri" w:hAnsi="Arial" w:cs="Arial"/>
                <w:i/>
                <w:szCs w:val="22"/>
              </w:rPr>
              <w:t>loe</w:t>
            </w:r>
            <w:proofErr w:type="spellEnd"/>
            <w:r w:rsidR="00276B5E" w:rsidRPr="00276B5E">
              <w:rPr>
                <w:rFonts w:ascii="Arial" w:eastAsia="Calibri" w:hAnsi="Arial" w:cs="Arial"/>
                <w:i/>
                <w:szCs w:val="22"/>
              </w:rPr>
              <w:t xml:space="preserve"> vera</w:t>
            </w:r>
            <w:r w:rsidR="00276B5E" w:rsidRPr="00276B5E">
              <w:rPr>
                <w:rFonts w:ascii="Arial" w:eastAsia="Calibri" w:hAnsi="Arial" w:cs="Arial"/>
                <w:szCs w:val="22"/>
              </w:rPr>
              <w:t xml:space="preserve"> </w:t>
            </w:r>
            <w:r w:rsidR="00276B5E">
              <w:rPr>
                <w:rFonts w:ascii="Arial" w:eastAsia="Calibri" w:hAnsi="Arial" w:cs="Arial"/>
                <w:szCs w:val="22"/>
                <w:lang w:val="id-ID"/>
              </w:rPr>
              <w:t xml:space="preserve">(Av) </w:t>
            </w:r>
            <w:r w:rsidR="00276B5E" w:rsidRPr="00276B5E">
              <w:rPr>
                <w:rFonts w:ascii="Arial" w:eastAsia="Calibri" w:hAnsi="Arial" w:cs="Arial"/>
                <w:szCs w:val="22"/>
              </w:rPr>
              <w:t>tissue.</w:t>
            </w:r>
          </w:p>
          <w:p w14:paraId="2C18D240" w14:textId="77777777" w:rsidR="00BA1B01" w:rsidRPr="00F532BB" w:rsidRDefault="00BA1B01" w:rsidP="00441B6F">
            <w:pPr>
              <w:pStyle w:val="Body"/>
              <w:spacing w:after="0"/>
              <w:rPr>
                <w:rFonts w:ascii="Arial" w:eastAsia="Calibri" w:hAnsi="Arial" w:cs="Arial"/>
                <w:szCs w:val="22"/>
                <w:lang w:val="id-ID"/>
              </w:rPr>
            </w:pPr>
            <w:r w:rsidRPr="00BA1B01">
              <w:rPr>
                <w:rFonts w:ascii="Arial" w:eastAsia="Calibri" w:hAnsi="Arial" w:cs="Arial"/>
                <w:b/>
                <w:szCs w:val="22"/>
              </w:rPr>
              <w:t>Study design:</w:t>
            </w:r>
          </w:p>
          <w:p w14:paraId="4F46BE63" w14:textId="482C08E0" w:rsidR="00BA1B01" w:rsidRPr="005528C9" w:rsidRDefault="00BA1B01" w:rsidP="00441B6F">
            <w:pPr>
              <w:pStyle w:val="Body"/>
              <w:spacing w:after="0"/>
              <w:rPr>
                <w:rFonts w:ascii="Arial" w:eastAsia="Calibri" w:hAnsi="Arial" w:cs="Arial"/>
                <w:szCs w:val="22"/>
                <w:lang w:val="id-ID"/>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635D07" w:rsidRPr="00635D07">
              <w:rPr>
                <w:rFonts w:ascii="Arial" w:eastAsia="Calibri" w:hAnsi="Arial" w:cs="Arial"/>
                <w:szCs w:val="22"/>
              </w:rPr>
              <w:t xml:space="preserve">This research was conducted on community land around the Muhammadiyah University of </w:t>
            </w:r>
            <w:proofErr w:type="spellStart"/>
            <w:r w:rsidR="00635D07" w:rsidRPr="00635D07">
              <w:rPr>
                <w:rFonts w:ascii="Arial" w:eastAsia="Calibri" w:hAnsi="Arial" w:cs="Arial"/>
                <w:szCs w:val="22"/>
              </w:rPr>
              <w:t>Parepare</w:t>
            </w:r>
            <w:proofErr w:type="spellEnd"/>
            <w:r w:rsidR="00635D07" w:rsidRPr="00635D07">
              <w:rPr>
                <w:rFonts w:ascii="Arial" w:eastAsia="Calibri" w:hAnsi="Arial" w:cs="Arial"/>
                <w:szCs w:val="22"/>
              </w:rPr>
              <w:t>, South Sulawesi, Indonesia, at an altitude of 37.0 meters above sea level with coordinates 3°59’30” S; 119°38’4 E, between January 2024 and August 2024.</w:t>
            </w:r>
          </w:p>
          <w:p w14:paraId="6802AD56" w14:textId="403EE6E0" w:rsidR="00BA1B01" w:rsidRPr="00FE308F" w:rsidRDefault="00BA1B01" w:rsidP="00441B6F">
            <w:pPr>
              <w:pStyle w:val="Body"/>
              <w:spacing w:after="0"/>
              <w:rPr>
                <w:rFonts w:ascii="Arial" w:eastAsia="Calibri" w:hAnsi="Arial" w:cs="Arial"/>
                <w:szCs w:val="22"/>
                <w:lang w:val="id-ID"/>
              </w:rPr>
            </w:pPr>
            <w:r w:rsidRPr="00BA1B01">
              <w:rPr>
                <w:rFonts w:ascii="Arial" w:eastAsia="Calibri" w:hAnsi="Arial" w:cs="Arial"/>
                <w:b/>
                <w:bCs/>
                <w:szCs w:val="22"/>
              </w:rPr>
              <w:t>Methodology:</w:t>
            </w:r>
            <w:r w:rsidRPr="00BA1B01">
              <w:rPr>
                <w:rFonts w:ascii="Arial" w:eastAsia="Calibri" w:hAnsi="Arial" w:cs="Arial"/>
                <w:szCs w:val="22"/>
              </w:rPr>
              <w:t xml:space="preserve"> </w:t>
            </w:r>
            <w:r w:rsidR="00276B5E" w:rsidRPr="00276B5E">
              <w:rPr>
                <w:rFonts w:ascii="Arial" w:eastAsia="Calibri" w:hAnsi="Arial" w:cs="Arial"/>
                <w:szCs w:val="22"/>
              </w:rPr>
              <w:t xml:space="preserve">This study used a one-factor </w:t>
            </w:r>
            <w:r w:rsidR="005528C9" w:rsidRPr="00276B5E">
              <w:rPr>
                <w:rFonts w:ascii="Arial" w:eastAsia="Calibri" w:hAnsi="Arial" w:cs="Arial"/>
                <w:szCs w:val="22"/>
              </w:rPr>
              <w:t xml:space="preserve">completely randomized design </w:t>
            </w:r>
            <w:r w:rsidR="00276B5E" w:rsidRPr="00276B5E">
              <w:rPr>
                <w:rFonts w:ascii="Arial" w:eastAsia="Calibri" w:hAnsi="Arial" w:cs="Arial"/>
                <w:szCs w:val="22"/>
              </w:rPr>
              <w:t xml:space="preserve">with treatments of AM powder/control, AM sachets, and AM tablets. Observations were made at the age of 60 days after planting on the variables of the level of colonization of the AM structure (hyphae, arbuscules, vesicles, and spores), mineral nutrient content in the root, stem, and leaf tissues of </w:t>
            </w:r>
            <w:r w:rsidR="00FE308F">
              <w:rPr>
                <w:rFonts w:ascii="Arial" w:eastAsia="Calibri" w:hAnsi="Arial" w:cs="Arial"/>
                <w:szCs w:val="22"/>
                <w:lang w:val="id-ID"/>
              </w:rPr>
              <w:t>Av</w:t>
            </w:r>
          </w:p>
          <w:p w14:paraId="49C0A01F" w14:textId="77777777"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635D07" w:rsidRPr="00635D07">
              <w:rPr>
                <w:rFonts w:ascii="Arial" w:eastAsia="Calibri" w:hAnsi="Arial" w:cs="Arial"/>
                <w:szCs w:val="22"/>
              </w:rPr>
              <w:t>The results showed that the percentage of AM colonization levels was moderate (10%- 30%) to high (&gt;30%). AM tablets and sachets affected the mineral nutrient content in plant tissue and were significantly different from AM powder. Thus, AM tablets and sachets can be recommended to farmers as an easy, environmentally friendly, and sustainable method of AM application that does not inhibit the symbiotic process between plants and AM.</w:t>
            </w:r>
          </w:p>
          <w:p w14:paraId="7DCBA3F8" w14:textId="77777777" w:rsidR="00505F06" w:rsidRPr="00BA1B01" w:rsidRDefault="00BA1B01" w:rsidP="00F532BB">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801237" w:rsidRPr="00801237">
              <w:rPr>
                <w:rFonts w:ascii="Arial" w:eastAsia="Calibri" w:hAnsi="Arial" w:cs="Arial"/>
                <w:szCs w:val="22"/>
              </w:rPr>
              <w:t xml:space="preserve">AM tablets and sachets did not inhibit the AM colonization process in root tissue and showed different concentrations of nutrient minerals in the roots, stems, and leaves of </w:t>
            </w:r>
            <w:r w:rsidR="00F532BB">
              <w:rPr>
                <w:rFonts w:ascii="Arial" w:eastAsia="Calibri" w:hAnsi="Arial" w:cs="Arial"/>
                <w:szCs w:val="22"/>
                <w:lang w:val="id-ID"/>
              </w:rPr>
              <w:t>Av</w:t>
            </w:r>
            <w:r w:rsidR="00801237" w:rsidRPr="00801237">
              <w:rPr>
                <w:rFonts w:ascii="Arial" w:eastAsia="Calibri" w:hAnsi="Arial" w:cs="Arial"/>
                <w:szCs w:val="22"/>
              </w:rPr>
              <w:t>.</w:t>
            </w:r>
            <w:r w:rsidR="004D4277">
              <w:rPr>
                <w:rFonts w:ascii="Arial" w:eastAsia="Calibri" w:hAnsi="Arial" w:cs="Arial"/>
                <w:color w:val="FF0000"/>
                <w:szCs w:val="22"/>
              </w:rPr>
              <w:t>.</w:t>
            </w:r>
          </w:p>
        </w:tc>
      </w:tr>
    </w:tbl>
    <w:p w14:paraId="25718D42" w14:textId="77777777" w:rsidR="00636EB2" w:rsidRDefault="00636EB2" w:rsidP="00441B6F">
      <w:pPr>
        <w:pStyle w:val="Body"/>
        <w:spacing w:after="0"/>
        <w:rPr>
          <w:rFonts w:ascii="Arial" w:hAnsi="Arial" w:cs="Arial"/>
          <w:i/>
        </w:rPr>
      </w:pPr>
    </w:p>
    <w:p w14:paraId="1044E429" w14:textId="506F6478" w:rsidR="00A24E7E" w:rsidRPr="00B249D8" w:rsidRDefault="00A24E7E" w:rsidP="00441B6F">
      <w:pPr>
        <w:pStyle w:val="Body"/>
        <w:spacing w:after="0"/>
        <w:rPr>
          <w:rFonts w:ascii="Arial" w:hAnsi="Arial" w:cs="Arial"/>
          <w:i/>
          <w:lang w:val="id-ID"/>
        </w:rPr>
      </w:pPr>
      <w:r>
        <w:rPr>
          <w:rFonts w:ascii="Arial" w:hAnsi="Arial" w:cs="Arial"/>
          <w:i/>
        </w:rPr>
        <w:t xml:space="preserve">Keywords: </w:t>
      </w:r>
      <w:r w:rsidR="00B249D8" w:rsidRPr="00B249D8">
        <w:rPr>
          <w:rFonts w:ascii="Arial" w:hAnsi="Arial" w:cs="Arial"/>
          <w:i/>
        </w:rPr>
        <w:t>Colonization; dosage form; endomycorrhiza; infection, mineral</w:t>
      </w:r>
      <w:r w:rsidR="00D6586F">
        <w:rPr>
          <w:rFonts w:ascii="Arial" w:hAnsi="Arial" w:cs="Arial"/>
          <w:i/>
          <w:lang w:val="id-ID"/>
        </w:rPr>
        <w:t>,</w:t>
      </w:r>
      <w:r w:rsidR="00B249D8" w:rsidRPr="00B249D8">
        <w:rPr>
          <w:rFonts w:ascii="Arial" w:hAnsi="Arial" w:cs="Arial"/>
          <w:i/>
        </w:rPr>
        <w:t xml:space="preserve"> nutrition</w:t>
      </w:r>
      <w:r w:rsidR="00B249D8">
        <w:rPr>
          <w:rFonts w:ascii="Arial" w:hAnsi="Arial" w:cs="Arial"/>
          <w:i/>
          <w:lang w:val="id-ID"/>
        </w:rPr>
        <w:t>.</w:t>
      </w:r>
    </w:p>
    <w:p w14:paraId="3DF1C1CD" w14:textId="77777777" w:rsidR="00790ADA" w:rsidRDefault="00790ADA" w:rsidP="00441B6F">
      <w:pPr>
        <w:pStyle w:val="Body"/>
        <w:spacing w:after="0"/>
        <w:rPr>
          <w:rFonts w:ascii="Arial" w:hAnsi="Arial" w:cs="Arial"/>
          <w:i/>
        </w:rPr>
      </w:pPr>
    </w:p>
    <w:p w14:paraId="7EA4A531"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D625332" w14:textId="77777777" w:rsidR="00790ADA" w:rsidRPr="00FB3A86" w:rsidRDefault="00790ADA" w:rsidP="00441B6F">
      <w:pPr>
        <w:pStyle w:val="AbstHead"/>
        <w:spacing w:after="0"/>
        <w:jc w:val="both"/>
        <w:rPr>
          <w:rFonts w:ascii="Arial" w:hAnsi="Arial" w:cs="Arial"/>
        </w:rPr>
      </w:pPr>
    </w:p>
    <w:p w14:paraId="101E6B86" w14:textId="77777777" w:rsidR="009924FF" w:rsidRPr="001B5F19" w:rsidRDefault="009924FF" w:rsidP="009924FF">
      <w:pPr>
        <w:pStyle w:val="Body"/>
        <w:rPr>
          <w:rFonts w:ascii="Arial" w:hAnsi="Arial" w:cs="Arial"/>
        </w:rPr>
      </w:pPr>
      <w:r w:rsidRPr="001B5F19">
        <w:rPr>
          <w:rFonts w:ascii="Arial" w:hAnsi="Arial" w:cs="Arial"/>
          <w:i/>
        </w:rPr>
        <w:t>Aloe vera</w:t>
      </w:r>
      <w:r w:rsidRPr="001B5F19">
        <w:rPr>
          <w:rFonts w:ascii="Arial" w:hAnsi="Arial" w:cs="Arial"/>
        </w:rPr>
        <w:t xml:space="preserve"> (Av) belongs to the Liliaceae family and has 548 species. This plant has green, thick, fleshy, serrated leaves, which contain gel as an essential part of the plant that has economic value, and latex, consisting of polysaccharides, proteins, amino acids, vitamins, and anthraquinones </w:t>
      </w:r>
      <w:r w:rsidR="00E80A25" w:rsidRPr="001B5F19">
        <w:rPr>
          <w:rFonts w:ascii="Arial" w:hAnsi="Arial" w:cs="Arial"/>
        </w:rPr>
        <w:fldChar w:fldCharType="begin" w:fldLock="1"/>
      </w:r>
      <w:r w:rsidR="00E80A25" w:rsidRPr="001B5F19">
        <w:rPr>
          <w:rFonts w:ascii="Arial" w:hAnsi="Arial" w:cs="Arial"/>
        </w:rPr>
        <w:instrText>ADDIN CSL_CITATION {"citationItems":[{"id":"ITEM-1","itemData":{"DOI":"10.1016/j.sajb.2021.02.026","ISSN":"02546299","abstract":"Aloe vera (Aloe barbadensis Miller) is a perennial drought tolerant medicinal species. This research study investigates the influence of biofertilizers on mycorrhizal fungi colonization, leaf number and width, plant height, offset number, leaf relative elongation rate (RER), leaf dry weight and leaf gel weight, water productivity (WP) for the gel, and aloin content in Aloe vera plants. The experiments were carried out in the warm and dry climate of Bushehr Province, Iran during 2016–2018. Treatments are reported to include irrigation regimes and biofertilizers at four levels. In terms of irrigation regimes, 25%, 50%, 75%, and 100% of water requirement accompanied the following treatments for biofertilizers, phosphorus-solubilizing bacteria (PSB), mycorrhizal fungi (MF), PSB+MF, and control (without any biofertilizers). The PSB includes Pseudomonas putida strain P13 and Pantoea agglomerans strain P5, in addition to Glomus mosseae as MF. The biofertilizer benefits (remarkably PSB+MF) on investigated traits were observed in three harvests. The results confirm the positive impacts of biofertilizers on important traits such as offset number (an economical part of Aloe vera planting), water productivity with less water consumption, and root colonization, which is the main reason of increasing the mentioned traits. Considering the minimal difference between 100%, 75% and 50% of water requirement in terms of gel fresh weight and more aloin content in 50% of our experiments, Aloe vera is reported as a high drought tolerant plant which merely requires an acceptable gel yield and aloin content. Moreover, better water productivity and consumption is possible in warm and arid regions by applying 50% of Aloe vera water requirement as well as biofertilizers.","author":[{"dropping-particle":"","family":"Khajeeyan","given":"Rahil","non-dropping-particle":"","parse-names":false,"suffix":""},{"dropping-particle":"","family":"Salehi","given":"Amin","non-dropping-particle":"","parse-names":false,"suffix":""},{"dropping-particle":"","family":"Movahhedi Dehnavi","given":"Mohsen","non-dropping-particle":"","parse-names":false,"suffix":""},{"dropping-particle":"","family":"Farajee","given":"Hooshang","non-dropping-particle":"","parse-names":false,"suffix":""},{"dropping-particle":"","family":"Kohanmoo","given":"Mohammad Amin","non-dropping-particle":"","parse-names":false,"suffix":""}],"container-title":"South African Journal of Botany","id":"ITEM-1","issued":{"date-parts":[["2022"]]},"page":"1188-1198","publisher":"Elsevier B.V.","title":"Growth parameters, water productivity and aloin content of Aloe vera affected by mycorrhiza and PGPR application under different irrigation regimes","type":"article-journal","volume":"147"},"uris":["http://www.mendeley.com/documents/?uuid=f98ec839-ee75-42b0-a2c1-06de1ad5bd5d"]},{"id":"ITEM-2","itemData":{"DOI":"10.3390/polysaccharides6020036","author":[{"dropping-particle":"","family":"Matei","given":"Cousuela Elena","non-dropping-particle":"","parse-names":false,"suffix":""},{"dropping-particle":"","family":"Visan","given":"Anita Ioana","non-dropping-particle":"","parse-names":false,"suffix":""},{"dropping-particle":"","family":"Crestescu","given":"Radica","non-dropping-particle":"","parse-names":false,"suffix":""}],"container-title":"Polysaccharides","id":"ITEM-2","issued":{"date-parts":[["2025"]]},"page":"1-32","title":"Aloe Vera Polysaccharides as Therapeutic Agents : Benefits Versus Side Effects in Biomedical Applications","type":"article-journal","volume":"6"},"uris":["http://www.mendeley.com/documents/?uuid=cd132eb4-0428-433b-9c3e-eceb2468ee06"]},{"id":"ITEM-3","itemData":{"DOI":"10.1016/j.phanu.2025.100436","ISSN":"22134344","abstract":"Aloe vera (AV) is a succulent plant renowned for its medicinal properties, containing numerous bioactive compounds that offer significant health benefits. Aligning with the United Nations Sustainable Development Goals, particularly Goal 12 on Responsible Consumption and Production, utilizing AV and its byproducts in the food industry can promote sustainability by reducing waste and maximizing resource efficiency. This review provides an in-depth analysis of AV and its byproducts as sources of functional compounds for the food industry. It focuses on various extraction methods for isolating bioactive compounds. The biological activities of these compounds, such as antioxidant, antimicrobial, anti-inflammatory, and gut microbiome properties, were discussed to highlight their potetial health benefits. Additionally, the review explores the diverse applications of AV and its byproducts in the food industry, including their use as natural preservatives, functional ingredients, and nutraceuticals. Effective extraction techniques preserve the functional properties of isolated compounds, which exhibit a wide range of biological activities. Ultimately, AV and its byproducts can enhance the nutritional profiles of food products and contribute to the development of health-promoting formulations. By harnessing these benefits, the food industry can create innovative products that align with sustainable practices while improving consumer health.","author":[{"dropping-particle":"","family":"Mensah","given":"Emmanuel Ofosu","non-dropping-particle":"","parse-names":false,"suffix":""},{"dropping-particle":"","family":"Adadi","given":"Parise","non-dropping-particle":"","parse-names":false,"suffix":""},{"dropping-particle":"","family":"Asase","given":"Richard Vincent","non-dropping-particle":"","parse-names":false,"suffix":""},{"dropping-particle":"","family":"Kelvin","given":"Opoku","non-dropping-particle":"","parse-names":false,"suffix":""},{"dropping-particle":"","family":"Mozhdehi","given":"Fatemeh Jalil","non-dropping-particle":"","parse-names":false,"suffix":""},{"dropping-particle":"","family":"Amoah","given":"Isaac","non-dropping-particle":"","parse-names":false,"suffix":""},{"dropping-particle":"","family":"Agyei","given":"Dominic","non-dropping-particle":"","parse-names":false,"suffix":""}],"container-title":"PharmaNutrition","id":"ITEM-3","issued":{"date-parts":[["2025"]]},"page":"100436","publisher":"Elsevier B.V.","title":"Aloe vera and its Byproducts as Sources of Valuable Bioactive Compounds: Extraction, Biological Activities, and Applications in Various Food Industries","type":"article-journal","volume":"31"},"uris":["http://www.mendeley.com/documents/?uuid=a9555d74-cb61-4edb-9875-113f65eb9604"]}],"mendeley":{"formattedCitation":"(Khajeeyan et al., 2022; Matei et al., 2025; Mensah et al., 2025)","plainTextFormattedCitation":"(Khajeeyan et al., 2022; Matei et al., 2025; Mensah et al., 2025)","previouslyFormattedCitation":"(Khajeeyan et al., 2022; Matei et al., 2025; Mensah et al., 2025)"},"properties":{"noteIndex":0},"schema":"https://github.com/citation-style-language/schema/raw/master/csl-citation.json"}</w:instrText>
      </w:r>
      <w:r w:rsidR="00E80A25" w:rsidRPr="001B5F19">
        <w:rPr>
          <w:rFonts w:ascii="Arial" w:hAnsi="Arial" w:cs="Arial"/>
        </w:rPr>
        <w:fldChar w:fldCharType="separate"/>
      </w:r>
      <w:r w:rsidR="00E80A25" w:rsidRPr="001B5F19">
        <w:rPr>
          <w:rFonts w:ascii="Arial" w:hAnsi="Arial" w:cs="Arial"/>
          <w:noProof/>
        </w:rPr>
        <w:t>(Khajeeyan et al., 2022; Matei et al., 2025; Mensah et al., 2025)</w:t>
      </w:r>
      <w:r w:rsidR="00E80A25" w:rsidRPr="001B5F19">
        <w:rPr>
          <w:rFonts w:ascii="Arial" w:hAnsi="Arial" w:cs="Arial"/>
        </w:rPr>
        <w:fldChar w:fldCharType="end"/>
      </w:r>
      <w:r w:rsidR="00E80A25" w:rsidRPr="001B5F19">
        <w:rPr>
          <w:rFonts w:ascii="Arial" w:hAnsi="Arial" w:cs="Arial"/>
          <w:lang w:val="id-ID"/>
        </w:rPr>
        <w:t xml:space="preserve">. </w:t>
      </w:r>
    </w:p>
    <w:p w14:paraId="7A0FBCA8" w14:textId="77777777" w:rsidR="009924FF" w:rsidRPr="009924FF" w:rsidRDefault="009924FF" w:rsidP="009924FF">
      <w:pPr>
        <w:pStyle w:val="Body"/>
        <w:rPr>
          <w:rFonts w:ascii="Arial" w:hAnsi="Arial" w:cs="Arial"/>
        </w:rPr>
      </w:pPr>
      <w:r w:rsidRPr="001B5F19">
        <w:rPr>
          <w:rFonts w:ascii="Arial" w:hAnsi="Arial" w:cs="Arial"/>
        </w:rPr>
        <w:t xml:space="preserve">One of the horticultural commodities that is long-lived and drought-resistant is Av. However, </w:t>
      </w:r>
      <w:r w:rsidR="00E80A25" w:rsidRPr="001B5F19">
        <w:rPr>
          <w:rFonts w:ascii="Arial" w:hAnsi="Arial" w:cs="Arial"/>
          <w:lang w:val="id-ID"/>
        </w:rPr>
        <w:t>Av</w:t>
      </w:r>
      <w:r w:rsidRPr="001B5F19">
        <w:rPr>
          <w:rFonts w:ascii="Arial" w:hAnsi="Arial" w:cs="Arial"/>
        </w:rPr>
        <w:t xml:space="preserve"> can be cultivated in tropical areas and has the potential to be developed in Indonesia </w:t>
      </w:r>
      <w:r w:rsidR="00E80A25" w:rsidRPr="001B5F19">
        <w:rPr>
          <w:rFonts w:ascii="Arial" w:hAnsi="Arial" w:cs="Arial"/>
        </w:rPr>
        <w:fldChar w:fldCharType="begin" w:fldLock="1"/>
      </w:r>
      <w:r w:rsidR="00E80A25" w:rsidRPr="001B5F19">
        <w:rPr>
          <w:rFonts w:ascii="Arial" w:hAnsi="Arial" w:cs="Arial"/>
        </w:rPr>
        <w:instrText>ADDIN CSL_CITATION {"citationItems":[{"id":"ITEM-1","itemData":{"DOI":"10.20956/ijas.v9i2.2988","abstract":"… in the development of the aloe vera agribusiness. Land use conflicts, … agribusiness into question. This research was conducted to assess the sustainability of aloe vera agribusiness …","author":[{"dropping-particle":"","family":"Jompa","given":"Sulhajji","non-dropping-particle":"","parse-names":false,"suffix":""},{"dropping-particle":"","family":"Syarief","given":"Rizal","non-dropping-particle":"","parse-names":false,"suffix":""},{"dropping-particle":"","family":"Sutjahjo","given":"Surjono Hadi","non-dropping-particle":"","parse-names":false,"suffix":""},{"dropping-particle":"","family":"Yulianto","given":"Anton","non-dropping-particle":"","parse-names":false,"suffix":""}],"container-title":"International Journal of Agriculture System (IJAS)","id":"ITEM-1","issue":"2","issued":{"date-parts":[["2022"]]},"page":"80-90","title":"Aloe Vera Agribusiness Development Sustainability Analysis in Bogor Regency","type":"article-journal","volume":"9"},"uris":["http://www.mendeley.com/documents/?uuid=a5001707-5afe-4dc2-af8f-02ef9c166c69"]}],"mendeley":{"formattedCitation":"(Jompa et al., 2022)","plainTextFormattedCitation":"(Jompa et al., 2022)","previouslyFormattedCitation":"(Jompa et al., 2022)"},"properties":{"noteIndex":0},"schema":"https://github.com/citation-style-language/schema/raw/master/csl-citation.json"}</w:instrText>
      </w:r>
      <w:r w:rsidR="00E80A25" w:rsidRPr="001B5F19">
        <w:rPr>
          <w:rFonts w:ascii="Arial" w:hAnsi="Arial" w:cs="Arial"/>
        </w:rPr>
        <w:fldChar w:fldCharType="separate"/>
      </w:r>
      <w:r w:rsidR="00E80A25" w:rsidRPr="001B5F19">
        <w:rPr>
          <w:rFonts w:ascii="Arial" w:hAnsi="Arial" w:cs="Arial"/>
          <w:noProof/>
        </w:rPr>
        <w:t>(Jompa et al., 2022)</w:t>
      </w:r>
      <w:r w:rsidR="00E80A25" w:rsidRPr="001B5F19">
        <w:rPr>
          <w:rFonts w:ascii="Arial" w:hAnsi="Arial" w:cs="Arial"/>
        </w:rPr>
        <w:fldChar w:fldCharType="end"/>
      </w:r>
      <w:r w:rsidRPr="001B5F19">
        <w:rPr>
          <w:rFonts w:ascii="Arial" w:hAnsi="Arial" w:cs="Arial"/>
        </w:rPr>
        <w:t xml:space="preserve">, as it has applications in the pharmaceutical, cosmetic, and food industries </w:t>
      </w:r>
      <w:r w:rsidR="00E80A25" w:rsidRPr="001B5F19">
        <w:rPr>
          <w:rFonts w:ascii="Arial" w:hAnsi="Arial" w:cs="Arial"/>
        </w:rPr>
        <w:fldChar w:fldCharType="begin" w:fldLock="1"/>
      </w:r>
      <w:r w:rsidR="00D86361" w:rsidRPr="001B5F19">
        <w:rPr>
          <w:rFonts w:ascii="Arial" w:hAnsi="Arial" w:cs="Arial"/>
        </w:rPr>
        <w:instrText>ADDIN CSL_CITATION {"citationItems":[{"id":"ITEM-1","itemData":{"abstract":"Tanaman lidah buaya merupakan salah satu tanaman tertua yang digunakan selama ribuan tahun. Lidah buaya telah digunakan sebagai ramuan yang menyembuhkan berbagai penyakit sepanjang sejarah. Sejumlah penelitian yang dilakukan dalam dua dekade terakhir menjelaskan sifat kimia dan senyawa alami yang terkandung dalam tanaman ini, seperti antrakuinon, asam amino, acemannan, aloesin, dan glukomanan, yang menunjukkan efek terapeutik yang beragam. Artikel ini bertujuan untuk meninjau efek farmakologis tanaman lidah buaya dan berbagai bentuk sediaan farmasinya. Data dikumpulkan dari literatur internasional yang diterbitkan di PMID dan Google Scholar. Dapat disimpulkan bahwa lidah buaya memiliki berbagai efek terapi seperti anti inflamasi, penyembuhan luka, anti oksidan, anti kanker, anti tumor, anti tukak, antivirus dan antibakteri, serta anti kolesterol. Selain itu, beberapa formulasi farmasi Aloe vera dapat disiapkan selama pengembangan produk, termasuk supositoria, krim, gel, dan tablet. Kata kunci: Lidah buaya; bentuk sediaan farmasi; efek farmakologis; pengembangan produk. The Aloe vera plant is one of the oldest plants used for thousands of years. Aloe vera has been used as a herb that cures multiple diseases throughout history. Numerous studies conducted in the past two decades shed light on the chemical properties and natural compounds contained in this plant, such as anthraquinone, amino acids, acemannan, aloesin, and glucomannan, exhibiting diverse therapeutic effects. This article aimed at reviewing the pharmacological effects of Aloe vera plant and its different pharmaceutical dosage forms. Data were collected from international published literature in PMID and Google Scholar. It can be concluded that the Aloe vera has various therapeutics effects such as anti-inflammatory, wound healing, anti-oxidant, anticancer, anti-tumor, antiulcer, antiviral and antibacterial, and anti-cholesterol. In addition, some pharmaceutical formulations of Aloe vera can be prepared during product development, including suppositories, creams, gels, and tablets.","author":[{"dropping-particle":"","family":"Al-Maamari","given":"Saleh","non-dropping-particle":"","parse-names":false,"suffix":""},{"dropping-particle":"","family":"Nasser","given":"Jamal","non-dropping-particle":"","parse-names":false,"suffix":""}],"container-title":"Journal of Pharmacy Science and Practice I","id":"ITEM-1","issue":"2","issued":{"date-parts":[["2021"]]},"page":"85-90","title":"Pharmacological Effects and Pharmaceutical Dosage Forms Development of Aloe vera","type":"article-journal","volume":"8"},"uris":["http://www.mendeley.com/documents/?uuid=100ef674-3083-434d-8078-2ff5014a283e"]},{"id":"ITEM-2","itemData":{"DOI":"10.22487/agroland.v0i0.1440","ISSN":"2407-7585","abstract":"Pontianak Aloe Vera (PAV) is one of the plants in Indonesia that is used as an icon of the city of Pontianak. This plant is widely planted in Kalimantan and is known for its medicinal and cosmetic benefits. The method used is reference search through Google Scholar, Research Gate and other electronic media and then analyzed by descriptive method. The articles reviewed in Indonesian or English language, which published between 2010 to 2022, relevantly. Based on the research results, this plant contains various chemical compounds, such as aloemoedin, aloebarbadiod, vitamin C, collagen, polysaccharides, enzymes, and minerals that have the potential as cosmeceuticals. The products made from Aloe vera produced by the researchers are in the form of external use products in the form of gels, creams, lotions, liquid soaps, and so on for skin and hair care and the use of products orally in the form of powders. These treatment products are reported to have benefits as an anti-dandruff and hair growth stimulate. In addition, other benefits on the skin are maintaining moisture and hydration of the skin, as a sunscreen, stimulating the growth of fibroblasts to treat wounds after surgery, brightening the skin, fading wounds and acne scars, reducing the severity of acne and maintaining skin elasticity.","author":[{"dropping-particle":"","family":"Shafara","given":"Farisa Qisthi","non-dropping-particle":"","parse-names":false,"suffix":""},{"dropping-particle":"","family":"Irawan","given":"Budi","non-dropping-particle":"","parse-names":false,"suffix":""},{"dropping-particle":"","family":"Ernah","given":"Ernah","non-dropping-particle":"","parse-names":false,"suffix":""}],"container-title":"AGROLAND: The Agricultural Sciences Journal","id":"ITEM-2","issued":{"date-parts":[["2023"]]},"page":"50-57","title":"Bioprospecting of Pontianak Aloe as An Indonesian Plant for Coemeceutical: A Review","type":"article-journal","volume":"10"},"uris":["http://www.mendeley.com/documents/?uuid=35a4cd7b-e764-4827-947c-36dcd351f9b9"]}],"mendeley":{"formattedCitation":"(Al-Maamari &amp; Nasser, 2021; Shafara et al., 2023)","plainTextFormattedCitation":"(Al-Maamari &amp; Nasser, 2021; Shafara et al., 2023)","previouslyFormattedCitation":"(Al-Maamari &amp; Nasser, 2021; Shafara et al., 2023)"},"properties":{"noteIndex":0},"schema":"https://github.com/citation-style-language/schema/raw/master/csl-citation.json"}</w:instrText>
      </w:r>
      <w:r w:rsidR="00E80A25" w:rsidRPr="001B5F19">
        <w:rPr>
          <w:rFonts w:ascii="Arial" w:hAnsi="Arial" w:cs="Arial"/>
        </w:rPr>
        <w:fldChar w:fldCharType="separate"/>
      </w:r>
      <w:r w:rsidR="00E80A25" w:rsidRPr="001B5F19">
        <w:rPr>
          <w:rFonts w:ascii="Arial" w:hAnsi="Arial" w:cs="Arial"/>
          <w:noProof/>
        </w:rPr>
        <w:t>(Al-Maamari &amp; Nasser, 2021; Shafara et al., 2023)</w:t>
      </w:r>
      <w:r w:rsidR="00E80A25" w:rsidRPr="001B5F19">
        <w:rPr>
          <w:rFonts w:ascii="Arial" w:hAnsi="Arial" w:cs="Arial"/>
        </w:rPr>
        <w:fldChar w:fldCharType="end"/>
      </w:r>
      <w:r w:rsidRPr="001B5F19">
        <w:rPr>
          <w:rFonts w:ascii="Arial" w:hAnsi="Arial" w:cs="Arial"/>
        </w:rPr>
        <w:t>, which can increase farmers' and the country's income.</w:t>
      </w:r>
    </w:p>
    <w:p w14:paraId="48C57616" w14:textId="01124938" w:rsidR="009924FF" w:rsidRPr="009924FF" w:rsidRDefault="009924FF" w:rsidP="009924FF">
      <w:pPr>
        <w:pStyle w:val="Body"/>
        <w:rPr>
          <w:rFonts w:ascii="Arial" w:hAnsi="Arial" w:cs="Arial"/>
        </w:rPr>
      </w:pPr>
      <w:r w:rsidRPr="009924FF">
        <w:rPr>
          <w:rFonts w:ascii="Arial" w:hAnsi="Arial" w:cs="Arial"/>
        </w:rPr>
        <w:t xml:space="preserve">Research using Av as an object of observation has been conducted by several researchers to investigate its potential as a plant growth stimulant, antimicrobial agent, herbal medicine, and health supplement </w:t>
      </w:r>
      <w:r w:rsidR="00D86361">
        <w:rPr>
          <w:rFonts w:ascii="Arial" w:hAnsi="Arial" w:cs="Arial"/>
        </w:rPr>
        <w:fldChar w:fldCharType="begin" w:fldLock="1"/>
      </w:r>
      <w:r w:rsidR="00D86361">
        <w:rPr>
          <w:rFonts w:ascii="Arial" w:hAnsi="Arial" w:cs="Arial"/>
        </w:rPr>
        <w:instrText>ADDIN CSL_CITATION {"citationItems":[{"id":"ITEM-1","itemData":{"DOI":"10.1016/j.aqrep.2025.102662","ISSN":"23525134","abstract":"Aloe barbadensis (L.) Mill. (A. vera) is a well-recognized herbal supplement in aquaculture feeds, known for its ability to promote overall health. This research demonstrates the beneficial effects of dietary A. vera supplementation on growth, carcass composition, digestibility, hematology, antioxidant status, and immune parameters in Catla catla. A total of 270 C. catla fish (average weight: 6.50 ± 0.03 g) were uniformly assigned into six treatment groups, each replicated in triplicate. The groups fed diets containing equal amounts of canola meal and varying levels of A. vera supplementation (0 %, 1 %, 2 %, 3 %, 4 %, and 5 %). The fish were fed at a rate equivalent to 5 % of their live wet body weight. The findings determined that fish fed an A. vera supplemented diet exhibited significant improvements in all parameters. Supplementation with 3 % A. vera resulted in a significant (p &lt; 0.05) increase in weight gain (%) and an improved feed conversion ratio. Moreover, highest digestibility coefficients for crude protein, gross energy, and crude fat, as well as optimal carcass values for fat and crude protein content, were observed at 3 % A. vera supplementation level. Hematological analysis revealed significant differences (p &lt; 0.05) in white blood cells, red blood cells, platelets, and hemoglobin levels in fish fed at 3 % A. vera diet. Notably, antioxidant activities and immune parameters also showed maximum output at the 3 % A. vera supplementation level.","author":[{"dropping-particle":"","family":"Yousaf","given":"Zeeshan","non-dropping-particle":"","parse-names":false,"suffix":""},{"dropping-particle":"","family":"Hussain","given":"Syed Makhdoom","non-dropping-particle":"","parse-names":false,"suffix":""},{"dropping-particle":"","family":"Ali","given":"Shafaqat","non-dropping-particle":"","parse-names":false,"suffix":""},{"dropping-particle":"","family":"Kucharczyk","given":"Dariusz","non-dropping-particle":"","parse-names":false,"suffix":""},{"dropping-particle":"","family":"Nowosad","given":"Joanna","non-dropping-particle":"","parse-names":false,"suffix":""},{"dropping-particle":"","family":"Turkowski","given":"Konrad","non-dropping-particle":"","parse-names":false,"suffix":""},{"dropping-particle":"","family":"Paray","given":"Bilal Ahamad","non-dropping-particle":"","parse-names":false,"suffix":""},{"dropping-particle":"","family":"Naeem","given":"Adan","non-dropping-particle":"","parse-names":false,"suffix":""}],"container-title":"Aquaculture Reports","id":"ITEM-1","issued":{"date-parts":[["2025"]]},"page":"102662","publisher":"Elsevier B.V.","title":"Aloe vera: A Promising Natural Herbal Supplement for Enhancing Growth, Physiology, Antioxidant Activity and Immunity in Catla catla","type":"article-journal","volume":"41"},"uris":["http://www.mendeley.com/documents/?uuid=735d98f5-8ab4-4f2a-9953-accaf7254943"]}],"mendeley":{"formattedCitation":"(Yousaf et al., 2025)","plainTextFormattedCitation":"(Yousaf et al., 2025)","previouslyFormattedCitation":"(Yousaf et al., 2025)"},"properties":{"noteIndex":0},"schema":"https://github.com/citation-style-language/schema/raw/master/csl-citation.json"}</w:instrText>
      </w:r>
      <w:r w:rsidR="00D86361">
        <w:rPr>
          <w:rFonts w:ascii="Arial" w:hAnsi="Arial" w:cs="Arial"/>
        </w:rPr>
        <w:fldChar w:fldCharType="separate"/>
      </w:r>
      <w:r w:rsidR="00D86361" w:rsidRPr="00D86361">
        <w:rPr>
          <w:rFonts w:ascii="Arial" w:hAnsi="Arial" w:cs="Arial"/>
          <w:noProof/>
        </w:rPr>
        <w:t>(Yousaf et al., 2025)</w:t>
      </w:r>
      <w:r w:rsidR="00D86361">
        <w:rPr>
          <w:rFonts w:ascii="Arial" w:hAnsi="Arial" w:cs="Arial"/>
        </w:rPr>
        <w:fldChar w:fldCharType="end"/>
      </w:r>
      <w:r w:rsidRPr="009924FF">
        <w:rPr>
          <w:rFonts w:ascii="Arial" w:hAnsi="Arial" w:cs="Arial"/>
        </w:rPr>
        <w:t xml:space="preserve">. In addition, several researchers have also examined the effects of fertilizers </w:t>
      </w:r>
      <w:r w:rsidR="00D86361">
        <w:rPr>
          <w:rFonts w:ascii="Arial" w:hAnsi="Arial" w:cs="Arial"/>
        </w:rPr>
        <w:fldChar w:fldCharType="begin" w:fldLock="1"/>
      </w:r>
      <w:r w:rsidR="00D86361">
        <w:rPr>
          <w:rFonts w:ascii="Arial" w:hAnsi="Arial" w:cs="Arial"/>
        </w:rPr>
        <w:instrText>ADDIN CSL_CITATION {"citationItems":[{"id":"ITEM-1","itemData":{"DOI":"10.1016/j.heliyon.2020.e05718","ISSN":"24058440","abstract":"Aloe vera L. is widely cultivated in many countries due to its importance as an all-purpose herbal or medicinal plant. The growth and yield of this plant can be enhanced by application of fertilizer. It is expected that a higher and balanced nutrient supply will result in higher crop production maintaining soil health, which is possible when the applied fertilizers are done in way that is efficient. So, there is a need to understand the amount of applied and type of fertilizer that will give the best output for farmers and to formulate economical market products. This study was conducted to investigate the effect of N fertilizer on leaf yield, its uptake and requirement, critical concentration, use efficiency and economics of Aloe vera L. Plants were grown at six levels of N: 0, 40, 80, 100, 150 and 200 kg ha−1 from urea and diammonium phosphate (DAP) following completely randomized design with three replicates under field condition. The highest values of yield and yield attributes and profit based on benefit cost ratio (3.81 for urea and 2.91 for DAP) were obtained with 150 kg N ha−1 (urea) and 100 kg N ha−1 (DAP). Leaf biomass yield increased by 18–128 % in urea-N and 30–139 % in DAP-N fertilized plant over control while DAP &gt; urea by 7.59 %. Sucker production (mean number) was urea-N (4.95 Plant−1) &gt; DAP-N (2.28 Plant−1). Both gel and leaf N concentration and uptake was highest at 200 kg ha−1 for both sources. For 80 % leaf biomass yield, minimum requirement of N was ca 74.90 (urea) and 89.60 kg ha−1 (DAP). Growth and yield parameters to N application exhibited significant and positive correlations. Critical leaf N concentration was ca 0.88% (DAP) and 0.90% (urea) while mean and maximum NUE was 34% and 64 % (urea) and 43% and 69% (DAP), respectively. Farmers can be advised to apply N at the rate of 150 kg ha−1 from urea for producing economically higher yield and better-quality A. vera leaves.","author":[{"dropping-particle":"","family":"Chowdhury","given":"Md Akhter Hossain","non-dropping-particle":"","parse-names":false,"suffix":""},{"dropping-particle":"","family":"Sultana","given":"Taslima","non-dropping-particle":"","parse-names":false,"suffix":""},{"dropping-particle":"","family":"Rahman","given":"Md Arifur","non-dropping-particle":"","parse-names":false,"suffix":""},{"dropping-particle":"","family":"Chowdhury","given":"Tanzin","non-dropping-particle":"","parse-names":false,"suffix":""},{"dropping-particle":"","family":"Enyoh","given":"Christian Ebere","non-dropping-particle":"","parse-names":false,"suffix":""},{"dropping-particle":"","family":"Saha","given":"Biplob Kumar","non-dropping-particle":"","parse-names":false,"suffix":""},{"dropping-particle":"","family":"Qingyue","given":"Wang","non-dropping-particle":"","parse-names":false,"suffix":""}],"container-title":"Heliyon","id":"ITEM-1","issue":"12","issued":{"date-parts":[["2020"]]},"page":"e05718","publisher":"Elsevier Ltd","title":"Nitrogen use efficiency and critical leaf N concentration of Aloe vera in urea and diammonium phosphate amended soil","type":"article-journal","volume":"6"},"uris":["http://www.mendeley.com/documents/?uuid=64334047-91be-4908-afc1-b1b9bdd5a00a"]}],"mendeley":{"formattedCitation":"(Chowdhury et al., 2020)","plainTextFormattedCitation":"(Chowdhury et al., 2020)","previouslyFormattedCitation":"(Chowdhury et al., 2020)"},"properties":{"noteIndex":0},"schema":"https://github.com/citation-style-language/schema/raw/master/csl-citation.json"}</w:instrText>
      </w:r>
      <w:r w:rsidR="00D86361">
        <w:rPr>
          <w:rFonts w:ascii="Arial" w:hAnsi="Arial" w:cs="Arial"/>
        </w:rPr>
        <w:fldChar w:fldCharType="separate"/>
      </w:r>
      <w:r w:rsidR="00D86361" w:rsidRPr="00D86361">
        <w:rPr>
          <w:rFonts w:ascii="Arial" w:hAnsi="Arial" w:cs="Arial"/>
          <w:noProof/>
        </w:rPr>
        <w:t>(Chowdhury et al., 2020)</w:t>
      </w:r>
      <w:r w:rsidR="00D86361">
        <w:rPr>
          <w:rFonts w:ascii="Arial" w:hAnsi="Arial" w:cs="Arial"/>
        </w:rPr>
        <w:fldChar w:fldCharType="end"/>
      </w:r>
      <w:r w:rsidRPr="009924FF">
        <w:rPr>
          <w:rFonts w:ascii="Arial" w:hAnsi="Arial" w:cs="Arial"/>
        </w:rPr>
        <w:t xml:space="preserve">, hormones </w:t>
      </w:r>
      <w:r w:rsidR="00D86361">
        <w:rPr>
          <w:rFonts w:ascii="Arial" w:hAnsi="Arial" w:cs="Arial"/>
        </w:rPr>
        <w:fldChar w:fldCharType="begin" w:fldLock="1"/>
      </w:r>
      <w:r w:rsidR="00AB7385">
        <w:rPr>
          <w:rFonts w:ascii="Arial" w:hAnsi="Arial" w:cs="Arial"/>
        </w:rPr>
        <w:instrText>ADDIN CSL_CITATION {"citationItems":[{"id":"ITEM-1","itemData":{"DOI":"10.1016/j.jarmap.2024.100588","ISSN":"22147861","abstract":"Aloe vera a medicinal shrub, is used in pharmaceuticals and cosmetics due to its therapeutic properties, but its male sterility and self-incompatibility make seed-based reproduction challenging. The current investigation provides a detailed account of a refined in-vitro regeneration process, discussing direct and indirect organogenesis techniques. Shoot multiplication, callus formation, organogenesis in callus culture, and rooting were all evaluated in the Murashige and Skoog (MS) medium employing several plant growth regulators (PGRs). BAP (N6-benzyl amino purine) alone at 3.5 mg/l was the most effective treatment for rapid shoot multiplication and the healthiest shoot quality in direct shoot proliferation. It was shown that a combination of 2.0 mg/l Kn (Kinetin) and 1.0 mg/l NAA (1-naphthalene acetic acid) was most responsive for regeneration in callus culture, whereas 2.5 mg/l 2,4-D (2,4-dichloro phenoxy acetic acid) produced the most profuse regenerative callusing. In addition, plantlets treated with 1.5 mg/l IBA (indole-3-butyric acid) in-vitro produced the highest and longest roots, contributing to a 94 % survival rate during the subsequent acclimatization process. Moreover, regeneration efficiency via direct and indirect channels is also briefly discussed. This research has the potential to enhance the efficiency, precise application of appropriate PGRs needed for the mass production of Aloe vera at various stages of in-vitro culture.","author":[{"dropping-particle":"","family":"Ahmad","given":"Sarfraz","non-dropping-particle":"","parse-names":false,"suffix":""},{"dropping-particle":"","family":"Tariq","given":"Mohd","non-dropping-particle":"","parse-names":false,"suffix":""},{"dropping-particle":"","family":"Saniya","given":"","non-dropping-particle":"","parse-names":false,"suffix":""},{"dropping-particle":"","family":"Belwal","given":"Vikas","non-dropping-particle":"","parse-names":false,"suffix":""},{"dropping-particle":"","family":"Shah","given":"Maksud Hasan","non-dropping-particle":"","parse-names":false,"suffix":""},{"dropping-particle":"","family":"Kumar","given":"Pankaj","non-dropping-particle":"","parse-names":false,"suffix":""},{"dropping-particle":"","family":"Sharma","given":"Meenakshi","non-dropping-particle":"","parse-names":false,"suffix":""},{"dropping-particle":"","family":"Kole","given":"Chittaranjan","non-dropping-particle":"","parse-names":false,"suffix":""},{"dropping-particle":"","family":"Jain","given":"Mukul","non-dropping-particle":"","parse-names":false,"suffix":""},{"dropping-particle":"","family":"Kaushik","given":"Prashant","non-dropping-particle":"","parse-names":false,"suffix":""}],"container-title":"Journal of Applied Research on Medicinal and Aromatic Plants","id":"ITEM-1","issue":"October","issued":{"date-parts":[["2024"]]},"page":"100588","title":"Efficient in-vitro regeneration protocol for large-scale propagation of Aloe vera (L.) Burm.f.","type":"article-journal","volume":"43"},"uris":["http://www.mendeley.com/documents/?uuid=8556eeb5-e256-46c1-a690-746294264eff"]},{"id":"ITEM-2","itemData":{"DOI":"10.36632/mejar/2021.10.2.48","ISSN":"2077-4605","author":[{"dropping-particle":"","family":"Atteya","given":"Amira K G","non-dropping-particle":"","parse-names":false,"suffix":""},{"dropping-particle":"","family":"Omer","given":"Elsayed A","non-dropping-particle":"","parse-names":false,"suffix":""},{"dropping-particle":"","family":"Genaidy","given":"Esmail A E","non-dropping-particle":"","parse-names":false,"suffix":""},{"dropping-particle":"","family":"Fouad","given":"Rasha","non-dropping-particle":"","parse-names":false,"suffix":""},{"dropping-particle":"","family":"Elnony","given":"A F A","non-dropping-particle":"","parse-names":false,"suffix":""}],"container-title":"Middle East Journal of Agriculture Research","id":"ITEM-2","issued":{"date-parts":[["2021"]]},"page":"654-673","title":"Impact of in vitro propagation on chemical composition of Aloe vera plants","type":"article-journal"},"uris":["http://www.mendeley.com/documents/?uuid=c1ea8740-272e-4f2e-8d11-31d703697bda"]}],"mendeley":{"formattedCitation":"(Ahmad et al., 2024; Atteya et al., 2021)","plainTextFormattedCitation":"(Ahmad et al., 2024; Atteya et al., 2021)","previouslyFormattedCitation":"(Ahmad et al., 2024; Atteya et al., 2021)"},"properties":{"noteIndex":0},"schema":"https://github.com/citation-style-language/schema/raw/master/csl-citation.json"}</w:instrText>
      </w:r>
      <w:r w:rsidR="00D86361">
        <w:rPr>
          <w:rFonts w:ascii="Arial" w:hAnsi="Arial" w:cs="Arial"/>
        </w:rPr>
        <w:fldChar w:fldCharType="separate"/>
      </w:r>
      <w:r w:rsidR="00AB7385" w:rsidRPr="00AB7385">
        <w:rPr>
          <w:rFonts w:ascii="Arial" w:hAnsi="Arial" w:cs="Arial"/>
          <w:noProof/>
        </w:rPr>
        <w:t>(Ahmad et al., 2024; Atteya et al., 2021)</w:t>
      </w:r>
      <w:r w:rsidR="00D86361">
        <w:rPr>
          <w:rFonts w:ascii="Arial" w:hAnsi="Arial" w:cs="Arial"/>
        </w:rPr>
        <w:fldChar w:fldCharType="end"/>
      </w:r>
      <w:r w:rsidRPr="009924FF">
        <w:rPr>
          <w:rFonts w:ascii="Arial" w:hAnsi="Arial" w:cs="Arial"/>
        </w:rPr>
        <w:t xml:space="preserve">, and plant growth on marginal land </w:t>
      </w:r>
      <w:r w:rsidR="00D86361">
        <w:rPr>
          <w:rFonts w:ascii="Arial" w:hAnsi="Arial" w:cs="Arial"/>
        </w:rPr>
        <w:fldChar w:fldCharType="begin" w:fldLock="1"/>
      </w:r>
      <w:r w:rsidR="00D86361">
        <w:rPr>
          <w:rFonts w:ascii="Arial" w:hAnsi="Arial" w:cs="Arial"/>
        </w:rPr>
        <w:instrText>ADDIN CSL_CITATION {"citationItems":[{"id":"ITEM-1","itemData":{"DOI":"10.3389/fpls.2025.1577521","ISSN":"1664462X","abstract":"Plants release a wealth of metabolites into the rhizosphere that can influence the composition and activity of microbial communities. These communities, in turn, can affect the growth and metabolism of the host plant. The connection between medicinal plant and its associated microbes has been suggested, yet the mechanisms underlying selection of indigenous microbes, and their biological function in medicinal plants are largely unknown. In this study, we investigated how the Aloe vera plants select its rhizosphere bacteria and examined their functional roles in relation to plant benefit. We utilized two native plant growth promoting rhizobacterial (PGPR) strains of Aloe vera: Paenibacillus sp. GLAU-BT2 and Arthrobacter sp. GLAU-BT16, as either single or consortium inoculants for plant growth experiment. We analyzed non-targeted root metabolites in the presence of both single and consortium bacterial inoculants and confirmed their exudation in the rhizosphere. The GC-MS analysis of metabolites revealed that the bacterial inoculation in Aloe vera plants amplified the abundance of flavonoids, terpenes and glucoside metabolites in the roots, which also exuded into the rhizosphere. Flavonoids were the most common prevalent metabolite group in individual and consortium inoculants, highlighting their role as key metabolites in interactions with rhizosphere microbes. In addition, the bacterial inoculants significantly increased antioxidant activity as well as total phenolic and flavonoid content in the leaves of Aloe vera. In conclusion, we propose a model of circular metabolic communication in which rhizosphere bacteria induce the production of flavonoids in plants. In turn, the plant releases some of these flavonoids into the rhizosphere to support the indigenous microbial community for its own benefit.","author":[{"dropping-particle":"","family":"Chandel","given":"Neha Singh","non-dropping-particle":"","parse-names":false,"suffix":""},{"dropping-particle":"","family":"Singh","given":"H. B.","non-dropping-particle":"","parse-names":false,"suffix":""},{"dropping-particle":"","family":"Vaishnav","given":"Anukool","non-dropping-particle":"","parse-names":false,"suffix":""}],"container-title":"Frontiers in Plant Science","id":"ITEM-1","issue":"March","issued":{"date-parts":[["2025"]]},"page":"1-12","title":"Mechanistic understanding of metabolic cross-talk between Aloe vera and native soil bacteria for growth promotion and secondary metabolites accumulation","type":"article-journal","volume":"16"},"uris":["http://www.mendeley.com/documents/?uuid=fd188618-f670-4cf4-8654-754ac8a11f43"]},{"id":"ITEM-2","itemData":{"DOI":"10.1016/j.sajb.2020.11.001","ISSN":"02546299","abstract":"The genus Aloe is widely used for medicinal purposes throughout its predominantly African distribution, but detailed knowledge of the contemporary value of aloes is patchy. The main aim of this study was to determine the value of Aloe in the Highlands of Ethiopia, a region of rich Aloe diversity, by documenting local uses and perceptions of the sustainability of the species used. Amhara and Tigray community members participated in semi-structured interviews from 110 respondents aged 24-72. Eleven species of Aloe were recorded for medicine, social and environmental uses, animal food, and as bee plants managed for honey production. Of these, the majority of use records were for human medicine to treat malaria and wounds. We found no evidence of non-sustainable harvesting for medicine, but extensive habitat loss and interest in the commercial uses of Aloe present acute threats and indicate the vulnerability of Aloe species in the central and northern Highlands of Ethiopia.","author":[{"dropping-particle":"","family":"Fentaw","given":"Eshetu","non-dropping-particle":"","parse-names":false,"suffix":""},{"dropping-particle":"","family":"Dagne","given":"Kifle","non-dropping-particle":"","parse-names":false,"suffix":""},{"dropping-particle":"","family":"Wondimu","given":"Tigist","non-dropping-particle":"","parse-names":false,"suffix":""},{"dropping-particle":"","family":"Demissew","given":"Sebsebe","non-dropping-particle":"","parse-names":false,"suffix":""},{"dropping-particle":"","family":"Bjorå","given":"Charlotte S.","non-dropping-particle":"","parse-names":false,"suffix":""},{"dropping-particle":"","family":"Grace","given":"Olwen M.","non-dropping-particle":"","parse-names":false,"suffix":""}],"container-title":"South African Journal of Botany","id":"ITEM-2","issued":{"date-parts":[["2022"]]},"page":"1042-1050","title":"Uses and perceived sustainability of Aloe L. (Asphodelaceae) in the central and northern Highlands of Ethiopia","type":"article-journal","volume":"147"},"uris":["http://www.mendeley.com/documents/?uuid=3e3a2bc2-77ca-4f34-aca4-caa51b74334a"]}],"mendeley":{"formattedCitation":"(Chandel et al., 2025; Fentaw et al., 2022)","plainTextFormattedCitation":"(Chandel et al., 2025; Fentaw et al., 2022)","previouslyFormattedCitation":"(Chandel et al., 2025; Fentaw et al., 2022)"},"properties":{"noteIndex":0},"schema":"https://github.com/citation-style-language/schema/raw/master/csl-citation.json"}</w:instrText>
      </w:r>
      <w:r w:rsidR="00D86361">
        <w:rPr>
          <w:rFonts w:ascii="Arial" w:hAnsi="Arial" w:cs="Arial"/>
        </w:rPr>
        <w:fldChar w:fldCharType="separate"/>
      </w:r>
      <w:r w:rsidR="00D86361" w:rsidRPr="00D86361">
        <w:rPr>
          <w:rFonts w:ascii="Arial" w:hAnsi="Arial" w:cs="Arial"/>
          <w:noProof/>
        </w:rPr>
        <w:t>(Chandel et al., 2025; Fentaw et al., 2022)</w:t>
      </w:r>
      <w:r w:rsidR="00D86361">
        <w:rPr>
          <w:rFonts w:ascii="Arial" w:hAnsi="Arial" w:cs="Arial"/>
        </w:rPr>
        <w:fldChar w:fldCharType="end"/>
      </w:r>
      <w:r w:rsidRPr="009924FF">
        <w:rPr>
          <w:rFonts w:ascii="Arial" w:hAnsi="Arial" w:cs="Arial"/>
        </w:rPr>
        <w:t xml:space="preserve">, as well as farmer planting patterns on the growth and production of aloe vera </w:t>
      </w:r>
      <w:r w:rsidR="00D86361">
        <w:rPr>
          <w:rFonts w:ascii="Arial" w:hAnsi="Arial" w:cs="Arial"/>
        </w:rPr>
        <w:fldChar w:fldCharType="begin" w:fldLock="1"/>
      </w:r>
      <w:r w:rsidR="00415153">
        <w:rPr>
          <w:rFonts w:ascii="Arial" w:hAnsi="Arial" w:cs="Arial"/>
        </w:rPr>
        <w:instrText>ADDIN CSL_CITATION {"citationItems":[{"id":"ITEM-1","itemData":{"DOI":"10.21608/javs.2 023.243964.1287","ISSN":"09749365","abstract":"Plant-based remedies hold a special place despite the wide availability of synthetic pharmaceuticals due to their potent benefits and fewer side effects. Antibiotics are used to cure bacterial diseases and improve health conditions in animals; however, the increased misuse of antibiotics is posing a serious threat to animal health due to the development of antibiotic resistance as well as their residues in foods have public health concerns. Plantderived compounds have a considerable potential for use as an alternative medicinal cure for many ailments, and are relatively cheaper and non-toxic. Aloe vera is gaining importance as is packed with health beneficial compounds like vitamins, minerals, polysaccharides, phytosterols, antioxidants, and amino acids. The health and well-being of livestock are improved by its antimicrobial nature and via maintaining a good balance of the beneficial intestinal microflora. This, in turn, boosts the immunity of animals and enhances their reproductive performance. Environmental health is safeguarded by the anti-methanogenic property of the extract of Aloe vera, which makes it an even more promising candidate for livestock feed supplementation. This review provides an overview of the potential multiple health benefits of Aloe vera as a promising and balanced herbal feed additive in livestock rearing.","author":[{"dropping-particle":"","family":"Chandran","given":"Deepak","non-dropping-particle":"","parse-names":false,"suffix":""},{"dropping-particle":"","family":"Rajasekharan","given":"Athulya","non-dropping-particle":"","parse-names":false,"suffix":""},{"dropping-particle":"","family":"Marthandan","given":"V.","non-dropping-particle":"","parse-names":false,"suffix":""},{"dropping-particle":"Bin","family":"Emran","given":"Talha","non-dropping-particle":"","parse-names":false,"suffix":""},{"dropping-particle":"","family":"Sharun","given":"Khan","non-dropping-particle":"","parse-names":false,"suffix":""},{"dropping-particle":"","family":"Mitra","given":"Saikat","non-dropping-particle":"","parse-names":false,"suffix":""},{"dropping-particle":"","family":"Buttar","given":"Harpal S.","non-dropping-particle":"","parse-names":false,"suffix":""},{"dropping-particle":"","family":"Kumar","given":"Harish","non-dropping-particle":"","parse-names":false,"suffix":""},{"dropping-particle":"","family":"Tuli","given":"Hardeep Singh","non-dropping-particle":"","parse-names":false,"suffix":""},{"dropping-particle":"","family":"Dhama","given":"Kuldeep","non-dropping-particle":"","parse-names":false,"suffix":""}],"container-title":"Indian Veterinary Journal","id":"ITEM-1","issue":"1","issued":{"date-parts":[["2022"]]},"page":"9-18","title":"Potential Health Benefits of Using Aloe vera as a Feed Additive in Livestock : A Mini-Review","type":"article-journal","volume":"99"},"uris":["http://www.mendeley.com/documents/?uuid=dd1229a7-1116-41a3-bf42-c0ea68b456ff"]},{"id":"ITEM-2","itemData":{"DOI":"10.1016/j.phanu.2025.100436","ISSN":"22134344","abstract":"Aloe vera (AV) is a succulent plant renowned for its medicinal properties, containing numerous bioactive compounds that offer significant health benefits. Aligning with the United Nations Sustainable Development Goals, particularly Goal 12 on Responsible Consumption and Production, utilizing AV and its byproducts in the food industry can promote sustainability by reducing waste and maximizing resource efficiency. This review provides an in-depth analysis of AV and its byproducts as sources of functional compounds for the food industry. It focuses on various extraction methods for isolating bioactive compounds. The biological activities of these compounds, such as antioxidant, antimicrobial, anti-inflammatory, and gut microbiome properties, were discussed to highlight their potetial health benefits. Additionally, the review explores the diverse applications of AV and its byproducts in the food industry, including their use as natural preservatives, functional ingredients, and nutraceuticals. Effective extraction techniques preserve the functional properties of isolated compounds, which exhibit a wide range of biological activities. Ultimately, AV and its byproducts can enhance the nutritional profiles of food products and contribute to the development of health-promoting formulations. By harnessing these benefits, the food industry can create innovative products that align with sustainable practices while improving consumer health.","author":[{"dropping-particle":"","family":"Mensah","given":"Emmanuel Ofosu","non-dropping-particle":"","parse-names":false,"suffix":""},{"dropping-particle":"","family":"Adadi","given":"Parise","non-dropping-particle":"","parse-names":false,"suffix":""},{"dropping-particle":"","family":"Asase","given":"Richard Vincent","non-dropping-particle":"","parse-names":false,"suffix":""},{"dropping-particle":"","family":"Kelvin","given":"Opoku","non-dropping-particle":"","parse-names":false,"suffix":""},{"dropping-particle":"","family":"Mozhdehi","given":"Fatemeh Jalil","non-dropping-particle":"","parse-names":false,"suffix":""},{"dropping-particle":"","family":"Amoah","given":"Isaac","non-dropping-particle":"","parse-names":false,"suffix":""},{"dropping-particle":"","family":"Agyei","given":"Dominic","non-dropping-particle":"","parse-names":false,"suffix":""}],"container-title":"PharmaNutrition","id":"ITEM-2","issued":{"date-parts":[["2025"]]},"page":"100436","publisher":"Elsevier B.V.","title":"Aloe vera and its Byproducts as Sources of Valuable Bioactive Compounds: Extraction, Biological Activities, and Applications in Various Food Industries","type":"article-journal","volume":"31"},"uris":["http://www.mendeley.com/documents/?uuid=a9555d74-cb61-4edb-9875-113f65eb9604"]}],"mendeley":{"formattedCitation":"(Chandran et al., 2022; Mensah et al., 2025)","plainTextFormattedCitation":"(Chandran et al., 2022; Mensah et al., 2025)","previouslyFormattedCitation":"(Chandran et al., 2022; Mensah et al., 2025)"},"properties":{"noteIndex":0},"schema":"https://github.com/citation-style-language/schema/raw/master/csl-citation.json"}</w:instrText>
      </w:r>
      <w:r w:rsidR="00D86361">
        <w:rPr>
          <w:rFonts w:ascii="Arial" w:hAnsi="Arial" w:cs="Arial"/>
        </w:rPr>
        <w:fldChar w:fldCharType="separate"/>
      </w:r>
      <w:r w:rsidR="00D86361" w:rsidRPr="00D86361">
        <w:rPr>
          <w:rFonts w:ascii="Arial" w:hAnsi="Arial" w:cs="Arial"/>
          <w:noProof/>
        </w:rPr>
        <w:t>(Chandran et al., 2022; Mensah et al., 2025)</w:t>
      </w:r>
      <w:r w:rsidR="00D86361">
        <w:rPr>
          <w:rFonts w:ascii="Arial" w:hAnsi="Arial" w:cs="Arial"/>
        </w:rPr>
        <w:fldChar w:fldCharType="end"/>
      </w:r>
      <w:r w:rsidRPr="009924FF">
        <w:rPr>
          <w:rFonts w:ascii="Arial" w:hAnsi="Arial" w:cs="Arial"/>
        </w:rPr>
        <w:t xml:space="preserve">. However, information on the effects of </w:t>
      </w:r>
      <w:r w:rsidR="00227EA7">
        <w:rPr>
          <w:rFonts w:ascii="Arial" w:hAnsi="Arial" w:cs="Arial"/>
          <w:lang w:val="id-ID"/>
        </w:rPr>
        <w:lastRenderedPageBreak/>
        <w:t>A</w:t>
      </w:r>
      <w:proofErr w:type="spellStart"/>
      <w:r w:rsidRPr="009924FF">
        <w:rPr>
          <w:rFonts w:ascii="Arial" w:hAnsi="Arial" w:cs="Arial"/>
        </w:rPr>
        <w:t>rbuscular</w:t>
      </w:r>
      <w:proofErr w:type="spellEnd"/>
      <w:r w:rsidRPr="009924FF">
        <w:rPr>
          <w:rFonts w:ascii="Arial" w:hAnsi="Arial" w:cs="Arial"/>
        </w:rPr>
        <w:t xml:space="preserve"> </w:t>
      </w:r>
      <w:r w:rsidR="00227EA7">
        <w:rPr>
          <w:rFonts w:ascii="Arial" w:hAnsi="Arial" w:cs="Arial"/>
          <w:lang w:val="id-ID"/>
        </w:rPr>
        <w:t>M</w:t>
      </w:r>
      <w:proofErr w:type="spellStart"/>
      <w:r w:rsidRPr="009924FF">
        <w:rPr>
          <w:rFonts w:ascii="Arial" w:hAnsi="Arial" w:cs="Arial"/>
        </w:rPr>
        <w:t>ycorrhizal</w:t>
      </w:r>
      <w:proofErr w:type="spellEnd"/>
      <w:r w:rsidRPr="009924FF">
        <w:rPr>
          <w:rFonts w:ascii="Arial" w:hAnsi="Arial" w:cs="Arial"/>
        </w:rPr>
        <w:t xml:space="preserve"> (AM) as biofertilizers on the physiological aspects of </w:t>
      </w:r>
      <w:r w:rsidR="00DB5E10">
        <w:rPr>
          <w:rFonts w:ascii="Arial" w:hAnsi="Arial" w:cs="Arial"/>
          <w:lang w:val="id-ID"/>
        </w:rPr>
        <w:t>Av</w:t>
      </w:r>
      <w:r w:rsidRPr="009924FF">
        <w:rPr>
          <w:rFonts w:ascii="Arial" w:hAnsi="Arial" w:cs="Arial"/>
        </w:rPr>
        <w:t xml:space="preserve"> plants is still very limited.</w:t>
      </w:r>
    </w:p>
    <w:p w14:paraId="5A5009F9" w14:textId="77777777" w:rsidR="009924FF" w:rsidRPr="009924FF" w:rsidRDefault="009924FF" w:rsidP="009924FF">
      <w:pPr>
        <w:pStyle w:val="Body"/>
        <w:rPr>
          <w:rFonts w:ascii="Arial" w:hAnsi="Arial" w:cs="Arial"/>
        </w:rPr>
      </w:pPr>
      <w:r w:rsidRPr="009924FF">
        <w:rPr>
          <w:rFonts w:ascii="Arial" w:hAnsi="Arial" w:cs="Arial"/>
        </w:rPr>
        <w:t>Physiologically, Av uses the crassulacean acid metabolism (CAM) pathway to bind carbon dioxide (CO</w:t>
      </w:r>
      <w:r w:rsidRPr="00636FA6">
        <w:rPr>
          <w:rFonts w:ascii="Arial" w:hAnsi="Arial" w:cs="Arial"/>
          <w:vertAlign w:val="subscript"/>
        </w:rPr>
        <w:t>2</w:t>
      </w:r>
      <w:r w:rsidRPr="009924FF">
        <w:rPr>
          <w:rFonts w:ascii="Arial" w:hAnsi="Arial" w:cs="Arial"/>
        </w:rPr>
        <w:t xml:space="preserve">) during the dark phase of photosynthesis, when the stomata are open at night </w:t>
      </w:r>
      <w:r w:rsidR="00415153">
        <w:rPr>
          <w:rFonts w:ascii="Arial" w:hAnsi="Arial" w:cs="Arial"/>
        </w:rPr>
        <w:fldChar w:fldCharType="begin" w:fldLock="1"/>
      </w:r>
      <w:r w:rsidR="004D2F8C">
        <w:rPr>
          <w:rFonts w:ascii="Arial" w:hAnsi="Arial" w:cs="Arial"/>
        </w:rPr>
        <w:instrText>ADDIN CSL_CITATION {"citationItems":[{"id":"ITEM-1","itemData":{"DOI":"10.1111/pce.13960 ORIGINAL","author":[{"dropping-particle":"","family":"Hogewoning","given":"Sander W.","non-dropping-particle":"","parse-names":false,"suffix":""},{"dropping-particle":"van den","family":"Boogaart","given":"Stefan AJ.","non-dropping-particle":"","parse-names":false,"suffix":""},{"dropping-particle":"van","family":"Tongelo","given":"Evelien","non-dropping-particle":"","parse-names":false,"suffix":""},{"dropping-particle":"","family":"Trouborst","given":"Govert","non-dropping-particle":"","parse-names":false,"suffix":""}],"container-title":"Plant Cell Environmental","id":"ITEM-1","issued":{"date-parts":[["2021"]]},"page":"762-774","title":"CAM</w:instrText>
      </w:r>
      <w:r w:rsidR="004D2F8C">
        <w:rPr>
          <w:rFonts w:ascii="Cambria Math" w:hAnsi="Cambria Math" w:cs="Cambria Math"/>
        </w:rPr>
        <w:instrText>‐</w:instrText>
      </w:r>
      <w:r w:rsidR="004D2F8C">
        <w:rPr>
          <w:rFonts w:ascii="Arial" w:hAnsi="Arial" w:cs="Arial"/>
        </w:rPr>
        <w:instrText>physiology and carbon gain of the orchid Phalaenopsis in response to light intesity, light integral and CO2","type":"article-journal","volume":"44"},"uris":["http://www.mendeley.com/documents/?uuid=375aa572-ea5c-49c7-94ed-e04d664bda65"]},{"id":"ITEM-2","itemData":{"DOI":"10.1111/ppl.13312","ISSN":"13993054","PMID":"33305855","abstract":"Crassulacean acid metabolism (CAM) is a photosynthetic pathway that temporally separates the nocturnal CO2 uptake, via phosphoenolpyruvate carboxylase (PEPC, C4 carboxylation), from the diurnal refixation by Rubisco (C3 carboxylation). At the end of the day (CAM-Phase IV), when nocturnally stored CO2 has depleted, stomata reopen and allow additional CO2 uptake, which can be fixed by Rubisco or by PEPC. This work examined the CO2 uptake via C3 and C4 carboxylation in phase IV in the CAM species Phalaenopsis “Sacramento” and Kalanchoe blossfeldiana “Saja.” Short blackout periods during phase IV caused a sharp drop in CO2 uptake in K. blossfeldiana but not in Phalaenopsis, indicating strong Rubisco activity only in K. blossfeldiana. Chlorophyll fluorescence revealed a progressive decrease in ΦPSII in Phalaenopsis, implying decreasing Rubisco activity, while ΦPSII remained constant in phase IV in K. blossfeldiana. However, short switching to 2% O2 indicated the presence of photorespiration and thus Rubisco activity in both species throughout phase IV. Lastly, in Phalaenopsis, accumulation of starch in phase IV occurred. These results indicate that in Phalaenopsis, PEPC was the main carboxylase in phase IV, although Rubisco remained active throughout the whole phase. This will lead to double carboxylation (futile cycling) but may help to avoid photoinhibition.","author":[{"dropping-particle":"","family":"Tongerlo","given":"Evelien","non-dropping-particle":"van","parse-names":false,"suffix":""},{"dropping-particle":"","family":"Trouwborst","given":"Govert","non-dropping-particle":"","parse-names":false,"suffix":""},{"dropping-particle":"","family":"Hogewoning","given":"Sander W.","non-dropping-particle":"","parse-names":false,"suffix":""},{"dropping-particle":"","family":"Ieperen","given":"Wim","non-dropping-particle":"van","parse-names":false,"suffix":""},{"dropping-particle":"","family":"Dieleman","given":"Janneke A.","non-dropping-particle":"","parse-names":false,"suffix":""},{"dropping-particle":"","family":"Marcelis","given":"Leo F.M.","non-dropping-particle":"","parse-names":false,"suffix":""}],"container-title":"Physiologia Plantarum","id":"ITEM-2","issued":{"date-parts":[["2021"]]},"page":"134","title":"Crassulacean Acid Metabolism Species Differ in The Contribution of C3 and C4 Carboxylation to End of Day CO2 Fixation","type":"article-journal","volume":"172"},"uris":["http://www.mendeley.com/documents/?uuid=387c3010-b19a-4215-b7e1-0babac819f8a"]}],"mendeley":{"formattedCitation":"(Hogewoning et al., 2021; van Tongerlo et al., 2021)","plainTextFormattedCitation":"(Hogewoning et al., 2021; van Tongerlo et al., 2021)","previouslyFormattedCitation":"(Hogewoning et al., 2021; van Tongerlo et al., 2021)"},"properties":{"noteIndex":0},"schema":"https://github.com/citation-style-language/schema/raw/master/csl-citation.json"}</w:instrText>
      </w:r>
      <w:r w:rsidR="00415153">
        <w:rPr>
          <w:rFonts w:ascii="Arial" w:hAnsi="Arial" w:cs="Arial"/>
        </w:rPr>
        <w:fldChar w:fldCharType="separate"/>
      </w:r>
      <w:r w:rsidR="00415153" w:rsidRPr="00415153">
        <w:rPr>
          <w:rFonts w:ascii="Arial" w:hAnsi="Arial" w:cs="Arial"/>
          <w:noProof/>
        </w:rPr>
        <w:t>(Hogewoning et al., 2021; van Tongerlo et al., 2021)</w:t>
      </w:r>
      <w:r w:rsidR="00415153">
        <w:rPr>
          <w:rFonts w:ascii="Arial" w:hAnsi="Arial" w:cs="Arial"/>
        </w:rPr>
        <w:fldChar w:fldCharType="end"/>
      </w:r>
      <w:r w:rsidRPr="009924FF">
        <w:rPr>
          <w:rFonts w:ascii="Arial" w:hAnsi="Arial" w:cs="Arial"/>
        </w:rPr>
        <w:t>. This phenomenon allows the plant to adapt when soil water availability is insufficient. In addition to the physiological phenomena required by Av to survive, the role of microorganisms is needed to increase the area of water absorption by the roots, namely, AM.</w:t>
      </w:r>
    </w:p>
    <w:p w14:paraId="4B9B8972" w14:textId="67027028" w:rsidR="009924FF" w:rsidRPr="009924FF" w:rsidRDefault="009924FF" w:rsidP="009924FF">
      <w:pPr>
        <w:pStyle w:val="Body"/>
        <w:rPr>
          <w:rFonts w:ascii="Arial" w:hAnsi="Arial" w:cs="Arial"/>
        </w:rPr>
      </w:pPr>
      <w:r w:rsidRPr="009924FF">
        <w:rPr>
          <w:rFonts w:ascii="Arial" w:hAnsi="Arial" w:cs="Arial"/>
        </w:rPr>
        <w:t xml:space="preserve">The AM are fungi that are symbiotic with plant roots and form special structures inside root cells </w:t>
      </w:r>
      <w:r w:rsidR="004D2F8C">
        <w:rPr>
          <w:rFonts w:ascii="Arial" w:hAnsi="Arial" w:cs="Arial"/>
        </w:rPr>
        <w:fldChar w:fldCharType="begin" w:fldLock="1"/>
      </w:r>
      <w:r w:rsidR="004D2F8C">
        <w:rPr>
          <w:rFonts w:ascii="Arial" w:hAnsi="Arial" w:cs="Arial"/>
        </w:rPr>
        <w:instrText>ADDIN CSL_CITATION {"citationItems":[{"id":"ITEM-1","itemData":{"DOI":"10.1016/j.crmicr.2022.100107","ISSN":"26665174","abstract":"The rapid growth of human population on globe and reduction in agricultural land exerts huge pressure on crop productivity, food security and soil health; specially, in developing countries. Improper land management with excessive dependency on chemical fertilizers and agrochemicals to secure productivity tolls on human health, environment, biodiversity and sustainability. The utilization of arbuscular mycorrhizal fungi (AMF) as bio-fertilizer and in consortia with other beneficial microbes has become an increasing area of research in agriculture and life sciences. Former investigations revealed the positive influence of AM in nutrition, growth, yield of crops, soil quality increasing biological soil fertility and pathogen resistance. AMF symbionts are highly beneficial in plant abiotic stress tolerance. Along with other beneficial rhiozobacteria AM is almost substitute of chemical fertilizers in modern sustainable organic agricultural systems. But conventional agriculture in most countries is beyond to reach these benefits of AM. The issues which hinder the utilization also contradict to sustainability to some degrees. The present review highlights on the issues of hindrances in applicability of AM to the agricultural fields focusing on the mode of functions, maintaining soil and environmental sustainability; interactions with other biofertilizers and impact of various agrochemicals and agro-practices including tillage and crop rotation. The procedures to avail the full benefit of AM in agricultural field for sustainable system are discussed here.","author":[{"dropping-particle":"","family":"Kuila","given":"Debashis","non-dropping-particle":"","parse-names":false,"suffix":""},{"dropping-particle":"","family":"Ghosh","given":"Somdatta","non-dropping-particle":"","parse-names":false,"suffix":""}],"container-title":"Current Research in Microbial Sciences","id":"ITEM-1","issued":{"date-parts":[["2022"]]},"page":"100107","publisher":"Elsevier B.V.","title":"Aspects, problems and utilization of Arbuscular Mycorrhizal (AM) application as bio-fertilizer in sustainable agriculture","type":"article-journal","volume":"3"},"uris":["http://www.mendeley.com/documents/?uuid=bef5d842-e716-440f-b204-4d59ede15475"]},{"id":"ITEM-2","itemData":{"DOI":"10.1016/j.soilbio.2024.109702","ISSN":"00380717","abstract":"Arbuscular mycorrhizal (AM) fungal structures, such as spores, vesicles, extra- and intra-radical hyphae, are home to diverse communities of prokaryotic (bacterial and archaeal) taxa and can have significant impact on the movement and behavior of those microbes within the soil. The ability to disperse via fungal hyphae, known as the fungal highway effect, was first observed in ectomycorrhiza and later in other fungal groups. This effect may benefit soil prokaryotes allowing them to explore new microhabitats in soil, offering advantages such as improved nutrient access, enhanced dispersal and colonization. Although the term “fungal highways” is well established, there still are only few studies that address the partner interactions and movement of microorganisms through the hyphal networks when referring to AM fungi. Bacteria can colonize the surfaces of hyphae and form biofilms that provide protection for both the bacteria and the fungus, influence the nutrient cycles, giving the bacteria access to resources transported by the fungus. Bacteria movement on AM fungal hyphae is facilitated by several mechanisms, including physical transport along the hyphal networks, swimming within the continuous water films that develop along the hyphal surfaces, and chemotaxis, where the bacteria move towards or away from specific chemical signals. Overall, the interactions between bacteria and AM fungi appears as a dynamic and complex process. Yet, we still do not know much about the influence of soil properties, plant age and species, seasonality, soil management and different climate with respect to AM fungal highways and microbiomes. Here, we review the current knowledge on prokaryotic movement through AM fungal hyphosphere and the possible factors that could affect it. Future research needs to elucidate mechanisms involved in the recruitment and/or migration of microbes in the AM fungal hyphosphere. Understanding these interactions may eventually help developing more sustainable agricultural practices and/or support environmental conservation.","author":[{"dropping-particle":"","family":"Vieira","given":"Caroline Krug","non-dropping-particle":"","parse-names":false,"suffix":""},{"dropping-particle":"","family":"Marascalchi","given":"Matheus Nicoletti","non-dropping-particle":"","parse-names":false,"suffix":""},{"dropping-particle":"","family":"Rozmos","given":"Martin","non-dropping-particle":"","parse-names":false,"suffix":""},{"dropping-particle":"","family":"Benada","given":"Oldrich","non-dropping-particle":"","parse-names":false,"suffix":""},{"dropping-particle":"","family":"Belova","given":"Valeriia","non-dropping-particle":"","parse-names":false,"suffix":""},{"dropping-particle":"","family":"Jansa","given":"Jan","non-dropping-particle":"","parse-names":false,"suffix":""}],"container-title":"Soil Biology and Biochemistry","id":"ITEM-2","issued":{"date-parts":[["2025"]]},"page":"109702","title":"Arbuscular Mycorrhizal Fungal Highways – What, How and Why?","type":"article-journal","volume":"202"},"uris":["http://www.mendeley.com/documents/?uuid=01964f82-a711-4de4-b7f7-948b511c81d3"]}],"mendeley":{"formattedCitation":"(Kuila &amp; Ghosh, 2022; Vieira et al., 2025)","plainTextFormattedCitation":"(Kuila &amp; Ghosh, 2022; Vieira et al., 2025)","previouslyFormattedCitation":"(Kuila &amp; Ghosh, 2022; Vieira et al., 2025)"},"properties":{"noteIndex":0},"schema":"https://github.com/citation-style-language/schema/raw/master/csl-citation.json"}</w:instrText>
      </w:r>
      <w:r w:rsidR="004D2F8C">
        <w:rPr>
          <w:rFonts w:ascii="Arial" w:hAnsi="Arial" w:cs="Arial"/>
        </w:rPr>
        <w:fldChar w:fldCharType="separate"/>
      </w:r>
      <w:r w:rsidR="004D2F8C" w:rsidRPr="004D2F8C">
        <w:rPr>
          <w:rFonts w:ascii="Arial" w:hAnsi="Arial" w:cs="Arial"/>
          <w:noProof/>
        </w:rPr>
        <w:t>(Kuila &amp; Ghosh, 2022; Vieira et al., 2025)</w:t>
      </w:r>
      <w:r w:rsidR="004D2F8C">
        <w:rPr>
          <w:rFonts w:ascii="Arial" w:hAnsi="Arial" w:cs="Arial"/>
        </w:rPr>
        <w:fldChar w:fldCharType="end"/>
      </w:r>
      <w:r w:rsidRPr="009924FF">
        <w:rPr>
          <w:rFonts w:ascii="Arial" w:hAnsi="Arial" w:cs="Arial"/>
        </w:rPr>
        <w:t xml:space="preserve">. AM consists of hyphae, vesicles, and arbuscules. Arbuscules are small, tree-like structures that function to exchange nutrients between fungi and plants, while vesicles are storage structures that form inside root cells. Hyphae are the part of the fungus that grows in the soil and absorbs nutrients, and helps spread mycorrhizae </w:t>
      </w:r>
      <w:r w:rsidR="004D2F8C">
        <w:rPr>
          <w:rFonts w:ascii="Arial" w:hAnsi="Arial" w:cs="Arial"/>
        </w:rPr>
        <w:fldChar w:fldCharType="begin" w:fldLock="1"/>
      </w:r>
      <w:r w:rsidR="004D2157">
        <w:rPr>
          <w:rFonts w:ascii="Arial" w:hAnsi="Arial" w:cs="Arial"/>
        </w:rPr>
        <w:instrText>ADDIN CSL_CITATION {"citationItems":[{"id":"ITEM-1","itemData":{"DOI":"10.1590/1806-908820220000031","ISSN":"18069088","abstract":"This study aimed to establish a methodology for vegetative propagation via mini-cuttings technique for Mimosa Caesalpiniifolia. For such, three independent experiments were conducted: the first one evaluated survival and production of mini-stumps; the second tested the interaction between mini-cuttings types (apical and intermediate) and different concentrations of indolbutyric acid (IAB; 0, 2,000, 4,000 and 6,000 mg.L-1) on adventitious rooting; and the third analyzed the effect of leaf area reduction (0%, 25%, 50%, 75%, and 100%) on mini-cuttings. Mini-stumps survival at 180 days was 80%, with an average yield of 5 sprouts per mini-stump at 120 days. Apical mini-cuttings demonstrated a higher rooting percentage, without IBA application, higher than 80%. On the other hand, IBA application promotes increased rooting percentage in intermediate mini-cuttings. Treatments without leaf reduction and with reduction of 25% promoted better results concerning rooting and plant development. Results support the hypothesis that mini-cuttings technique is viable for the propagation of Mimosa Caesalpiniifolia.","author":[{"dropping-particle":"","family":"Silva","given":"Ana Karla Vieira","non-dropping-particle":"da","parse-names":false,"suffix":""},{"dropping-particle":"","family":"Aguiar","given":"Thamiris da Silva","non-dropping-particle":"","parse-names":false,"suffix":""},{"dropping-particle":"","family":"Santos","given":"Márcia Ellen Chagas","non-dropping-particle":"Dos","parse-names":false,"suffix":""},{"dropping-particle":"","family":"Araújo","given":"Jayane Karine Pereira","non-dropping-particle":"de","parse-names":false,"suffix":""},{"dropping-particle":"","family":"Freire","given":"Álvaro da Costa","non-dropping-particle":"","parse-names":false,"suffix":""},{"dropping-particle":"","family":"Salami","given":"Gabriela","non-dropping-particle":"","parse-names":false,"suffix":""},{"dropping-particle":"","family":"Araujo","given":"Poliana Coqueiro Dias","non-dropping-particle":"","parse-names":false,"suffix":""}],"container-title":"Revista Arvore","id":"ITEM-1","issued":{"date-parts":[["2022"]]},"page":"e4631","title":"Vegetative Propagation of Mimosa Caesalpiniifolia By Mini-Cuttings Technique","type":"article-journal","volume":"46"},"uris":["http://www.mendeley.com/documents/?uuid=2a286216-f511-4ae6-8a7b-380d45a8fa37"]},{"id":"ITEM-2","itemData":{"DOI":"10.1016/j.rhisph.2025.101082","ISSN":"24522198","abstract":"Soil microbial communities are key drivers of biogeochemical cycling in terrestrial ecosystems. However, under native soil conditions, since plant roots intimately interact with arbuscular mycorrhizal fungus (AMF) hyphae, the individual effects of AMF hyphae on the diversity and abundance of soil microbial communities remain unclear. Using an ingrowth core design, we isolated the hyphae of AMF from roots and quantified the affected soil microbial communities using meta-barcoding sequencing techniques. The results revealed that the presence of AMF hyphae significantly increased the diversity of fungi but not that of bacteria. In addition, AMF hyphae influenced the relative abundance of certain microbial taxa: the abundance of the phylum Ascomycota significantly increased, whereas that of the species Mortierella horticola and the phylum Mortierellomycota significantly decreased. The redundancy analysis results revealed that the soil nutrient availability and soil pH were closely related to the microbial community. In conclusion, AMF hyphae affect the structure of fungal and bacterial communities, and this process is regulated by soil properties. These findings provide new insight into the small-scale but complex interactions between the hyphae of AMF and microbes in terrestrial ecosystem soils from an in situ perspective.","author":[{"dropping-particle":"","family":"Du","given":"Xianwang","non-dropping-particle":"","parse-names":false,"suffix":""},{"dropping-particle":"","family":"Yin","given":"Yicong","non-dropping-particle":"","parse-names":false,"suffix":""},{"dropping-particle":"","family":"Xia","given":"Guowei","non-dropping-particle":"","parse-names":false,"suffix":""},{"dropping-particle":"","family":"Yuan","given":"Yuanshuang","non-dropping-particle":"","parse-names":false,"suffix":""}],"container-title":"Rhizosphere","id":"ITEM-2","issued":{"date-parts":[["2025"]]},"page":"101082","title":"Effect of Arbuscular Mycorrhizal Hyphae on The Structure of Fungal and Bacterial Communities: An in Situ Study","type":"article-journal","volume":"34"},"uris":["http://www.mendeley.com/documents/?uuid=982eb402-32f9-4ece-bc71-68a164679c49"]}],"mendeley":{"formattedCitation":"(da Silva et al., 2022; Du et al., 2025)","plainTextFormattedCitation":"(da Silva et al., 2022; Du et al., 2025)","previouslyFormattedCitation":"(da Silva et al., 2022; Du et al., 2025)"},"properties":{"noteIndex":0},"schema":"https://github.com/citation-style-language/schema/raw/master/csl-citation.json"}</w:instrText>
      </w:r>
      <w:r w:rsidR="004D2F8C">
        <w:rPr>
          <w:rFonts w:ascii="Arial" w:hAnsi="Arial" w:cs="Arial"/>
        </w:rPr>
        <w:fldChar w:fldCharType="separate"/>
      </w:r>
      <w:r w:rsidR="004D2F8C" w:rsidRPr="004D2F8C">
        <w:rPr>
          <w:rFonts w:ascii="Arial" w:hAnsi="Arial" w:cs="Arial"/>
          <w:noProof/>
        </w:rPr>
        <w:t>(da Silva et al., 2022; Du et al., 2025)</w:t>
      </w:r>
      <w:r w:rsidR="004D2F8C">
        <w:rPr>
          <w:rFonts w:ascii="Arial" w:hAnsi="Arial" w:cs="Arial"/>
        </w:rPr>
        <w:fldChar w:fldCharType="end"/>
      </w:r>
      <w:r w:rsidRPr="009924FF">
        <w:rPr>
          <w:rFonts w:ascii="Arial" w:hAnsi="Arial" w:cs="Arial"/>
        </w:rPr>
        <w:t xml:space="preserve">. According to </w:t>
      </w:r>
      <w:r w:rsidR="004D2157">
        <w:rPr>
          <w:rFonts w:ascii="Arial" w:hAnsi="Arial" w:cs="Arial"/>
        </w:rPr>
        <w:fldChar w:fldCharType="begin" w:fldLock="1"/>
      </w:r>
      <w:r w:rsidR="004D2157">
        <w:rPr>
          <w:rFonts w:ascii="Arial" w:hAnsi="Arial" w:cs="Arial"/>
        </w:rPr>
        <w:instrText>ADDIN CSL_CITATION {"citationItems":[{"id":"ITEM-1","itemData":{"DOI":"10.1016/j.crmicr.2022.100107","ISSN":"26665174","abstract":"The rapid growth of human population on globe and reduction in agricultural land exerts huge pressure on crop productivity, food security and soil health; specially, in developing countries. Improper land management with excessive dependency on chemical fertilizers and agrochemicals to secure productivity tolls on human health, environment, biodiversity and sustainability. The utilization of arbuscular mycorrhizal fungi (AMF) as bio-fertilizer and in consortia with other beneficial microbes has become an increasing area of research in agriculture and life sciences. Former investigations revealed the positive influence of AM in nutrition, growth, yield of crops, soil quality increasing biological soil fertility and pathogen resistance. AMF symbionts are highly beneficial in plant abiotic stress tolerance. Along with other beneficial rhiozobacteria AM is almost substitute of chemical fertilizers in modern sustainable organic agricultural systems. But conventional agriculture in most countries is beyond to reach these benefits of AM. The issues which hinder the utilization also contradict to sustainability to some degrees. The present review highlights on the issues of hindrances in applicability of AM to the agricultural fields focusing on the mode of functions, maintaining soil and environmental sustainability; interactions with other biofertilizers and impact of various agrochemicals and agro-practices including tillage and crop rotation. The procedures to avail the full benefit of AM in agricultural field for sustainable system are discussed here.","author":[{"dropping-particle":"","family":"Kuila","given":"Debashis","non-dropping-particle":"","parse-names":false,"suffix":""},{"dropping-particle":"","family":"Ghosh","given":"Somdatta","non-dropping-particle":"","parse-names":false,"suffix":""}],"container-title":"Current Research in Microbial Sciences","id":"ITEM-1","issued":{"date-parts":[["2022"]]},"page":"100107","publisher":"Elsevier B.V.","title":"Aspects, problems and utilization of Arbuscular Mycorrhizal (AM) application as bio-fertilizer in sustainable agriculture","type":"article-journal","volume":"3"},"uris":["http://www.mendeley.com/documents/?uuid=bef5d842-e716-440f-b204-4d59ede15475"]}],"mendeley":{"formattedCitation":"(Kuila &amp; Ghosh, 2022)","plainTextFormattedCitation":"(Kuila &amp; Ghosh, 2022)","previouslyFormattedCitation":"(Kuila &amp; Ghosh, 2022)"},"properties":{"noteIndex":0},"schema":"https://github.com/citation-style-language/schema/raw/master/csl-citation.json"}</w:instrText>
      </w:r>
      <w:r w:rsidR="004D2157">
        <w:rPr>
          <w:rFonts w:ascii="Arial" w:hAnsi="Arial" w:cs="Arial"/>
        </w:rPr>
        <w:fldChar w:fldCharType="separate"/>
      </w:r>
      <w:r w:rsidR="004D2157" w:rsidRPr="004D2157">
        <w:rPr>
          <w:rFonts w:ascii="Arial" w:hAnsi="Arial" w:cs="Arial"/>
          <w:noProof/>
        </w:rPr>
        <w:t xml:space="preserve">Kuila &amp; Ghosh, </w:t>
      </w:r>
      <w:r w:rsidR="0065084F">
        <w:rPr>
          <w:rFonts w:ascii="Arial" w:hAnsi="Arial" w:cs="Arial"/>
          <w:noProof/>
          <w:lang w:val="id-ID"/>
        </w:rPr>
        <w:t>(</w:t>
      </w:r>
      <w:r w:rsidR="004D2157" w:rsidRPr="004D2157">
        <w:rPr>
          <w:rFonts w:ascii="Arial" w:hAnsi="Arial" w:cs="Arial"/>
          <w:noProof/>
        </w:rPr>
        <w:t>2022)</w:t>
      </w:r>
      <w:r w:rsidR="004D2157">
        <w:rPr>
          <w:rFonts w:ascii="Arial" w:hAnsi="Arial" w:cs="Arial"/>
        </w:rPr>
        <w:fldChar w:fldCharType="end"/>
      </w:r>
      <w:r w:rsidRPr="009924FF">
        <w:rPr>
          <w:rFonts w:ascii="Arial" w:hAnsi="Arial" w:cs="Arial"/>
        </w:rPr>
        <w:t xml:space="preserve">; </w:t>
      </w:r>
      <w:r w:rsidR="004D2157">
        <w:rPr>
          <w:rFonts w:ascii="Arial" w:hAnsi="Arial" w:cs="Arial"/>
        </w:rPr>
        <w:fldChar w:fldCharType="begin" w:fldLock="1"/>
      </w:r>
      <w:r w:rsidR="004D2157">
        <w:rPr>
          <w:rFonts w:ascii="Arial" w:hAnsi="Arial" w:cs="Arial"/>
        </w:rPr>
        <w:instrText>ADDIN CSL_CITATION {"citationItems":[{"id":"ITEM-1","itemData":{"DOI":"10.3390/jof7050361","ISSN":"2309608X","abstract":"Effects of arbuscular mycorrhizal fungi (AMF), elevated carbon dioxide (eCO2), and their interaction on nutrient accumulation of leguminous plants and soil fertility is unknown. Plant growth, concentrations of tissue nitrogen (N), phosphorus (P), and potassium (K) in 12-week-old nodulated faba bean (Vicia faba, inoculated with Rhizobium leguminosarum bv. NM353), and nutrient use efficiency were thus assessed under ambient CO2 (410/460 ppm, daytime, 07:00 a.m. –19:00 p.m./nighttime, 19:00 p.m. –07:00 a.m.) and eCO2 (550/610 ppm) for 12 weeks with or without AM fungus of Funneliformis mosseae inoculation. eCO2 favored AMF root colonization and nodule bio-mass production. eCO2 significantly decreased shoot N, P and K concentrations, but generally increased tissue N, P and K accumulation and their use efficiency with an increased biomass pro-duction. Meanwhile, eCO2 enhanced C allocation into soil but showed no effects on soil available N, P, and K, while AM symbiosis increased accumulation of C, N, P, and K in both plant and soil though increased soil nutrient uptake under eCO2. Moreover, plant acquisition of soil NO3––N and NH4+–N respond differently to AMF and eCO2 treatments. As a result, the interaction between AM symbiosis and eCO2 did improve plant C accumulation and soil N, P, and K uptake, and an alternative fertilization for legume plantation should be therefore taken under upcoming atmosphere CO2 rising. Future eCO2 studies should employ multiple AMF species, with other beneficial fungal or bacterial species, to test their interactive effects on plant performance and soil nutrient availability in the field, under other global change events including warming and drought.","author":[{"dropping-particle":"","family":"Shi","given":"Songmei","non-dropping-particle":"","parse-names":false,"suffix":""},{"dropping-particle":"","family":"Luo","given":"Xie","non-dropping-particle":"","parse-names":false,"suffix":""},{"dropping-particle":"","family":"Dong","given":"Xingshui","non-dropping-particle":"","parse-names":false,"suffix":""},{"dropping-particle":"","family":"Qiu","given":"Yuling","non-dropping-particle":"","parse-names":false,"suffix":""},{"dropping-particle":"","family":"Xu","given":"Chenyang","non-dropping-particle":"","parse-names":false,"suffix":""},{"dropping-particle":"","family":"He","given":"Xinhua","non-dropping-particle":"","parse-names":false,"suffix":""}],"container-title":"Journal of Fungi","id":"ITEM-1","issue":"5","issued":{"date-parts":[["2021"]]},"page":"1-15","title":"Arbuscular mycorrhization enhances nitrogen, phosphorus and potassium accumulation in vicia faba by modulating soil nutrient balance under elevated co2","type":"article-journal","volume":"7"},"uris":["http://www.mendeley.com/documents/?uuid=d704d09e-9731-4e1a-8453-d5eeae9eec28"]}],"mendeley":{"formattedCitation":"(Shi et al., 2021)","plainTextFormattedCitation":"(Shi et al., 2021)","previouslyFormattedCitation":"(Shi et al., 2021)"},"properties":{"noteIndex":0},"schema":"https://github.com/citation-style-language/schema/raw/master/csl-citation.json"}</w:instrText>
      </w:r>
      <w:r w:rsidR="004D2157">
        <w:rPr>
          <w:rFonts w:ascii="Arial" w:hAnsi="Arial" w:cs="Arial"/>
        </w:rPr>
        <w:fldChar w:fldCharType="separate"/>
      </w:r>
      <w:r w:rsidR="004D2157" w:rsidRPr="004D2157">
        <w:rPr>
          <w:rFonts w:ascii="Arial" w:hAnsi="Arial" w:cs="Arial"/>
          <w:noProof/>
        </w:rPr>
        <w:t xml:space="preserve">Shi et al., </w:t>
      </w:r>
      <w:r w:rsidR="0065084F">
        <w:rPr>
          <w:rFonts w:ascii="Arial" w:hAnsi="Arial" w:cs="Arial"/>
          <w:noProof/>
          <w:lang w:val="id-ID"/>
        </w:rPr>
        <w:t>(</w:t>
      </w:r>
      <w:r w:rsidR="004D2157" w:rsidRPr="004D2157">
        <w:rPr>
          <w:rFonts w:ascii="Arial" w:hAnsi="Arial" w:cs="Arial"/>
          <w:noProof/>
        </w:rPr>
        <w:t>2021)</w:t>
      </w:r>
      <w:r w:rsidR="004D2157">
        <w:rPr>
          <w:rFonts w:ascii="Arial" w:hAnsi="Arial" w:cs="Arial"/>
        </w:rPr>
        <w:fldChar w:fldCharType="end"/>
      </w:r>
      <w:r w:rsidR="004E3FCC">
        <w:rPr>
          <w:rFonts w:ascii="Arial" w:hAnsi="Arial" w:cs="Arial"/>
          <w:lang w:val="id-ID"/>
        </w:rPr>
        <w:t xml:space="preserve"> and</w:t>
      </w:r>
      <w:r w:rsidRPr="009924FF">
        <w:rPr>
          <w:rFonts w:ascii="Arial" w:hAnsi="Arial" w:cs="Arial"/>
        </w:rPr>
        <w:t xml:space="preserve"> </w:t>
      </w:r>
      <w:r w:rsidR="004D2157">
        <w:rPr>
          <w:rFonts w:ascii="Arial" w:hAnsi="Arial" w:cs="Arial"/>
        </w:rPr>
        <w:fldChar w:fldCharType="begin" w:fldLock="1"/>
      </w:r>
      <w:r w:rsidR="00641F39">
        <w:rPr>
          <w:rFonts w:ascii="Arial" w:hAnsi="Arial" w:cs="Arial"/>
        </w:rPr>
        <w:instrText>ADDIN CSL_CITATION {"citationItems":[{"id":"ITEM-1","itemData":{"DOI":"10.3390/plants12173102","ISSN":"22237747","abstract":"Arbuscular mycorrhizal fungi (AMF) form symbiotic relationships with the roots of nearly all land-dwelling plants, increasing growth and productivity, especially during abiotic stress. AMF improves plant development by improving nutrient acquisition, such as phosphorus, water, and mineral uptake. AMF improves plant tolerance and resilience to abiotic stressors such as drought, salt, and heavy metal toxicity. These benefits come from the arbuscular mycorrhizal interface, which lets fungal and plant partners exchange nutrients, signalling molecules, and protective chemical compounds. Plants’ antioxidant defence systems, osmotic adjustment, and hormone regulation are also affected by AMF infestation. These responses promote plant performance, photosynthetic efficiency, and biomass production in abiotic stress conditions. As a result of its positive effects on soil structure, nutrient cycling, and carbon sequestration, AMF contributes to the maintenance of resilient ecosystems. The effects of AMFs on plant growth and ecological stability are species- and environment-specific. AMF’s growth-regulating, productivity-enhancing role in abiotic stress alleviation under abiotic stress is reviewed. More research is needed to understand the molecular mechanisms that drive AMF-plant interactions and their responses to abiotic stresses. AMF triggers plants’ morphological, physiological, and molecular responses to abiotic stress. Water and nutrient acquisition, plant development, and abiotic stress tolerance are improved by arbuscular mycorrhizal symbiosis. In plants, AMF colonization modulates antioxidant defense mechanisms, osmotic adjustment, and hormonal regulation. These responses promote plant performance, photosynthetic efficiency, and biomass production in abiotic stress circumstances. AMF-mediated effects are also enhanced by essential oils (EOs), superoxide dismutase (SOD), peroxidase (POD), ascorbate peroxidase (APX), hydrogen peroxide (H2O2), malondialdehyde (MDA), and phosphorus (P). Understanding how AMF increases plant adaptation and reduces abiotic stress will help sustain agriculture, ecosystem management, and climate change mitigation. Arbuscular mycorrhizal fungi (AMF) have gained prominence in agriculture due to their multifaceted roles in promoting plant health and productivity. This review delves into how AMF influences plant growth and nutrient absorption, especially under challenging environmental conditions. We further explore the extent to whi…","author":[{"dropping-particle":"","family":"Wahab","given":"Abdul","non-dropping-particle":"","parse-names":false,"suffix":""},{"dropping-particle":"","family":"Muhammad","given":"Murad","non-dropping-particle":"","parse-names":false,"suffix":""},{"dropping-particle":"","family":"Munir","given":"Asma","non-dropping-particle":"","parse-names":false,"suffix":""},{"dropping-particle":"","family":"Abdi","given":"Gholamreza","non-dropping-particle":"","parse-names":false,"suffix":""},{"dropping-particle":"","family":"Zaman","given":"Wajib","non-dropping-particle":"","parse-names":false,"suffix":""},{"dropping-particle":"","family":"Ayaz","given":"Asma","non-dropping-particle":"","parse-names":false,"suffix":""},{"dropping-particle":"","family":"Khizar","given":"Chandni","non-dropping-particle":"","parse-names":false,"suffix":""},{"dropping-particle":"","family":"Reddy","given":"Sneha Priya Pappula","non-dropping-particle":"","parse-names":false,"suffix":""}],"container-title":"Plants","id":"ITEM-1","issued":{"date-parts":[["2023"]]},"page":"3102","title":"Role of Arbuscular Mycorrhizal Fungi in Regulating Growth, Enhancing Productivity, and Potentially Influencing Ecosystems under Abiotic and Biotic Stresses","type":"article-journal","volume":"12"},"uris":["http://www.mendeley.com/documents/?uuid=3640b655-2d79-485a-b4c3-fc7c86fa59c4"]}],"mendeley":{"formattedCitation":"(Wahab et al., 2023)","plainTextFormattedCitation":"(Wahab et al., 2023)","previouslyFormattedCitation":"(Wahab et al., 2023)"},"properties":{"noteIndex":0},"schema":"https://github.com/citation-style-language/schema/raw/master/csl-citation.json"}</w:instrText>
      </w:r>
      <w:r w:rsidR="004D2157">
        <w:rPr>
          <w:rFonts w:ascii="Arial" w:hAnsi="Arial" w:cs="Arial"/>
        </w:rPr>
        <w:fldChar w:fldCharType="separate"/>
      </w:r>
      <w:r w:rsidR="004D2157" w:rsidRPr="004D2157">
        <w:rPr>
          <w:rFonts w:ascii="Arial" w:hAnsi="Arial" w:cs="Arial"/>
          <w:noProof/>
        </w:rPr>
        <w:t xml:space="preserve">Wahab et al., </w:t>
      </w:r>
      <w:r w:rsidR="0065084F">
        <w:rPr>
          <w:rFonts w:ascii="Arial" w:hAnsi="Arial" w:cs="Arial"/>
          <w:noProof/>
          <w:lang w:val="id-ID"/>
        </w:rPr>
        <w:t>(</w:t>
      </w:r>
      <w:r w:rsidR="004D2157" w:rsidRPr="004D2157">
        <w:rPr>
          <w:rFonts w:ascii="Arial" w:hAnsi="Arial" w:cs="Arial"/>
          <w:noProof/>
        </w:rPr>
        <w:t>2023)</w:t>
      </w:r>
      <w:r w:rsidR="004D2157">
        <w:rPr>
          <w:rFonts w:ascii="Arial" w:hAnsi="Arial" w:cs="Arial"/>
        </w:rPr>
        <w:fldChar w:fldCharType="end"/>
      </w:r>
      <w:r w:rsidRPr="009924FF">
        <w:rPr>
          <w:rFonts w:ascii="Arial" w:hAnsi="Arial" w:cs="Arial"/>
        </w:rPr>
        <w:t>, the role of AM in symbiosis can significantly increase the need for phosphorus, nitrogen, and potassium for plants.</w:t>
      </w:r>
    </w:p>
    <w:p w14:paraId="28F4BB26" w14:textId="0457AEEB" w:rsidR="009924FF" w:rsidRPr="009924FF" w:rsidRDefault="009924FF" w:rsidP="009924FF">
      <w:pPr>
        <w:pStyle w:val="Body"/>
        <w:rPr>
          <w:rFonts w:ascii="Arial" w:hAnsi="Arial" w:cs="Arial"/>
        </w:rPr>
      </w:pPr>
      <w:r w:rsidRPr="009924FF">
        <w:rPr>
          <w:rFonts w:ascii="Arial" w:hAnsi="Arial" w:cs="Arial"/>
        </w:rPr>
        <w:t xml:space="preserve">The use of AM in </w:t>
      </w:r>
      <w:r w:rsidR="00DE2F71">
        <w:rPr>
          <w:rFonts w:ascii="Arial" w:hAnsi="Arial" w:cs="Arial"/>
          <w:lang w:val="id-ID"/>
        </w:rPr>
        <w:t>Av</w:t>
      </w:r>
      <w:r w:rsidRPr="009924FF">
        <w:rPr>
          <w:rFonts w:ascii="Arial" w:hAnsi="Arial" w:cs="Arial"/>
        </w:rPr>
        <w:t xml:space="preserve"> cultivation, in addition to having a positive impact on the environment due to its biological properties, also allows AM to produce antibiotic compounds and growth reg</w:t>
      </w:r>
      <w:r w:rsidR="00641F39">
        <w:rPr>
          <w:rFonts w:ascii="Arial" w:hAnsi="Arial" w:cs="Arial"/>
        </w:rPr>
        <w:t>ulators to support plant growth</w:t>
      </w:r>
      <w:r w:rsidRPr="009924FF">
        <w:rPr>
          <w:rFonts w:ascii="Arial" w:hAnsi="Arial" w:cs="Arial"/>
        </w:rPr>
        <w:t xml:space="preserve"> </w:t>
      </w:r>
      <w:r w:rsidR="00641F39">
        <w:rPr>
          <w:rFonts w:ascii="Arial" w:hAnsi="Arial" w:cs="Arial"/>
        </w:rPr>
        <w:fldChar w:fldCharType="begin" w:fldLock="1"/>
      </w:r>
      <w:r w:rsidR="00641F39">
        <w:rPr>
          <w:rFonts w:ascii="Arial" w:hAnsi="Arial" w:cs="Arial"/>
        </w:rPr>
        <w:instrText>ADDIN CSL_CITATION {"citationItems":[{"id":"ITEM-1","itemData":{"DOI":"10.3390/soilsystems7020044","ISSN":"25718789","abstract":"Black rice (Oryza sativa L.) contains high concentrations of bioactive compounds that are associated with human-health benefits. Arbuscular mycorrhizal fungi (AMF) can increase plant performance and concentrations of these bioactive compounds. In a pot experiment, the effects of four different species of AMF (Claroideoglomus etunicatum; Rhizophagus variabilis; Rhizophagus nov. spec.; Acaulospora longula) were assessed on growth performance, grain yield, concentrations of phenolic compounds and anthocyanin, and antioxidant activity of two black-rice cultivars. The experiment was a completely randomized factorial design with two factors, viz. cultivar (Niew Dam Hmong and Maled Phai) and treatment (four different species of AMF and two non-inoculated treatments, without and with mineral fertilizer). Results showed that cultivar, treatment, and their interaction were almost always significant sources of variation for both plant performance parameters and concentrations of bioactive compounds. Maled Phai showed higher performance and higher concentrations of phenolics and anthocyanins but lower antioxidant activity than Niew Dam Hmong. The non-inoculated treatment without mineral fertilizer showed the lowest performance. The non-inoculated treatment with mineral fertilizer resulted in larger root and shoot biomass than the mycorrhizal treatments, but grain yield was higher in the mycorrhizal treatments. Inoculation with R. variabilis resulted in the highest concentration of phenolics and anthocyanins. We conclude that R. variabilis was the best inoculum for increasing grain yield and bioactive compounds, especially in Maled Phai.","author":[{"dropping-particle":"","family":"Nacoon","given":"Sabaiporn","non-dropping-particle":"","parse-names":false,"suffix":""},{"dropping-particle":"","family":"Seemakram","given":"Wasan","non-dropping-particle":"","parse-names":false,"suffix":""},{"dropping-particle":"","family":"Ekprasert","given":"Jindarat","non-dropping-particle":"","parse-names":false,"suffix":""},{"dropping-particle":"","family":"Theerakulpisut","given":"Piyada","non-dropping-particle":"","parse-names":false,"suffix":""},{"dropping-particle":"","family":"Sanitchon","given":"Jirawat","non-dropping-particle":"","parse-names":false,"suffix":""},{"dropping-particle":"","family":"Kuyper","given":"Thomas W.","non-dropping-particle":"","parse-names":false,"suffix":""},{"dropping-particle":"","family":"Boonlue","given":"Sophon","non-dropping-particle":"","parse-names":false,"suffix":""}],"container-title":"Soil Systems","id":"ITEM-1","issue":"2","issued":{"date-parts":[["2023"]]},"page":"1-14","title":"Arbuscular Mycorrhizal Fungi Enhance Growth and Increase Concentrations of Anthocyanin, Phenolic Compounds, and Antioxidant Activity of Black Rice (Oryza sativa L.)","type":"article-journal","volume":"7"},"uris":["http://www.mendeley.com/documents/?uuid=318fccf2-976c-4f8f-b696-24c895d4c5e3"]},{"id":"ITEM-2","itemData":{"DOI":"10.3390/plants12173102","ISSN":"22237747","abstract":"Arbuscular mycorrhizal fungi (AMF) form symbiotic relationships with the roots of nearly all land-dwelling plants, increasing growth and productivity, especially during abiotic stress. AMF improves plant development by improving nutrient acquisition, such as phosphorus, water, and mineral uptake. AMF improves plant tolerance and resilience to abiotic stressors such as drought, salt, and heavy metal toxicity. These benefits come from the arbuscular mycorrhizal interface, which lets fungal and plant partners exchange nutrients, signalling molecules, and protective chemical compounds. Plants’ antioxidant defence systems, osmotic adjustment, and hormone regulation are also affected by AMF infestation. These responses promote plant performance, photosynthetic efficiency, and biomass production in abiotic stress conditions. As a result of its positive effects on soil structure, nutrient cycling, and carbon sequestration, AMF contributes to the maintenance of resilient ecosystems. The effects of AMFs on plant growth and ecological stability are species- and environment-specific. AMF’s growth-regulating, productivity-enhancing role in abiotic stress alleviation under abiotic stress is reviewed. More research is needed to understand the molecular mechanisms that drive AMF-plant interactions and their responses to abiotic stresses. AMF triggers plants’ morphological, physiological, and molecular responses to abiotic stress. Water and nutrient acquisition, plant development, and abiotic stress tolerance are improved by arbuscular mycorrhizal symbiosis. In plants, AMF colonization modulates antioxidant defense mechanisms, osmotic adjustment, and hormonal regulation. These responses promote plant performance, photosynthetic efficiency, and biomass production in abiotic stress circumstances. AMF-mediated effects are also enhanced by essential oils (EOs), superoxide dismutase (SOD), peroxidase (POD), ascorbate peroxidase (APX), hydrogen peroxide (H2O2), malondialdehyde (MDA), and phosphorus (P). Understanding how AMF increases plant adaptation and reduces abiotic stress will help sustain agriculture, ecosystem management, and climate change mitigation. Arbuscular mycorrhizal fungi (AMF) have gained prominence in agriculture due to their multifaceted roles in promoting plant health and productivity. This review delves into how AMF influences plant growth and nutrient absorption, especially under challenging environmental conditions. We further explore the extent to whi…","author":[{"dropping-particle":"","family":"Wahab","given":"Abdul","non-dropping-particle":"","parse-names":false,"suffix":""},{"dropping-particle":"","family":"Muhammad","given":"Murad","non-dropping-particle":"","parse-names":false,"suffix":""},{"dropping-particle":"","family":"Munir","given":"Asma","non-dropping-particle":"","parse-names":false,"suffix":""},{"dropping-particle":"","family":"Abdi","given":"Gholamreza","non-dropping-particle":"","parse-names":false,"suffix":""},{"dropping-particle":"","family":"Zaman","given":"Wajib","non-dropping-particle":"","parse-names":false,"suffix":""},{"dropping-particle":"","family":"Ayaz","given":"Asma","non-dropping-particle":"","parse-names":false,"suffix":""},{"dropping-particle":"","family":"Khizar","given":"Chandni","non-dropping-particle":"","parse-names":false,"suffix":""},{"dropping-particle":"","family":"Reddy","given":"Sneha Priya Pappula","non-dropping-particle":"","parse-names":false,"suffix":""}],"container-title":"Plants","id":"ITEM-2","issued":{"date-parts":[["2023"]]},"page":"3102","title":"Role of Arbuscular Mycorrhizal Fungi in Regulating Growth, Enhancing Productivity, and Potentially Influencing Ecosystems under Abiotic and Biotic Stresses","type":"article-journal","volume":"12"},"uris":["http://www.mendeley.com/documents/?uuid=3640b655-2d79-485a-b4c3-fc7c86fa59c4"]}],"mendeley":{"formattedCitation":"(Nacoon et al., 2023; Wahab et al., 2023)","plainTextFormattedCitation":"(Nacoon et al., 2023; Wahab et al., 2023)","previouslyFormattedCitation":"(Nacoon et al., 2023; Wahab et al., 2023)"},"properties":{"noteIndex":0},"schema":"https://github.com/citation-style-language/schema/raw/master/csl-citation.json"}</w:instrText>
      </w:r>
      <w:r w:rsidR="00641F39">
        <w:rPr>
          <w:rFonts w:ascii="Arial" w:hAnsi="Arial" w:cs="Arial"/>
        </w:rPr>
        <w:fldChar w:fldCharType="separate"/>
      </w:r>
      <w:r w:rsidR="00641F39" w:rsidRPr="00641F39">
        <w:rPr>
          <w:rFonts w:ascii="Arial" w:hAnsi="Arial" w:cs="Arial"/>
          <w:noProof/>
        </w:rPr>
        <w:t>(Nacoon et al., 2023; Wahab et al., 2023)</w:t>
      </w:r>
      <w:r w:rsidR="00641F39">
        <w:rPr>
          <w:rFonts w:ascii="Arial" w:hAnsi="Arial" w:cs="Arial"/>
        </w:rPr>
        <w:fldChar w:fldCharType="end"/>
      </w:r>
      <w:r w:rsidRPr="009924FF">
        <w:rPr>
          <w:rFonts w:ascii="Arial" w:hAnsi="Arial" w:cs="Arial"/>
        </w:rPr>
        <w:t xml:space="preserve">. According to </w:t>
      </w:r>
      <w:r w:rsidR="00641F39">
        <w:rPr>
          <w:rFonts w:ascii="Arial" w:hAnsi="Arial" w:cs="Arial"/>
        </w:rPr>
        <w:fldChar w:fldCharType="begin" w:fldLock="1"/>
      </w:r>
      <w:r w:rsidR="00636FA6">
        <w:rPr>
          <w:rFonts w:ascii="Arial" w:hAnsi="Arial" w:cs="Arial"/>
        </w:rPr>
        <w:instrText>ADDIN CSL_CITATION {"citationItems":[{"id":"ITEM-1","itemData":{"DOI":"10.3389/fpls.2021.699618","ISSN":"1664462X","abstract":"Phosphorus (P) availability is usually low in soils around the globe. Most soils have a deficiency of available P; if they are not fertilized, they will not be able to satisfy the P requirement of plants. P fertilization is generally recommended to manage soil P deficiency; however, the low efficacy of P fertilizers in acidic and in calcareous soils restricts P availability. Moreover, the overuse of P fertilizers is a cause of significant environmental concerns. However, the use of arbuscular mycorrhizal fungi (AMF), phosphate–solubilizing bacteria (PSB), and the addition of silicon (Si) are effective and economical ways to improve the availability and efficacy of P. In this review the contributions of Si, PSB, and AMF in improving the P availability is discussed. Based on what is known about them, the combined strategy of using Si along with AMF and PSB may be highly useful in improving the P availability and as a result, its uptake by plants compared to using either of them alone. A better understanding how the two microorganism groups and Si interact is crucial to preserving soil fertility and improving the economic and environmental sustainability of crop production in P deficient soils. This review summarizes and discusses the current knowledge concerning the interactions among AMF, PSB, and Si in enhancing P availability and its uptake by plants in sustainable agriculture.","author":[{"dropping-particle":"","family":"Etesami","given":"Hassan","non-dropping-particle":"","parse-names":false,"suffix":""},{"dropping-particle":"","family":"Jeong","given":"Byoung Ryong","non-dropping-particle":"","parse-names":false,"suffix":""},{"dropping-particle":"","family":"Glick","given":"Bernard R.","non-dropping-particle":"","parse-names":false,"suffix":""}],"container-title":"Frontiers in Plant Science","id":"ITEM-1","issued":{"date-parts":[["2021"]]},"page":"699618","title":"Contribution of Arbuscular Mycorrhizal Fungi, Phosphate–Solubilizing Bacteria, and Silicon to P Uptake by Plant","type":"article-journal","volume":"12"},"uris":["http://www.mendeley.com/documents/?uuid=4505d4b4-b4b9-484d-87b8-b4ac8793b828"]}],"mendeley":{"formattedCitation":"(Etesami et al., 2021)","manualFormatting":"Etesami et al., (2021)","plainTextFormattedCitation":"(Etesami et al., 2021)","previouslyFormattedCitation":"(Etesami et al., 2021)"},"properties":{"noteIndex":0},"schema":"https://github.com/citation-style-language/schema/raw/master/csl-citation.json"}</w:instrText>
      </w:r>
      <w:r w:rsidR="00641F39">
        <w:rPr>
          <w:rFonts w:ascii="Arial" w:hAnsi="Arial" w:cs="Arial"/>
        </w:rPr>
        <w:fldChar w:fldCharType="separate"/>
      </w:r>
      <w:r w:rsidR="006F3C1B">
        <w:rPr>
          <w:rFonts w:ascii="Arial" w:hAnsi="Arial" w:cs="Arial"/>
          <w:noProof/>
        </w:rPr>
        <w:t>Etesami et al.</w:t>
      </w:r>
      <w:r w:rsidR="00641F39" w:rsidRPr="00641F39">
        <w:rPr>
          <w:rFonts w:ascii="Arial" w:hAnsi="Arial" w:cs="Arial"/>
          <w:noProof/>
        </w:rPr>
        <w:t xml:space="preserve"> </w:t>
      </w:r>
      <w:r w:rsidR="00636FA6">
        <w:rPr>
          <w:rFonts w:ascii="Arial" w:hAnsi="Arial" w:cs="Arial"/>
          <w:noProof/>
          <w:lang w:val="id-ID"/>
        </w:rPr>
        <w:t>(</w:t>
      </w:r>
      <w:r w:rsidR="00641F39" w:rsidRPr="00641F39">
        <w:rPr>
          <w:rFonts w:ascii="Arial" w:hAnsi="Arial" w:cs="Arial"/>
          <w:noProof/>
        </w:rPr>
        <w:t>2021)</w:t>
      </w:r>
      <w:r w:rsidR="00641F39">
        <w:rPr>
          <w:rFonts w:ascii="Arial" w:hAnsi="Arial" w:cs="Arial"/>
        </w:rPr>
        <w:fldChar w:fldCharType="end"/>
      </w:r>
      <w:r w:rsidR="00641F39">
        <w:rPr>
          <w:rFonts w:ascii="Arial" w:hAnsi="Arial" w:cs="Arial"/>
          <w:lang w:val="id-ID"/>
        </w:rPr>
        <w:t xml:space="preserve"> </w:t>
      </w:r>
      <w:r w:rsidRPr="009924FF">
        <w:rPr>
          <w:rFonts w:ascii="Arial" w:hAnsi="Arial" w:cs="Arial"/>
        </w:rPr>
        <w:t xml:space="preserve">and </w:t>
      </w:r>
      <w:r w:rsidR="00641F39">
        <w:rPr>
          <w:rFonts w:ascii="Arial" w:hAnsi="Arial" w:cs="Arial"/>
        </w:rPr>
        <w:fldChar w:fldCharType="begin" w:fldLock="1"/>
      </w:r>
      <w:r w:rsidR="00636FA6">
        <w:rPr>
          <w:rFonts w:ascii="Arial" w:hAnsi="Arial" w:cs="Arial"/>
        </w:rPr>
        <w:instrText>ADDIN CSL_CITATION {"citationItems":[{"id":"ITEM-1","itemData":{"DOI":"10.3390/su14137840","ISSN":"20711050","abstract":"Arbuscular mycorrhizal fungi (AMF) form a symbiotic relationship with plants; a symbiotic relationship is one in which both partners benefit from each other. Fungi benefit plants by improving uptake of water and nutrients, especially phosphorous, while plants provide 10–20% of their photo-synthates to fungus. AMF tend to make associations with 85% of plant families and play a significant role in the sustainability of an ecosystem. Plants’ growth and productivity are negatively affected by various biotic and abiotic stresses. AMF proved to enhance plants’ tolerance against various stresses, such as drought, salinity, high temperature, and heavy metals. There are some obstacles impeding the beneficial formation of AMF communities, such as heavy tillage practices, high fertilizer rates, unchecked pesticide application, and monocultures. Keeping in view the stress-extenuation potential of AMF, the present review sheds light on their role in reducing erosion, nutrient leaching, and tolerance to abiotic stresses. In addition, recent advances in commercial production of AMF are discussed.","author":[{"dropping-particle":"","family":"Khaliq","given":"Abdul","non-dropping-particle":"","parse-names":false,"suffix":""},{"dropping-particle":"","family":"Perveen","given":"Shaista","non-dropping-particle":"","parse-names":false,"suffix":""},{"dropping-particle":"","family":"Alamer","given":"Khalid H.","non-dropping-particle":"","parse-names":false,"suffix":""},{"dropping-particle":"","family":"Haq","given":"Muhammad Zia Ul","non-dropping-particle":"","parse-names":false,"suffix":""},{"dropping-particle":"","family":"Rafique","given":"Zaiba","non-dropping-particle":"","parse-names":false,"suffix":""},{"dropping-particle":"","family":"Alsudays","given":"Ibtisam M.","non-dropping-particle":"","parse-names":false,"suffix":""},{"dropping-particle":"","family":"Althobaiti","given":"Ashwaq T.","non-dropping-particle":"","parse-names":false,"suffix":""},{"dropping-particle":"","family":"Muneera A","given":"Saleh","non-dropping-particle":"","parse-names":false,"suffix":""},{"dropping-particle":"","family":"Hussain","given":"Saddam","non-dropping-particle":"","parse-names":false,"suffix":""},{"dropping-particle":"","family":"Attia","given":"Houneida","non-dropping-particle":"","parse-names":false,"suffix":""}],"container-title":"Sustainability","id":"ITEM-1","issued":{"date-parts":[["2022"]]},"page":"7840","title":"Arbuscular Mycorrhizal Fungi Symbiosis to Enhance Plant–Soil Interaction","type":"article-journal","volume":"14"},"uris":["http://www.mendeley.com/documents/?uuid=0b19f429-eb68-45c2-9a5e-716e65a14103"]}],"mendeley":{"formattedCitation":"(Khaliq et al., 2022)","manualFormatting":"Khaliq et al., (2022)","plainTextFormattedCitation":"(Khaliq et al., 2022)","previouslyFormattedCitation":"(Khaliq et al., 2022)"},"properties":{"noteIndex":0},"schema":"https://github.com/citation-style-language/schema/raw/master/csl-citation.json"}</w:instrText>
      </w:r>
      <w:r w:rsidR="00641F39">
        <w:rPr>
          <w:rFonts w:ascii="Arial" w:hAnsi="Arial" w:cs="Arial"/>
        </w:rPr>
        <w:fldChar w:fldCharType="separate"/>
      </w:r>
      <w:r w:rsidR="006C3812">
        <w:rPr>
          <w:rFonts w:ascii="Arial" w:hAnsi="Arial" w:cs="Arial"/>
          <w:noProof/>
        </w:rPr>
        <w:t>Khaliq et al.</w:t>
      </w:r>
      <w:r w:rsidR="00641F39" w:rsidRPr="00641F39">
        <w:rPr>
          <w:rFonts w:ascii="Arial" w:hAnsi="Arial" w:cs="Arial"/>
          <w:noProof/>
        </w:rPr>
        <w:t xml:space="preserve"> </w:t>
      </w:r>
      <w:r w:rsidR="00636FA6">
        <w:rPr>
          <w:rFonts w:ascii="Arial" w:hAnsi="Arial" w:cs="Arial"/>
          <w:noProof/>
          <w:lang w:val="id-ID"/>
        </w:rPr>
        <w:t>(</w:t>
      </w:r>
      <w:r w:rsidR="00641F39" w:rsidRPr="00641F39">
        <w:rPr>
          <w:rFonts w:ascii="Arial" w:hAnsi="Arial" w:cs="Arial"/>
          <w:noProof/>
        </w:rPr>
        <w:t>2022)</w:t>
      </w:r>
      <w:r w:rsidR="00641F39">
        <w:rPr>
          <w:rFonts w:ascii="Arial" w:hAnsi="Arial" w:cs="Arial"/>
        </w:rPr>
        <w:fldChar w:fldCharType="end"/>
      </w:r>
      <w:r w:rsidRPr="009924FF">
        <w:rPr>
          <w:rFonts w:ascii="Arial" w:hAnsi="Arial" w:cs="Arial"/>
        </w:rPr>
        <w:t xml:space="preserve">, AM can also increase the absorption of P and other essential nutrients, including N, K, Mg, Zn, Cu, S, B, and Mo. In addition, AM can increase plant immunity to disease, especially root rot disease </w:t>
      </w:r>
      <w:r w:rsidR="00641F39">
        <w:rPr>
          <w:rFonts w:ascii="Arial" w:hAnsi="Arial" w:cs="Arial"/>
        </w:rPr>
        <w:fldChar w:fldCharType="begin" w:fldLock="1"/>
      </w:r>
      <w:r w:rsidR="005C10D6">
        <w:rPr>
          <w:rFonts w:ascii="Arial" w:hAnsi="Arial" w:cs="Arial"/>
        </w:rPr>
        <w:instrText>ADDIN CSL_CITATION {"citationItems":[{"id":"ITEM-1","itemData":{"DOI":"10.15446/abc.v27n3.87627","ISSN":"19001649","abstract":"Arbuscular mycorrhizal fungi (AMF) have the potential to reduce the deleterious effect of soil-borne pathogens, but their ability for pathogen biocontrol may vary depending on the genotype of the plant, the pathogen, and the AMF interaction. Thus, the aim of this work was to evaluate the effect of the Mexican biofertilizer Rizofermic-UV based on a mix of AMF formulation against the common bean root rot caused by the pathogenic fungus Rhizoctonia solani Kühn 1858 (Teleomorph: Thanatephorus cucumeris). Additionally, the total phenolic content, individual phenolic acid (caffeic, ferulic, o-cumaric, p-cumaric, sinapic, and vanillic), and the flavonoid (catechin, kaempherol, quercetin, and rutin) profiles were analyzed. Our results show that the AMF biofertilization reduces the disease severity up to 68 %, and this was accompanied by a boost in total phenolic content in dual inoculation. Furthermore, a variation in the individual phenolic profiles caused by both AMF interaction and pathogen treatment alone were observed. In dual inoculations, vanillic acid was significantly different among treatments, suggesting it may contribute to the enhanced resistance of mycorrhizal roots to soil-borne pathogens. Further work is required to elucidate the exact role of these compounds in the bioprotection of arbuscular mycorrhizal to plant pathogens.","author":[{"dropping-particle":"","family":"Corrales-Sanchez","given":"Jesús Benjamín","non-dropping-particle":"","parse-names":false,"suffix":""},{"dropping-particle":"","family":"Lopez-Meyer","given":"Melina","non-dropping-particle":"","parse-names":false,"suffix":""},{"dropping-particle":"","family":"Valdez-Morales","given":"Maribel","non-dropping-particle":"","parse-names":false,"suffix":""},{"dropping-particle":"","family":"Aguilar","given":"Dora Trejo","non-dropping-particle":"","parse-names":false,"suffix":""},{"dropping-particle":"","family":"Bojorquez-Armenta","given":"Yolani De Jesus","non-dropping-particle":"","parse-names":false,"suffix":""},{"dropping-particle":"","family":"Valle-Castillo","given":"Carmen Elena","non-dropping-particle":"","parse-names":false,"suffix":""},{"dropping-particle":"","family":"Ibarra-Sarmiento","given":"Carlos Ramiro","non-dropping-particle":"","parse-names":false,"suffix":""},{"dropping-particle":"","family":"Romero-Urias","given":"Cecilia De Los Ángeles","non-dropping-particle":"","parse-names":false,"suffix":""},{"dropping-particle":"","family":"Mora-Romero","given":"Guadalupe Arlene","non-dropping-particle":"","parse-names":false,"suffix":""}],"container-title":"Acta Biologica Colombiana","id":"ITEM-1","issue":"3","issued":{"date-parts":[["2022"]]},"page":"316-325","title":"Arbuscular Mycorrhiza Symbiosis Reduces the Rhizoctonia Root Rot and Alters the Phenolic Profile in Common Bean","type":"article-journal","volume":"27"},"uris":["http://www.mendeley.com/documents/?uuid=a1bd2b0b-590b-4719-9da6-962a4ed5ce1b"]},{"id":"ITEM-2","itemData":{"DOI":"10.1146/annurev-phyto-121423-042014","ISSN":"15452107","PMID":"39251211","abstract":"Arbuscular mycorrhizal (AM) symbiosis is the oldest and most widespread mutualistic association on Earth and involves plants and soil fungi belonging to Glomeromycotina. A complex molecular, cellular, and genetic developmental program enables partner recognition, fungal accommodation in plant tissues, and activation of symbiotic functions such as transfer of phosphorus in exchange for carbohydrates and lipids. AM fungi, as ancient obligate biotrophs, have evolved strategies to circumvent plant defense responses to guarantee an intimate and long-lasting mutualism. They are among those root-associated microorganisms able to boost plants' ability to cope with biotic stresses leading to mycorrhiza-induced resistance (MIR), which can be effective across diverse hosts and against different attackers. Here, we examine the molecular mechanisms underlying the modulation of plant immunity during colonization by AM fungi and at the onset and display of MIR against belowground and aboveground pests and pathogens. Understanding the MIR efficiency spectrum and its regulation is of great importance to optimizing the biotechnological application of these beneficial microbes for sustainable crop protection.","author":[{"dropping-particle":"","family":"Fiorilli","given":"V.","non-dropping-particle":"","parse-names":false,"suffix":""},{"dropping-particle":"","family":"Martínez-Medina","given":"A.","non-dropping-particle":"","parse-names":false,"suffix":""},{"dropping-particle":"","family":"Pozo","given":"Maria J.","non-dropping-particle":"","parse-names":false,"suffix":""},{"dropping-particle":"","family":"Lanfranco","given":"L.","non-dropping-particle":"","parse-names":false,"suffix":""}],"container-title":"Annual review of phytopathology","id":"ITEM-2","issue":"1","issued":{"date-parts":[["2024"]]},"page":"127-156","title":"Plant Immunity Modulation in Arbuscular Mycorrhizal Symbiosis and Its Impact on Pathogens and Pests","type":"article-journal","volume":"62"},"uris":["http://www.mendeley.com/documents/?uuid=33a66d7c-4e61-47f0-a2f1-26c66fa06e4d"]}],"mendeley":{"formattedCitation":"(Corrales-Sanchez et al., 2022; Fiorilli et al., 2024)","plainTextFormattedCitation":"(Corrales-Sanchez et al., 2022; Fiorilli et al., 2024)","previouslyFormattedCitation":"(Corrales-Sanchez et al., 2022; Fiorilli et al., 2024)"},"properties":{"noteIndex":0},"schema":"https://github.com/citation-style-language/schema/raw/master/csl-citation.json"}</w:instrText>
      </w:r>
      <w:r w:rsidR="00641F39">
        <w:rPr>
          <w:rFonts w:ascii="Arial" w:hAnsi="Arial" w:cs="Arial"/>
        </w:rPr>
        <w:fldChar w:fldCharType="separate"/>
      </w:r>
      <w:r w:rsidR="005C10D6" w:rsidRPr="005C10D6">
        <w:rPr>
          <w:rFonts w:ascii="Arial" w:hAnsi="Arial" w:cs="Arial"/>
          <w:noProof/>
        </w:rPr>
        <w:t>(Corrales-Sanchez et al., 2022; Fiorilli et al., 2024)</w:t>
      </w:r>
      <w:r w:rsidR="00641F39">
        <w:rPr>
          <w:rFonts w:ascii="Arial" w:hAnsi="Arial" w:cs="Arial"/>
        </w:rPr>
        <w:fldChar w:fldCharType="end"/>
      </w:r>
      <w:r w:rsidRPr="009924FF">
        <w:rPr>
          <w:rFonts w:ascii="Arial" w:hAnsi="Arial" w:cs="Arial"/>
        </w:rPr>
        <w:t xml:space="preserve">, and improve plant resistance to environmental stress such as drought, low pH, and heavy metal contamination such as lead (Pb), cobalt (Co), chromium (Cr), copper (Cu), nickel (Ni), manganese (Mn), iron (Fe), zinc (Zn) </w:t>
      </w:r>
      <w:r w:rsidR="00641F39">
        <w:rPr>
          <w:rFonts w:ascii="Arial" w:hAnsi="Arial" w:cs="Arial"/>
        </w:rPr>
        <w:fldChar w:fldCharType="begin" w:fldLock="1"/>
      </w:r>
      <w:r w:rsidR="006C40C9">
        <w:rPr>
          <w:rFonts w:ascii="Arial" w:hAnsi="Arial" w:cs="Arial"/>
        </w:rPr>
        <w:instrText>ADDIN CSL_CITATION {"citationItems":[{"id":"ITEM-1","itemData":{"DOI":"10.3897/imafungus.16.144989","ISSN":"2210-6340","PMID":"40162002","abstract":"Arbuscular Mycorrhizal (AM) symbiosis is integral to sustainable agriculture and enhances plant resilience to abiotic and biotic stressors. Through their symbiotic association with plant roots, AM improves nutrient and water uptake, activates antioxidant defenses, and facilitates hormonal regulation, contributing to improved plant health and productivity. Plants release strigolactones, which trigger AM spore germination and hyphal branching, a process regulated by genes, such as D27, CCD7, CCD8, and MAX1. AM recognition by plants is mediated by receptor-like kinases (RLKs) and LysM domains, leading to the formation of arbuscules that optimize nutrient exchange. Hormonal regulation plays a pivotal role in this symbiosis; cytokinins enhance AM colonization, auxins support arbuscule formation, and brassinosteroids regulate root growth. Other hormones, such as salicylic acid, gibberellins, ethylene, jasmonic acid, and abscisic acid, also influence AM colonization and stress responses, further bolstering plant resilience. In addition to plant health, AM enhances soil health by improving microbial diversity, soil structure, nutrient cycling, and carbon sequestration. This symbiosis supports soil pH regulation and pathogen suppression, offering a sustainable alternative to chemical fertilizers and improving soil fertility. To maximize AM 's potential of AM in agriculture, future research should focus on refining inoculation strategies, enhancing compatibility with different crops, and assessing the long-term ecological and economic benefits. Optimizing AM applications is critical for improving agricultural resilience, food security, and sustainable farming practices.","author":[{"dropping-particle":"","family":"Ahmed","given":"Nazir","non-dropping-particle":"","parse-names":false,"suffix":""},{"dropping-particle":"","family":"Li","given":"Juan","non-dropping-particle":"","parse-names":false,"suffix":""},{"dropping-particle":"","family":"Li","given":"Yongquan","non-dropping-particle":"","parse-names":false,"suffix":""},{"dropping-particle":"","family":"Deng","given":"Lifang","non-dropping-particle":"","parse-names":false,"suffix":""},{"dropping-particle":"","family":"Deng","given":"Lansheng","non-dropping-particle":"","parse-names":false,"suffix":""},{"dropping-particle":"","family":"Chachar","given":"Muzafaruddin","non-dropping-particle":"","parse-names":false,"suffix":""},{"dropping-particle":"","family":"Chachar","given":"Zaid","non-dropping-particle":"","parse-names":false,"suffix":""},{"dropping-particle":"","family":"Chachar","given":"Sadaruddin","non-dropping-particle":"","parse-names":false,"suffix":""},{"dropping-particle":"","family":"Hayat","given":"Faisal","non-dropping-particle":"","parse-names":false,"suffix":""},{"dropping-particle":"","family":"Raza","given":"Ahmed","non-dropping-particle":"","parse-names":false,"suffix":""},{"dropping-particle":"","family":"Umrani","given":"Javed Hussain","non-dropping-particle":"","parse-names":false,"suffix":""},{"dropping-particle":"","family":"Gong","given":"Lin","non-dropping-particle":"","parse-names":false,"suffix":""},{"dropping-particle":"","family":"Tu","given":"Panfeng","non-dropping-particle":"","parse-names":false,"suffix":""}],"container-title":"IMA fungus","id":"ITEM-1","issued":{"date-parts":[["2025"]]},"page":"e144989","title":"Symbiotic synergy: How Arbuscular Mycorrhizal Fungi enhance nutrient uptake, stress tolerance, and soil health through molecular mechanisms and hormonal regulation.","type":"article-journal","volume":"16"},"uris":["http://www.mendeley.com/documents/?uuid=a13521e4-af63-4525-812e-4486bbbaddbc"]},{"id":"ITEM-2","itemData":{"DOI":"10.3390/microorganisms12122448","ISSN":"20762607","abstract":"Amid escalating challenges from global climate change and increasing environmental degradation, agricultural systems worldwide face a multitude of abiotic stresses, including drought, salinity, elevated temperatures, heavy metal pollution, and flooding. These factors critically impair crop productivity and yield. Simultaneously, biotic pressures such as pathogen invasions intensify the vulnerability of agricultural outputs. At the heart of mitigating these challenges, Arbuscular Mycorrhizal Fungi (AM fungi) form a crucial symbiotic relationship with most terrestrial plants, significantly enhancing their stress resilience. AM fungi improve nutrient uptake, particularly that of nitrogen and phosphorus, through their extensive mycelial networks. Additionally, they enhance soil structure, increase water use efficiency, and strengthen antioxidant defense mechanisms, particularly in environments stressed by drought, salinity, extreme temperatures, heavy metal contamination, and flooding. Beyond mitigating abiotic stress, AM fungi bolster plant defenses against pathogens and pests by competing for colonization sites and enhancing plant immune responses. They also facilitate plant adaptation to extreme environmental conditions by altering root morphology, modulating gene expression, and promoting the accumulation of osmotic adjustment compounds. This review discusses the role of AM fungi in enhancing plant growth and performance under environmental stress.","author":[{"dropping-particle":"","family":"Nie","given":"Wenjing","non-dropping-particle":"","parse-names":false,"suffix":""},{"dropping-particle":"","family":"He","given":"Qinghai","non-dropping-particle":"","parse-names":false,"suffix":""},{"dropping-particle":"","family":"Guo","given":"Hongen","non-dropping-particle":"","parse-names":false,"suffix":""},{"dropping-particle":"","family":"Zhang","given":"Wenjun","non-dropping-particle":"","parse-names":false,"suffix":""},{"dropping-particle":"","family":"Ma","given":"Lan","non-dropping-particle":"","parse-names":false,"suffix":""},{"dropping-particle":"","family":"Li","given":"Junlin","non-dropping-particle":"","parse-names":false,"suffix":""},{"dropping-particle":"","family":"Wen","given":"Dan","non-dropping-particle":"","parse-names":false,"suffix":""}],"container-title":"Microorganisms","id":"ITEM-2","issued":{"date-parts":[["2024"]]},"page":"2448","title":"Arbuscular Mycorrhizal Fungi: Boosting Crop Resilience to Environmental Stresses","type":"article-journal","volume":"12"},"uris":["http://www.mendeley.com/documents/?uuid=35e031cc-c38d-4623-9de8-289037fcab17"]}],"mendeley":{"formattedCitation":"(Ahmed et al., 2025; Nie et al., 2024)","plainTextFormattedCitation":"(Ahmed et al., 2025; Nie et al., 2024)","previouslyFormattedCitation":"(Ahmed et al., 2025; Nie et al., 2024)"},"properties":{"noteIndex":0},"schema":"https://github.com/citation-style-language/schema/raw/master/csl-citation.json"}</w:instrText>
      </w:r>
      <w:r w:rsidR="00641F39">
        <w:rPr>
          <w:rFonts w:ascii="Arial" w:hAnsi="Arial" w:cs="Arial"/>
        </w:rPr>
        <w:fldChar w:fldCharType="separate"/>
      </w:r>
      <w:r w:rsidR="00641F39" w:rsidRPr="00641F39">
        <w:rPr>
          <w:rFonts w:ascii="Arial" w:hAnsi="Arial" w:cs="Arial"/>
          <w:noProof/>
        </w:rPr>
        <w:t>(Ahmed et al., 2025; Nie et al., 2024)</w:t>
      </w:r>
      <w:r w:rsidR="00641F39">
        <w:rPr>
          <w:rFonts w:ascii="Arial" w:hAnsi="Arial" w:cs="Arial"/>
        </w:rPr>
        <w:fldChar w:fldCharType="end"/>
      </w:r>
      <w:r w:rsidRPr="009924FF">
        <w:rPr>
          <w:rFonts w:ascii="Arial" w:hAnsi="Arial" w:cs="Arial"/>
        </w:rPr>
        <w:t>.</w:t>
      </w:r>
    </w:p>
    <w:p w14:paraId="4FBC6763" w14:textId="2C27B5E5" w:rsidR="00B01FCD" w:rsidRDefault="006C3812" w:rsidP="00E14EE1">
      <w:pPr>
        <w:pStyle w:val="Body"/>
        <w:rPr>
          <w:rFonts w:ascii="Arial" w:hAnsi="Arial" w:cs="Arial"/>
        </w:rPr>
      </w:pPr>
      <w:r w:rsidRPr="006C3812">
        <w:rPr>
          <w:rFonts w:ascii="Arial" w:hAnsi="Arial" w:cs="Arial"/>
        </w:rPr>
        <w:t xml:space="preserve">The application of AM to various types of terrestrial plants has been carried out by several farmers using AM propagules. A propagule is a part of a plant or other organism that can be used for propagation or the spread of the plant or other organism to a new environment. AM propagules are isolated from the rhizosphere of host plant roots and are still in the form of AM powder </w:t>
      </w:r>
      <w:r w:rsidR="006C40C9">
        <w:rPr>
          <w:rFonts w:ascii="Arial" w:hAnsi="Arial" w:cs="Arial"/>
        </w:rPr>
        <w:fldChar w:fldCharType="begin" w:fldLock="1"/>
      </w:r>
      <w:r w:rsidR="006C40C9">
        <w:rPr>
          <w:rFonts w:ascii="Arial" w:hAnsi="Arial" w:cs="Arial"/>
        </w:rPr>
        <w:instrText>ADDIN CSL_CITATION {"citationItems":[{"id":"ITEM-1","itemData":{"DOI":"10.3389/fpls.2023.1180884","ISSN":"1664462X","author":[{"dropping-particle":"","family":"Hijri","given":"Mohamed","non-dropping-particle":"","parse-names":false,"suffix":""},{"dropping-particle":"","family":"Ba","given":"Amadou","non-dropping-particle":"","parse-names":false,"suffix":""}],"container-title":"Frontiers in Plant Science","id":"ITEM-1","issued":{"date-parts":[["2023"]]},"page":"1180884","title":"Editorial: Mycorrhizal Fungi and Plants in Terrestrial Ecosystems","type":"article-journal","volume":"14"},"uris":["http://www.mendeley.com/documents/?uuid=5323027c-0400-475f-a472-aebb95421c0b"]},{"id":"ITEM-2","itemData":{"DOI":"10.3390/encyclopedia1040085","abstract":"Arbuscular mycorrhizal (AM) fungi are biotrophic symbionts forming close relationships with an estimated 80% of terrestrial plants suitable as their host. Via an established AM fungal–host relationship, soil-bound nutrients are made available to the host plant through root cortical arbuscules as the site of exchange. At these sites, photosynthetic carbohydrates are provided to the AM fungus—carbohydrates that cannot be produced by the fungus. AM fungal–host symbiosis is very sensitive to soil disturbance, for example, agricultural tillage practices can damage and reduce AM fungal abilities to interact with a host and provide plant growth-promoting properties.","author":[{"dropping-particle":"","family":"Wilkes","given":"Thomas I.","non-dropping-particle":"","parse-names":false,"suffix":""}],"container-title":"Encyclopedia","id":"ITEM-2","issued":{"date-parts":[["2021"]]},"page":"1132","title":"Arbuscular Mycorrhizal Fungi in Agriculture","type":"article-journal","volume":"1"},"uris":["http://www.mendeley.com/documents/?uuid=a8eb82c2-53c6-4be0-a173-d74c9ba15bf2"]}],"mendeley":{"formattedCitation":"(Hijri &amp; Ba, 2023; Wilkes, 2021)","plainTextFormattedCitation":"(Hijri &amp; Ba, 2023; Wilkes, 2021)","previouslyFormattedCitation":"(Hijri &amp; Ba, 2023; Wilkes, 2021)"},"properties":{"noteIndex":0},"schema":"https://github.com/citation-style-language/schema/raw/master/csl-citation.json"}</w:instrText>
      </w:r>
      <w:r w:rsidR="006C40C9">
        <w:rPr>
          <w:rFonts w:ascii="Arial" w:hAnsi="Arial" w:cs="Arial"/>
        </w:rPr>
        <w:fldChar w:fldCharType="separate"/>
      </w:r>
      <w:r w:rsidR="006C40C9" w:rsidRPr="006C40C9">
        <w:rPr>
          <w:rFonts w:ascii="Arial" w:hAnsi="Arial" w:cs="Arial"/>
          <w:noProof/>
        </w:rPr>
        <w:t>(Hijri &amp; Ba, 2023; Wilkes, 2021)</w:t>
      </w:r>
      <w:r w:rsidR="006C40C9">
        <w:rPr>
          <w:rFonts w:ascii="Arial" w:hAnsi="Arial" w:cs="Arial"/>
        </w:rPr>
        <w:fldChar w:fldCharType="end"/>
      </w:r>
      <w:r w:rsidR="009924FF" w:rsidRPr="009924FF">
        <w:rPr>
          <w:rFonts w:ascii="Arial" w:hAnsi="Arial" w:cs="Arial"/>
        </w:rPr>
        <w:t xml:space="preserve">. </w:t>
      </w:r>
      <w:r w:rsidRPr="006C3812">
        <w:rPr>
          <w:rFonts w:ascii="Arial" w:hAnsi="Arial" w:cs="Arial"/>
        </w:rPr>
        <w:t>The weakness of AM powder is that sometimes the AM application dose is not uniform. AM spores contained in the propagules will be lost, carried away by water flow and/or wind exposure during application, so an innovation is needed to suppress the loss of spores with a uniform dose, in the form of AM tablets and sachets. The purpose of this study was to investigate the effect of Arbuscular Mycorrhizal Tablets and Sachets on the mineral content in Aloe vera Tissue. The novelty of the research obtained is the availability of AM tablets and sachets as a solution to avoid spore loss in AM propagules and provide positive effects on plant physiological components.</w:t>
      </w:r>
    </w:p>
    <w:p w14:paraId="09D71EDB" w14:textId="77777777" w:rsidR="00790ADA" w:rsidRPr="00FB3A86" w:rsidRDefault="00790ADA" w:rsidP="00441B6F">
      <w:pPr>
        <w:pStyle w:val="Body"/>
        <w:spacing w:after="0"/>
        <w:rPr>
          <w:rFonts w:ascii="Arial" w:hAnsi="Arial" w:cs="Arial"/>
        </w:rPr>
      </w:pPr>
    </w:p>
    <w:p w14:paraId="1CC75B87" w14:textId="77777777" w:rsidR="00790ADA" w:rsidRDefault="00902823" w:rsidP="00441B6F">
      <w:pPr>
        <w:pStyle w:val="AbstHead"/>
        <w:spacing w:after="0"/>
        <w:jc w:val="both"/>
        <w:rPr>
          <w:rFonts w:ascii="Arial" w:hAnsi="Arial" w:cs="Arial"/>
          <w:lang w:val="id-ID"/>
        </w:rPr>
      </w:pPr>
      <w:r>
        <w:rPr>
          <w:rFonts w:ascii="Arial" w:hAnsi="Arial" w:cs="Arial"/>
        </w:rPr>
        <w:t>2. material and method</w:t>
      </w:r>
      <w:r w:rsidR="00000F8F">
        <w:rPr>
          <w:rFonts w:ascii="Arial" w:hAnsi="Arial" w:cs="Arial"/>
        </w:rPr>
        <w:t xml:space="preserve">s </w:t>
      </w:r>
    </w:p>
    <w:p w14:paraId="270F04B7" w14:textId="77777777" w:rsidR="00190734" w:rsidRPr="00190734" w:rsidRDefault="00190734" w:rsidP="00441B6F">
      <w:pPr>
        <w:pStyle w:val="AbstHead"/>
        <w:spacing w:after="0"/>
        <w:jc w:val="both"/>
        <w:rPr>
          <w:rFonts w:ascii="Arial" w:hAnsi="Arial" w:cs="Arial"/>
          <w:lang w:val="id-ID"/>
        </w:rPr>
      </w:pPr>
    </w:p>
    <w:p w14:paraId="06349C94" w14:textId="77777777" w:rsidR="0034275D" w:rsidRPr="0034275D" w:rsidRDefault="0034275D" w:rsidP="0034275D">
      <w:pPr>
        <w:pStyle w:val="Body"/>
        <w:rPr>
          <w:rFonts w:ascii="Arial" w:hAnsi="Arial" w:cs="Arial"/>
        </w:rPr>
      </w:pPr>
      <w:r w:rsidRPr="0034275D">
        <w:rPr>
          <w:rFonts w:ascii="Arial" w:hAnsi="Arial" w:cs="Arial"/>
        </w:rPr>
        <w:t xml:space="preserve">This research was conducted in the community land around Muhammadiyah University of </w:t>
      </w:r>
      <w:proofErr w:type="spellStart"/>
      <w:r w:rsidRPr="0034275D">
        <w:rPr>
          <w:rFonts w:ascii="Arial" w:hAnsi="Arial" w:cs="Arial"/>
        </w:rPr>
        <w:t>Parepare</w:t>
      </w:r>
      <w:proofErr w:type="spellEnd"/>
      <w:r w:rsidRPr="0034275D">
        <w:rPr>
          <w:rFonts w:ascii="Arial" w:hAnsi="Arial" w:cs="Arial"/>
        </w:rPr>
        <w:t>, South Sulawesi, Indonesia, at an altitude of 37.0 meters above sea level with coordinates 3°59’30” S; 119°38’4 E.</w:t>
      </w:r>
    </w:p>
    <w:p w14:paraId="2B6780CE" w14:textId="0BB5A96D" w:rsidR="0034275D" w:rsidRPr="0034275D" w:rsidRDefault="0034275D" w:rsidP="0034275D">
      <w:pPr>
        <w:pStyle w:val="Body"/>
        <w:rPr>
          <w:rFonts w:ascii="Arial" w:hAnsi="Arial" w:cs="Arial"/>
        </w:rPr>
      </w:pPr>
      <w:r w:rsidRPr="0034275D">
        <w:rPr>
          <w:rFonts w:ascii="Arial" w:hAnsi="Arial" w:cs="Arial"/>
        </w:rPr>
        <w:t xml:space="preserve">The study used a one-factor </w:t>
      </w:r>
      <w:r w:rsidR="00FE308F" w:rsidRPr="0034275D">
        <w:rPr>
          <w:rFonts w:ascii="Arial" w:hAnsi="Arial" w:cs="Arial"/>
        </w:rPr>
        <w:t xml:space="preserve">completely randomized design </w:t>
      </w:r>
      <w:r w:rsidRPr="0034275D">
        <w:rPr>
          <w:rFonts w:ascii="Arial" w:hAnsi="Arial" w:cs="Arial"/>
        </w:rPr>
        <w:t>with treatments being AM powder/control (A1); AM sachet (A2); AM tablet (A3), each treatment was repeated 5 times, and each repetition consisted of 20 experimental units.</w:t>
      </w:r>
    </w:p>
    <w:p w14:paraId="3CC52AAA" w14:textId="20064B3A" w:rsidR="0034275D" w:rsidRPr="0034275D" w:rsidRDefault="0034275D" w:rsidP="0034275D">
      <w:pPr>
        <w:pStyle w:val="Body"/>
        <w:rPr>
          <w:rFonts w:ascii="Arial" w:hAnsi="Arial" w:cs="Arial"/>
        </w:rPr>
      </w:pPr>
      <w:r w:rsidRPr="0034275D">
        <w:rPr>
          <w:rFonts w:ascii="Arial" w:hAnsi="Arial" w:cs="Arial"/>
        </w:rPr>
        <w:lastRenderedPageBreak/>
        <w:t xml:space="preserve">The AM powder is a propagule consisting of spores, pieces of host plant roots, zeolite with a particle size of 80 mesh, fine sand, and rice husk biochar used in AM spore propagation. Each plant will </w:t>
      </w:r>
      <w:r w:rsidR="003C7F08">
        <w:rPr>
          <w:rFonts w:ascii="Arial" w:hAnsi="Arial" w:cs="Arial"/>
          <w:lang w:val="id-ID"/>
        </w:rPr>
        <w:t>apply</w:t>
      </w:r>
      <w:r w:rsidRPr="0034275D">
        <w:rPr>
          <w:rFonts w:ascii="Arial" w:hAnsi="Arial" w:cs="Arial"/>
        </w:rPr>
        <w:t xml:space="preserve"> 5 g of AM powder (Figure 1A).</w:t>
      </w:r>
    </w:p>
    <w:p w14:paraId="73028EB3" w14:textId="77777777" w:rsidR="0034275D" w:rsidRPr="0034275D" w:rsidRDefault="0034275D" w:rsidP="0034275D">
      <w:pPr>
        <w:pStyle w:val="Body"/>
        <w:rPr>
          <w:rFonts w:ascii="Arial" w:hAnsi="Arial" w:cs="Arial"/>
        </w:rPr>
      </w:pPr>
      <w:r w:rsidRPr="0034275D">
        <w:rPr>
          <w:rFonts w:ascii="Arial" w:hAnsi="Arial" w:cs="Arial"/>
        </w:rPr>
        <w:t>The AM sachets are made using gauze bags with dimensions of 80-100 mm wide x 90-115 mm long and 4-6 mm thick and have fine pores (average 176.63 µm). Each AM sachet contains 5 g of AM propagules (Figure 1B).</w:t>
      </w:r>
    </w:p>
    <w:p w14:paraId="44296C27" w14:textId="77777777" w:rsidR="0034275D" w:rsidRDefault="0034275D" w:rsidP="0034275D">
      <w:pPr>
        <w:pStyle w:val="Body"/>
        <w:spacing w:after="0"/>
        <w:rPr>
          <w:rFonts w:ascii="Arial" w:hAnsi="Arial" w:cs="Arial"/>
          <w:lang w:val="id-ID"/>
        </w:rPr>
      </w:pPr>
      <w:r w:rsidRPr="0034275D">
        <w:rPr>
          <w:rFonts w:ascii="Arial" w:hAnsi="Arial" w:cs="Arial"/>
        </w:rPr>
        <w:t xml:space="preserve">The AM tablets are made using a tablet press made of acrylic and adhesive materials in the form of triple super phosphate (TSP) and/or clay, each tablet weighs 5-6 g, is 1.5-2 cm high, has a diameter of 2-2.5 cm and contains 5 g of AM propagules (Figure 1C). </w:t>
      </w:r>
    </w:p>
    <w:p w14:paraId="0426E937" w14:textId="77777777" w:rsidR="0034275D" w:rsidRDefault="0034275D" w:rsidP="0034275D">
      <w:pPr>
        <w:pStyle w:val="Body"/>
        <w:spacing w:after="0"/>
        <w:rPr>
          <w:rFonts w:ascii="Arial" w:hAnsi="Arial" w:cs="Arial"/>
          <w:lang w:val="id-ID"/>
        </w:rPr>
      </w:pPr>
    </w:p>
    <w:p w14:paraId="63CD9CAC" w14:textId="77777777" w:rsidR="0034275D" w:rsidRDefault="0034275D" w:rsidP="004B66BE">
      <w:pPr>
        <w:pStyle w:val="Body"/>
        <w:spacing w:after="0"/>
        <w:jc w:val="left"/>
        <w:rPr>
          <w:rFonts w:ascii="Arial" w:hAnsi="Arial" w:cs="Arial"/>
          <w:lang w:val="id-ID"/>
        </w:rPr>
      </w:pPr>
      <w:r w:rsidRPr="00020742">
        <w:rPr>
          <w:noProof/>
          <w:lang w:val="id-ID" w:eastAsia="id-ID"/>
        </w:rPr>
        <w:drawing>
          <wp:inline distT="0" distB="0" distL="0" distR="0" wp14:anchorId="691C7CBB" wp14:editId="04E9F8BD">
            <wp:extent cx="4213196" cy="1882888"/>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Lst>
                    </a:blip>
                    <a:srcRect l="8406" t="24299" r="12433" b="12773"/>
                    <a:stretch/>
                  </pic:blipFill>
                  <pic:spPr bwMode="auto">
                    <a:xfrm>
                      <a:off x="0" y="0"/>
                      <a:ext cx="4216834" cy="1884514"/>
                    </a:xfrm>
                    <a:prstGeom prst="rect">
                      <a:avLst/>
                    </a:prstGeom>
                    <a:ln>
                      <a:noFill/>
                    </a:ln>
                    <a:extLst>
                      <a:ext uri="{53640926-AAD7-44D8-BBD7-CCE9431645EC}">
                        <a14:shadowObscured xmlns:a14="http://schemas.microsoft.com/office/drawing/2010/main"/>
                      </a:ext>
                    </a:extLst>
                  </pic:spPr>
                </pic:pic>
              </a:graphicData>
            </a:graphic>
          </wp:inline>
        </w:drawing>
      </w:r>
    </w:p>
    <w:p w14:paraId="62006D71" w14:textId="77777777" w:rsidR="0034275D" w:rsidRDefault="0034275D" w:rsidP="0034275D">
      <w:pPr>
        <w:pStyle w:val="Body"/>
        <w:spacing w:after="0"/>
        <w:rPr>
          <w:rFonts w:ascii="Arial" w:hAnsi="Arial" w:cs="Arial"/>
          <w:lang w:val="id-ID"/>
        </w:rPr>
      </w:pPr>
    </w:p>
    <w:p w14:paraId="457364AA" w14:textId="14E84BD0" w:rsidR="0034275D" w:rsidRPr="004902CB" w:rsidRDefault="0034275D" w:rsidP="004B66BE">
      <w:pPr>
        <w:pStyle w:val="Body"/>
        <w:spacing w:after="0"/>
        <w:jc w:val="left"/>
        <w:rPr>
          <w:rFonts w:ascii="Arial" w:hAnsi="Arial" w:cs="Arial"/>
          <w:b/>
          <w:lang w:val="id-ID"/>
        </w:rPr>
      </w:pPr>
      <w:r w:rsidRPr="004902CB">
        <w:rPr>
          <w:rFonts w:ascii="Arial" w:hAnsi="Arial" w:cs="Arial"/>
          <w:b/>
        </w:rPr>
        <w:t>Fig</w:t>
      </w:r>
      <w:r w:rsidRPr="004902CB">
        <w:rPr>
          <w:rFonts w:ascii="Arial" w:hAnsi="Arial" w:cs="Arial"/>
          <w:b/>
          <w:lang w:val="id-ID"/>
        </w:rPr>
        <w:t xml:space="preserve"> </w:t>
      </w:r>
      <w:r w:rsidRPr="004902CB">
        <w:rPr>
          <w:rFonts w:ascii="Arial" w:hAnsi="Arial" w:cs="Arial"/>
          <w:b/>
        </w:rPr>
        <w:t xml:space="preserve">1. </w:t>
      </w:r>
      <w:r w:rsidR="00E20E78">
        <w:rPr>
          <w:rFonts w:ascii="Arial" w:hAnsi="Arial" w:cs="Arial"/>
          <w:b/>
          <w:lang w:val="id-ID"/>
        </w:rPr>
        <w:t>P</w:t>
      </w:r>
      <w:proofErr w:type="spellStart"/>
      <w:r w:rsidR="00E20E78" w:rsidRPr="00E20E78">
        <w:rPr>
          <w:rFonts w:ascii="Arial" w:hAnsi="Arial" w:cs="Arial"/>
          <w:b/>
        </w:rPr>
        <w:t>owder</w:t>
      </w:r>
      <w:proofErr w:type="spellEnd"/>
      <w:r w:rsidR="00E20E78" w:rsidRPr="00E20E78">
        <w:rPr>
          <w:rFonts w:ascii="Arial" w:hAnsi="Arial" w:cs="Arial"/>
          <w:b/>
        </w:rPr>
        <w:t>, sachet, and tablet of AM</w:t>
      </w:r>
    </w:p>
    <w:p w14:paraId="76E994B6" w14:textId="77777777" w:rsidR="0034275D" w:rsidRDefault="0034275D" w:rsidP="0034275D">
      <w:pPr>
        <w:pStyle w:val="Body"/>
        <w:spacing w:after="0"/>
        <w:rPr>
          <w:rFonts w:ascii="Arial" w:hAnsi="Arial" w:cs="Arial"/>
          <w:lang w:val="id-ID"/>
        </w:rPr>
      </w:pPr>
    </w:p>
    <w:p w14:paraId="79FB0AD7" w14:textId="0542D855" w:rsidR="004902CB" w:rsidRDefault="004902CB" w:rsidP="0034275D">
      <w:pPr>
        <w:pStyle w:val="Body"/>
        <w:spacing w:after="0"/>
        <w:rPr>
          <w:rFonts w:ascii="Arial" w:hAnsi="Arial" w:cs="Arial"/>
          <w:lang w:val="id-ID"/>
        </w:rPr>
      </w:pPr>
      <w:r w:rsidRPr="004902CB">
        <w:rPr>
          <w:rFonts w:ascii="Arial" w:hAnsi="Arial" w:cs="Arial"/>
        </w:rPr>
        <w:t xml:space="preserve">The planting media used consists of soil and compost that have undergone wet sterilization for 8-9 hours with a ratio of 1:1 (Table 1). The sterile planting media is put into a planter bag measuring 18 cm x 20 cm. Each planter bag that has been filled with planting media will be used to plant one </w:t>
      </w:r>
      <w:r w:rsidR="00B10125">
        <w:rPr>
          <w:rFonts w:ascii="Arial" w:hAnsi="Arial" w:cs="Arial"/>
          <w:lang w:val="id-ID"/>
        </w:rPr>
        <w:t>Av</w:t>
      </w:r>
      <w:r w:rsidR="009152E2">
        <w:rPr>
          <w:rFonts w:ascii="Arial" w:hAnsi="Arial" w:cs="Arial"/>
        </w:rPr>
        <w:t xml:space="preserve"> seedling and application o</w:t>
      </w:r>
      <w:r w:rsidR="009152E2">
        <w:rPr>
          <w:rFonts w:ascii="Arial" w:hAnsi="Arial" w:cs="Arial"/>
          <w:lang w:val="id-ID"/>
        </w:rPr>
        <w:t xml:space="preserve">f </w:t>
      </w:r>
      <w:r w:rsidRPr="004902CB">
        <w:rPr>
          <w:rFonts w:ascii="Arial" w:hAnsi="Arial" w:cs="Arial"/>
        </w:rPr>
        <w:t>powder, sachet, or tablet</w:t>
      </w:r>
      <w:r w:rsidR="009152E2">
        <w:rPr>
          <w:rFonts w:ascii="Arial" w:hAnsi="Arial" w:cs="Arial"/>
          <w:lang w:val="id-ID"/>
        </w:rPr>
        <w:t xml:space="preserve"> of AM</w:t>
      </w:r>
      <w:r w:rsidRPr="004902CB">
        <w:rPr>
          <w:rFonts w:ascii="Arial" w:hAnsi="Arial" w:cs="Arial"/>
        </w:rPr>
        <w:t xml:space="preserve">. </w:t>
      </w:r>
    </w:p>
    <w:p w14:paraId="2EDBDCB5" w14:textId="77777777" w:rsidR="004902CB" w:rsidRDefault="004902CB" w:rsidP="0034275D">
      <w:pPr>
        <w:pStyle w:val="Body"/>
        <w:spacing w:after="0"/>
        <w:rPr>
          <w:rFonts w:ascii="Arial" w:hAnsi="Arial" w:cs="Arial"/>
          <w:lang w:val="id-ID"/>
        </w:rPr>
      </w:pPr>
    </w:p>
    <w:p w14:paraId="43AED64F" w14:textId="77777777" w:rsidR="004902CB" w:rsidRPr="004902CB" w:rsidRDefault="004902CB" w:rsidP="004902CB">
      <w:pPr>
        <w:jc w:val="center"/>
        <w:rPr>
          <w:rFonts w:ascii="Arial" w:hAnsi="Arial" w:cs="Arial"/>
          <w:b/>
        </w:rPr>
      </w:pPr>
      <w:r w:rsidRPr="004902CB">
        <w:rPr>
          <w:rFonts w:ascii="Arial" w:hAnsi="Arial" w:cs="Arial"/>
          <w:b/>
          <w:noProof/>
        </w:rPr>
        <w:t>Table 1. Analysis of physical and chemical properties of planting media</w:t>
      </w:r>
    </w:p>
    <w:tbl>
      <w:tblPr>
        <w:tblStyle w:val="LightShading"/>
        <w:tblW w:w="0" w:type="auto"/>
        <w:tblInd w:w="817" w:type="dxa"/>
        <w:tblLook w:val="04A0" w:firstRow="1" w:lastRow="0" w:firstColumn="1" w:lastColumn="0" w:noHBand="0" w:noVBand="1"/>
      </w:tblPr>
      <w:tblGrid>
        <w:gridCol w:w="483"/>
        <w:gridCol w:w="2374"/>
        <w:gridCol w:w="1701"/>
        <w:gridCol w:w="2268"/>
      </w:tblGrid>
      <w:tr w:rsidR="004902CB" w:rsidRPr="004902CB" w14:paraId="6AB4D1CF" w14:textId="77777777" w:rsidTr="004902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 w:type="dxa"/>
            <w:shd w:val="clear" w:color="auto" w:fill="auto"/>
          </w:tcPr>
          <w:p w14:paraId="25606446" w14:textId="77777777" w:rsidR="004902CB" w:rsidRPr="00190734" w:rsidRDefault="004902CB" w:rsidP="00C2022B">
            <w:pPr>
              <w:rPr>
                <w:rFonts w:ascii="Arial" w:hAnsi="Arial" w:cs="Arial"/>
                <w:noProof/>
                <w:sz w:val="20"/>
                <w:szCs w:val="20"/>
              </w:rPr>
            </w:pPr>
            <w:r w:rsidRPr="00190734">
              <w:rPr>
                <w:rFonts w:ascii="Arial" w:hAnsi="Arial" w:cs="Arial"/>
                <w:noProof/>
                <w:sz w:val="20"/>
                <w:szCs w:val="20"/>
              </w:rPr>
              <w:t>No</w:t>
            </w:r>
          </w:p>
        </w:tc>
        <w:tc>
          <w:tcPr>
            <w:tcW w:w="2374" w:type="dxa"/>
            <w:shd w:val="clear" w:color="auto" w:fill="auto"/>
          </w:tcPr>
          <w:p w14:paraId="7DF3A785" w14:textId="77777777" w:rsidR="004902CB" w:rsidRPr="00190734" w:rsidRDefault="004902CB" w:rsidP="00C2022B">
            <w:pPr>
              <w:cnfStyle w:val="100000000000" w:firstRow="1" w:lastRow="0" w:firstColumn="0" w:lastColumn="0" w:oddVBand="0" w:evenVBand="0" w:oddHBand="0" w:evenHBand="0" w:firstRowFirstColumn="0" w:firstRowLastColumn="0" w:lastRowFirstColumn="0" w:lastRowLastColumn="0"/>
              <w:rPr>
                <w:rFonts w:ascii="Arial" w:hAnsi="Arial" w:cs="Arial"/>
                <w:noProof/>
                <w:sz w:val="20"/>
                <w:szCs w:val="20"/>
              </w:rPr>
            </w:pPr>
            <w:r w:rsidRPr="00190734">
              <w:rPr>
                <w:rFonts w:ascii="Arial" w:hAnsi="Arial" w:cs="Arial"/>
                <w:noProof/>
                <w:sz w:val="20"/>
                <w:szCs w:val="20"/>
              </w:rPr>
              <w:t>Component</w:t>
            </w:r>
          </w:p>
        </w:tc>
        <w:tc>
          <w:tcPr>
            <w:tcW w:w="1701" w:type="dxa"/>
            <w:shd w:val="clear" w:color="auto" w:fill="auto"/>
          </w:tcPr>
          <w:p w14:paraId="076E8E35" w14:textId="77777777" w:rsidR="004902CB" w:rsidRPr="00190734" w:rsidRDefault="004902CB" w:rsidP="00C2022B">
            <w:pPr>
              <w:cnfStyle w:val="100000000000" w:firstRow="1" w:lastRow="0" w:firstColumn="0" w:lastColumn="0" w:oddVBand="0" w:evenVBand="0" w:oddHBand="0" w:evenHBand="0" w:firstRowFirstColumn="0" w:firstRowLastColumn="0" w:lastRowFirstColumn="0" w:lastRowLastColumn="0"/>
              <w:rPr>
                <w:rFonts w:ascii="Arial" w:hAnsi="Arial" w:cs="Arial"/>
                <w:noProof/>
                <w:sz w:val="20"/>
                <w:szCs w:val="20"/>
              </w:rPr>
            </w:pPr>
            <w:r w:rsidRPr="00190734">
              <w:rPr>
                <w:rFonts w:ascii="Arial" w:hAnsi="Arial" w:cs="Arial"/>
                <w:noProof/>
                <w:sz w:val="20"/>
                <w:szCs w:val="20"/>
              </w:rPr>
              <w:t>Value</w:t>
            </w:r>
          </w:p>
        </w:tc>
        <w:tc>
          <w:tcPr>
            <w:tcW w:w="2268" w:type="dxa"/>
            <w:shd w:val="clear" w:color="auto" w:fill="auto"/>
          </w:tcPr>
          <w:p w14:paraId="37524884" w14:textId="112FB9BA" w:rsidR="004902CB" w:rsidRPr="00190734" w:rsidRDefault="004902CB" w:rsidP="00C2022B">
            <w:pPr>
              <w:cnfStyle w:val="100000000000" w:firstRow="1" w:lastRow="0" w:firstColumn="0" w:lastColumn="0" w:oddVBand="0" w:evenVBand="0" w:oddHBand="0" w:evenHBand="0" w:firstRowFirstColumn="0" w:firstRowLastColumn="0" w:lastRowFirstColumn="0" w:lastRowLastColumn="0"/>
              <w:rPr>
                <w:rFonts w:ascii="Arial" w:hAnsi="Arial" w:cs="Arial"/>
                <w:noProof/>
                <w:sz w:val="20"/>
                <w:szCs w:val="20"/>
              </w:rPr>
            </w:pPr>
            <w:r w:rsidRPr="00190734">
              <w:rPr>
                <w:rFonts w:ascii="Arial" w:hAnsi="Arial" w:cs="Arial"/>
                <w:noProof/>
                <w:sz w:val="20"/>
                <w:szCs w:val="20"/>
              </w:rPr>
              <w:t>Category</w:t>
            </w:r>
          </w:p>
        </w:tc>
      </w:tr>
      <w:tr w:rsidR="004902CB" w:rsidRPr="004902CB" w14:paraId="60A3D0ED" w14:textId="77777777" w:rsidTr="004902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 w:type="dxa"/>
            <w:shd w:val="clear" w:color="auto" w:fill="auto"/>
          </w:tcPr>
          <w:p w14:paraId="35E1D495" w14:textId="77777777" w:rsidR="004902CB" w:rsidRPr="004902CB" w:rsidRDefault="004902CB" w:rsidP="00C2022B">
            <w:pPr>
              <w:rPr>
                <w:rFonts w:ascii="Arial" w:hAnsi="Arial" w:cs="Arial"/>
                <w:b w:val="0"/>
                <w:noProof/>
                <w:sz w:val="20"/>
                <w:szCs w:val="20"/>
              </w:rPr>
            </w:pPr>
            <w:r w:rsidRPr="004902CB">
              <w:rPr>
                <w:rFonts w:ascii="Arial" w:hAnsi="Arial" w:cs="Arial"/>
                <w:b w:val="0"/>
                <w:noProof/>
                <w:sz w:val="20"/>
                <w:szCs w:val="20"/>
              </w:rPr>
              <w:t>1</w:t>
            </w:r>
          </w:p>
        </w:tc>
        <w:tc>
          <w:tcPr>
            <w:tcW w:w="2374" w:type="dxa"/>
            <w:shd w:val="clear" w:color="auto" w:fill="auto"/>
          </w:tcPr>
          <w:p w14:paraId="33A51E90" w14:textId="77777777" w:rsidR="004902CB" w:rsidRPr="004902CB" w:rsidRDefault="004902CB" w:rsidP="00C2022B">
            <w:pP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4902CB">
              <w:rPr>
                <w:rFonts w:ascii="Arial" w:hAnsi="Arial" w:cs="Arial"/>
                <w:noProof/>
                <w:sz w:val="20"/>
                <w:szCs w:val="20"/>
              </w:rPr>
              <w:t>Sand (%)</w:t>
            </w:r>
          </w:p>
        </w:tc>
        <w:tc>
          <w:tcPr>
            <w:tcW w:w="1701" w:type="dxa"/>
            <w:shd w:val="clear" w:color="auto" w:fill="auto"/>
          </w:tcPr>
          <w:p w14:paraId="60924A42" w14:textId="77777777" w:rsidR="004902CB" w:rsidRPr="004902CB" w:rsidRDefault="004902CB" w:rsidP="00C2022B">
            <w:pP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4902CB">
              <w:rPr>
                <w:rFonts w:ascii="Arial" w:hAnsi="Arial" w:cs="Arial"/>
                <w:noProof/>
                <w:sz w:val="20"/>
                <w:szCs w:val="20"/>
              </w:rPr>
              <w:t>72</w:t>
            </w:r>
          </w:p>
        </w:tc>
        <w:tc>
          <w:tcPr>
            <w:tcW w:w="2268" w:type="dxa"/>
            <w:shd w:val="clear" w:color="auto" w:fill="auto"/>
          </w:tcPr>
          <w:p w14:paraId="6737BEE9" w14:textId="77777777" w:rsidR="004902CB" w:rsidRPr="004902CB" w:rsidRDefault="004902CB" w:rsidP="00C2022B">
            <w:pP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tc>
      </w:tr>
      <w:tr w:rsidR="004902CB" w:rsidRPr="004902CB" w14:paraId="0C53F3D5" w14:textId="77777777" w:rsidTr="004902CB">
        <w:tc>
          <w:tcPr>
            <w:cnfStyle w:val="001000000000" w:firstRow="0" w:lastRow="0" w:firstColumn="1" w:lastColumn="0" w:oddVBand="0" w:evenVBand="0" w:oddHBand="0" w:evenHBand="0" w:firstRowFirstColumn="0" w:firstRowLastColumn="0" w:lastRowFirstColumn="0" w:lastRowLastColumn="0"/>
            <w:tcW w:w="472" w:type="dxa"/>
            <w:shd w:val="clear" w:color="auto" w:fill="auto"/>
          </w:tcPr>
          <w:p w14:paraId="0792FD9A" w14:textId="77777777" w:rsidR="004902CB" w:rsidRPr="004902CB" w:rsidRDefault="004902CB" w:rsidP="00C2022B">
            <w:pPr>
              <w:rPr>
                <w:rFonts w:ascii="Arial" w:hAnsi="Arial" w:cs="Arial"/>
                <w:b w:val="0"/>
                <w:noProof/>
                <w:sz w:val="20"/>
                <w:szCs w:val="20"/>
              </w:rPr>
            </w:pPr>
            <w:r w:rsidRPr="004902CB">
              <w:rPr>
                <w:rFonts w:ascii="Arial" w:hAnsi="Arial" w:cs="Arial"/>
                <w:b w:val="0"/>
                <w:noProof/>
                <w:sz w:val="20"/>
                <w:szCs w:val="20"/>
              </w:rPr>
              <w:t>2</w:t>
            </w:r>
          </w:p>
        </w:tc>
        <w:tc>
          <w:tcPr>
            <w:tcW w:w="2374" w:type="dxa"/>
            <w:shd w:val="clear" w:color="auto" w:fill="auto"/>
          </w:tcPr>
          <w:p w14:paraId="2D17A6D5" w14:textId="77777777" w:rsidR="004902CB" w:rsidRPr="004902CB" w:rsidRDefault="004902CB" w:rsidP="00C2022B">
            <w:pP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4902CB">
              <w:rPr>
                <w:rFonts w:ascii="Arial" w:hAnsi="Arial" w:cs="Arial"/>
                <w:noProof/>
                <w:sz w:val="20"/>
                <w:szCs w:val="20"/>
              </w:rPr>
              <w:t>Dust (%)</w:t>
            </w:r>
          </w:p>
        </w:tc>
        <w:tc>
          <w:tcPr>
            <w:tcW w:w="1701" w:type="dxa"/>
            <w:shd w:val="clear" w:color="auto" w:fill="auto"/>
          </w:tcPr>
          <w:p w14:paraId="7F680175" w14:textId="77777777" w:rsidR="004902CB" w:rsidRPr="004902CB" w:rsidRDefault="004902CB" w:rsidP="00C2022B">
            <w:pP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4902CB">
              <w:rPr>
                <w:rFonts w:ascii="Arial" w:hAnsi="Arial" w:cs="Arial"/>
                <w:noProof/>
                <w:sz w:val="20"/>
                <w:szCs w:val="20"/>
              </w:rPr>
              <w:t>13</w:t>
            </w:r>
          </w:p>
        </w:tc>
        <w:tc>
          <w:tcPr>
            <w:tcW w:w="2268" w:type="dxa"/>
            <w:shd w:val="clear" w:color="auto" w:fill="auto"/>
          </w:tcPr>
          <w:p w14:paraId="540CDBAA" w14:textId="77777777" w:rsidR="004902CB" w:rsidRPr="004902CB" w:rsidRDefault="004902CB" w:rsidP="00C2022B">
            <w:pP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tc>
      </w:tr>
      <w:tr w:rsidR="004902CB" w:rsidRPr="004902CB" w14:paraId="4A4B3521" w14:textId="77777777" w:rsidTr="004902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 w:type="dxa"/>
            <w:shd w:val="clear" w:color="auto" w:fill="auto"/>
          </w:tcPr>
          <w:p w14:paraId="0BBDFB83" w14:textId="77777777" w:rsidR="004902CB" w:rsidRPr="004902CB" w:rsidRDefault="004902CB" w:rsidP="00C2022B">
            <w:pPr>
              <w:rPr>
                <w:rFonts w:ascii="Arial" w:hAnsi="Arial" w:cs="Arial"/>
                <w:b w:val="0"/>
                <w:noProof/>
                <w:sz w:val="20"/>
                <w:szCs w:val="20"/>
              </w:rPr>
            </w:pPr>
            <w:r w:rsidRPr="004902CB">
              <w:rPr>
                <w:rFonts w:ascii="Arial" w:hAnsi="Arial" w:cs="Arial"/>
                <w:b w:val="0"/>
                <w:noProof/>
                <w:sz w:val="20"/>
                <w:szCs w:val="20"/>
              </w:rPr>
              <w:t>3</w:t>
            </w:r>
          </w:p>
        </w:tc>
        <w:tc>
          <w:tcPr>
            <w:tcW w:w="2374" w:type="dxa"/>
            <w:shd w:val="clear" w:color="auto" w:fill="auto"/>
          </w:tcPr>
          <w:p w14:paraId="12668EDC" w14:textId="77777777" w:rsidR="004902CB" w:rsidRPr="004902CB" w:rsidRDefault="004902CB" w:rsidP="00C2022B">
            <w:pP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4902CB">
              <w:rPr>
                <w:rFonts w:ascii="Arial" w:hAnsi="Arial" w:cs="Arial"/>
                <w:noProof/>
                <w:sz w:val="20"/>
                <w:szCs w:val="20"/>
              </w:rPr>
              <w:t>Clay (%)</w:t>
            </w:r>
          </w:p>
        </w:tc>
        <w:tc>
          <w:tcPr>
            <w:tcW w:w="1701" w:type="dxa"/>
            <w:shd w:val="clear" w:color="auto" w:fill="auto"/>
          </w:tcPr>
          <w:p w14:paraId="03833F3B" w14:textId="77777777" w:rsidR="004902CB" w:rsidRPr="004902CB" w:rsidRDefault="004902CB" w:rsidP="00C2022B">
            <w:pP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4902CB">
              <w:rPr>
                <w:rFonts w:ascii="Arial" w:hAnsi="Arial" w:cs="Arial"/>
                <w:noProof/>
                <w:sz w:val="20"/>
                <w:szCs w:val="20"/>
              </w:rPr>
              <w:t>15</w:t>
            </w:r>
          </w:p>
        </w:tc>
        <w:tc>
          <w:tcPr>
            <w:tcW w:w="2268" w:type="dxa"/>
            <w:shd w:val="clear" w:color="auto" w:fill="auto"/>
          </w:tcPr>
          <w:p w14:paraId="5D1D5B7A" w14:textId="77777777" w:rsidR="004902CB" w:rsidRPr="004902CB" w:rsidRDefault="004902CB" w:rsidP="00C2022B">
            <w:pP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tc>
      </w:tr>
      <w:tr w:rsidR="004902CB" w:rsidRPr="004902CB" w14:paraId="2D1F4DE0" w14:textId="77777777" w:rsidTr="004902CB">
        <w:tc>
          <w:tcPr>
            <w:cnfStyle w:val="001000000000" w:firstRow="0" w:lastRow="0" w:firstColumn="1" w:lastColumn="0" w:oddVBand="0" w:evenVBand="0" w:oddHBand="0" w:evenHBand="0" w:firstRowFirstColumn="0" w:firstRowLastColumn="0" w:lastRowFirstColumn="0" w:lastRowLastColumn="0"/>
            <w:tcW w:w="472" w:type="dxa"/>
            <w:shd w:val="clear" w:color="auto" w:fill="auto"/>
          </w:tcPr>
          <w:p w14:paraId="42421CB6" w14:textId="77777777" w:rsidR="004902CB" w:rsidRPr="004902CB" w:rsidRDefault="004902CB" w:rsidP="00C2022B">
            <w:pPr>
              <w:rPr>
                <w:rFonts w:ascii="Arial" w:hAnsi="Arial" w:cs="Arial"/>
                <w:b w:val="0"/>
                <w:noProof/>
                <w:sz w:val="20"/>
                <w:szCs w:val="20"/>
              </w:rPr>
            </w:pPr>
            <w:r w:rsidRPr="004902CB">
              <w:rPr>
                <w:rFonts w:ascii="Arial" w:hAnsi="Arial" w:cs="Arial"/>
                <w:b w:val="0"/>
                <w:noProof/>
                <w:sz w:val="20"/>
                <w:szCs w:val="20"/>
              </w:rPr>
              <w:t>5</w:t>
            </w:r>
          </w:p>
        </w:tc>
        <w:tc>
          <w:tcPr>
            <w:tcW w:w="2374" w:type="dxa"/>
            <w:shd w:val="clear" w:color="auto" w:fill="auto"/>
          </w:tcPr>
          <w:p w14:paraId="7D545744" w14:textId="77777777" w:rsidR="004902CB" w:rsidRPr="004902CB" w:rsidRDefault="004902CB" w:rsidP="00C2022B">
            <w:pP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4902CB">
              <w:rPr>
                <w:rFonts w:ascii="Arial" w:hAnsi="Arial" w:cs="Arial"/>
                <w:noProof/>
                <w:sz w:val="20"/>
                <w:szCs w:val="20"/>
              </w:rPr>
              <w:t>pH (H</w:t>
            </w:r>
            <w:r w:rsidRPr="004902CB">
              <w:rPr>
                <w:rFonts w:ascii="Arial" w:hAnsi="Arial" w:cs="Arial"/>
                <w:noProof/>
                <w:sz w:val="20"/>
                <w:szCs w:val="20"/>
                <w:vertAlign w:val="subscript"/>
              </w:rPr>
              <w:t>2</w:t>
            </w:r>
            <w:r w:rsidRPr="004902CB">
              <w:rPr>
                <w:rFonts w:ascii="Arial" w:hAnsi="Arial" w:cs="Arial"/>
                <w:noProof/>
                <w:sz w:val="20"/>
                <w:szCs w:val="20"/>
              </w:rPr>
              <w:t>O)</w:t>
            </w:r>
          </w:p>
        </w:tc>
        <w:tc>
          <w:tcPr>
            <w:tcW w:w="1701" w:type="dxa"/>
            <w:shd w:val="clear" w:color="auto" w:fill="auto"/>
          </w:tcPr>
          <w:p w14:paraId="27A4D426" w14:textId="77777777" w:rsidR="004902CB" w:rsidRPr="004902CB" w:rsidRDefault="004902CB" w:rsidP="00C2022B">
            <w:pP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4902CB">
              <w:rPr>
                <w:rFonts w:ascii="Arial" w:hAnsi="Arial" w:cs="Arial"/>
                <w:noProof/>
                <w:sz w:val="20"/>
                <w:szCs w:val="20"/>
              </w:rPr>
              <w:t>6.76</w:t>
            </w:r>
          </w:p>
        </w:tc>
        <w:tc>
          <w:tcPr>
            <w:tcW w:w="2268" w:type="dxa"/>
            <w:shd w:val="clear" w:color="auto" w:fill="auto"/>
          </w:tcPr>
          <w:p w14:paraId="796B86CD" w14:textId="77777777" w:rsidR="004902CB" w:rsidRPr="004902CB" w:rsidRDefault="004902CB" w:rsidP="00C2022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02CB">
              <w:rPr>
                <w:rFonts w:ascii="Arial" w:hAnsi="Arial" w:cs="Arial"/>
                <w:sz w:val="20"/>
                <w:szCs w:val="20"/>
              </w:rPr>
              <w:t>Neutral</w:t>
            </w:r>
          </w:p>
        </w:tc>
      </w:tr>
      <w:tr w:rsidR="004902CB" w:rsidRPr="004902CB" w14:paraId="4D328D22" w14:textId="77777777" w:rsidTr="004902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 w:type="dxa"/>
            <w:shd w:val="clear" w:color="auto" w:fill="auto"/>
          </w:tcPr>
          <w:p w14:paraId="24FB5754" w14:textId="77777777" w:rsidR="004902CB" w:rsidRPr="004902CB" w:rsidRDefault="004902CB" w:rsidP="00C2022B">
            <w:pPr>
              <w:rPr>
                <w:rFonts w:ascii="Arial" w:hAnsi="Arial" w:cs="Arial"/>
                <w:b w:val="0"/>
                <w:noProof/>
                <w:sz w:val="20"/>
                <w:szCs w:val="20"/>
              </w:rPr>
            </w:pPr>
            <w:r w:rsidRPr="004902CB">
              <w:rPr>
                <w:rFonts w:ascii="Arial" w:hAnsi="Arial" w:cs="Arial"/>
                <w:b w:val="0"/>
                <w:noProof/>
                <w:sz w:val="20"/>
                <w:szCs w:val="20"/>
              </w:rPr>
              <w:t>7</w:t>
            </w:r>
          </w:p>
        </w:tc>
        <w:tc>
          <w:tcPr>
            <w:tcW w:w="2374" w:type="dxa"/>
            <w:shd w:val="clear" w:color="auto" w:fill="auto"/>
          </w:tcPr>
          <w:p w14:paraId="5951F9E5" w14:textId="77777777" w:rsidR="004902CB" w:rsidRPr="004902CB" w:rsidRDefault="004902CB" w:rsidP="00C2022B">
            <w:pP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4902CB">
              <w:rPr>
                <w:rFonts w:ascii="Arial" w:hAnsi="Arial" w:cs="Arial"/>
                <w:noProof/>
                <w:sz w:val="20"/>
                <w:szCs w:val="20"/>
              </w:rPr>
              <w:t>CEC (cmol.kg</w:t>
            </w:r>
            <w:r w:rsidRPr="004902CB">
              <w:rPr>
                <w:rFonts w:ascii="Arial" w:hAnsi="Arial" w:cs="Arial"/>
                <w:noProof/>
                <w:sz w:val="20"/>
                <w:szCs w:val="20"/>
                <w:vertAlign w:val="superscript"/>
              </w:rPr>
              <w:t>-1</w:t>
            </w:r>
            <w:r w:rsidRPr="004902CB">
              <w:rPr>
                <w:rFonts w:ascii="Arial" w:hAnsi="Arial" w:cs="Arial"/>
                <w:noProof/>
                <w:sz w:val="20"/>
                <w:szCs w:val="20"/>
              </w:rPr>
              <w:t>)</w:t>
            </w:r>
          </w:p>
        </w:tc>
        <w:tc>
          <w:tcPr>
            <w:tcW w:w="1701" w:type="dxa"/>
            <w:shd w:val="clear" w:color="auto" w:fill="auto"/>
          </w:tcPr>
          <w:p w14:paraId="38ECB1DD" w14:textId="77777777" w:rsidR="004902CB" w:rsidRPr="004902CB" w:rsidRDefault="004902CB" w:rsidP="00C2022B">
            <w:pP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4902CB">
              <w:rPr>
                <w:rFonts w:ascii="Arial" w:hAnsi="Arial" w:cs="Arial"/>
                <w:noProof/>
                <w:sz w:val="20"/>
                <w:szCs w:val="20"/>
              </w:rPr>
              <w:t>30.21</w:t>
            </w:r>
          </w:p>
        </w:tc>
        <w:tc>
          <w:tcPr>
            <w:tcW w:w="2268" w:type="dxa"/>
            <w:shd w:val="clear" w:color="auto" w:fill="auto"/>
          </w:tcPr>
          <w:p w14:paraId="6B7045CC" w14:textId="77777777" w:rsidR="004902CB" w:rsidRPr="004902CB" w:rsidRDefault="004902CB" w:rsidP="00C2022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02CB">
              <w:rPr>
                <w:rFonts w:ascii="Arial" w:hAnsi="Arial" w:cs="Arial"/>
                <w:sz w:val="20"/>
                <w:szCs w:val="20"/>
              </w:rPr>
              <w:t>High</w:t>
            </w:r>
          </w:p>
        </w:tc>
      </w:tr>
      <w:tr w:rsidR="004902CB" w:rsidRPr="004902CB" w14:paraId="25EF6122" w14:textId="77777777" w:rsidTr="004902CB">
        <w:tc>
          <w:tcPr>
            <w:cnfStyle w:val="001000000000" w:firstRow="0" w:lastRow="0" w:firstColumn="1" w:lastColumn="0" w:oddVBand="0" w:evenVBand="0" w:oddHBand="0" w:evenHBand="0" w:firstRowFirstColumn="0" w:firstRowLastColumn="0" w:lastRowFirstColumn="0" w:lastRowLastColumn="0"/>
            <w:tcW w:w="472" w:type="dxa"/>
            <w:shd w:val="clear" w:color="auto" w:fill="auto"/>
          </w:tcPr>
          <w:p w14:paraId="275D2C17" w14:textId="77777777" w:rsidR="004902CB" w:rsidRPr="004902CB" w:rsidRDefault="004902CB" w:rsidP="00C2022B">
            <w:pPr>
              <w:rPr>
                <w:rFonts w:ascii="Arial" w:hAnsi="Arial" w:cs="Arial"/>
                <w:b w:val="0"/>
                <w:noProof/>
                <w:sz w:val="20"/>
                <w:szCs w:val="20"/>
              </w:rPr>
            </w:pPr>
            <w:r w:rsidRPr="004902CB">
              <w:rPr>
                <w:rFonts w:ascii="Arial" w:hAnsi="Arial" w:cs="Arial"/>
                <w:b w:val="0"/>
                <w:noProof/>
                <w:sz w:val="20"/>
                <w:szCs w:val="20"/>
              </w:rPr>
              <w:t>8</w:t>
            </w:r>
          </w:p>
        </w:tc>
        <w:tc>
          <w:tcPr>
            <w:tcW w:w="2374" w:type="dxa"/>
            <w:shd w:val="clear" w:color="auto" w:fill="auto"/>
          </w:tcPr>
          <w:p w14:paraId="3C7146EC" w14:textId="77777777" w:rsidR="004902CB" w:rsidRPr="004902CB" w:rsidRDefault="004902CB" w:rsidP="00C2022B">
            <w:pP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4902CB">
              <w:rPr>
                <w:rFonts w:ascii="Arial" w:hAnsi="Arial" w:cs="Arial"/>
                <w:noProof/>
                <w:sz w:val="20"/>
                <w:szCs w:val="20"/>
              </w:rPr>
              <w:t>SB (%)</w:t>
            </w:r>
          </w:p>
        </w:tc>
        <w:tc>
          <w:tcPr>
            <w:tcW w:w="1701" w:type="dxa"/>
            <w:shd w:val="clear" w:color="auto" w:fill="auto"/>
          </w:tcPr>
          <w:p w14:paraId="60BA9A08" w14:textId="77777777" w:rsidR="004902CB" w:rsidRPr="004902CB" w:rsidRDefault="004902CB" w:rsidP="00C2022B">
            <w:pP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4902CB">
              <w:rPr>
                <w:rFonts w:ascii="Arial" w:hAnsi="Arial" w:cs="Arial"/>
                <w:noProof/>
                <w:sz w:val="20"/>
                <w:szCs w:val="20"/>
              </w:rPr>
              <w:t>50</w:t>
            </w:r>
          </w:p>
        </w:tc>
        <w:tc>
          <w:tcPr>
            <w:tcW w:w="2268" w:type="dxa"/>
            <w:shd w:val="clear" w:color="auto" w:fill="auto"/>
          </w:tcPr>
          <w:p w14:paraId="71B41DFD" w14:textId="77777777" w:rsidR="004902CB" w:rsidRPr="004902CB" w:rsidRDefault="004902CB" w:rsidP="00C2022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02CB">
              <w:rPr>
                <w:rFonts w:ascii="Arial" w:hAnsi="Arial" w:cs="Arial"/>
                <w:sz w:val="20"/>
                <w:szCs w:val="20"/>
              </w:rPr>
              <w:t>Medium</w:t>
            </w:r>
          </w:p>
        </w:tc>
      </w:tr>
      <w:tr w:rsidR="004902CB" w:rsidRPr="004902CB" w14:paraId="729AA453" w14:textId="77777777" w:rsidTr="004902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 w:type="dxa"/>
            <w:shd w:val="clear" w:color="auto" w:fill="auto"/>
          </w:tcPr>
          <w:p w14:paraId="6B6E1051" w14:textId="77777777" w:rsidR="004902CB" w:rsidRPr="004902CB" w:rsidRDefault="004902CB" w:rsidP="00C2022B">
            <w:pPr>
              <w:rPr>
                <w:rFonts w:ascii="Arial" w:hAnsi="Arial" w:cs="Arial"/>
                <w:b w:val="0"/>
                <w:noProof/>
                <w:sz w:val="20"/>
                <w:szCs w:val="20"/>
              </w:rPr>
            </w:pPr>
            <w:r w:rsidRPr="004902CB">
              <w:rPr>
                <w:rFonts w:ascii="Arial" w:hAnsi="Arial" w:cs="Arial"/>
                <w:b w:val="0"/>
                <w:noProof/>
                <w:sz w:val="20"/>
                <w:szCs w:val="20"/>
              </w:rPr>
              <w:t>9</w:t>
            </w:r>
          </w:p>
        </w:tc>
        <w:tc>
          <w:tcPr>
            <w:tcW w:w="2374" w:type="dxa"/>
            <w:shd w:val="clear" w:color="auto" w:fill="auto"/>
          </w:tcPr>
          <w:p w14:paraId="7874F1C0" w14:textId="77777777" w:rsidR="004902CB" w:rsidRPr="004902CB" w:rsidRDefault="004902CB" w:rsidP="00C2022B">
            <w:pP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4902CB">
              <w:rPr>
                <w:rFonts w:ascii="Arial" w:hAnsi="Arial" w:cs="Arial"/>
                <w:noProof/>
                <w:sz w:val="20"/>
                <w:szCs w:val="20"/>
              </w:rPr>
              <w:t>N (%)</w:t>
            </w:r>
          </w:p>
        </w:tc>
        <w:tc>
          <w:tcPr>
            <w:tcW w:w="1701" w:type="dxa"/>
            <w:shd w:val="clear" w:color="auto" w:fill="auto"/>
          </w:tcPr>
          <w:p w14:paraId="396B5C8B" w14:textId="77777777" w:rsidR="004902CB" w:rsidRPr="004902CB" w:rsidRDefault="004902CB" w:rsidP="00C2022B">
            <w:pP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4902CB">
              <w:rPr>
                <w:rFonts w:ascii="Arial" w:hAnsi="Arial" w:cs="Arial"/>
                <w:noProof/>
                <w:sz w:val="20"/>
                <w:szCs w:val="20"/>
              </w:rPr>
              <w:t>0.26</w:t>
            </w:r>
          </w:p>
        </w:tc>
        <w:tc>
          <w:tcPr>
            <w:tcW w:w="2268" w:type="dxa"/>
            <w:shd w:val="clear" w:color="auto" w:fill="auto"/>
          </w:tcPr>
          <w:p w14:paraId="66CA1BD5" w14:textId="77777777" w:rsidR="004902CB" w:rsidRPr="004902CB" w:rsidRDefault="004902CB" w:rsidP="00C2022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02CB">
              <w:rPr>
                <w:rFonts w:ascii="Arial" w:hAnsi="Arial" w:cs="Arial"/>
                <w:sz w:val="20"/>
                <w:szCs w:val="20"/>
              </w:rPr>
              <w:t>Very low</w:t>
            </w:r>
          </w:p>
        </w:tc>
      </w:tr>
      <w:tr w:rsidR="004902CB" w:rsidRPr="004902CB" w14:paraId="428ECDF0" w14:textId="77777777" w:rsidTr="004902CB">
        <w:tc>
          <w:tcPr>
            <w:cnfStyle w:val="001000000000" w:firstRow="0" w:lastRow="0" w:firstColumn="1" w:lastColumn="0" w:oddVBand="0" w:evenVBand="0" w:oddHBand="0" w:evenHBand="0" w:firstRowFirstColumn="0" w:firstRowLastColumn="0" w:lastRowFirstColumn="0" w:lastRowLastColumn="0"/>
            <w:tcW w:w="472" w:type="dxa"/>
            <w:shd w:val="clear" w:color="auto" w:fill="auto"/>
          </w:tcPr>
          <w:p w14:paraId="319EFE36" w14:textId="77777777" w:rsidR="004902CB" w:rsidRPr="004902CB" w:rsidRDefault="004902CB" w:rsidP="00C2022B">
            <w:pPr>
              <w:rPr>
                <w:rFonts w:ascii="Arial" w:hAnsi="Arial" w:cs="Arial"/>
                <w:b w:val="0"/>
                <w:noProof/>
                <w:sz w:val="20"/>
                <w:szCs w:val="20"/>
              </w:rPr>
            </w:pPr>
            <w:r w:rsidRPr="004902CB">
              <w:rPr>
                <w:rFonts w:ascii="Arial" w:hAnsi="Arial" w:cs="Arial"/>
                <w:b w:val="0"/>
                <w:noProof/>
                <w:sz w:val="20"/>
                <w:szCs w:val="20"/>
              </w:rPr>
              <w:t>10</w:t>
            </w:r>
          </w:p>
        </w:tc>
        <w:tc>
          <w:tcPr>
            <w:tcW w:w="2374" w:type="dxa"/>
            <w:shd w:val="clear" w:color="auto" w:fill="auto"/>
          </w:tcPr>
          <w:p w14:paraId="3B8B3369" w14:textId="77777777" w:rsidR="004902CB" w:rsidRPr="004902CB" w:rsidRDefault="004902CB" w:rsidP="00C2022B">
            <w:pP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4902CB">
              <w:rPr>
                <w:rFonts w:ascii="Arial" w:hAnsi="Arial" w:cs="Arial"/>
                <w:noProof/>
                <w:sz w:val="20"/>
                <w:szCs w:val="20"/>
              </w:rPr>
              <w:t>P</w:t>
            </w:r>
            <w:r w:rsidRPr="004902CB">
              <w:rPr>
                <w:rFonts w:ascii="Arial" w:hAnsi="Arial" w:cs="Arial"/>
                <w:noProof/>
                <w:sz w:val="20"/>
                <w:szCs w:val="20"/>
                <w:vertAlign w:val="subscript"/>
              </w:rPr>
              <w:t>2</w:t>
            </w:r>
            <w:r w:rsidRPr="004902CB">
              <w:rPr>
                <w:rFonts w:ascii="Arial" w:hAnsi="Arial" w:cs="Arial"/>
                <w:noProof/>
                <w:sz w:val="20"/>
                <w:szCs w:val="20"/>
              </w:rPr>
              <w:t>O</w:t>
            </w:r>
            <w:r w:rsidRPr="004902CB">
              <w:rPr>
                <w:rFonts w:ascii="Arial" w:hAnsi="Arial" w:cs="Arial"/>
                <w:noProof/>
                <w:sz w:val="20"/>
                <w:szCs w:val="20"/>
                <w:vertAlign w:val="subscript"/>
              </w:rPr>
              <w:t>5</w:t>
            </w:r>
            <w:r w:rsidRPr="004902CB">
              <w:rPr>
                <w:rFonts w:ascii="Arial" w:hAnsi="Arial" w:cs="Arial"/>
                <w:noProof/>
                <w:sz w:val="20"/>
                <w:szCs w:val="20"/>
              </w:rPr>
              <w:t xml:space="preserve"> (ppm)</w:t>
            </w:r>
          </w:p>
        </w:tc>
        <w:tc>
          <w:tcPr>
            <w:tcW w:w="1701" w:type="dxa"/>
            <w:shd w:val="clear" w:color="auto" w:fill="auto"/>
          </w:tcPr>
          <w:p w14:paraId="66401C28" w14:textId="77777777" w:rsidR="004902CB" w:rsidRPr="004902CB" w:rsidRDefault="004902CB" w:rsidP="00C2022B">
            <w:pP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4902CB">
              <w:rPr>
                <w:rFonts w:ascii="Arial" w:hAnsi="Arial" w:cs="Arial"/>
                <w:noProof/>
                <w:sz w:val="20"/>
                <w:szCs w:val="20"/>
              </w:rPr>
              <w:t>21.25</w:t>
            </w:r>
          </w:p>
        </w:tc>
        <w:tc>
          <w:tcPr>
            <w:tcW w:w="2268" w:type="dxa"/>
            <w:shd w:val="clear" w:color="auto" w:fill="auto"/>
          </w:tcPr>
          <w:p w14:paraId="448522A4" w14:textId="77777777" w:rsidR="004902CB" w:rsidRPr="004902CB" w:rsidRDefault="004902CB" w:rsidP="00C2022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02CB">
              <w:rPr>
                <w:rFonts w:ascii="Arial" w:hAnsi="Arial" w:cs="Arial"/>
                <w:sz w:val="20"/>
                <w:szCs w:val="20"/>
              </w:rPr>
              <w:t>Medium</w:t>
            </w:r>
          </w:p>
        </w:tc>
      </w:tr>
      <w:tr w:rsidR="004902CB" w:rsidRPr="004902CB" w14:paraId="2677E3ED" w14:textId="77777777" w:rsidTr="004902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 w:type="dxa"/>
            <w:shd w:val="clear" w:color="auto" w:fill="auto"/>
          </w:tcPr>
          <w:p w14:paraId="7B7F3A4A" w14:textId="77777777" w:rsidR="004902CB" w:rsidRPr="004902CB" w:rsidRDefault="004902CB" w:rsidP="00C2022B">
            <w:pPr>
              <w:rPr>
                <w:rFonts w:ascii="Arial" w:hAnsi="Arial" w:cs="Arial"/>
                <w:b w:val="0"/>
                <w:noProof/>
                <w:sz w:val="20"/>
                <w:szCs w:val="20"/>
              </w:rPr>
            </w:pPr>
            <w:r w:rsidRPr="004902CB">
              <w:rPr>
                <w:rFonts w:ascii="Arial" w:hAnsi="Arial" w:cs="Arial"/>
                <w:b w:val="0"/>
                <w:noProof/>
                <w:sz w:val="20"/>
                <w:szCs w:val="20"/>
              </w:rPr>
              <w:t>12</w:t>
            </w:r>
          </w:p>
        </w:tc>
        <w:tc>
          <w:tcPr>
            <w:tcW w:w="2374" w:type="dxa"/>
            <w:shd w:val="clear" w:color="auto" w:fill="auto"/>
          </w:tcPr>
          <w:p w14:paraId="5AEC1B5F" w14:textId="77777777" w:rsidR="004902CB" w:rsidRPr="004902CB" w:rsidRDefault="004902CB" w:rsidP="00C2022B">
            <w:pP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4902CB">
              <w:rPr>
                <w:rFonts w:ascii="Arial" w:hAnsi="Arial" w:cs="Arial"/>
                <w:noProof/>
                <w:sz w:val="20"/>
                <w:szCs w:val="20"/>
              </w:rPr>
              <w:t>Mg (ppm)</w:t>
            </w:r>
          </w:p>
        </w:tc>
        <w:tc>
          <w:tcPr>
            <w:tcW w:w="1701" w:type="dxa"/>
            <w:shd w:val="clear" w:color="auto" w:fill="auto"/>
          </w:tcPr>
          <w:p w14:paraId="2EE2FA55" w14:textId="77777777" w:rsidR="004902CB" w:rsidRPr="004902CB" w:rsidRDefault="004902CB" w:rsidP="00C2022B">
            <w:pP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4902CB">
              <w:rPr>
                <w:rFonts w:ascii="Arial" w:hAnsi="Arial" w:cs="Arial"/>
                <w:noProof/>
                <w:sz w:val="20"/>
                <w:szCs w:val="20"/>
              </w:rPr>
              <w:t>1.85</w:t>
            </w:r>
          </w:p>
        </w:tc>
        <w:tc>
          <w:tcPr>
            <w:tcW w:w="2268" w:type="dxa"/>
            <w:shd w:val="clear" w:color="auto" w:fill="auto"/>
          </w:tcPr>
          <w:p w14:paraId="54AA5B28" w14:textId="77777777" w:rsidR="004902CB" w:rsidRPr="004902CB" w:rsidRDefault="004902CB" w:rsidP="00C2022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02CB">
              <w:rPr>
                <w:rFonts w:ascii="Arial" w:hAnsi="Arial" w:cs="Arial"/>
                <w:sz w:val="20"/>
                <w:szCs w:val="20"/>
              </w:rPr>
              <w:t>Very low</w:t>
            </w:r>
          </w:p>
        </w:tc>
      </w:tr>
      <w:tr w:rsidR="004902CB" w:rsidRPr="004902CB" w14:paraId="6778E641" w14:textId="77777777" w:rsidTr="004902CB">
        <w:tc>
          <w:tcPr>
            <w:cnfStyle w:val="001000000000" w:firstRow="0" w:lastRow="0" w:firstColumn="1" w:lastColumn="0" w:oddVBand="0" w:evenVBand="0" w:oddHBand="0" w:evenHBand="0" w:firstRowFirstColumn="0" w:firstRowLastColumn="0" w:lastRowFirstColumn="0" w:lastRowLastColumn="0"/>
            <w:tcW w:w="472" w:type="dxa"/>
            <w:shd w:val="clear" w:color="auto" w:fill="auto"/>
          </w:tcPr>
          <w:p w14:paraId="606FBF22" w14:textId="77777777" w:rsidR="004902CB" w:rsidRPr="004902CB" w:rsidRDefault="004902CB" w:rsidP="00C2022B">
            <w:pPr>
              <w:rPr>
                <w:rFonts w:ascii="Arial" w:hAnsi="Arial" w:cs="Arial"/>
                <w:b w:val="0"/>
                <w:noProof/>
                <w:sz w:val="20"/>
                <w:szCs w:val="20"/>
              </w:rPr>
            </w:pPr>
            <w:r w:rsidRPr="004902CB">
              <w:rPr>
                <w:rFonts w:ascii="Arial" w:hAnsi="Arial" w:cs="Arial"/>
                <w:b w:val="0"/>
                <w:noProof/>
                <w:sz w:val="20"/>
                <w:szCs w:val="20"/>
              </w:rPr>
              <w:t>13</w:t>
            </w:r>
          </w:p>
        </w:tc>
        <w:tc>
          <w:tcPr>
            <w:tcW w:w="2374" w:type="dxa"/>
            <w:shd w:val="clear" w:color="auto" w:fill="auto"/>
          </w:tcPr>
          <w:p w14:paraId="3A04527E" w14:textId="77777777" w:rsidR="004902CB" w:rsidRPr="004902CB" w:rsidRDefault="004902CB" w:rsidP="00C2022B">
            <w:pP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4902CB">
              <w:rPr>
                <w:rFonts w:ascii="Arial" w:hAnsi="Arial" w:cs="Arial"/>
                <w:noProof/>
                <w:sz w:val="20"/>
                <w:szCs w:val="20"/>
              </w:rPr>
              <w:t>K (ppm)</w:t>
            </w:r>
          </w:p>
        </w:tc>
        <w:tc>
          <w:tcPr>
            <w:tcW w:w="1701" w:type="dxa"/>
            <w:shd w:val="clear" w:color="auto" w:fill="auto"/>
          </w:tcPr>
          <w:p w14:paraId="52DD8F21" w14:textId="77777777" w:rsidR="004902CB" w:rsidRPr="004902CB" w:rsidRDefault="004902CB" w:rsidP="00C2022B">
            <w:pP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4902CB">
              <w:rPr>
                <w:rFonts w:ascii="Arial" w:hAnsi="Arial" w:cs="Arial"/>
                <w:noProof/>
                <w:sz w:val="20"/>
                <w:szCs w:val="20"/>
              </w:rPr>
              <w:t>0.42</w:t>
            </w:r>
          </w:p>
        </w:tc>
        <w:tc>
          <w:tcPr>
            <w:tcW w:w="2268" w:type="dxa"/>
            <w:shd w:val="clear" w:color="auto" w:fill="auto"/>
          </w:tcPr>
          <w:p w14:paraId="18C8B949" w14:textId="77777777" w:rsidR="004902CB" w:rsidRPr="004902CB" w:rsidRDefault="004902CB" w:rsidP="00C2022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02CB">
              <w:rPr>
                <w:rFonts w:ascii="Arial" w:hAnsi="Arial" w:cs="Arial"/>
                <w:sz w:val="20"/>
                <w:szCs w:val="20"/>
              </w:rPr>
              <w:t>Medium</w:t>
            </w:r>
          </w:p>
        </w:tc>
      </w:tr>
    </w:tbl>
    <w:p w14:paraId="2426496B" w14:textId="77777777" w:rsidR="004902CB" w:rsidRPr="00020742" w:rsidRDefault="004902CB" w:rsidP="004902CB">
      <w:pPr>
        <w:tabs>
          <w:tab w:val="left" w:pos="1276"/>
          <w:tab w:val="left" w:pos="3940"/>
        </w:tabs>
        <w:rPr>
          <w:rFonts w:ascii="Times New Roman" w:hAnsi="Times New Roman"/>
          <w:sz w:val="24"/>
          <w:szCs w:val="24"/>
        </w:rPr>
      </w:pPr>
      <w:r w:rsidRPr="00020742">
        <w:rPr>
          <w:rFonts w:ascii="Times New Roman" w:hAnsi="Times New Roman"/>
          <w:sz w:val="24"/>
          <w:szCs w:val="24"/>
        </w:rPr>
        <w:tab/>
      </w:r>
    </w:p>
    <w:p w14:paraId="6BDB66BC" w14:textId="02F6C66F" w:rsidR="004902CB" w:rsidRPr="004902CB" w:rsidRDefault="000F33FF" w:rsidP="004902CB">
      <w:pPr>
        <w:pStyle w:val="Body"/>
        <w:rPr>
          <w:rFonts w:ascii="Arial" w:hAnsi="Arial" w:cs="Arial"/>
        </w:rPr>
      </w:pPr>
      <w:r w:rsidRPr="000F33FF">
        <w:rPr>
          <w:rFonts w:ascii="Arial" w:hAnsi="Arial" w:cs="Arial"/>
        </w:rPr>
        <w:t>Plant maintenance, including watering, fertilizing with liquid fertilizer, weeding by cutting weeds to avoid disrupting AM activity and the main plant's roots, controlling pests, and managing plant diseases, was conducted during the research.</w:t>
      </w:r>
    </w:p>
    <w:p w14:paraId="5B012478" w14:textId="77777777" w:rsidR="004902CB" w:rsidRDefault="004902CB" w:rsidP="004902CB">
      <w:pPr>
        <w:pStyle w:val="Body"/>
        <w:spacing w:after="0"/>
        <w:rPr>
          <w:rFonts w:ascii="Arial" w:hAnsi="Arial" w:cs="Arial"/>
          <w:lang w:val="id-ID"/>
        </w:rPr>
      </w:pPr>
      <w:r w:rsidRPr="004902CB">
        <w:rPr>
          <w:rFonts w:ascii="Arial" w:hAnsi="Arial" w:cs="Arial"/>
        </w:rPr>
        <w:t xml:space="preserve">Observation components were carried out before planting in the planting medium, while on the main plant, observations were carried out at the age of 60 days after planting, including </w:t>
      </w:r>
      <w:r w:rsidRPr="004902CB">
        <w:rPr>
          <w:rFonts w:ascii="Arial" w:hAnsi="Arial" w:cs="Arial"/>
        </w:rPr>
        <w:lastRenderedPageBreak/>
        <w:t xml:space="preserve">the percentage of colonized roots (hyphae, arbuscules, vesicles, and spores). The mycorrhizal infection was calculated based on the formula </w:t>
      </w:r>
      <w:r w:rsidR="006C40C9">
        <w:rPr>
          <w:rFonts w:ascii="Arial" w:hAnsi="Arial" w:cs="Arial"/>
        </w:rPr>
        <w:fldChar w:fldCharType="begin" w:fldLock="1"/>
      </w:r>
      <w:r w:rsidR="006C40C9">
        <w:rPr>
          <w:rFonts w:ascii="Arial" w:hAnsi="Arial" w:cs="Arial"/>
        </w:rPr>
        <w:instrText>ADDIN CSL_CITATION {"citationItems":[{"id":"ITEM-1","itemData":{"DOI":"10.1111/j.1469-8137.1980.tb04556.x","author":[{"dropping-particle":"","family":"Giovannetti","given":"Manuela","non-dropping-particle":"","parse-names":false,"suffix":""},{"dropping-particle":"","family":"Mosse","given":"B","non-dropping-particle":"","parse-names":false,"suffix":""}],"container-title":"New Phytologist","id":"ITEM-1","issued":{"date-parts":[["1980"]]},"page":"489-500","title":"An Evaluation of Tecnique for Measuring Vesicular Arbuscular Mycorrhizal Infection in Roots","type":"article-journal","volume":"84"},"uris":["http://www.mendeley.com/documents/?uuid=9215cde0-3499-4055-a891-c6bb430ea90c"]}],"mendeley":{"formattedCitation":"(Giovannetti &amp; Mosse, 1980)","plainTextFormattedCitation":"(Giovannetti &amp; Mosse, 1980)","previouslyFormattedCitation":"(Giovannetti &amp; Mosse, 1980)"},"properties":{"noteIndex":0},"schema":"https://github.com/citation-style-language/schema/raw/master/csl-citation.json"}</w:instrText>
      </w:r>
      <w:r w:rsidR="006C40C9">
        <w:rPr>
          <w:rFonts w:ascii="Arial" w:hAnsi="Arial" w:cs="Arial"/>
        </w:rPr>
        <w:fldChar w:fldCharType="separate"/>
      </w:r>
      <w:r w:rsidR="006C40C9" w:rsidRPr="006C40C9">
        <w:rPr>
          <w:rFonts w:ascii="Arial" w:hAnsi="Arial" w:cs="Arial"/>
          <w:noProof/>
        </w:rPr>
        <w:t>(Giovannetti &amp; Mosse, 1980)</w:t>
      </w:r>
      <w:r w:rsidR="006C40C9">
        <w:rPr>
          <w:rFonts w:ascii="Arial" w:hAnsi="Arial" w:cs="Arial"/>
        </w:rPr>
        <w:fldChar w:fldCharType="end"/>
      </w:r>
      <w:r w:rsidRPr="004902CB">
        <w:rPr>
          <w:rFonts w:ascii="Arial" w:hAnsi="Arial" w:cs="Arial"/>
        </w:rPr>
        <w:t>.</w:t>
      </w:r>
    </w:p>
    <w:p w14:paraId="55E0F844" w14:textId="77777777" w:rsidR="004902CB" w:rsidRDefault="004902CB" w:rsidP="004902CB">
      <w:pPr>
        <w:pStyle w:val="Body"/>
        <w:spacing w:after="0"/>
        <w:rPr>
          <w:rFonts w:ascii="Arial" w:hAnsi="Arial" w:cs="Arial"/>
          <w:lang w:val="id-ID"/>
        </w:rPr>
      </w:pPr>
    </w:p>
    <w:p w14:paraId="32A13F64" w14:textId="77777777" w:rsidR="00E02EA1" w:rsidRPr="004B66BE" w:rsidRDefault="004B66BE" w:rsidP="00E02EA1">
      <w:pPr>
        <w:jc w:val="center"/>
        <w:rPr>
          <w:rFonts w:ascii="Arial" w:eastAsiaTheme="minorEastAsia" w:hAnsi="Arial" w:cs="Arial"/>
          <w:i/>
          <w:lang w:val="id-ID"/>
        </w:rPr>
      </w:pPr>
      <m:oMathPara>
        <m:oMathParaPr>
          <m:jc m:val="center"/>
        </m:oMathParaPr>
        <m:oMath>
          <m:r>
            <w:rPr>
              <w:rFonts w:ascii="Cambria Math" w:hAnsi="Cambria Math" w:cs="Arial"/>
            </w:rPr>
            <m:t xml:space="preserve">AM colonized = </m:t>
          </m:r>
          <m:f>
            <m:fPr>
              <m:ctrlPr>
                <w:rPr>
                  <w:rFonts w:ascii="Cambria Math" w:hAnsi="Cambria Math" w:cs="Arial"/>
                  <w:i/>
                </w:rPr>
              </m:ctrlPr>
            </m:fPr>
            <m:num>
              <m:nary>
                <m:naryPr>
                  <m:chr m:val="∑"/>
                  <m:limLoc m:val="undOvr"/>
                  <m:subHide m:val="1"/>
                  <m:supHide m:val="1"/>
                  <m:ctrlPr>
                    <w:rPr>
                      <w:rFonts w:ascii="Cambria Math" w:hAnsi="Cambria Math" w:cs="Arial"/>
                      <w:i/>
                    </w:rPr>
                  </m:ctrlPr>
                </m:naryPr>
                <m:sub/>
                <m:sup/>
                <m:e>
                  <m:r>
                    <w:rPr>
                      <w:rFonts w:ascii="Cambria Math" w:hAnsi="Cambria Math" w:cs="Arial"/>
                    </w:rPr>
                    <m:t xml:space="preserve">number of root colonized </m:t>
                  </m:r>
                </m:e>
              </m:nary>
            </m:num>
            <m:den>
              <m:nary>
                <m:naryPr>
                  <m:chr m:val="∑"/>
                  <m:limLoc m:val="undOvr"/>
                  <m:subHide m:val="1"/>
                  <m:supHide m:val="1"/>
                  <m:ctrlPr>
                    <w:rPr>
                      <w:rFonts w:ascii="Cambria Math" w:hAnsi="Cambria Math" w:cs="Arial"/>
                      <w:i/>
                    </w:rPr>
                  </m:ctrlPr>
                </m:naryPr>
                <m:sub/>
                <m:sup/>
                <m:e>
                  <m:r>
                    <w:rPr>
                      <w:rFonts w:ascii="Cambria Math" w:hAnsi="Cambria Math" w:cs="Arial"/>
                    </w:rPr>
                    <m:t xml:space="preserve">number of root observed </m:t>
                  </m:r>
                </m:e>
              </m:nary>
            </m:den>
          </m:f>
          <m:r>
            <w:rPr>
              <w:rFonts w:ascii="Cambria Math" w:hAnsi="Cambria Math" w:cs="Arial"/>
            </w:rPr>
            <m:t>×100</m:t>
          </m:r>
        </m:oMath>
      </m:oMathPara>
    </w:p>
    <w:p w14:paraId="6F09AE60" w14:textId="77777777" w:rsidR="004B66BE" w:rsidRDefault="006C40C9" w:rsidP="00E02EA1">
      <w:pPr>
        <w:jc w:val="center"/>
        <w:rPr>
          <w:rFonts w:ascii="Arial" w:eastAsiaTheme="minorEastAsia" w:hAnsi="Arial" w:cs="Arial"/>
          <w:i/>
          <w:lang w:val="id-ID"/>
        </w:rPr>
      </w:pPr>
      <w:r>
        <w:rPr>
          <w:rFonts w:ascii="Arial" w:eastAsiaTheme="minorEastAsia" w:hAnsi="Arial" w:cs="Arial"/>
          <w:i/>
          <w:lang w:val="id-ID"/>
        </w:rPr>
        <w:t xml:space="preserve"> </w:t>
      </w:r>
    </w:p>
    <w:p w14:paraId="61738AEA" w14:textId="6CC26E5A" w:rsidR="004B66BE" w:rsidRDefault="00964F7E" w:rsidP="004902CB">
      <w:pPr>
        <w:pStyle w:val="Body"/>
        <w:spacing w:after="0"/>
        <w:rPr>
          <w:rFonts w:ascii="Arial" w:hAnsi="Arial" w:cs="Arial"/>
          <w:lang w:val="id-ID"/>
        </w:rPr>
      </w:pPr>
      <w:r w:rsidRPr="00964F7E">
        <w:rPr>
          <w:rFonts w:ascii="Arial" w:hAnsi="Arial" w:cs="Arial"/>
        </w:rPr>
        <w:t>The data from the laboratory and field observations were analyzed using analysis of variance based on a complete randomized design, followed by Duncan's Test, using either Microsoft Excel or the Statistical Package for the Social Sciences (SPSS) application. The data from the analysis is displayed in the form of Tables and Figures.</w:t>
      </w:r>
    </w:p>
    <w:p w14:paraId="28A51E88" w14:textId="77777777" w:rsidR="004B66BE" w:rsidRDefault="004B66BE" w:rsidP="004902CB">
      <w:pPr>
        <w:pStyle w:val="Body"/>
        <w:spacing w:after="0"/>
        <w:rPr>
          <w:rFonts w:ascii="Arial" w:hAnsi="Arial" w:cs="Arial"/>
          <w:lang w:val="id-ID"/>
        </w:rPr>
      </w:pPr>
    </w:p>
    <w:p w14:paraId="619113FB"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5B87674" w14:textId="77777777" w:rsidR="00790ADA" w:rsidRPr="00FB3A86" w:rsidRDefault="00790ADA" w:rsidP="00441B6F">
      <w:pPr>
        <w:pStyle w:val="Head1"/>
        <w:spacing w:after="0"/>
        <w:jc w:val="both"/>
        <w:rPr>
          <w:rFonts w:ascii="Arial" w:hAnsi="Arial" w:cs="Arial"/>
        </w:rPr>
      </w:pPr>
    </w:p>
    <w:p w14:paraId="60A4F3B1" w14:textId="77777777" w:rsidR="00C32631" w:rsidRPr="0045027C" w:rsidRDefault="0045027C" w:rsidP="00C32631">
      <w:pPr>
        <w:pStyle w:val="Body"/>
        <w:rPr>
          <w:rFonts w:ascii="Arial" w:hAnsi="Arial" w:cs="Arial"/>
          <w:b/>
          <w:lang w:val="id-ID"/>
        </w:rPr>
      </w:pPr>
      <w:r>
        <w:rPr>
          <w:rFonts w:ascii="Arial" w:hAnsi="Arial" w:cs="Arial"/>
          <w:b/>
          <w:lang w:val="id-ID"/>
        </w:rPr>
        <w:t xml:space="preserve">3.1 </w:t>
      </w:r>
      <w:r w:rsidR="00C32631" w:rsidRPr="0045027C">
        <w:rPr>
          <w:rFonts w:ascii="Arial" w:hAnsi="Arial" w:cs="Arial"/>
          <w:b/>
        </w:rPr>
        <w:t>The mycorrhizal infection</w:t>
      </w:r>
    </w:p>
    <w:p w14:paraId="3325A5F1" w14:textId="225CC2AB" w:rsidR="00C32631" w:rsidRPr="00C32631" w:rsidRDefault="00AD662E" w:rsidP="00C32631">
      <w:pPr>
        <w:pStyle w:val="Body"/>
        <w:rPr>
          <w:rFonts w:ascii="Arial" w:hAnsi="Arial" w:cs="Arial"/>
        </w:rPr>
      </w:pPr>
      <w:r w:rsidRPr="00AD662E">
        <w:rPr>
          <w:rFonts w:ascii="Arial" w:hAnsi="Arial" w:cs="Arial"/>
        </w:rPr>
        <w:t>The level of colonization in Av roots due to AM had a significant effect</w:t>
      </w:r>
      <w:r w:rsidR="00C32631" w:rsidRPr="00C32631">
        <w:rPr>
          <w:rFonts w:ascii="Arial" w:hAnsi="Arial" w:cs="Arial"/>
        </w:rPr>
        <w:t xml:space="preserve"> (Fig 2d), and the results of observations of the </w:t>
      </w:r>
      <w:r w:rsidR="00FE308F" w:rsidRPr="0034275D">
        <w:rPr>
          <w:rFonts w:ascii="Arial" w:hAnsi="Arial" w:cs="Arial"/>
        </w:rPr>
        <w:t>AM</w:t>
      </w:r>
      <w:r w:rsidR="00C32631" w:rsidRPr="00C32631">
        <w:rPr>
          <w:rFonts w:ascii="Arial" w:hAnsi="Arial" w:cs="Arial"/>
        </w:rPr>
        <w:t xml:space="preserve"> structure in Av root tissue found hyphae, arbuscules, vesicles and spores (Fig 2a and b) in the epidermis tissue with a percentage level of colonization that is classified as moderate (10% -30%) to high (&gt;30%) (Figure 2c). It is suspected that Av can create a favorable rhizosphere environment for the growth and development of </w:t>
      </w:r>
      <w:r w:rsidR="00FE308F" w:rsidRPr="0034275D">
        <w:rPr>
          <w:rFonts w:ascii="Arial" w:hAnsi="Arial" w:cs="Arial"/>
        </w:rPr>
        <w:t>AM</w:t>
      </w:r>
      <w:r w:rsidR="00C32631" w:rsidRPr="00C32631">
        <w:rPr>
          <w:rFonts w:ascii="Arial" w:hAnsi="Arial" w:cs="Arial"/>
        </w:rPr>
        <w:t xml:space="preserve">, allowing </w:t>
      </w:r>
      <w:r w:rsidR="00FE308F" w:rsidRPr="0034275D">
        <w:rPr>
          <w:rFonts w:ascii="Arial" w:hAnsi="Arial" w:cs="Arial"/>
        </w:rPr>
        <w:t>AM</w:t>
      </w:r>
      <w:r w:rsidR="00C32631" w:rsidRPr="00C32631">
        <w:rPr>
          <w:rFonts w:ascii="Arial" w:hAnsi="Arial" w:cs="Arial"/>
        </w:rPr>
        <w:t xml:space="preserve"> powder, sachets, and tablets to infect roots effectively. </w:t>
      </w:r>
      <w:r w:rsidR="00AB7385">
        <w:rPr>
          <w:rFonts w:ascii="Arial" w:hAnsi="Arial" w:cs="Arial"/>
        </w:rPr>
        <w:fldChar w:fldCharType="begin" w:fldLock="1"/>
      </w:r>
      <w:r w:rsidR="00AB7385">
        <w:rPr>
          <w:rFonts w:ascii="Arial" w:hAnsi="Arial" w:cs="Arial"/>
        </w:rPr>
        <w:instrText>ADDIN CSL_CITATION {"citationItems":[{"id":"ITEM-1","itemData":{"DOI":"10.21111/agrotech.v9i1.8877","ISSN":"2460-495X","abstract":"Pueraria javanica (P. javanica) is a type of Leguminosae with a vine growth type with well-fixation nitrogen, so that can be used as a ground cover plant and forage food riched in protein (15-25%). In addition, the beneficial ability in symbiosis with arbuscular mycorrhizal fungi (AMF) has caused this plant to be utilized as the host plant for testing the effectiveness of different dosage forms of AMF on the growth of P. javanica which was carried out in Bukit Harapan sub-district, Parepare City at an altitude of 37.0 m asl with the coordinate point 3°59'30” S and 119°38'43” E. The study was conducted according to a randomized block design (RBD), AMF treatment dosage forms tested was powder (B1)/control, sachet (B2), and tablet (B3). The results showed that the form of AMF did not affect the effectiveness of stimulating the root length growth and volume, as well as the leaf number of P. javanica. AMF in tablet and sachet forms can enrich the AMF dosage form and can be a novelty for this field","author":[{"dropping-particle":"","family":"Ahmad","given":"Namrawati","non-dropping-particle":"","parse-names":false,"suffix":""},{"dropping-particle":"","family":"Akib","given":"Muhammad Akhsan","non-dropping-particle":"","parse-names":false,"suffix":""},{"dropping-particle":"","family":"Qadri","given":"Sri Nur","non-dropping-particle":"","parse-names":false,"suffix":""},{"dropping-particle":"","family":"Syatrawati","given":"","non-dropping-particle":"","parse-names":false,"suffix":""},{"dropping-particle":"","family":"Prayudyaningsih","given":"Reyno","non-dropping-particle":"","parse-names":false,"suffix":""}],"container-title":"Gontor Agrotech Science Journal","id":"ITEM-1","issue":"1","issued":{"date-parts":[["2023"]]},"page":"11-19","title":"Effect of Arbuscular Mycorrhizal Tablets and Sachets on the growth of Pueraria javanica","type":"article-journal","volume":"9"},"uris":["http://www.mendeley.com/documents/?uuid=84771e36-7333-4665-8ce7-392ae0bad567"]}],"mendeley":{"formattedCitation":"(Ahmad et al., 2023)","manualFormatting":"Ahmad et al., (2023)","plainTextFormattedCitation":"(Ahmad et al., 2023)","previouslyFormattedCitation":"(Ahmad et al., 2023)"},"properties":{"noteIndex":0},"schema":"https://github.com/citation-style-language/schema/raw/master/csl-citation.json"}</w:instrText>
      </w:r>
      <w:r w:rsidR="00AB7385">
        <w:rPr>
          <w:rFonts w:ascii="Arial" w:hAnsi="Arial" w:cs="Arial"/>
        </w:rPr>
        <w:fldChar w:fldCharType="separate"/>
      </w:r>
      <w:r w:rsidR="00AB7385" w:rsidRPr="00AB7385">
        <w:rPr>
          <w:rFonts w:ascii="Arial" w:hAnsi="Arial" w:cs="Arial"/>
          <w:noProof/>
        </w:rPr>
        <w:t xml:space="preserve">Ahmad et al., </w:t>
      </w:r>
      <w:r w:rsidR="00AB7385">
        <w:rPr>
          <w:rFonts w:ascii="Arial" w:hAnsi="Arial" w:cs="Arial"/>
          <w:noProof/>
          <w:lang w:val="id-ID"/>
        </w:rPr>
        <w:t>(</w:t>
      </w:r>
      <w:r w:rsidR="00AB7385" w:rsidRPr="00AB7385">
        <w:rPr>
          <w:rFonts w:ascii="Arial" w:hAnsi="Arial" w:cs="Arial"/>
          <w:noProof/>
        </w:rPr>
        <w:t>2023)</w:t>
      </w:r>
      <w:r w:rsidR="00AB7385">
        <w:rPr>
          <w:rFonts w:ascii="Arial" w:hAnsi="Arial" w:cs="Arial"/>
        </w:rPr>
        <w:fldChar w:fldCharType="end"/>
      </w:r>
      <w:r w:rsidR="00AB7385">
        <w:rPr>
          <w:rFonts w:ascii="Arial" w:hAnsi="Arial" w:cs="Arial"/>
          <w:lang w:val="id-ID"/>
        </w:rPr>
        <w:t xml:space="preserve"> </w:t>
      </w:r>
      <w:r w:rsidR="00C32631" w:rsidRPr="00C32631">
        <w:rPr>
          <w:rFonts w:ascii="Arial" w:hAnsi="Arial" w:cs="Arial"/>
        </w:rPr>
        <w:t xml:space="preserve"> stated in a previous study that the form of </w:t>
      </w:r>
      <w:r w:rsidR="00FE308F" w:rsidRPr="0034275D">
        <w:rPr>
          <w:rFonts w:ascii="Arial" w:hAnsi="Arial" w:cs="Arial"/>
        </w:rPr>
        <w:t>AM</w:t>
      </w:r>
      <w:r w:rsidR="00C32631" w:rsidRPr="00C32631">
        <w:rPr>
          <w:rFonts w:ascii="Arial" w:hAnsi="Arial" w:cs="Arial"/>
        </w:rPr>
        <w:t xml:space="preserve"> preparations (</w:t>
      </w:r>
      <w:r w:rsidR="00FE308F" w:rsidRPr="0034275D">
        <w:rPr>
          <w:rFonts w:ascii="Arial" w:hAnsi="Arial" w:cs="Arial"/>
        </w:rPr>
        <w:t>AM</w:t>
      </w:r>
      <w:r w:rsidR="00C32631" w:rsidRPr="00C32631">
        <w:rPr>
          <w:rFonts w:ascii="Arial" w:hAnsi="Arial" w:cs="Arial"/>
        </w:rPr>
        <w:t xml:space="preserve"> tablets and sachets) did not affect the performance of </w:t>
      </w:r>
      <w:r w:rsidR="00FE308F" w:rsidRPr="0034275D">
        <w:rPr>
          <w:rFonts w:ascii="Arial" w:hAnsi="Arial" w:cs="Arial"/>
        </w:rPr>
        <w:t>AM</w:t>
      </w:r>
      <w:r w:rsidR="00C32631" w:rsidRPr="00C32631">
        <w:rPr>
          <w:rFonts w:ascii="Arial" w:hAnsi="Arial" w:cs="Arial"/>
        </w:rPr>
        <w:t xml:space="preserve"> in stimulating the growth of </w:t>
      </w:r>
      <w:proofErr w:type="spellStart"/>
      <w:r w:rsidR="00C32631" w:rsidRPr="00C215F2">
        <w:rPr>
          <w:rFonts w:ascii="Arial" w:hAnsi="Arial" w:cs="Arial"/>
          <w:i/>
        </w:rPr>
        <w:t>Puraria</w:t>
      </w:r>
      <w:proofErr w:type="spellEnd"/>
      <w:r w:rsidR="00C32631" w:rsidRPr="00C215F2">
        <w:rPr>
          <w:rFonts w:ascii="Arial" w:hAnsi="Arial" w:cs="Arial"/>
          <w:i/>
        </w:rPr>
        <w:t xml:space="preserve"> javanica</w:t>
      </w:r>
      <w:r w:rsidR="00C32631" w:rsidRPr="00C32631">
        <w:rPr>
          <w:rFonts w:ascii="Arial" w:hAnsi="Arial" w:cs="Arial"/>
        </w:rPr>
        <w:t xml:space="preserve">, as measured by root length and volume. However, the Duncan test revealed that </w:t>
      </w:r>
      <w:r w:rsidR="00FE308F" w:rsidRPr="0034275D">
        <w:rPr>
          <w:rFonts w:ascii="Arial" w:hAnsi="Arial" w:cs="Arial"/>
        </w:rPr>
        <w:t>AM</w:t>
      </w:r>
      <w:r w:rsidR="00FE308F" w:rsidRPr="00C32631">
        <w:rPr>
          <w:rFonts w:ascii="Arial" w:hAnsi="Arial" w:cs="Arial"/>
        </w:rPr>
        <w:t xml:space="preserve"> </w:t>
      </w:r>
      <w:r w:rsidR="00C32631" w:rsidRPr="00C32631">
        <w:rPr>
          <w:rFonts w:ascii="Arial" w:hAnsi="Arial" w:cs="Arial"/>
        </w:rPr>
        <w:t xml:space="preserve">sachets resulted in a higher level of colonization and were significantly different from the levels of colonization observed with </w:t>
      </w:r>
      <w:r w:rsidR="00FE308F" w:rsidRPr="0034275D">
        <w:rPr>
          <w:rFonts w:ascii="Arial" w:hAnsi="Arial" w:cs="Arial"/>
        </w:rPr>
        <w:t>AM</w:t>
      </w:r>
      <w:r w:rsidR="00C32631" w:rsidRPr="00C32631">
        <w:rPr>
          <w:rFonts w:ascii="Arial" w:hAnsi="Arial" w:cs="Arial"/>
        </w:rPr>
        <w:t xml:space="preserve"> powder and tablets (Fig 2d). The development of </w:t>
      </w:r>
      <w:r w:rsidR="00FE308F" w:rsidRPr="0034275D">
        <w:rPr>
          <w:rFonts w:ascii="Arial" w:hAnsi="Arial" w:cs="Arial"/>
        </w:rPr>
        <w:t>AM</w:t>
      </w:r>
      <w:r w:rsidR="00C32631" w:rsidRPr="00C32631">
        <w:rPr>
          <w:rFonts w:ascii="Arial" w:hAnsi="Arial" w:cs="Arial"/>
        </w:rPr>
        <w:t xml:space="preserve"> structures in Av root tissue resulting from the application of </w:t>
      </w:r>
      <w:r w:rsidR="00FE308F" w:rsidRPr="0034275D">
        <w:rPr>
          <w:rFonts w:ascii="Arial" w:hAnsi="Arial" w:cs="Arial"/>
        </w:rPr>
        <w:t>AM</w:t>
      </w:r>
      <w:r w:rsidR="00C32631" w:rsidRPr="00C32631">
        <w:rPr>
          <w:rFonts w:ascii="Arial" w:hAnsi="Arial" w:cs="Arial"/>
        </w:rPr>
        <w:t xml:space="preserve"> sachets shows the development of more </w:t>
      </w:r>
      <w:r w:rsidR="00FE308F" w:rsidRPr="0034275D">
        <w:rPr>
          <w:rFonts w:ascii="Arial" w:hAnsi="Arial" w:cs="Arial"/>
        </w:rPr>
        <w:t>AM</w:t>
      </w:r>
      <w:r w:rsidR="00C32631" w:rsidRPr="00C32631">
        <w:rPr>
          <w:rFonts w:ascii="Arial" w:hAnsi="Arial" w:cs="Arial"/>
        </w:rPr>
        <w:t xml:space="preserve"> structures, this is probably caused by the relatively small number of </w:t>
      </w:r>
      <w:r w:rsidR="00FE308F" w:rsidRPr="0034275D">
        <w:rPr>
          <w:rFonts w:ascii="Arial" w:hAnsi="Arial" w:cs="Arial"/>
        </w:rPr>
        <w:t>AM</w:t>
      </w:r>
      <w:r w:rsidR="00C32631" w:rsidRPr="00C32631">
        <w:rPr>
          <w:rFonts w:ascii="Arial" w:hAnsi="Arial" w:cs="Arial"/>
        </w:rPr>
        <w:t xml:space="preserve"> spores lost, as a result of being washed away by the water flow when watering the plants because the sachet material blocks them. Apart from that, the remaining spores will germinate, colonize, and undergo further growth and structural development within the epidermal tissue.</w:t>
      </w:r>
    </w:p>
    <w:p w14:paraId="465BE3D2" w14:textId="77777777" w:rsidR="00C32631" w:rsidRPr="00C32631" w:rsidRDefault="00C32631" w:rsidP="00C32631">
      <w:pPr>
        <w:pStyle w:val="Body"/>
        <w:rPr>
          <w:rFonts w:ascii="Arial" w:hAnsi="Arial" w:cs="Arial"/>
        </w:rPr>
      </w:pPr>
      <w:r w:rsidRPr="00C32631">
        <w:rPr>
          <w:rFonts w:ascii="Arial" w:hAnsi="Arial" w:cs="Arial"/>
        </w:rPr>
        <w:t xml:space="preserve">Several AM experts have found that AM colonization and symbiosis are facilitated through biochemical communication between AM in the rhizosphere and the host plant's roots </w:t>
      </w:r>
      <w:r w:rsidR="00C215F2">
        <w:rPr>
          <w:rFonts w:ascii="Arial" w:hAnsi="Arial" w:cs="Arial"/>
        </w:rPr>
        <w:fldChar w:fldCharType="begin" w:fldLock="1"/>
      </w:r>
      <w:r w:rsidR="00C215F2">
        <w:rPr>
          <w:rFonts w:ascii="Arial" w:hAnsi="Arial" w:cs="Arial"/>
        </w:rPr>
        <w:instrText>ADDIN CSL_CITATION {"citationItems":[{"id":"ITEM-1","itemData":{"DOI":"10.1007/s13199-022-00837-0","ISBN":"1319902200","ISSN":"18787665","abstract":"Plants, animals, and even microbes well communicate with each other if we look at nature in cartoon terms. However, in the real world, there is little evidence on how this communication is established. In this context, we have focused on how plants communicate with mycorrhizal fungi and how they communicate with each other using mycorrhizal networks. We divide this communication in the rhizosphere into three categories: (i) communication of the plant with the fungus (plantish), (ii) communication of the fungus with the plant (fungish), and (iii) communication among plants through mycorrhizal networks (wired communication). We propose that molecules involved in inter-kingdom symbiotic communication, such as strigolactones, chitin-related compoundsand cutin monomers in plant-fungal communication, are initially unrelated to symbiosis, but they play important roles in its development. It’s not, however, known exactly whether the dialogue between plant-fungi is fungish or plantish; Despite this, since it is a language on which they agree, we consider it appropriate to call this language “symbioticish”. Moreover, mycorrhizal networks offer inter-plant communication by transferring nutrients, stress signalsand allelochemicals. We present evidence showing that these mycorrhizal networks impart sophisticated intelligence to plants and that their topology is similar to that of the human’s brain, with some features including scale-free and small-world network topology. The evidence presented in this review can contribute to the study of plant-mycorrhizal fungus communication and mycorrhizal networks in the inter-plant communication by establishing a better human empathy, taking a more holistic approach to examining ecosystems and caring about the health of our plants.","author":[{"dropping-particle":"","family":"Boyno","given":"Gökhan","non-dropping-particle":"","parse-names":false,"suffix":""},{"dropping-particle":"","family":"Demir","given":"Semra","non-dropping-particle":"","parse-names":false,"suffix":""}],"container-title":"Symbiosis","id":"ITEM-1","issue":"2","issued":{"date-parts":[["2022"]]},"page":"155-168","publisher":"Springer Netherlands","title":"Plant-mycorrhiza communication and mycorrhizae in inter-plant communication","type":"article-journal","volume":"86"},"uris":["http://www.mendeley.com/documents/?uuid=6ef2af13-c102-46d1-a918-5f615320661e"]},{"id":"ITEM-2","itemData":{"DOI":"10.3390/plants12173102","ISSN":"22237747","abstract":"Arbuscular mycorrhizal fungi (AMF) form symbiotic relationships with the roots of nearly all land-dwelling plants, increasing growth and productivity, especially during abiotic stress. AMF improves plant development by improving nutrient acquisition, such as phosphorus, water, and mineral uptake. AMF improves plant tolerance and resilience to abiotic stressors such as drought, salt, and heavy metal toxicity. These benefits come from the arbuscular mycorrhizal interface, which lets fungal and plant partners exchange nutrients, signalling molecules, and protective chemical compounds. Plants’ antioxidant defence systems, osmotic adjustment, and hormone regulation are also affected by AMF infestation. These responses promote plant performance, photosynthetic efficiency, and biomass production in abiotic stress conditions. As a result of its positive effects on soil structure, nutrient cycling, and carbon sequestration, AMF contributes to the maintenance of resilient ecosystems. The effects of AMFs on plant growth and ecological stability are species- and environment-specific. AMF’s growth-regulating, productivity-enhancing role in abiotic stress alleviation under abiotic stress is reviewed. More research is needed to understand the molecular mechanisms that drive AMF-plant interactions and their responses to abiotic stresses. AMF triggers plants’ morphological, physiological, and molecular responses to abiotic stress. Water and nutrient acquisition, plant development, and abiotic stress tolerance are improved by arbuscular mycorrhizal symbiosis. In plants, AMF colonization modulates antioxidant defense mechanisms, osmotic adjustment, and hormonal regulation. These responses promote plant performance, photosynthetic efficiency, and biomass production in abiotic stress circumstances. AMF-mediated effects are also enhanced by essential oils (EOs), superoxide dismutase (SOD), peroxidase (POD), ascorbate peroxidase (APX), hydrogen peroxide (H2O2), malondialdehyde (MDA), and phosphorus (P). Understanding how AMF increases plant adaptation and reduces abiotic stress will help sustain agriculture, ecosystem management, and climate change mitigation. Arbuscular mycorrhizal fungi (AMF) have gained prominence in agriculture due to their multifaceted roles in promoting plant health and productivity. This review delves into how AMF influences plant growth and nutrient absorption, especially under challenging environmental conditions. We further explore the extent to whi…","author":[{"dropping-particle":"","family":"Wahab","given":"Abdul","non-dropping-particle":"","parse-names":false,"suffix":""},{"dropping-particle":"","family":"Muhammad","given":"Murad","non-dropping-particle":"","parse-names":false,"suffix":""},{"dropping-particle":"","family":"Munir","given":"Asma","non-dropping-particle":"","parse-names":false,"suffix":""},{"dropping-particle":"","family":"Abdi","given":"Gholamreza","non-dropping-particle":"","parse-names":false,"suffix":""},{"dropping-particle":"","family":"Zaman","given":"Wajib","non-dropping-particle":"","parse-names":false,"suffix":""},{"dropping-particle":"","family":"Ayaz","given":"Asma","non-dropping-particle":"","parse-names":false,"suffix":""},{"dropping-particle":"","family":"Khizar","given":"Chandni","non-dropping-particle":"","parse-names":false,"suffix":""},{"dropping-particle":"","family":"Reddy","given":"Sneha Priya Pappula","non-dropping-particle":"","parse-names":false,"suffix":""}],"container-title":"Plants","id":"ITEM-2","issued":{"date-parts":[["2023"]]},"page":"3102","title":"Role of Arbuscular Mycorrhizal Fungi in Regulating Growth, Enhancing Productivity, and Potentially Influencing Ecosystems under Abiotic and Biotic Stresses","type":"article-journal","volume":"12"},"uris":["http://www.mendeley.com/documents/?uuid=3640b655-2d79-485a-b4c3-fc7c86fa59c4"]}],"mendeley":{"formattedCitation":"(Boyno &amp; Demir, 2022; Wahab et al., 2023)","plainTextFormattedCitation":"(Boyno &amp; Demir, 2022; Wahab et al., 2023)","previouslyFormattedCitation":"(Boyno &amp; Demir, 2022; Wahab et al., 2023)"},"properties":{"noteIndex":0},"schema":"https://github.com/citation-style-language/schema/raw/master/csl-citation.json"}</w:instrText>
      </w:r>
      <w:r w:rsidR="00C215F2">
        <w:rPr>
          <w:rFonts w:ascii="Arial" w:hAnsi="Arial" w:cs="Arial"/>
        </w:rPr>
        <w:fldChar w:fldCharType="separate"/>
      </w:r>
      <w:r w:rsidR="00C215F2" w:rsidRPr="00C215F2">
        <w:rPr>
          <w:rFonts w:ascii="Arial" w:hAnsi="Arial" w:cs="Arial"/>
          <w:noProof/>
        </w:rPr>
        <w:t>(Boyno &amp; Demir, 2022; Wahab et al., 2023)</w:t>
      </w:r>
      <w:r w:rsidR="00C215F2">
        <w:rPr>
          <w:rFonts w:ascii="Arial" w:hAnsi="Arial" w:cs="Arial"/>
        </w:rPr>
        <w:fldChar w:fldCharType="end"/>
      </w:r>
      <w:r w:rsidRPr="00C32631">
        <w:rPr>
          <w:rFonts w:ascii="Arial" w:hAnsi="Arial" w:cs="Arial"/>
        </w:rPr>
        <w:t xml:space="preserve">. AM fungi will release </w:t>
      </w:r>
      <w:proofErr w:type="spellStart"/>
      <w:r w:rsidRPr="00C32631">
        <w:rPr>
          <w:rFonts w:ascii="Arial" w:hAnsi="Arial" w:cs="Arial"/>
        </w:rPr>
        <w:t>myc</w:t>
      </w:r>
      <w:proofErr w:type="spellEnd"/>
      <w:r w:rsidRPr="00C32631">
        <w:rPr>
          <w:rFonts w:ascii="Arial" w:hAnsi="Arial" w:cs="Arial"/>
        </w:rPr>
        <w:t xml:space="preserve"> enzymes that can be recognized by receptors, which have the potential to activate the symbiotic signaling pathway between AM and roots </w:t>
      </w:r>
      <w:r w:rsidR="00C215F2">
        <w:rPr>
          <w:rFonts w:ascii="Arial" w:hAnsi="Arial" w:cs="Arial"/>
        </w:rPr>
        <w:fldChar w:fldCharType="begin" w:fldLock="1"/>
      </w:r>
      <w:r w:rsidR="00C215F2">
        <w:rPr>
          <w:rFonts w:ascii="Arial" w:hAnsi="Arial" w:cs="Arial"/>
        </w:rPr>
        <w:instrText>ADDIN CSL_CITATION {"citationItems":[{"id":"ITEM-1","itemData":{"DOI":"10.1080/17429145.2022.2108150","ISSN":"17429153","abstract":"Since the Green Revolution, intensive application of agrochemicals has increased productivity in agriculture, at a great cost in terms of water pollution, loss of soil fertility and biodiversity, and negative effects on human health. Scientific advance and increasing public awareness are driving a change toward sustainable practices. In such a context, the symbiosis between plants and arbuscular mycorrhizal (AM) fungi is extremely promising: AM interaction improves plant mineral nutrition and stress tolerance. In turn, AM fungi receive plant photosynthesis-derived carbon. A complex chemical dialogue mediates plant-fungus recognition and symbiosis establishment: AM fungi perceive root-secreted strigolactones, which promote spore germination, hyphal growth, branching and metabolism. Host roots recognize their symbionts through chitin-derived molecules. Such Myc–factors activate a range of symbiotic responses, preparing the plant to a successful association. Here we review the most recent advances in knowledge of AM signaling molecules, with a focus on their possible application.","author":[{"dropping-particle":"","family":"Crosino","given":"Andrea","non-dropping-particle":"","parse-names":false,"suffix":""},{"dropping-particle":"","family":"Genre","given":"Andrea","non-dropping-particle":"","parse-names":false,"suffix":""}],"container-title":"Journal of Plant Interactions","id":"ITEM-1","issue":"1","issued":{"date-parts":[["2022"]]},"page":"824-839","title":"Peace talks: symbiotic signaling molecules in arbuscular mycorrhizas and their potential application","type":"article-journal","volume":"17"},"uris":["http://www.mendeley.com/documents/?uuid=4cb07b47-f21b-4f90-abb2-fb018d1d498b"]},{"id":"ITEM-2","itemData":{"DOI":"10.3389/fpls.2024.1418699","ISSN":"1664462X","abstract":"Arbuscular mycorrhizal (AM) fungi are crucial components of the plant microbiota and can form symbioses with 72% of land plants. Researchers have long known that AM symbioses have dramatic effects on plant performance and also provide multiple ecological services in terrestrial environments. The successful establishment of AM symbioses relies on the host plant recognition of the diffusible mycorrhizal (Myc) factors, lipo-chitooligosaccharides (LCOs) and chitooligosaccharides (COs). Among them, the short-chain COs such as CO4/5 secreted by AM fungi are the major Myc factors in COs. In this review, we summarize current advances, develop the concept of mycorrhizal biceptor complex (double receptor complexes for Myc-LCOs and CO4/5 in the same plant), and provide a perspective on the future development of mycorrhizal receptors. First, we focus on the distinct perception of two Myc factors by different host plant species, highlighting the essential role of Lysin-Motif (LysM)-type mycorrhizal receptors in perceiving them. Second, we propose the underlying molecular mechanisms by which LysM-type mycorrhizal receptors in various plants recognize both the Myc-LCOs and -COs. Finally, we explore future prospects for studies on the biceptor complex (Myc-LCO and -CO receptors) in dicots to facilitate the utilization of them in cereal crops (particularly in modern cultivated rice). In conclusion, our understanding of the precise perception processes during host plant interacting with AM fungi, where LysM-type mycorrhizal receptors act as recruiters, provides the tools to design biotechnological applications addressing agricultural challenges.","author":[{"dropping-particle":"","family":"He","given":"Junliang","non-dropping-particle":"","parse-names":false,"suffix":""},{"dropping-particle":"","family":"Huang","given":"Renliang","non-dropping-particle":"","parse-names":false,"suffix":""},{"dropping-particle":"","family":"Xie","given":"Xianan","non-dropping-particle":"","parse-names":false,"suffix":""}],"container-title":"Frontiers in Plant Science","id":"ITEM-2","issue":"September","issued":{"date-parts":[["2024"]]},"page":"1-8","title":"A gap in the recognition of two mycorrhizal factors: new insights into two LysM-type mycorrhizal receptors","type":"article-journal","volume":"15"},"uris":["http://www.mendeley.com/documents/?uuid=b207c3e5-af13-40d9-ac2c-be0c5c84ab74"]}],"mendeley":{"formattedCitation":"(Crosino &amp; Genre, 2022; He et al., 2024)","plainTextFormattedCitation":"(Crosino &amp; Genre, 2022; He et al., 2024)","previouslyFormattedCitation":"(Crosino &amp; Genre, 2022; He et al., 2024)"},"properties":{"noteIndex":0},"schema":"https://github.com/citation-style-language/schema/raw/master/csl-citation.json"}</w:instrText>
      </w:r>
      <w:r w:rsidR="00C215F2">
        <w:rPr>
          <w:rFonts w:ascii="Arial" w:hAnsi="Arial" w:cs="Arial"/>
        </w:rPr>
        <w:fldChar w:fldCharType="separate"/>
      </w:r>
      <w:r w:rsidR="00C215F2" w:rsidRPr="00C215F2">
        <w:rPr>
          <w:rFonts w:ascii="Arial" w:hAnsi="Arial" w:cs="Arial"/>
          <w:noProof/>
        </w:rPr>
        <w:t>(Crosino &amp; Genre, 2022; He et al., 2024)</w:t>
      </w:r>
      <w:r w:rsidR="00C215F2">
        <w:rPr>
          <w:rFonts w:ascii="Arial" w:hAnsi="Arial" w:cs="Arial"/>
        </w:rPr>
        <w:fldChar w:fldCharType="end"/>
      </w:r>
      <w:r w:rsidRPr="00C32631">
        <w:rPr>
          <w:rFonts w:ascii="Arial" w:hAnsi="Arial" w:cs="Arial"/>
        </w:rPr>
        <w:t xml:space="preserve">. </w:t>
      </w:r>
      <w:proofErr w:type="spellStart"/>
      <w:r w:rsidRPr="00C32631">
        <w:rPr>
          <w:rFonts w:ascii="Arial" w:hAnsi="Arial" w:cs="Arial"/>
        </w:rPr>
        <w:t>Strigolactone</w:t>
      </w:r>
      <w:proofErr w:type="spellEnd"/>
      <w:r w:rsidRPr="00C32631">
        <w:rPr>
          <w:rFonts w:ascii="Arial" w:hAnsi="Arial" w:cs="Arial"/>
        </w:rPr>
        <w:t xml:space="preserve"> compounds released by host roots can induce AM spore germination and hyphal growth towards the origins of the host plant </w:t>
      </w:r>
      <w:r w:rsidR="00C215F2">
        <w:rPr>
          <w:rFonts w:ascii="Arial" w:hAnsi="Arial" w:cs="Arial"/>
        </w:rPr>
        <w:fldChar w:fldCharType="begin" w:fldLock="1"/>
      </w:r>
      <w:r w:rsidR="00C215F2">
        <w:rPr>
          <w:rFonts w:ascii="Arial" w:hAnsi="Arial" w:cs="Arial"/>
        </w:rPr>
        <w:instrText>ADDIN CSL_CITATION {"citationItems":[{"id":"ITEM-1","itemData":{"DOI":"10.1007/s10725-025-01325-3","ISSN":"15735087","abstract":"Strigolactones (SLs) function as both hormones within plants and signaling molecules in the rhizosphere, interacting with mycorrhizal fungi and certain weeds. While SLs are known to regulate plant growth and development, their role in interactions with harmful microbes, such as fungi, remains poorly understood. This review explores how SL-based approaches could transform pest and disease management by promoting soil health, with SLs influencing microbial populations depending on their type, profile, and concentration in different plant species. We also address how factors like plant morphology, root structure, environmental conditions, and soil types shape SL-microbe interactions. A deeper understanding of SL biosynthesis pathways across plant species could provide insights into their impact on microbial communities and plant resilience. Key to advancing research is understanding SL signaling pathways, including downstream components and physiological mechanisms, which could be elucidated using techniques like CRISPR/Cas9. These tools offer the potential to explore the genetic basis of SL effects on plant-microbe interactions. Additionally, pure SLs, rather than racemic mixtures, are crucial for studying their specific effects, as isomers of SLs can trigger different signaling pathways. This paper highlights the influence of SLs on plant germination and growth through their interactions with microbes and suggests that SL-based technologies could offer sustainable solutions for enhancing plant health and managing soil ecosystems.","author":[{"dropping-particle":"","family":"Naz","given":"Misbah","non-dropping-particle":"","parse-names":false,"suffix":""},{"dropping-particle":"","family":"Afzal","given":"Muhammad Rahil","non-dropping-particle":"","parse-names":false,"suffix":""},{"dropping-particle":"","family":"Raza","given":"Muhammad Ammar","non-dropping-particle":"","parse-names":false,"suffix":""},{"dropping-particle":"","family":"Tariq","given":"Muhammad","non-dropping-particle":"","parse-names":false,"suffix":""},{"dropping-particle":"","family":"Yan","given":"Mengting","non-dropping-particle":"","parse-names":false,"suffix":""},{"dropping-particle":"","family":"Dai","given":"Zhicong","non-dropping-particle":"","parse-names":false,"suffix":""},{"dropping-particle":"","family":"Qi","given":"Shanshan","non-dropping-particle":"","parse-names":false,"suffix":""},{"dropping-particle":"","family":"Du","given":"Daolin","non-dropping-particle":"","parse-names":false,"suffix":""}],"container-title":"Plant Growth Regulation","id":"ITEM-1","issued":{"date-parts":[["2025"]]},"page":"1-21","title":"The Significant Effects of Strigolactones on Plant Growth and Microbe Interactions: A Review","type":"article-journal"},"uris":["http://www.mendeley.com/documents/?uuid=92ebaf9a-ae0e-4cf0-ba9a-d29ff5dfe1eb"]},{"id":"ITEM-2","itemData":{"DOI":"10.3390/jof9090945","ISSN":"2309608X","abstract":"Beneficial associations are very important for plants and soil-dwelling microorganisms in different ecological niches, where communication by chemical signals is relevant. Among the chemical signals, the release of phytohormones by plants is important to establish beneficial associations with fungi, and a recently described association is that of the entomopathogenic ascomycete fungus Metarhizium with plants. Here, we evaluated the effect of four different phytohormones, synthetic strigolactone (GR24), sorgolactone (SorL), 3-indolacetic acid (IAA) and gibberellic acid (GA3), on the fungus Metarhizium guizhouense strain HA11-2, where the germination rate and hyphal elongation were determined at three different times. All phytohormones had a positive effect on germination, with GA3 showing the greatest effect, and for hyphal length, on average, the group treated with synthetic strigolactone GR24 showed greater average hyphal length at 10 h of induction. This work expands the knowledge of the effect of phytohormones on the fungus M. guizhouense, as possible chemical signals for the rapid establishment of the fungus–plant association.","author":[{"dropping-particle":"","family":"Pina-Torres","given":"Ivan Horacio","non-dropping-particle":"","parse-names":false,"suffix":""},{"dropping-particle":"","family":"Davila-Berumen","given":"Fabiola","non-dropping-particle":"","parse-names":false,"suffix":""},{"dropping-particle":"","family":"Gonzalez-Hernadez","given":"Gloria Angelica Gonzalez-Hernandez","non-dropping-particle":"","parse-names":false,"suffix":""},{"dropping-particle":"","family":"Terres-Guzman","given":"Juan Carlon","non-dropping-particle":"","parse-names":false,"suffix":""},{"dropping-particle":"","family":"Padilla-Guerrero","given":"Israel Enrique","non-dropping-particle":"","parse-names":false,"suffix":""}],"container-title":"Journal of Fungi","id":"ITEM-2","issued":{"date-parts":[["2023"]]},"page":"945","title":"Hyphal Growth and Conidia Germination Are Induced by Phytohormones in the Root Colonizing and Plant Growth Promoting Fungus Metarhizium guizhouense","type":"article-journal","volume":"9"},"uris":["http://www.mendeley.com/documents/?uuid=712a8356-40ec-48c8-9c5d-61e7d677e332"]}],"mendeley":{"formattedCitation":"(Naz et al., 2025; Pina-Torres et al., 2023)","plainTextFormattedCitation":"(Naz et al., 2025; Pina-Torres et al., 2023)","previouslyFormattedCitation":"(Naz et al., 2025; Pina-Torres et al., 2023)"},"properties":{"noteIndex":0},"schema":"https://github.com/citation-style-language/schema/raw/master/csl-citation.json"}</w:instrText>
      </w:r>
      <w:r w:rsidR="00C215F2">
        <w:rPr>
          <w:rFonts w:ascii="Arial" w:hAnsi="Arial" w:cs="Arial"/>
        </w:rPr>
        <w:fldChar w:fldCharType="separate"/>
      </w:r>
      <w:r w:rsidR="00C215F2" w:rsidRPr="00C215F2">
        <w:rPr>
          <w:rFonts w:ascii="Arial" w:hAnsi="Arial" w:cs="Arial"/>
          <w:noProof/>
        </w:rPr>
        <w:t>(Naz et al., 2025; Pina-Torres et al., 2023)</w:t>
      </w:r>
      <w:r w:rsidR="00C215F2">
        <w:rPr>
          <w:rFonts w:ascii="Arial" w:hAnsi="Arial" w:cs="Arial"/>
        </w:rPr>
        <w:fldChar w:fldCharType="end"/>
      </w:r>
      <w:r w:rsidRPr="00C32631">
        <w:rPr>
          <w:rFonts w:ascii="Arial" w:hAnsi="Arial" w:cs="Arial"/>
        </w:rPr>
        <w:t xml:space="preserve">. After the AM hyphae reach the root surface, the AM hyphae will form hyphopodia </w:t>
      </w:r>
      <w:r w:rsidR="00C215F2">
        <w:rPr>
          <w:rFonts w:ascii="Arial" w:hAnsi="Arial" w:cs="Arial"/>
        </w:rPr>
        <w:fldChar w:fldCharType="begin" w:fldLock="1"/>
      </w:r>
      <w:r w:rsidR="00C215F2">
        <w:rPr>
          <w:rFonts w:ascii="Arial" w:hAnsi="Arial" w:cs="Arial"/>
        </w:rPr>
        <w:instrText>ADDIN CSL_CITATION {"citationItems":[{"id":"ITEM-1","itemData":{"DOI":"10.3390/horticulturae10121326","ISSN":"23117524","abstract":"Agricultural systems are particularly impacted by global climate change (CC), responsible for the introduction of multiple environmental stressors negatively affecting plant growth. Soil microbial communities are crucial in agricultural practices, influencing crop performance and soil health. Human activities and CC threaten soil microbial biodiversity, leading to soil quality degradation and decreasing plant health and productivity. Among plant-beneficial microorganisms, mycorrhizal fungi are widespread in terrestrial ecosystems, including agroecosystems, and they play a key role by enhancing plants’ fitness and resilience to both abiotic and biotic stresses. Therefore, exploring the role of mycorrhizal symbiosis in sustainable agriculture has become increasingly critical. Moreover, the application of mycorrhizal bioinoculants could reduce dependence on inorganic fertilizers, enhance crop yield, and support plants in overcoming environmental stresses. This review, after briefly introducing taxonomy, morphology and mechanisms supporting the symbiosis establishment, reports the roles of mycorrhizal fungi and their associated bacteria in improving plant nutrition and mitigating CC-induced abiotic stresses such as drought and salinity, also giving specific examples. The focus is on arbuscular mycorrhizal fungi (AMF), but ericoid mycorrhizal (ErM) fungi are also considered as promising microorganisms for a sustainable agricultural model. New emerging concepts are illustrated, such as the role of AMF hyphosphere in acting as a preferential niche to host plant growth-promoting bacteria and the potential of ErM fungi to improve plant performance on Ericaceae plants but also on non-host plants, behaving as endophytes. Finally, the potential and limitations of mycorrhizal-based bioinoculants are discussed as possible alternatives to chemical-based products. To this aim, possible ways to overcome problems and limitations to their use are discussed such as proper formulations, the systematic check of AMF propagule viability and the application of suitable agronomical practices in the field.","author":[{"dropping-particle":"","family":"Bortolot","given":"Miriana","non-dropping-particle":"","parse-names":false,"suffix":""},{"dropping-particle":"","family":"Buffoni","given":"Beatrice","non-dropping-particle":"","parse-names":false,"suffix":""},{"dropping-particle":"","family":"Mazzarino","given":"Sonia","non-dropping-particle":"","parse-names":false,"suffix":""},{"dropping-particle":"","family":"Hoff","given":"Gregory","non-dropping-particle":"","parse-names":false,"suffix":""},{"dropping-particle":"","family":"Martino","given":"Elena","non-dropping-particle":"","parse-names":false,"suffix":""},{"dropping-particle":"","family":"Fiorilli","given":"Valentina","non-dropping-particle":"","parse-names":false,"suffix":""},{"dropping-particle":"","family":"Salvioli Di Fossalunga","given":"Alessandra","non-dropping-particle":"","parse-names":false,"suffix":""}],"container-title":"Horticulturae","id":"ITEM-1","issue":"12","issued":{"date-parts":[["2024"]]},"page":"1-26","title":"The Importance of Mycorrhizal Fungi and Their Associated Bacteria in Promoting Crops’ Performance: An Applicative Perspective","type":"article-journal","volume":"10"},"uris":["http://www.mendeley.com/documents/?uuid=f3325c0e-60ac-435f-9ce1-727472432079"]},{"id":"ITEM-2","itemData":{"DOI":"10.13057/biodiv/d251249","ISBN":"6234156584","ISSN":"20854722","abstract":"One main problem of ex-coal mining land is low soil phosphate (P) availability and easy binding of phosphate to Fe and Al (hydro)oxide. These conditions affect the abundance and activity of soil microorganisms. Unlike other microbes, mycorrhizae can help root uptake of P that is not available in the inorganic form and make it available for crops. The addition of slow-release phosphate sources-such as rock phosphate, bone meal, and fish meal-are good sources of P nutrients because they are not easily fixed and washed away. This study aimed to improve ex-coal mining land conditions by increasing the level of P availability in soil via the application of various P sources at different dosages to improve mycorrhizal spores and sorghum growth. The pot experiment used a factorial completely randomized block design (CRBD) with 3 different phosphate source type (P), consisting of 3 treatment levels, under the optimum concentration of-P1: rock phosphate; P2: bone meal; and P3: fish meal-and various dose of phosphate source (F) consisting of 5 treatment levels-F0: control; F1: 0.17 g/polybag; F2: 0.29 g/polybag; F3: 0.40 g/polybag; and F4: 0.57 g/polybag-with a total combination of 15 treatments with 4 replications. The combination of the P2F3 treatment (bone meal dose of 0.40 g/polybag) was the best dose. It was effective in increasing the number of Arbuscular Mycorrhizae (AM) spores by 273 and increasing soil available P by 28.24 mg/kg. The P1F4 (natural phosphate with 0.57 g polybag-1) was the best treatment and produced the greater fresh weight and dry weight biomass of sorghum at about 31.86 g and 10.47 g, respectively. The plant height was increased by 5 to 35%, but there was no effect on the number of sorghum leaves.","author":[{"dropping-particle":"","family":"Prasetya","given":"Budi","non-dropping-particle":"","parse-names":false,"suffix":""},{"dropping-particle":"","family":"Arfiyanti","given":"Herliana","non-dropping-particle":"","parse-names":false,"suffix":""},{"dropping-particle":"","family":"Arfarita","given":"Novi","non-dropping-particle":"","parse-names":false,"suffix":""}],"container-title":"Biodiversitas","id":"ITEM-2","issue":"12","issued":{"date-parts":[["2024"]]},"page":"5112-5122","title":"Exploring the benefit of arbuscular mycorrhizal Glomus spp. in improving available soil P and crop growth of sorghum cultivated on ex-coal mine soil","type":"article-journal","volume":"25"},"uris":["http://www.mendeley.com/documents/?uuid=1d687c47-2577-42d7-8e1c-68186621005c"]}],"mendeley":{"formattedCitation":"(Bortolot et al., 2024; Prasetya et al., 2024)","plainTextFormattedCitation":"(Bortolot et al., 2024; Prasetya et al., 2024)","previouslyFormattedCitation":"(Bortolot et al., 2024; Prasetya et al., 2024)"},"properties":{"noteIndex":0},"schema":"https://github.com/citation-style-language/schema/raw/master/csl-citation.json"}</w:instrText>
      </w:r>
      <w:r w:rsidR="00C215F2">
        <w:rPr>
          <w:rFonts w:ascii="Arial" w:hAnsi="Arial" w:cs="Arial"/>
        </w:rPr>
        <w:fldChar w:fldCharType="separate"/>
      </w:r>
      <w:r w:rsidR="00C215F2" w:rsidRPr="00C215F2">
        <w:rPr>
          <w:rFonts w:ascii="Arial" w:hAnsi="Arial" w:cs="Arial"/>
          <w:noProof/>
        </w:rPr>
        <w:t>(Bortolot et al., 2024; Prasetya et al., 2024)</w:t>
      </w:r>
      <w:r w:rsidR="00C215F2">
        <w:rPr>
          <w:rFonts w:ascii="Arial" w:hAnsi="Arial" w:cs="Arial"/>
        </w:rPr>
        <w:fldChar w:fldCharType="end"/>
      </w:r>
      <w:r w:rsidRPr="00C32631">
        <w:rPr>
          <w:rFonts w:ascii="Arial" w:hAnsi="Arial" w:cs="Arial"/>
        </w:rPr>
        <w:t xml:space="preserve">. Furthermore, the AM hyphae then enter and grow between root cells and finally create a branched structure called an arbuscule in the cortex cell tissue </w:t>
      </w:r>
      <w:r w:rsidR="00C215F2">
        <w:rPr>
          <w:rFonts w:ascii="Arial" w:hAnsi="Arial" w:cs="Arial"/>
        </w:rPr>
        <w:fldChar w:fldCharType="begin" w:fldLock="1"/>
      </w:r>
      <w:r w:rsidR="00C215F2">
        <w:rPr>
          <w:rFonts w:ascii="Arial" w:hAnsi="Arial" w:cs="Arial"/>
        </w:rPr>
        <w:instrText>ADDIN CSL_CITATION {"citationItems":[{"id":"ITEM-1","itemData":{"DOI":"10.3390/horticulturae10121326","ISSN":"23117524","abstract":"Agricultural systems are particularly impacted by global climate change (CC), responsible for the introduction of multiple environmental stressors negatively affecting plant growth. Soil microbial communities are crucial in agricultural practices, influencing crop performance and soil health. Human activities and CC threaten soil microbial biodiversity, leading to soil quality degradation and decreasing plant health and productivity. Among plant-beneficial microorganisms, mycorrhizal fungi are widespread in terrestrial ecosystems, including agroecosystems, and they play a key role by enhancing plants’ fitness and resilience to both abiotic and biotic stresses. Therefore, exploring the role of mycorrhizal symbiosis in sustainable agriculture has become increasingly critical. Moreover, the application of mycorrhizal bioinoculants could reduce dependence on inorganic fertilizers, enhance crop yield, and support plants in overcoming environmental stresses. This review, after briefly introducing taxonomy, morphology and mechanisms supporting the symbiosis establishment, reports the roles of mycorrhizal fungi and their associated bacteria in improving plant nutrition and mitigating CC-induced abiotic stresses such as drought and salinity, also giving specific examples. The focus is on arbuscular mycorrhizal fungi (AMF), but ericoid mycorrhizal (ErM) fungi are also considered as promising microorganisms for a sustainable agricultural model. New emerging concepts are illustrated, such as the role of AMF hyphosphere in acting as a preferential niche to host plant growth-promoting bacteria and the potential of ErM fungi to improve plant performance on Ericaceae plants but also on non-host plants, behaving as endophytes. Finally, the potential and limitations of mycorrhizal-based bioinoculants are discussed as possible alternatives to chemical-based products. To this aim, possible ways to overcome problems and limitations to their use are discussed such as proper formulations, the systematic check of AMF propagule viability and the application of suitable agronomical practices in the field.","author":[{"dropping-particle":"","family":"Bortolot","given":"Miriana","non-dropping-particle":"","parse-names":false,"suffix":""},{"dropping-particle":"","family":"Buffoni","given":"Beatrice","non-dropping-particle":"","parse-names":false,"suffix":""},{"dropping-particle":"","family":"Mazzarino","given":"Sonia","non-dropping-particle":"","parse-names":false,"suffix":""},{"dropping-particle":"","family":"Hoff","given":"Gregory","non-dropping-particle":"","parse-names":false,"suffix":""},{"dropping-particle":"","family":"Martino","given":"Elena","non-dropping-particle":"","parse-names":false,"suffix":""},{"dropping-particle":"","family":"Fiorilli","given":"Valentina","non-dropping-particle":"","parse-names":false,"suffix":""},{"dropping-particle":"","family":"Salvioli Di Fossalunga","given":"Alessandra","non-dropping-particle":"","parse-names":false,"suffix":""}],"container-title":"Horticulturae","id":"ITEM-1","issue":"12","issued":{"date-parts":[["2024"]]},"page":"1-26","title":"The Importance of Mycorrhizal Fungi and Their Associated Bacteria in Promoting Crops’ Performance: An Applicative Perspective","type":"article-journal","volume":"10"},"uris":["http://www.mendeley.com/documents/?uuid=f3325c0e-60ac-435f-9ce1-727472432079"]},{"id":"ITEM-2","itemData":{"DOI":"10.3390/applmicrobiol5010006","ISSN":"26738007","abstract":"Arbuscular mycorrhizal (AM) fungi play a crucial role in maintaining sustainable agroecosystems by forming mutualistic relationships with plant roots, improving soil health, facilitating nutrient uptake, and enhancing resilience to abiotic stresses. The mutualistic relationship between AM fungi and plants promotes a balanced microbial community and improves soil structure by forming stable soil aggregates. Additionally, AM fungi can lower the adverse effects of high soil phosphorus (P) while also enhancing plant tolerance to drought, salinity, and heavy metal toxicity through osmotic regulation and antioxidant production. Arbuscular mycorrhizal fungi also support beneficial microorganisms, such as potassium (K)-solubilizing microbes and nitrogen (N)-transforming bacteria, which enhance the nutrient dynamics in soil. However, intensive agricultural practices, including heavy tillage and continuous monoculture, disrupt AM fungal networks and reduce microbial diversity, impairing their effectiveness. Adopting conservation practices such as reduced tillage, crop rotation, and organic amendments supports AM fungal growth. Incorporating mycorrhizal crops and utilizing native fungal inoculants can enhance AM fungal colonization and plant growth. These strategies collectively bolster soil health, crop productivity, and resilience, offering a promising solution to the environmental and agricultural challenges posed by intensive farming. By promoting AM fungi growth and colonization, agroecosystems can achieve long-term productivity and increased sustainability.","author":[{"dropping-particle":"","family":"Chaudhary","given":"Anju","non-dropping-particle":"","parse-names":false,"suffix":""},{"dropping-particle":"","family":"Poudyal","given":"Shital","non-dropping-particle":"","parse-names":false,"suffix":""},{"dropping-particle":"","family":"Kaundal","given":"Amita","non-dropping-particle":"","parse-names":false,"suffix":""}],"container-title":"Applied Microbiology","id":"ITEM-2","issue":"6","issued":{"date-parts":[["2025"]]},"page":"1-19","title":"Role of Arbuscular Mycorrhizal Fungi in Maintaining Sustainable Agroecosystems","type":"article-journal","volume":"5"},"uris":["http://www.mendeley.com/documents/?uuid=4adcb263-a851-437d-9da5-cd6760bee7bb"]}],"mendeley":{"formattedCitation":"(Bortolot et al., 2024; Chaudhary et al., 2025)","plainTextFormattedCitation":"(Bortolot et al., 2024; Chaudhary et al., 2025)","previouslyFormattedCitation":"(Bortolot et al., 2024; Chaudhary et al., 2025)"},"properties":{"noteIndex":0},"schema":"https://github.com/citation-style-language/schema/raw/master/csl-citation.json"}</w:instrText>
      </w:r>
      <w:r w:rsidR="00C215F2">
        <w:rPr>
          <w:rFonts w:ascii="Arial" w:hAnsi="Arial" w:cs="Arial"/>
        </w:rPr>
        <w:fldChar w:fldCharType="separate"/>
      </w:r>
      <w:r w:rsidR="00C215F2" w:rsidRPr="00C215F2">
        <w:rPr>
          <w:rFonts w:ascii="Arial" w:hAnsi="Arial" w:cs="Arial"/>
          <w:noProof/>
        </w:rPr>
        <w:t>(Bortolot et al., 2024; Chaudhary et al., 2025)</w:t>
      </w:r>
      <w:r w:rsidR="00C215F2">
        <w:rPr>
          <w:rFonts w:ascii="Arial" w:hAnsi="Arial" w:cs="Arial"/>
        </w:rPr>
        <w:fldChar w:fldCharType="end"/>
      </w:r>
      <w:r w:rsidRPr="00C32631">
        <w:rPr>
          <w:rFonts w:ascii="Arial" w:hAnsi="Arial" w:cs="Arial"/>
        </w:rPr>
        <w:t xml:space="preserve">. Branched arbuscules provide a large surface area for nutrient exchange. Mineral nutrients such as phosphorus (P) and nitrogen (N) are transported from the AM fungus to the host plant through the symbiotic interface </w:t>
      </w:r>
      <w:r w:rsidR="00C215F2">
        <w:rPr>
          <w:rFonts w:ascii="Arial" w:hAnsi="Arial" w:cs="Arial"/>
        </w:rPr>
        <w:fldChar w:fldCharType="begin" w:fldLock="1"/>
      </w:r>
      <w:r w:rsidR="00A635FD">
        <w:rPr>
          <w:rFonts w:ascii="Arial" w:hAnsi="Arial" w:cs="Arial"/>
        </w:rPr>
        <w:instrText>ADDIN CSL_CITATION {"citationItems":[{"id":"ITEM-1","itemData":{"DOI":"10.3389/fpls.2023.1169310","ISSN":"1664462X","abstract":"Arbuscular mycorrhizal fungi (AMF) are ubiquitous in soil and form nutritional symbioses with ~80% of vascular plant species, which significantly impact global carbon (C) and nitrogen (N) biogeochemical cycles. Roots of plant individuals are interconnected by AMF hyphae to form common AM networks (CAMNs), which provide pathways for the transfer of C and N from one plant to another, promoting plant coexistence and biodiversity. Despite that stable isotope methodologies (13C, 14C and 15N tracer techniques) have demonstrated CAMNs are an important pathway for the translocation of both C and N, the functioning of CAMNs in ecosystem C and N dynamics remains equivocal. This review systematically synthesizes both laboratory and field evidence in interplant C and N transfer through CAMNs generated through stable isotope methodologies and highlights perspectives on the system functionality of CAMNs with implications for plant coexistence, species diversity and community stability. One-way transfers from donor to recipient plants of 0.02-41% C and 0.04-80% N of recipient C and N have been observed, with the reverse fluxes generally less than 15% of donor C and N. Interplant C and N transfers have practical implications for plant performance, coexistence and biodiversity in both resource-limited and resource-unlimited habitats. Resource competition among coexisting individuals of the same or different species is undoubtedly modified by such C and N transfers. Studying interplant variability in these transfers with 13C and 15N tracer application and natural abundance measurements could address the eco physiological significance of such CAMNs in sustainable agricultural and natural ecosystems.","author":[{"dropping-particle":"","family":"Luo","given":"Xie","non-dropping-particle":"","parse-names":false,"suffix":""},{"dropping-particle":"","family":"Liu","given":"Yining","non-dropping-particle":"","parse-names":false,"suffix":""},{"dropping-particle":"","family":"Li","given":"Siyue","non-dropping-particle":"","parse-names":false,"suffix":""},{"dropping-particle":"","family":"He","given":"Xinhua","non-dropping-particle":"","parse-names":false,"suffix":""}],"container-title":"Frontiers in Plant Science","id":"ITEM-1","issued":{"date-parts":[["2023"]]},"page":"1169310","title":"Interplant Carbon and Nitrogen Transfers Mediated by Common Arbuscular Mycorrhizal Networks: Beneficial Pathways for System Functionality","type":"article-journal","volume":"14"},"uris":["http://www.mendeley.com/documents/?uuid=fc8b6063-fe43-4670-84a5-352352fb82d3"]},{"id":"ITEM-2","itemData":{"DOI":"10.3390/ijms231911027","ISSN":"14220067","PMID":"36232323","abstract":"More than 80% of land plant species can form symbioses with arbuscular mycorrhizal (AM) fungi, and nutrient transfer to plants is largely mediated through this partnership. Over the last few years, great progress has been made in deciphering the molecular mechanisms underlying the AM-mediated modulation of nutrient uptake progress, and a growing number of fungal and plant genes responsible for the uptake of nutrients from soil or transfer across the fungal–root interface have been identified. In this review, we outline the current concepts of nutrient exchanges within this symbiosis (mechanisms and regulation) and focus on P and N transfer from the fungal partner to the host plant, with a highlight on a possible interplay between P and N nutrient exchanges. Transporters belonging to the plant or AM fungi can synergistically process the transmembrane transport of soil nutrients to the symbiotic interface for further plant acquisition. Although much progress has been made to elucidate the complex mechanism for the integrated roles of nutrient transfers in AM symbiosis, questions still remain to be answered; for example, P and N transporters are less studied in different species of AM fungi; the involvement of AM fungi in plant N uptake is not as clearly defined as that of P; coordinated utilization of N and P is unknown; transporters of cultivated plants inoculated with AM fungi and transcriptomic and metabolomic networks at both the soil–fungi interface and fungi–plant interface have been insufficiently studied. These findings open new perspectives for fundamental research and application of AM fungi in agriculture.","author":[{"dropping-particle":"","family":"Rui","given":"Wenjing","non-dropping-particle":"","parse-names":false,"suffix":""},{"dropping-particle":"","family":"Mao","given":"Zhipeng","non-dropping-particle":"","parse-names":false,"suffix":""},{"dropping-particle":"","family":"Li","given":"Zhifang","non-dropping-particle":"","parse-names":false,"suffix":""}],"container-title":"International Journal of Molecular Sciences","id":"ITEM-2","issued":{"date-parts":[["2022"]]},"page":"11027","title":"The Roles of Phosphorus and Nitrogen Nutrient Transporters in the Arbuscular Mycorrhizal Symbiosis","type":"article-journal","volume":"23"},"uris":["http://www.mendeley.com/documents/?uuid=5d798e3f-a212-4f8d-a800-93149e5c4f2e"]},{"id":"ITEM-3","itemData":{"DOI":"10.3390/plants12173102","ISSN":"22237747","abstract":"Arbuscular mycorrhizal fungi (AMF) form symbiotic relationships with the roots of nearly all land-dwelling plants, increasing growth and productivity, especially during abiotic stress. AMF improves plant development by improving nutrient acquisition, such as phosphorus, water, and mineral uptake. AMF improves plant tolerance and resilience to abiotic stressors such as drought, salt, and heavy metal toxicity. These benefits come from the arbuscular mycorrhizal interface, which lets fungal and plant partners exchange nutrients, signalling molecules, and protective chemical compounds. Plants’ antioxidant defence systems, osmotic adjustment, and hormone regulation are also affected by AMF infestation. These responses promote plant performance, photosynthetic efficiency, and biomass production in abiotic stress conditions. As a result of its positive effects on soil structure, nutrient cycling, and carbon sequestration, AMF contributes to the maintenance of resilient ecosystems. The effects of AMFs on plant growth and ecological stability are species- and environment-specific. AMF’s growth-regulating, productivity-enhancing role in abiotic stress alleviation under abiotic stress is reviewed. More research is needed to understand the molecular mechanisms that drive AMF-plant interactions and their responses to abiotic stresses. AMF triggers plants’ morphological, physiological, and molecular responses to abiotic stress. Water and nutrient acquisition, plant development, and abiotic stress tolerance are improved by arbuscular mycorrhizal symbiosis. In plants, AMF colonization modulates antioxidant defense mechanisms, osmotic adjustment, and hormonal regulation. These responses promote plant performance, photosynthetic efficiency, and biomass production in abiotic stress circumstances. AMF-mediated effects are also enhanced by essential oils (EOs), superoxide dismutase (SOD), peroxidase (POD), ascorbate peroxidase (APX), hydrogen peroxide (H2O2), malondialdehyde (MDA), and phosphorus (P). Understanding how AMF increases plant adaptation and reduces abiotic stress will help sustain agriculture, ecosystem management, and climate change mitigation. Arbuscular mycorrhizal fungi (AMF) have gained prominence in agriculture due to their multifaceted roles in promoting plant health and productivity. This review delves into how AMF influences plant growth and nutrient absorption, especially under challenging environmental conditions. We further explore the extent to whi…","author":[{"dropping-particle":"","family":"Wahab","given":"Abdul","non-dropping-particle":"","parse-names":false,"suffix":""},{"dropping-particle":"","family":"Muhammad","given":"Murad","non-dropping-particle":"","parse-names":false,"suffix":""},{"dropping-particle":"","family":"Munir","given":"Asma","non-dropping-particle":"","parse-names":false,"suffix":""},{"dropping-particle":"","family":"Abdi","given":"Gholamreza","non-dropping-particle":"","parse-names":false,"suffix":""},{"dropping-particle":"","family":"Zaman","given":"Wajib","non-dropping-particle":"","parse-names":false,"suffix":""},{"dropping-particle":"","family":"Ayaz","given":"Asma","non-dropping-particle":"","parse-names":false,"suffix":""},{"dropping-particle":"","family":"Khizar","given":"Chandni","non-dropping-particle":"","parse-names":false,"suffix":""},{"dropping-particle":"","family":"Reddy","given":"Sneha Priya Pappula","non-dropping-particle":"","parse-names":false,"suffix":""}],"container-title":"Plants","id":"ITEM-3","issued":{"date-parts":[["2023"]]},"page":"3102","title":"Role of Arbuscular Mycorrhizal Fungi in Regulating Growth, Enhancing Productivity, and Potentially Influencing Ecosystems under Abiotic and Biotic Stresses","type":"article-journal","volume":"12"},"uris":["http://www.mendeley.com/documents/?uuid=3640b655-2d79-485a-b4c3-fc7c86fa59c4"]}],"mendeley":{"formattedCitation":"(Luo et al., 2023; Rui et al., 2022; Wahab et al., 2023)","plainTextFormattedCitation":"(Luo et al., 2023; Rui et al., 2022; Wahab et al., 2023)","previouslyFormattedCitation":"(Luo et al., 2023; Rui et al., 2022; Wahab et al., 2023)"},"properties":{"noteIndex":0},"schema":"https://github.com/citation-style-language/schema/raw/master/csl-citation.json"}</w:instrText>
      </w:r>
      <w:r w:rsidR="00C215F2">
        <w:rPr>
          <w:rFonts w:ascii="Arial" w:hAnsi="Arial" w:cs="Arial"/>
        </w:rPr>
        <w:fldChar w:fldCharType="separate"/>
      </w:r>
      <w:r w:rsidR="00C215F2" w:rsidRPr="00C215F2">
        <w:rPr>
          <w:rFonts w:ascii="Arial" w:hAnsi="Arial" w:cs="Arial"/>
          <w:noProof/>
        </w:rPr>
        <w:t>(Luo et al., 2023; Rui et al., 2022; Wahab et al., 2023)</w:t>
      </w:r>
      <w:r w:rsidR="00C215F2">
        <w:rPr>
          <w:rFonts w:ascii="Arial" w:hAnsi="Arial" w:cs="Arial"/>
        </w:rPr>
        <w:fldChar w:fldCharType="end"/>
      </w:r>
      <w:r w:rsidR="00AB7385">
        <w:rPr>
          <w:rFonts w:ascii="Arial" w:hAnsi="Arial" w:cs="Arial"/>
          <w:lang w:val="id-ID"/>
        </w:rPr>
        <w:t>.</w:t>
      </w:r>
    </w:p>
    <w:p w14:paraId="4E3FBDE3" w14:textId="77777777" w:rsidR="00C32631" w:rsidRDefault="00C32631" w:rsidP="001C511E">
      <w:pPr>
        <w:pStyle w:val="Body"/>
        <w:jc w:val="center"/>
        <w:rPr>
          <w:rFonts w:ascii="Arial" w:hAnsi="Arial" w:cs="Arial"/>
          <w:lang w:val="id-ID"/>
        </w:rPr>
      </w:pPr>
      <w:r w:rsidRPr="00020742">
        <w:rPr>
          <w:noProof/>
          <w:lang w:val="id-ID" w:eastAsia="id-ID"/>
        </w:rPr>
        <w:lastRenderedPageBreak/>
        <w:drawing>
          <wp:inline distT="0" distB="0" distL="0" distR="0" wp14:anchorId="1EF8263B" wp14:editId="30DF686C">
            <wp:extent cx="3403158" cy="2644818"/>
            <wp:effectExtent l="0" t="0" r="698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Lst>
                    </a:blip>
                    <a:srcRect l="24167" t="21976" r="25972" b="9096"/>
                    <a:stretch/>
                  </pic:blipFill>
                  <pic:spPr bwMode="auto">
                    <a:xfrm>
                      <a:off x="0" y="0"/>
                      <a:ext cx="3406047" cy="264706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noProof/>
          <w:lang w:val="id-ID" w:eastAsia="id-ID"/>
        </w:rPr>
        <w:drawing>
          <wp:inline distT="0" distB="0" distL="0" distR="0" wp14:anchorId="05B5B98D" wp14:editId="21E9D7C1">
            <wp:extent cx="2478208" cy="14867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0917" cy="1494341"/>
                    </a:xfrm>
                    <a:prstGeom prst="rect">
                      <a:avLst/>
                    </a:prstGeom>
                    <a:noFill/>
                  </pic:spPr>
                </pic:pic>
              </a:graphicData>
            </a:graphic>
          </wp:inline>
        </w:drawing>
      </w:r>
      <w:r w:rsidRPr="00020742">
        <w:rPr>
          <w:rFonts w:ascii="Times New Roman" w:hAnsi="Times New Roman"/>
          <w:noProof/>
          <w:lang w:val="id-ID" w:eastAsia="id-ID"/>
        </w:rPr>
        <w:drawing>
          <wp:inline distT="0" distB="0" distL="0" distR="0" wp14:anchorId="26BFDA20" wp14:editId="291FC94E">
            <wp:extent cx="2567635" cy="1540367"/>
            <wp:effectExtent l="0" t="0" r="444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572694" cy="1543402"/>
                    </a:xfrm>
                    <a:prstGeom prst="rect">
                      <a:avLst/>
                    </a:prstGeom>
                    <a:noFill/>
                  </pic:spPr>
                </pic:pic>
              </a:graphicData>
            </a:graphic>
          </wp:inline>
        </w:drawing>
      </w:r>
    </w:p>
    <w:p w14:paraId="7E649C0E" w14:textId="77777777" w:rsidR="00C32631" w:rsidRPr="00C32631" w:rsidRDefault="00C32631" w:rsidP="00C32631">
      <w:pPr>
        <w:pStyle w:val="Body"/>
        <w:rPr>
          <w:rFonts w:ascii="Arial" w:hAnsi="Arial" w:cs="Arial"/>
          <w:b/>
          <w:lang w:val="id-ID"/>
        </w:rPr>
      </w:pPr>
      <w:r w:rsidRPr="00C32631">
        <w:rPr>
          <w:rFonts w:ascii="Arial" w:hAnsi="Arial" w:cs="Arial"/>
          <w:b/>
          <w:lang w:val="id-ID"/>
        </w:rPr>
        <w:t>Fig 2. Development of AM structures in root tissue (A, B), colonization level of each AM structure (C), and total AM colonization level (D) in AM powder, sachet, and tablet (H, Hypha; A, Arbuscula; V, Vesicle; S, Spore).</w:t>
      </w:r>
    </w:p>
    <w:p w14:paraId="74C3C92E" w14:textId="77777777" w:rsidR="00C32631" w:rsidRPr="0045027C" w:rsidRDefault="0045027C" w:rsidP="00C32631">
      <w:pPr>
        <w:pStyle w:val="Body"/>
        <w:rPr>
          <w:rFonts w:ascii="Arial" w:hAnsi="Arial" w:cs="Arial"/>
          <w:b/>
        </w:rPr>
      </w:pPr>
      <w:r>
        <w:rPr>
          <w:rFonts w:ascii="Arial" w:hAnsi="Arial" w:cs="Arial"/>
          <w:b/>
          <w:lang w:val="id-ID"/>
        </w:rPr>
        <w:t xml:space="preserve">3.2 </w:t>
      </w:r>
      <w:r w:rsidR="00C32631" w:rsidRPr="0045027C">
        <w:rPr>
          <w:rFonts w:ascii="Arial" w:hAnsi="Arial" w:cs="Arial"/>
          <w:b/>
        </w:rPr>
        <w:t>Mineral nutrients in plant tissue</w:t>
      </w:r>
    </w:p>
    <w:p w14:paraId="1609F2E8" w14:textId="3687A15D" w:rsidR="00C32631" w:rsidRPr="00C32631" w:rsidRDefault="00C32631" w:rsidP="00C32631">
      <w:pPr>
        <w:pStyle w:val="Body"/>
        <w:rPr>
          <w:rFonts w:ascii="Arial" w:hAnsi="Arial" w:cs="Arial"/>
        </w:rPr>
      </w:pPr>
      <w:r w:rsidRPr="00C32631">
        <w:rPr>
          <w:rFonts w:ascii="Arial" w:hAnsi="Arial" w:cs="Arial"/>
        </w:rPr>
        <w:t xml:space="preserve">The mineral nutrient content in Av tissue is affected by AM application, where the mineral content of N and P is more dominantly found in Av tissue that is applied with AM tablets. The effect of AM tablets is significantly different from the effect of AM powder and sachets on the mineral nutrient content of N, P, and K in Av tissue (Fig 3A). Fig 3B, C, and D show that the application of AM tablets tends to increase the N and P content in Av leaves. This is thought to be due to the proximity of the AM spores in the tablets and the Av root area, which is not far apart, allowing for a faster colonization process that immediately facilitates the absorption of N and P through AM hyphae and Av roots. According to </w:t>
      </w:r>
      <w:r w:rsidR="00A635FD">
        <w:rPr>
          <w:rFonts w:ascii="Arial" w:hAnsi="Arial" w:cs="Arial"/>
        </w:rPr>
        <w:fldChar w:fldCharType="begin" w:fldLock="1"/>
      </w:r>
      <w:r w:rsidR="0084494B">
        <w:rPr>
          <w:rFonts w:ascii="Arial" w:hAnsi="Arial" w:cs="Arial"/>
        </w:rPr>
        <w:instrText>ADDIN CSL_CITATION {"citationItems":[{"id":"ITEM-1","itemData":{"DOI":"10.13057/nusbiosci/n140107","ISSN":"2087-3948","abstract":"Abstract. Kumar A, Tapwal A. 2022. Diversity of arbuscular mycorrhizal fungi and root colonization in Polygonatum verticillatum. Nusantara Bioscience 14: 53-63. Diversity of arbuscular mycorrhizal fungi (AMF) associated with Polygonatum verticillatum (L.) All. was investigated in two sites of Himachal Himalaya, India. A total of 15 AMF species were isolated and identified from the rhizosphere soil of P. verticillatum. The spore density was 1.48 ± 1.91 and 3.99 ± 3.78 per 20 gram of rhizosphere soil at site-I and site-II, respectively. Mycorrhizal colonization in the roots of P. verticillatum was recorded 46.12 and 52.23 percent at site-I and site-II, respectively. The mycorrhizal structures like darkly stained endophytic hyphae, coiled intracellular hyphae, Y-shaped hyphae and ‘H’ connection (Arum type) were recorded.","author":[{"dropping-particle":"","family":"Kumar","given":"Ajay","non-dropping-particle":"","parse-names":false,"suffix":""},{"dropping-particle":"","family":"Tapwal","given":"Ashwani","non-dropping-particle":"","parse-names":false,"suffix":""}],"container-title":"Nusantara Bioscience","id":"ITEM-1","issued":{"date-parts":[["2022"]]},"page":"53-63","title":"Diversity of arbuscular mycorrhizal fungi and root colonization in Polygonatum verticillatum","type":"article-journal","volume":"14"},"uris":["http://www.mendeley.com/documents/?uuid=04862ae4-3006-44fb-9f60-cb7cd9b6bfd2"]}],"mendeley":{"formattedCitation":"(Kumar &amp; Tapwal, 2022)","manualFormatting":"Kumar &amp; Tapwal, (2022)","plainTextFormattedCitation":"(Kumar &amp; Tapwal, 2022)","previouslyFormattedCitation":"(Kumar &amp; Tapwal, 2022)"},"properties":{"noteIndex":0},"schema":"https://github.com/citation-style-language/schema/raw/master/csl-citation.json"}</w:instrText>
      </w:r>
      <w:r w:rsidR="00A635FD">
        <w:rPr>
          <w:rFonts w:ascii="Arial" w:hAnsi="Arial" w:cs="Arial"/>
        </w:rPr>
        <w:fldChar w:fldCharType="separate"/>
      </w:r>
      <w:r w:rsidR="00A635FD" w:rsidRPr="00A635FD">
        <w:rPr>
          <w:rFonts w:ascii="Arial" w:hAnsi="Arial" w:cs="Arial"/>
          <w:noProof/>
        </w:rPr>
        <w:t xml:space="preserve">Kumar &amp; Tapwal, </w:t>
      </w:r>
      <w:r w:rsidR="0084494B">
        <w:rPr>
          <w:rFonts w:ascii="Arial" w:hAnsi="Arial" w:cs="Arial"/>
          <w:noProof/>
          <w:lang w:val="id-ID"/>
        </w:rPr>
        <w:t>(</w:t>
      </w:r>
      <w:r w:rsidR="00A635FD" w:rsidRPr="00A635FD">
        <w:rPr>
          <w:rFonts w:ascii="Arial" w:hAnsi="Arial" w:cs="Arial"/>
          <w:noProof/>
        </w:rPr>
        <w:t>2022)</w:t>
      </w:r>
      <w:r w:rsidR="00A635FD">
        <w:rPr>
          <w:rFonts w:ascii="Arial" w:hAnsi="Arial" w:cs="Arial"/>
        </w:rPr>
        <w:fldChar w:fldCharType="end"/>
      </w:r>
      <w:r w:rsidR="00A635FD">
        <w:rPr>
          <w:rFonts w:ascii="Arial" w:hAnsi="Arial" w:cs="Arial"/>
          <w:lang w:val="id-ID"/>
        </w:rPr>
        <w:t xml:space="preserve"> </w:t>
      </w:r>
      <w:r w:rsidRPr="00C32631">
        <w:rPr>
          <w:rFonts w:ascii="Arial" w:hAnsi="Arial" w:cs="Arial"/>
        </w:rPr>
        <w:t>and</w:t>
      </w:r>
      <w:r w:rsidR="00A635FD">
        <w:rPr>
          <w:rFonts w:ascii="Arial" w:hAnsi="Arial" w:cs="Arial"/>
          <w:lang w:val="id-ID"/>
        </w:rPr>
        <w:t xml:space="preserve"> </w:t>
      </w:r>
      <w:r w:rsidRPr="00C32631">
        <w:rPr>
          <w:rFonts w:ascii="Arial" w:hAnsi="Arial" w:cs="Arial"/>
        </w:rPr>
        <w:t xml:space="preserve"> </w:t>
      </w:r>
      <w:r w:rsidR="00A635FD">
        <w:rPr>
          <w:rFonts w:ascii="Arial" w:hAnsi="Arial" w:cs="Arial"/>
        </w:rPr>
        <w:fldChar w:fldCharType="begin" w:fldLock="1"/>
      </w:r>
      <w:r w:rsidR="00A635FD">
        <w:rPr>
          <w:rFonts w:ascii="Arial" w:hAnsi="Arial" w:cs="Arial"/>
        </w:rPr>
        <w:instrText>ADDIN CSL_CITATION {"citationItems":[{"id":"ITEM-1","itemData":{"DOI":"10.13057/biodiv/d211005","ISSN":"20854722","author":[{"dropping-particle":"","family":"Salim","given":"Mohammad Agus","non-dropping-particle":"","parse-names":false,"suffix":""},{"dropping-particle":"","family":"Budi","given":"Sri Wilarso","non-dropping-particle":"","parse-names":false,"suffix":""},{"dropping-particle":"","family":"Setyaningsih","given":"Luluk","non-dropping-particle":"","parse-names":false,"suffix":""},{"dropping-particle":"","family":"Iskandar","given":"","non-dropping-particle":"","parse-names":false,"suffix":""},{"dropping-particle":"","family":"Wahyudi","given":"Imam","non-dropping-particle":"","parse-names":false,"suffix":""},{"dropping-particle":"","family":"Kirmi","given":"Hifzil","non-dropping-particle":"","parse-names":false,"suffix":""}],"container-title":"Biodiversitas","id":"ITEM-1","issued":{"date-parts":[["2020"]]},"page":"5013-5022","title":"Root Colonization by Arbuscular Mycorrhizal Fungi (AMF) in Various Age Classes of Revegetation Post-coal Mine","type":"article-journal","volume":"21"},"uris":["http://www.mendeley.com/documents/?uuid=39dfc417-e363-495e-a6c7-dc415d0b3167"]}],"mendeley":{"formattedCitation":"(Salim et al., 2020)","plainTextFormattedCitation":"(Salim et al., 2020)","previouslyFormattedCitation":"(Salim et al., 2020)"},"properties":{"noteIndex":0},"schema":"https://github.com/citation-style-language/schema/raw/master/csl-citation.json"}</w:instrText>
      </w:r>
      <w:r w:rsidR="00A635FD">
        <w:rPr>
          <w:rFonts w:ascii="Arial" w:hAnsi="Arial" w:cs="Arial"/>
        </w:rPr>
        <w:fldChar w:fldCharType="separate"/>
      </w:r>
      <w:r w:rsidR="00A635FD" w:rsidRPr="00A635FD">
        <w:rPr>
          <w:rFonts w:ascii="Arial" w:hAnsi="Arial" w:cs="Arial"/>
          <w:noProof/>
        </w:rPr>
        <w:t xml:space="preserve">Salim et al., </w:t>
      </w:r>
      <w:r w:rsidR="0084494B">
        <w:rPr>
          <w:rFonts w:ascii="Arial" w:hAnsi="Arial" w:cs="Arial"/>
          <w:noProof/>
          <w:lang w:val="id-ID"/>
        </w:rPr>
        <w:t>(</w:t>
      </w:r>
      <w:r w:rsidR="00A635FD" w:rsidRPr="00A635FD">
        <w:rPr>
          <w:rFonts w:ascii="Arial" w:hAnsi="Arial" w:cs="Arial"/>
          <w:noProof/>
        </w:rPr>
        <w:t>2020)</w:t>
      </w:r>
      <w:r w:rsidR="00A635FD">
        <w:rPr>
          <w:rFonts w:ascii="Arial" w:hAnsi="Arial" w:cs="Arial"/>
        </w:rPr>
        <w:fldChar w:fldCharType="end"/>
      </w:r>
      <w:r w:rsidRPr="00C32631">
        <w:rPr>
          <w:rFonts w:ascii="Arial" w:hAnsi="Arial" w:cs="Arial"/>
        </w:rPr>
        <w:t xml:space="preserve">, the distance between AM spores and roots is a key factor in determining the speed of colonization. The closer the spores are to the roots, the faster the mycorrhiza can colonize the roots, the hyphal network formed from AM spores will expand the area of nutrient absorption by plants </w:t>
      </w:r>
      <w:r w:rsidR="00A635FD">
        <w:rPr>
          <w:rFonts w:ascii="Arial" w:hAnsi="Arial" w:cs="Arial"/>
        </w:rPr>
        <w:fldChar w:fldCharType="begin" w:fldLock="1"/>
      </w:r>
      <w:r w:rsidR="00A635FD">
        <w:rPr>
          <w:rFonts w:ascii="Arial" w:hAnsi="Arial" w:cs="Arial"/>
        </w:rPr>
        <w:instrText xml:space="preserve">ADDIN CSL_CITATION {"citationItems":[{"id":"ITEM-1","itemData":{"DOI":"10.1016/j.cub.2025.03.053","ISSN":"18790445","abstract":"Arbuscular mycorrhizal (AM) fungi are ancient plant mutualists that are ubiquitous across terrestrial ecosystems. These fungi are unique among most eukaryotes because they form multinucleate, open-pipe mycelial networks, where nutrients, organelles, and chemical signals move bidirectionally across a continuous cytoplasm. AM fungi play a crucial role in ecosystem functioning by supporting plant growth, mediating ecosystem diversity, and contributing to carbon cycling. It is estimated that plant communities allocate </w:instrText>
      </w:r>
      <w:r w:rsidR="00A635FD">
        <w:rPr>
          <w:rFonts w:ascii="Cambria Math" w:hAnsi="Cambria Math" w:cs="Cambria Math"/>
        </w:rPr>
        <w:instrText>∼</w:instrText>
      </w:r>
      <w:r w:rsidR="00A635FD">
        <w:rPr>
          <w:rFonts w:ascii="Arial" w:hAnsi="Arial" w:cs="Arial"/>
        </w:rPr>
        <w:instrText>3.93 Gt CO2e to AM fungi every year, much of which is stored as lipids inside the fungal network. Despite their ecological significance, the cellular biology of AM fungi remains underexplored. Here, we synthesise the current knowledge on AM fungal cellular structure and organisation. We examine AM fungal development at different biological levels — the hypha and its content, hyphal networks and AM fungal spores — and explore key cellular dynamics. This includes cell wall composition, cytoplasmic contents, nuclear and lipid organisation and dynamics, network architecture, and connectivity. We highlight how their unique cellular arrangement enables complex cytoplasmic flow and nutrient exchange processes across their open-pipe mycelial networks. We discuss how both established and novel techniques, including microscopy, culturing, and high-throughput image analysis, are helping to resolve previously unknown aspects of AM fungal biology. By comparing these insights with established knowledge in other, well-studied filamentous fungi, we identify critical knowledge gaps and propose questions for future research to further our understanding of fundamental AM fungal cell biology and its contributions to ecosystem health.","author":[{"dropping-particle":"","family":"Cargill","given":"Rachael I.M.","non-dropping-particle":"","parse-names":false,"suffix":""},{"dropping-particle":"","family":"Shimizu","given":"Thomas S.","non-dropping-particle":"","parse-names":false,"suffix":""},{"dropping-particle":"","family":"Kiers","given":"E. Toby","non-dropping-particle":"","parse-names":false,"suffix":""},{"dropping-particle":"","family":"Kokkoris","given":"Vasilis","non-dropping-particle":"","parse-names":false,"suffix":""}],"container-title":"Current Biology","id":"ITEM-1","issue":"11","issued":{"date-parts":[["2025"]]},"page":"545-562","publisher":"The Author(s)","title":"Cellular anatomy of arbuscular mycorrhizal fungi","type":"article-journal","volume":"35"},"uris":["http://www.mendeley.com/documents/?uuid=6562e473-04fa-4d47-b775-a2bb738938b6"]},{"id":"ITEM-2","itemData":{"DOI":"10.3390/su14137840","ISSN":"20711050","abstract":"Arbuscular mycorrhizal fungi (AMF) form a symbiotic relationship with plants; a symbiotic relationship is one in which both partners benefit from each other. Fungi benefit plants by improving uptake of water and nutrients, especially phosphorous, while plants provide 10–20% of their photo-synthates to fungus. AMF tend to make associations with 85% of plant families and play a significant role in the sustainability of an ecosystem. Plants’ growth and productivity are negatively affected by various biotic and abiotic stresses. AMF proved to enhance plants’ tolerance against various stresses, such as drought, salinity, high temperature, and heavy metals. There are some obstacles impeding the beneficial formation of AMF communities, such as heavy tillage practices, high fertilizer rates, unchecked pesticide application, and monocultures. Keeping in view the stress-extenuation potential of AMF, the present review sheds light on their role in reducing erosion, nutrient leaching, and tolerance to abiotic stresses. In addition, recent advances in commercial production of AMF are discussed.","author":[{"dropping-particle":"","family":"Khaliq","given":"Abdul","non-dropping-particle":"","parse-names":false,"suffix":""},{"dropping-particle":"","family":"Perveen","given":"Shaista","non-dropping-particle":"","parse-names":false,"suffix":""},{"dropping-particle":"","family":"Alamer","given":"Khalid H.","non-dropping-particle":"","parse-names":false,"suffix":""},{"dropping-particle":"","family":"Haq","given":"Muhammad Zia Ul","non-dropping-particle":"","parse-names":false,"suffix":""},{"dropping-particle":"","family":"Rafique","given":"Zaiba","non-dropping-particle":"","parse-names":false,"suffix":""},{"dropping-particle":"","family":"Alsudays","given":"Ibtisam M.","non-dropping-particle":"","parse-names":false,"suffix":""},{"dropping-particle":"","family":"Althobaiti","given":"Ashwaq T.","non-dropping-particle":"","parse-names":false,"suffix":""},{"dropping-particle":"","family":"Muneera A","given":"Saleh","non-dropping-particle":"","parse-names":false,"suffix":""},{"dropping-particle":"","family":"Hussain","given":"Saddam","non-dropping-particle":"","parse-names":false,"suffix":""},{"dropping-particle":"","family":"Attia","given":"Houneida","non-dropping-particle":"","parse-names":false,"suffix":""}],"container-title":"Sustainability","id":"ITEM-2","issued":{"date-parts":[["2022"]]},"page":"7840","title":"Arbuscular Mycorrhizal Fungi Symbiosis to Enhance Plant–Soil Interaction","type":"article-journal","volume":"14"},"uris":["http://www.mendeley.com/documents/?uuid=0b19f429-eb68-45c2-9a5e-716e65a14103"]}],"mendeley":{"formattedCitation":"(Cargill et al., 2025; Khaliq et al., 2022)","plainTextFormattedCitation":"(Cargill et al., 2025; Khaliq et al., 2022)","previouslyFormattedCitation":"(Cargill et al., 2025; Khaliq et al., 2022)"},"properties":{"noteIndex":0},"schema":"https://github.com/citation-style-language/schema/raw/master/csl-citation.json"}</w:instrText>
      </w:r>
      <w:r w:rsidR="00A635FD">
        <w:rPr>
          <w:rFonts w:ascii="Arial" w:hAnsi="Arial" w:cs="Arial"/>
        </w:rPr>
        <w:fldChar w:fldCharType="separate"/>
      </w:r>
      <w:r w:rsidR="00A635FD" w:rsidRPr="00A635FD">
        <w:rPr>
          <w:rFonts w:ascii="Arial" w:hAnsi="Arial" w:cs="Arial"/>
          <w:noProof/>
        </w:rPr>
        <w:t>(Cargill et al., 2025; Khaliq et al., 2022)</w:t>
      </w:r>
      <w:r w:rsidR="00A635FD">
        <w:rPr>
          <w:rFonts w:ascii="Arial" w:hAnsi="Arial" w:cs="Arial"/>
        </w:rPr>
        <w:fldChar w:fldCharType="end"/>
      </w:r>
      <w:r w:rsidRPr="00C32631">
        <w:rPr>
          <w:rFonts w:ascii="Arial" w:hAnsi="Arial" w:cs="Arial"/>
        </w:rPr>
        <w:t xml:space="preserve">. </w:t>
      </w:r>
      <w:r w:rsidR="00A635FD">
        <w:rPr>
          <w:rFonts w:ascii="Arial" w:hAnsi="Arial" w:cs="Arial"/>
        </w:rPr>
        <w:fldChar w:fldCharType="begin" w:fldLock="1"/>
      </w:r>
      <w:r w:rsidR="0084494B">
        <w:rPr>
          <w:rFonts w:ascii="Arial" w:hAnsi="Arial" w:cs="Arial"/>
        </w:rPr>
        <w:instrText>ADDIN CSL_CITATION {"citationItems":[{"id":"ITEM-1","itemData":{"DOI":"10.3390/ijms231911027","ISSN":"14220067","PMID":"36232323","abstract":"More than 80% of land plant species can form symbioses with arbuscular mycorrhizal (AM) fungi, and nutrient transfer to plants is largely mediated through this partnership. Over the last few years, great progress has been made in deciphering the molecular mechanisms underlying the AM-mediated modulation of nutrient uptake progress, and a growing number of fungal and plant genes responsible for the uptake of nutrients from soil or transfer across the fungal–root interface have been identified. In this review, we outline the current concepts of nutrient exchanges within this symbiosis (mechanisms and regulation) and focus on P and N transfer from the fungal partner to the host plant, with a highlight on a possible interplay between P and N nutrient exchanges. Transporters belonging to the plant or AM fungi can synergistically process the transmembrane transport of soil nutrients to the symbiotic interface for further plant acquisition. Although much progress has been made to elucidate the complex mechanism for the integrated roles of nutrient transfers in AM symbiosis, questions still remain to be answered; for example, P and N transporters are less studied in different species of AM fungi; the involvement of AM fungi in plant N uptake is not as clearly defined as that of P; coordinated utilization of N and P is unknown; transporters of cultivated plants inoculated with AM fungi and transcriptomic and metabolomic networks at both the soil–fungi interface and fungi–plant interface have been insufficiently studied. These findings open new perspectives for fundamental research and application of AM fungi in agriculture.","author":[{"dropping-particle":"","family":"Rui","given":"Wenjing","non-dropping-particle":"","parse-names":false,"suffix":""},{"dropping-particle":"","family":"Mao","given":"Zhipeng","non-dropping-particle":"","parse-names":false,"suffix":""},{"dropping-particle":"","family":"Li","given":"Zhifang","non-dropping-particle":"","parse-names":false,"suffix":""}],"container-title":"International Journal of Molecular Sciences","id":"ITEM-1","issued":{"date-parts":[["2022"]]},"page":"11027","title":"The Roles of Phosphorus and Nitrogen Nutrient Transporters in the Arbuscular Mycorrhizal Symbiosis","type":"article-journal","volume":"23"},"uris":["http://www.mendeley.com/documents/?uuid=5d798e3f-a212-4f8d-a800-93149e5c4f2e"]}],"mendeley":{"formattedCitation":"(Rui et al., 2022)","manualFormatting":"Rui et al., (2022)","plainTextFormattedCitation":"(Rui et al., 2022)","previouslyFormattedCitation":"(Rui et al., 2022)"},"properties":{"noteIndex":0},"schema":"https://github.com/citation-style-language/schema/raw/master/csl-citation.json"}</w:instrText>
      </w:r>
      <w:r w:rsidR="00A635FD">
        <w:rPr>
          <w:rFonts w:ascii="Arial" w:hAnsi="Arial" w:cs="Arial"/>
        </w:rPr>
        <w:fldChar w:fldCharType="separate"/>
      </w:r>
      <w:r w:rsidR="00A635FD" w:rsidRPr="00A635FD">
        <w:rPr>
          <w:rFonts w:ascii="Arial" w:hAnsi="Arial" w:cs="Arial"/>
          <w:noProof/>
        </w:rPr>
        <w:t xml:space="preserve">Rui et al., </w:t>
      </w:r>
      <w:r w:rsidR="0084494B">
        <w:rPr>
          <w:rFonts w:ascii="Arial" w:hAnsi="Arial" w:cs="Arial"/>
          <w:noProof/>
          <w:lang w:val="id-ID"/>
        </w:rPr>
        <w:t>(</w:t>
      </w:r>
      <w:r w:rsidR="00A635FD" w:rsidRPr="00A635FD">
        <w:rPr>
          <w:rFonts w:ascii="Arial" w:hAnsi="Arial" w:cs="Arial"/>
          <w:noProof/>
        </w:rPr>
        <w:t>2022)</w:t>
      </w:r>
      <w:r w:rsidR="00A635FD">
        <w:rPr>
          <w:rFonts w:ascii="Arial" w:hAnsi="Arial" w:cs="Arial"/>
        </w:rPr>
        <w:fldChar w:fldCharType="end"/>
      </w:r>
      <w:r w:rsidR="00A635FD">
        <w:rPr>
          <w:rFonts w:ascii="Arial" w:hAnsi="Arial" w:cs="Arial"/>
          <w:lang w:val="id-ID"/>
        </w:rPr>
        <w:t xml:space="preserve"> </w:t>
      </w:r>
      <w:r w:rsidRPr="00C32631">
        <w:rPr>
          <w:rFonts w:ascii="Arial" w:hAnsi="Arial" w:cs="Arial"/>
        </w:rPr>
        <w:t xml:space="preserve">and </w:t>
      </w:r>
      <w:r w:rsidR="00A635FD">
        <w:rPr>
          <w:rFonts w:ascii="Arial" w:hAnsi="Arial" w:cs="Arial"/>
        </w:rPr>
        <w:fldChar w:fldCharType="begin" w:fldLock="1"/>
      </w:r>
      <w:r w:rsidR="0084494B">
        <w:rPr>
          <w:rFonts w:ascii="Arial" w:hAnsi="Arial" w:cs="Arial"/>
        </w:rPr>
        <w:instrText>ADDIN CSL_CITATION {"citationItems":[{"id":"ITEM-1","itemData":{"DOI":"10.1016/j.geoderma.2021.115261","ISSN":"00167061","abstract":"How plants balance different strategies to acquire resources from the environment is a basic question in biology and ecology. Phosphorus (P) uptake by mycorrhizal plants comprises direct pathway (DP) and mycorrhizal pathway (MP). It is unknown whether there is a trade-off between DP and MP and how plants govern selection and/or differential contributions of the two pathways. We used 32P labelling technique to quantify P uptake by both pathways in three maize genotypes differing in P acquisition at Olsen P values of 4.5, 8 and 50 mg kg−1, representing low, suboptimal and high P supplies, respectively. We calculated the preference index of P uptake (ratio of MP contribution to DP contribution), P-transporter-based preferential index, C investment index as (ratio of hyphal length to root length), and the P-efficiency-based preferential index. Our results showed that maize plants preferred MP at the suboptimal soil available P because both the C investment index and the P-efficiency-based preferential index were greatest at that P supply. Shoot P content showed a significant relationship with the P uptake preference index, suggesting shoot P demand governed the trade-off between DP and MP. In conclusion, the preference for DP or MP regarding P acquisition in maize shifts with changes in soil available P level. These findings could be harnessed to better manage mycorrhizal fungi to enhance the sustainability of agricultural crops in soils with suboptimal P availability.","author":[{"dropping-particle":"","family":"Zhang","given":"Lin","non-dropping-particle":"","parse-names":false,"suffix":""},{"dropping-particle":"","family":"Chu","given":"Qun","non-dropping-particle":"","parse-names":false,"suffix":""},{"dropping-particle":"","family":"Zhou","given":"Jianwei","non-dropping-particle":"","parse-names":false,"suffix":""},{"dropping-particle":"","family":"Rengel","given":"Zed","non-dropping-particle":"","parse-names":false,"suffix":""},{"dropping-particle":"","family":"Feng","given":"Gu","non-dropping-particle":"","parse-names":false,"suffix":""}],"container-title":"Geoderma","id":"ITEM-1","issued":{"date-parts":[["2021"]]},"page":"115261","publisher":"Elsevier B.V.","title":"Soil Phosphorus Availability Determines The Preference for Direct or Mycorrhizal Phosphorus Uptake Pathway in Maize","type":"article-journal","volume":"403"},"uris":["http://www.mendeley.com/documents/?uuid=5e846ad6-928d-477b-b489-f0433e082dfb"]}],"mendeley":{"formattedCitation":"(Zhang et al., 2021)","manualFormatting":"Zhang et al., (2021)","plainTextFormattedCitation":"(Zhang et al., 2021)","previouslyFormattedCitation":"(Zhang et al., 2021)"},"properties":{"noteIndex":0},"schema":"https://github.com/citation-style-language/schema/raw/master/csl-citation.json"}</w:instrText>
      </w:r>
      <w:r w:rsidR="00A635FD">
        <w:rPr>
          <w:rFonts w:ascii="Arial" w:hAnsi="Arial" w:cs="Arial"/>
        </w:rPr>
        <w:fldChar w:fldCharType="separate"/>
      </w:r>
      <w:r w:rsidR="00A635FD" w:rsidRPr="00A635FD">
        <w:rPr>
          <w:rFonts w:ascii="Arial" w:hAnsi="Arial" w:cs="Arial"/>
          <w:noProof/>
        </w:rPr>
        <w:t xml:space="preserve">Zhang et al., </w:t>
      </w:r>
      <w:r w:rsidR="0084494B">
        <w:rPr>
          <w:rFonts w:ascii="Arial" w:hAnsi="Arial" w:cs="Arial"/>
          <w:noProof/>
          <w:lang w:val="id-ID"/>
        </w:rPr>
        <w:t>(</w:t>
      </w:r>
      <w:r w:rsidR="00A635FD" w:rsidRPr="00A635FD">
        <w:rPr>
          <w:rFonts w:ascii="Arial" w:hAnsi="Arial" w:cs="Arial"/>
          <w:noProof/>
        </w:rPr>
        <w:t>2021)</w:t>
      </w:r>
      <w:r w:rsidR="00A635FD">
        <w:rPr>
          <w:rFonts w:ascii="Arial" w:hAnsi="Arial" w:cs="Arial"/>
        </w:rPr>
        <w:fldChar w:fldCharType="end"/>
      </w:r>
      <w:r w:rsidR="00A635FD">
        <w:rPr>
          <w:rFonts w:ascii="Arial" w:hAnsi="Arial" w:cs="Arial"/>
          <w:lang w:val="id-ID"/>
        </w:rPr>
        <w:t xml:space="preserve"> </w:t>
      </w:r>
      <w:r w:rsidRPr="00C32631">
        <w:rPr>
          <w:rFonts w:ascii="Arial" w:hAnsi="Arial" w:cs="Arial"/>
        </w:rPr>
        <w:t xml:space="preserve">added that roots colonized by AM have two nutrient absorption pathways, namely directly via the root epidermis tissue and root hairs (direct path) and indirectly through the transfer of external AM hyphae into root cortex cells </w:t>
      </w:r>
      <w:r w:rsidR="00A635FD">
        <w:rPr>
          <w:rFonts w:ascii="Arial" w:hAnsi="Arial" w:cs="Arial"/>
        </w:rPr>
        <w:fldChar w:fldCharType="begin" w:fldLock="1"/>
      </w:r>
      <w:r w:rsidR="00A635FD">
        <w:rPr>
          <w:rFonts w:ascii="Arial" w:hAnsi="Arial" w:cs="Arial"/>
        </w:rPr>
        <w:instrText>ADDIN CSL_CITATION {"citationItems":[{"id":"ITEM-1","itemData":{"DOI":"10.3389/fpls.2023.1169310","ISSN":"1664462X","abstract":"Arbuscular mycorrhizal fungi (AMF) are ubiquitous in soil and form nutritional symbioses with ~80% of vascular plant species, which significantly impact global carbon (C) and nitrogen (N) biogeochemical cycles. Roots of plant individuals are interconnected by AMF hyphae to form common AM networks (CAMNs), which provide pathways for the transfer of C and N from one plant to another, promoting plant coexistence and biodiversity. Despite that stable isotope methodologies (13C, 14C and 15N tracer techniques) have demonstrated CAMNs are an important pathway for the translocation of both C and N, the functioning of CAMNs in ecosystem C and N dynamics remains equivocal. This review systematically synthesizes both laboratory and field evidence in interplant C and N transfer through CAMNs generated through stable isotope methodologies and highlights perspectives on the system functionality of CAMNs with implications for plant coexistence, species diversity and community stability. One-way transfers from donor to recipient plants of 0.02-41% C and 0.04-80% N of recipient C and N have been observed, with the reverse fluxes generally less than 15% of donor C and N. Interplant C and N transfers have practical implications for plant performance, coexistence and biodiversity in both resource-limited and resource-unlimited habitats. Resource competition among coexisting individuals of the same or different species is undoubtedly modified by such C and N transfers. Studying interplant variability in these transfers with 13C and 15N tracer application and natural abundance measurements could address the eco physiological significance of such CAMNs in sustainable agricultural and natural ecosystems.","author":[{"dropping-particle":"","family":"Luo","given":"Xie","non-dropping-particle":"","parse-names":false,"suffix":""},{"dropping-particle":"","family":"Liu","given":"Yining","non-dropping-particle":"","parse-names":false,"suffix":""},{"dropping-particle":"","family":"Li","given":"Siyue","non-dropping-particle":"","parse-names":false,"suffix":""},{"dropping-particle":"","family":"He","given":"Xinhua","non-dropping-particle":"","parse-names":false,"suffix":""}],"container-title":"Frontiers in Plant Science","id":"ITEM-1","issued":{"date-parts":[["2023"]]},"page":"1169310","title":"Interplant Carbon and Nitrogen Transfers Mediated by Common Arbuscular Mycorrhizal Networks: Beneficial Pathways for System Functionality","type":"article-journal","volume":"14"},"uris":["http://www.mendeley.com/documents/?uuid=fc8b6063-fe43-4670-84a5-352352fb82d3"]},{"id":"ITEM-2","itemData":{"DOI":"10.3390/plants12173102","ISSN":"22237747","abstract":"Arbuscular mycorrhizal fungi (AMF) form symbiotic relationships with the roots of nearly all land-dwelling plants, increasing growth and productivity, especially during abiotic stress. AMF improves plant development by improving nutrient acquisition, such as phosphorus, water, and mineral uptake. AMF improves plant tolerance and resilience to abiotic stressors such as drought, salt, and heavy metal toxicity. These benefits come from the arbuscular mycorrhizal interface, which lets fungal and plant partners exchange nutrients, signalling molecules, and protective chemical compounds. Plants’ antioxidant defence systems, osmotic adjustment, and hormone regulation are also affected by AMF infestation. These responses promote plant performance, photosynthetic efficiency, and biomass production in abiotic stress conditions. As a result of its positive effects on soil structure, nutrient cycling, and carbon sequestration, AMF contributes to the maintenance of resilient ecosystems. The effects of AMFs on plant growth and ecological stability are species- and environment-specific. AMF’s growth-regulating, productivity-enhancing role in abiotic stress alleviation under abiotic stress is reviewed. More research is needed to understand the molecular mechanisms that drive AMF-plant interactions and their responses to abiotic stresses. AMF triggers plants’ morphological, physiological, and molecular responses to abiotic stress. Water and nutrient acquisition, plant development, and abiotic stress tolerance are improved by arbuscular mycorrhizal symbiosis. In plants, AMF colonization modulates antioxidant defense mechanisms, osmotic adjustment, and hormonal regulation. These responses promote plant performance, photosynthetic efficiency, and biomass production in abiotic stress circumstances. AMF-mediated effects are also enhanced by essential oils (EOs), superoxide dismutase (SOD), peroxidase (POD), ascorbate peroxidase (APX), hydrogen peroxide (H2O2), malondialdehyde (MDA), and phosphorus (P). Understanding how AMF increases plant adaptation and reduces abiotic stress will help sustain agriculture, ecosystem management, and climate change mitigation. Arbuscular mycorrhizal fungi (AMF) have gained prominence in agriculture due to their multifaceted roles in promoting plant health and productivity. This review delves into how AMF influences plant growth and nutrient absorption, especially under challenging environmental conditions. We further explore the extent to whi…","author":[{"dropping-particle":"","family":"Wahab","given":"Abdul","non-dropping-particle":"","parse-names":false,"suffix":""},{"dropping-particle":"","family":"Muhammad","given":"Murad","non-dropping-particle":"","parse-names":false,"suffix":""},{"dropping-particle":"","family":"Munir","given":"Asma","non-dropping-particle":"","parse-names":false,"suffix":""},{"dropping-particle":"","family":"Abdi","given":"Gholamreza","non-dropping-particle":"","parse-names":false,"suffix":""},{"dropping-particle":"","family":"Zaman","given":"Wajib","non-dropping-particle":"","parse-names":false,"suffix":""},{"dropping-particle":"","family":"Ayaz","given":"Asma","non-dropping-particle":"","parse-names":false,"suffix":""},{"dropping-particle":"","family":"Khizar","given":"Chandni","non-dropping-particle":"","parse-names":false,"suffix":""},{"dropping-particle":"","family":"Reddy","given":"Sneha Priya Pappula","non-dropping-particle":"","parse-names":false,"suffix":""}],"container-title":"Plants","id":"ITEM-2","issued":{"date-parts":[["2023"]]},"page":"3102","title":"Role of Arbuscular Mycorrhizal Fungi in Regulating Growth, Enhancing Productivity, and Potentially Influencing Ecosystems under Abiotic and Biotic Stresses","type":"article-journal","volume":"12"},"uris":["http://www.mendeley.com/documents/?uuid=3640b655-2d79-485a-b4c3-fc7c86fa59c4"]}],"mendeley":{"formattedCitation":"(Luo et al., 2023; Wahab et al., 2023)","plainTextFormattedCitation":"(Luo et al., 2023; Wahab et al., 2023)","previouslyFormattedCitation":"(Luo et al., 2023; Wahab et al., 2023)"},"properties":{"noteIndex":0},"schema":"https://github.com/citation-style-language/schema/raw/master/csl-citation.json"}</w:instrText>
      </w:r>
      <w:r w:rsidR="00A635FD">
        <w:rPr>
          <w:rFonts w:ascii="Arial" w:hAnsi="Arial" w:cs="Arial"/>
        </w:rPr>
        <w:fldChar w:fldCharType="separate"/>
      </w:r>
      <w:r w:rsidR="00A635FD" w:rsidRPr="00A635FD">
        <w:rPr>
          <w:rFonts w:ascii="Arial" w:hAnsi="Arial" w:cs="Arial"/>
          <w:noProof/>
        </w:rPr>
        <w:t>(Luo et al., 2023; Wahab et al., 2023)</w:t>
      </w:r>
      <w:r w:rsidR="00A635FD">
        <w:rPr>
          <w:rFonts w:ascii="Arial" w:hAnsi="Arial" w:cs="Arial"/>
        </w:rPr>
        <w:fldChar w:fldCharType="end"/>
      </w:r>
      <w:r w:rsidRPr="00C32631">
        <w:rPr>
          <w:rFonts w:ascii="Arial" w:hAnsi="Arial" w:cs="Arial"/>
        </w:rPr>
        <w:t xml:space="preserve">, where the arbuscules provide a symbiotic interface (mycorrhizal pathway) </w:t>
      </w:r>
      <w:r w:rsidR="00A635FD">
        <w:rPr>
          <w:rFonts w:ascii="Arial" w:hAnsi="Arial" w:cs="Arial"/>
        </w:rPr>
        <w:fldChar w:fldCharType="begin" w:fldLock="1"/>
      </w:r>
      <w:r w:rsidR="00AB7385">
        <w:rPr>
          <w:rFonts w:ascii="Arial" w:hAnsi="Arial" w:cs="Arial"/>
        </w:rPr>
        <w:instrText>ADDIN CSL_CITATION {"citationItems":[{"id":"ITEM-1","itemData":{"DOI":"10.3390/ijms23115960","ISSN":"14220067","PMID":"35682640","abstract":"Plant-microorganism interactions at the rhizosphere level have a major impact on plant growth and plant tolerance and/or resistance to biotic and abiotic stresses. Of particular importance for forestry and agricultural systems is the cooperative and mutualistic interaction between plant roots and arbuscular mycorrhizal (AM) fungi from the phylum Glomeromycotina, since about 80% of terrestrial plant species can form AM symbiosis. The interaction is tightly regulated by both partners at the cellular, molecular and genetic levels, and it is highly dependent on environmental and biological variables. Recent studies have shown how fungal signals and their corresponding host plant receptor-mediated signalling regulate AM symbiosis. Host-generated symbiotic responses have been characterized and the molecular mechanisms enabling the regulation of fungal colonization and symbiosis functionality have been investigated. This review summarizes these and other recent relevant findings focusing on the molecular players and the signalling that regulate AM symbiosis. Future progress and knowledge about the underlying mechanisms for AM symbiosis regulation will be useful to facilitate agro-biotechnological procedures to improve AM colonization and/or efficiency.","author":[{"dropping-particle":"","family":"Ho-Plagaro","given":"Tania","non-dropping-particle":"","parse-names":false,"suffix":""},{"dropping-particle":"","family":"Garcia-Garrido","given":"Jose Manuel","non-dropping-particle":"","parse-names":false,"suffix":""}],"container-title":"International Journal of Molecular Sciences","id":"ITEM-1","issued":{"date-parts":[["2022"]]},"page":"5960","title":"Molecular Regulation of Arbuscular Mycorrhizal Symbiosis","type":"article-journal","volume":"23"},"uris":["http://www.mendeley.com/documents/?uuid=7fbe9e49-d998-4de2-b05a-438f6ed5fc4b"]},{"id":"ITEM-2","itemData":{"DOI":"10.3389/fpls.2021.725939","ISSN":"1664462X","abstract":"Arbuscular mycorrhizal fungi provide plants with soil mineral nutrients, particularly phosphorus. In this symbiotic association, the arbuscular interface is the main site for nutrient exchange. To understand phosphorus transfer at the interface, we analyzed the subcellular localization of polyphosphate (polyP) in mature arbuscules of Rhizophagus irregularis colonizing roots of Lotus japonicus wild-type (WT) and H+-ATPase ha1-1 mutant, which is defective in phosphorus acquisition through the mycorrhizal pathway. In both, the WT and the ha1-1 mutant, polyP accumulated in the cell walls of trunk hyphae and inside fine branch modules close to the trunk hyphae. However, many fine branches lacked polyP. In the mutant, most fine branch modules showed polyP signals compared to the WT. Notably, polyP was also observed in the cell walls of some fine branches formed in the ha1-1 mutant, indicating phosphorus release from fungal cells to the apoplastic regions. Intense acid phosphatase (ACP) activity was detected in the periarbuscular spaces around the fine branches. Furthermore, double staining of ACP activity and polyP revealed that these had contrasting distribution patterns in arbuscules. These observations suggest that polyP in fungal cell walls and apoplastic phosphatases may play an important role in phosphorus transfer at the symbiotic interface in arbuscules.","author":[{"dropping-particle":"","family":"Nguyen","given":"Cuc Thi","non-dropping-particle":"","parse-names":false,"suffix":""},{"dropping-particle":"","family":"Saito","given":"Katsuharu","non-dropping-particle":"","parse-names":false,"suffix":""}],"container-title":"Frontiers in Plant Science","id":"ITEM-2","issued":{"date-parts":[["2021"]]},"page":"725939","title":"Role of Cell Wall Polyphosphates in Phosphorus Transfer at the Arbuscular Interface in Mycorrhizas","type":"article-journal","volume":"12"},"uris":["http://www.mendeley.com/documents/?uuid=9309970b-e402-4e00-9b6c-c4d25a146c70"]}],"mendeley":{"formattedCitation":"(Ho-Plagaro &amp; Garcia-Garrido, 2022; Nguyen &amp; Saito, 2021)","plainTextFormattedCitation":"(Ho-Plagaro &amp; Garcia-Garrido, 2022; Nguyen &amp; Saito, 2021)","previouslyFormattedCitation":"(Ho-Plagaro &amp; Garcia-Garrido, 2022; Nguyen &amp; Saito, 2021)"},"properties":{"noteIndex":0},"schema":"https://github.com/citation-style-language/schema/raw/master/csl-citation.json"}</w:instrText>
      </w:r>
      <w:r w:rsidR="00A635FD">
        <w:rPr>
          <w:rFonts w:ascii="Arial" w:hAnsi="Arial" w:cs="Arial"/>
        </w:rPr>
        <w:fldChar w:fldCharType="separate"/>
      </w:r>
      <w:r w:rsidR="00DD666C" w:rsidRPr="00DD666C">
        <w:rPr>
          <w:rFonts w:ascii="Arial" w:hAnsi="Arial" w:cs="Arial"/>
          <w:noProof/>
        </w:rPr>
        <w:t>(Ho-Plagaro &amp; Garcia-Garrido, 2022; Nguyen &amp; Saito, 2021)</w:t>
      </w:r>
      <w:r w:rsidR="00A635FD">
        <w:rPr>
          <w:rFonts w:ascii="Arial" w:hAnsi="Arial" w:cs="Arial"/>
        </w:rPr>
        <w:fldChar w:fldCharType="end"/>
      </w:r>
      <w:r w:rsidRPr="00C32631">
        <w:rPr>
          <w:rFonts w:ascii="Arial" w:hAnsi="Arial" w:cs="Arial"/>
        </w:rPr>
        <w:t>.</w:t>
      </w:r>
    </w:p>
    <w:p w14:paraId="16B8783D" w14:textId="77777777" w:rsidR="00C32631" w:rsidRPr="00C32631" w:rsidRDefault="00C32631" w:rsidP="00C32631">
      <w:pPr>
        <w:pStyle w:val="Body"/>
        <w:rPr>
          <w:rFonts w:ascii="Arial" w:hAnsi="Arial" w:cs="Arial"/>
        </w:rPr>
      </w:pPr>
      <w:r w:rsidRPr="00C32631">
        <w:rPr>
          <w:rFonts w:ascii="Arial" w:hAnsi="Arial" w:cs="Arial"/>
        </w:rPr>
        <w:lastRenderedPageBreak/>
        <w:t xml:space="preserve">    </w:t>
      </w:r>
      <w:r w:rsidRPr="00020742">
        <w:rPr>
          <w:rFonts w:ascii="Times New Roman" w:hAnsi="Times New Roman"/>
          <w:b/>
          <w:noProof/>
          <w:lang w:val="id-ID" w:eastAsia="id-ID"/>
        </w:rPr>
        <w:drawing>
          <wp:inline distT="0" distB="0" distL="0" distR="0" wp14:anchorId="437A7A58" wp14:editId="6B366C69">
            <wp:extent cx="2499707" cy="1499616"/>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4330" cy="1508389"/>
                    </a:xfrm>
                    <a:prstGeom prst="rect">
                      <a:avLst/>
                    </a:prstGeom>
                    <a:noFill/>
                  </pic:spPr>
                </pic:pic>
              </a:graphicData>
            </a:graphic>
          </wp:inline>
        </w:drawing>
      </w:r>
      <w:r w:rsidRPr="00020742">
        <w:rPr>
          <w:rFonts w:ascii="Times New Roman" w:hAnsi="Times New Roman"/>
          <w:b/>
          <w:noProof/>
          <w:lang w:val="id-ID" w:eastAsia="id-ID"/>
        </w:rPr>
        <w:drawing>
          <wp:inline distT="0" distB="0" distL="0" distR="0" wp14:anchorId="3FDF329A" wp14:editId="501C5D5C">
            <wp:extent cx="2545690" cy="1527203"/>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2923" cy="1531542"/>
                    </a:xfrm>
                    <a:prstGeom prst="rect">
                      <a:avLst/>
                    </a:prstGeom>
                    <a:noFill/>
                  </pic:spPr>
                </pic:pic>
              </a:graphicData>
            </a:graphic>
          </wp:inline>
        </w:drawing>
      </w:r>
      <w:r w:rsidRPr="00020742">
        <w:rPr>
          <w:rFonts w:ascii="Times New Roman" w:hAnsi="Times New Roman"/>
          <w:b/>
          <w:noProof/>
          <w:lang w:val="id-ID" w:eastAsia="id-ID"/>
        </w:rPr>
        <w:drawing>
          <wp:inline distT="0" distB="0" distL="0" distR="0" wp14:anchorId="08746CDC" wp14:editId="227726E8">
            <wp:extent cx="2572870" cy="154350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2870" cy="1543508"/>
                    </a:xfrm>
                    <a:prstGeom prst="rect">
                      <a:avLst/>
                    </a:prstGeom>
                    <a:noFill/>
                  </pic:spPr>
                </pic:pic>
              </a:graphicData>
            </a:graphic>
          </wp:inline>
        </w:drawing>
      </w:r>
      <w:r w:rsidRPr="00020742">
        <w:rPr>
          <w:rFonts w:ascii="Times New Roman" w:hAnsi="Times New Roman"/>
          <w:b/>
          <w:noProof/>
          <w:lang w:val="id-ID" w:eastAsia="id-ID"/>
        </w:rPr>
        <w:drawing>
          <wp:inline distT="0" distB="0" distL="0" distR="0" wp14:anchorId="6CFAC892" wp14:editId="05C99C20">
            <wp:extent cx="2570067" cy="1541827"/>
            <wp:effectExtent l="0" t="0" r="1905"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7712" cy="1546413"/>
                    </a:xfrm>
                    <a:prstGeom prst="rect">
                      <a:avLst/>
                    </a:prstGeom>
                    <a:noFill/>
                  </pic:spPr>
                </pic:pic>
              </a:graphicData>
            </a:graphic>
          </wp:inline>
        </w:drawing>
      </w:r>
    </w:p>
    <w:p w14:paraId="3DE97A5A" w14:textId="2F0C19E4" w:rsidR="00C32631" w:rsidRPr="0045027C" w:rsidRDefault="00C32631" w:rsidP="00C32631">
      <w:pPr>
        <w:pStyle w:val="Body"/>
        <w:rPr>
          <w:rFonts w:ascii="Arial" w:hAnsi="Arial" w:cs="Arial"/>
          <w:b/>
        </w:rPr>
      </w:pPr>
      <w:r w:rsidRPr="0045027C">
        <w:rPr>
          <w:rFonts w:ascii="Arial" w:hAnsi="Arial" w:cs="Arial"/>
          <w:b/>
        </w:rPr>
        <w:t>Fig 3. Mineral nutrient content of N, P, and K in Av tissue due to application of powder, sachets, and tablets</w:t>
      </w:r>
      <w:r w:rsidR="00566E58">
        <w:rPr>
          <w:rFonts w:ascii="Arial" w:hAnsi="Arial" w:cs="Arial"/>
          <w:b/>
          <w:lang w:val="id-ID"/>
        </w:rPr>
        <w:t xml:space="preserve"> of AM</w:t>
      </w:r>
      <w:r w:rsidRPr="0045027C">
        <w:rPr>
          <w:rFonts w:ascii="Arial" w:hAnsi="Arial" w:cs="Arial"/>
          <w:b/>
        </w:rPr>
        <w:t>.</w:t>
      </w:r>
    </w:p>
    <w:p w14:paraId="41079F65" w14:textId="75859F92" w:rsidR="00935556" w:rsidRPr="00426F89" w:rsidRDefault="00935556" w:rsidP="00935556">
      <w:pPr>
        <w:pStyle w:val="Body"/>
        <w:rPr>
          <w:rFonts w:ascii="Arial" w:hAnsi="Arial" w:cs="Arial"/>
          <w:lang w:val="id-ID"/>
        </w:rPr>
      </w:pPr>
      <w:r w:rsidRPr="00426F89">
        <w:rPr>
          <w:rFonts w:ascii="Arial" w:hAnsi="Arial" w:cs="Arial"/>
        </w:rPr>
        <w:t>The naturally</w:t>
      </w:r>
      <w:r w:rsidRPr="00C32631">
        <w:rPr>
          <w:rFonts w:ascii="Arial" w:hAnsi="Arial" w:cs="Arial"/>
        </w:rPr>
        <w:t xml:space="preserve"> occurring nitrogen (N) in the soil usually limits plant growth, and Table 1 indicates that the availability of N in the planting medium falls into the very low category (0.26%) and Fig 3A shows that more N was accumulated in Av leaves. According to </w:t>
      </w:r>
      <w:r>
        <w:rPr>
          <w:rFonts w:ascii="Arial" w:hAnsi="Arial" w:cs="Arial"/>
        </w:rPr>
        <w:fldChar w:fldCharType="begin" w:fldLock="1"/>
      </w:r>
      <w:r>
        <w:rPr>
          <w:rFonts w:ascii="Arial" w:hAnsi="Arial" w:cs="Arial"/>
        </w:rPr>
        <w:instrText>ADDIN CSL_CITATION {"citationItems":[{"id":"ITEM-1","itemData":{"DOI":"10.3390/plants9091105","ISBN":"3901165029","ISSN":"22237747","abstract":"Arbuscular mycorrhizal (AM) fungi are root symbionts that provide mineral nutrients to the host plant in exchange for carbon compounds. AM fungi positively affect several aspects of plant life, improving nutrition and leading to a better growth, stress tolerance, and disease resistance and they interact with most crop plants such as cereals, horticultural species, and fruit trees. For this reason, they receive expanding attention for the potential use in sustainable and climate-smart agriculture context. Although several positive effects have been reported on photosynthetic traits in host plants, showing improved performances under abiotic stresses such as drought, salinity and extreme temperature, the involved mechanisms are still to be fully discovered. In this review, some controversy aspects related to AM symbiosis and photosynthesis performances will be discussed, with a specific focus on nitrogen acquisition-mediated by AM fungi.","author":[{"dropping-particle":"","family":"Balestrini","given":"Raffaella","non-dropping-particle":"","parse-names":false,"suffix":""},{"dropping-particle":"","family":"Brunetti","given":"Cecilia","non-dropping-particle":"","parse-names":false,"suffix":""},{"dropping-particle":"","family":"Chitarra","given":"Walter","non-dropping-particle":"","parse-names":false,"suffix":""},{"dropping-particle":"","family":"Nerva","given":"Luca","non-dropping-particle":"","parse-names":false,"suffix":""}],"container-title":"Plants","id":"ITEM-1","issue":"9","issued":{"date-parts":[["2020"]]},"page":"1-16","title":"Photosynthetic traits and nitrogen uptake in crops: Which is the role of arbuscular mycorrhizal fungi?","type":"article-journal","volume":"9"},"uris":["http://www.mendeley.com/documents/?uuid=9749eb6b-ad92-4096-a16b-49b32eb98984"]}],"mendeley":{"formattedCitation":"(Balestrini et al., 2020)","manualFormatting":"Balestrini et al., (2020)","plainTextFormattedCitation":"(Balestrini et al., 2020)","previouslyFormattedCitation":"(Balestrini et al., 2020)"},"properties":{"noteIndex":0},"schema":"https://github.com/citation-style-language/schema/raw/master/csl-citation.json"}</w:instrText>
      </w:r>
      <w:r>
        <w:rPr>
          <w:rFonts w:ascii="Arial" w:hAnsi="Arial" w:cs="Arial"/>
        </w:rPr>
        <w:fldChar w:fldCharType="separate"/>
      </w:r>
      <w:r w:rsidRPr="00A635FD">
        <w:rPr>
          <w:rFonts w:ascii="Arial" w:hAnsi="Arial" w:cs="Arial"/>
          <w:noProof/>
        </w:rPr>
        <w:t xml:space="preserve">Balestrini et al. </w:t>
      </w:r>
      <w:r>
        <w:rPr>
          <w:rFonts w:ascii="Arial" w:hAnsi="Arial" w:cs="Arial"/>
          <w:noProof/>
          <w:lang w:val="id-ID"/>
        </w:rPr>
        <w:t>(</w:t>
      </w:r>
      <w:r w:rsidRPr="00A635FD">
        <w:rPr>
          <w:rFonts w:ascii="Arial" w:hAnsi="Arial" w:cs="Arial"/>
          <w:noProof/>
        </w:rPr>
        <w:t>2020)</w:t>
      </w:r>
      <w:r>
        <w:rPr>
          <w:rFonts w:ascii="Arial" w:hAnsi="Arial" w:cs="Arial"/>
        </w:rPr>
        <w:fldChar w:fldCharType="end"/>
      </w:r>
      <w:r>
        <w:rPr>
          <w:rFonts w:ascii="Arial" w:hAnsi="Arial" w:cs="Arial"/>
          <w:lang w:val="id-ID"/>
        </w:rPr>
        <w:t xml:space="preserve"> </w:t>
      </w:r>
      <w:r w:rsidRPr="00C32631">
        <w:rPr>
          <w:rFonts w:ascii="Arial" w:hAnsi="Arial" w:cs="Arial"/>
        </w:rPr>
        <w:t xml:space="preserve">and </w:t>
      </w:r>
      <w:r>
        <w:rPr>
          <w:rFonts w:ascii="Arial" w:hAnsi="Arial" w:cs="Arial"/>
        </w:rPr>
        <w:fldChar w:fldCharType="begin" w:fldLock="1"/>
      </w:r>
      <w:r>
        <w:rPr>
          <w:rFonts w:ascii="Arial" w:hAnsi="Arial" w:cs="Arial"/>
        </w:rPr>
        <w:instrText>ADDIN CSL_CITATION {"citationItems":[{"id":"ITEM-1","itemData":{"DOI":"10.1016/j.soilbio.2022.108719","ISSN":"00380717","abstract":"Arbuscular mycorrhizal fungi (AMF) form symbioses with most plants, potentially improving their growth and nutrient assimilation activities. Cysteine (Cys) and methionine (Met) are nitrogen (N)- and sulphur (S)-containing amino acids. Compared with phosphate and N, limited attention has been paid to the role of AMF in low molecular weight organic S acquisition. To explore the uptake and relative contributions of organic and inorganic N and S to plants, and the role of AMF in S uptake, a pot study was conducted based on 14C, 35S, 13C, and 15N quad labelling (6-h labelling test after adding the labelled solution to the soil–plant system) using a mutant tomato genotype with highly decreased AMF symbiosis capacity. Tomato roots can uptake limited amounts of added Met and Cys (&lt;1.77%) within 6 h, as indicated by the 14C and 13C labelling results, and most of them were utilised by soil microorganisms. After uptake for 6 h, 10.0–14.8% of N and 1.4–6.1% of S derived from added Cys and Met were utilised by plants, mainly in inorganic N and S forms derived from Cys and Met decomposition. Met and Cys could be important S sources (Met: 3.0–9.8%, Cys: 8.8–22.0%) for plants, however have negligible roles in N nutrition (</w:instrText>
      </w:r>
      <w:r>
        <w:rPr>
          <w:rFonts w:ascii="Cambria Math" w:hAnsi="Cambria Math" w:cs="Cambria Math"/>
        </w:rPr>
        <w:instrText>∼</w:instrText>
      </w:r>
      <w:r>
        <w:rPr>
          <w:rFonts w:ascii="Arial" w:hAnsi="Arial" w:cs="Arial"/>
        </w:rPr>
        <w:instrText>1%), as most N uptake by plants was derived from soil inorganic N. The tomato uptake of inorganic S derived from Cys decomposition was much higher than that derived from Met, as higher ratios of S-Cys were released as SO42− from microorganisms during the 6-h testing periods. Even with the artificial addition of AMF, most of the added Met and Cys were utilised by Gram-negative bacteria, as indicated by 13C-PLFA biomarkers. AMF reduced host plant uptake of organic N and S, but stimulated plant N uptake from Met and Cys, which was mainly inorganic N following mineralisation. AMF not only utilise organic carbon from host plants but also capture soil organic matter to satisfy their energy demands. In the spaces where both root and AMF occur, AMF colonisation decreased tomato 35S uptake from Cys, Met, and SO42− by 24.6%, 20.6%, and 11.0% within the 6-h uptake period, respectively, when compared with that in the mutant genotype with reduced colonisation capacity; in contrast, AMF colonisation increased 35S-Cys uptake by 118.7% from areas that roots could not reach. Overall, AMF enhanced host plant N uptake but reduced organic N uptake under competition with plant roots for S in the rhizosphere, but stimulated plant S uptake by extraradical mycelia, based on…","author":[{"dropping-particle":"","family":"Ma","given":"Qingxu","non-dropping-particle":"","parse-names":false,"suffix":""},{"dropping-particle":"","family":"Chadwick","given":"David R.","non-dropping-particle":"","parse-names":false,"suffix":""},{"dropping-particle":"","family":"Wu","given":"Lianghuan","non-dropping-particle":"","parse-names":false,"suffix":""},{"dropping-particle":"","family":"Jones","given":"Davey L.","non-dropping-particle":"","parse-names":false,"suffix":""}],"container-title":"Soil Biology and Biochemistry","id":"ITEM-1","issued":{"date-parts":[["2022"]]},"page":"108719","title":"Arbuscular Mycorrhiza Fungi Colonisation Stimulates Uptake of Inorganic Nitrogen and Sulphur but Reduces Utilisation of Organic Forms in Tomato","type":"article-journal","volume":"172"},"uris":["http://www.mendeley.com/documents/?uuid=83dac894-40af-4a9d-ad32-9646e947f6e9"]}],"mendeley":{"formattedCitation":"(Ma et al., 2022)","manualFormatting":"Ma et al., (2022)","plainTextFormattedCitation":"(Ma et al., 2022)","previouslyFormattedCitation":"(Ma et al., 2022)"},"properties":{"noteIndex":0},"schema":"https://github.com/citation-style-language/schema/raw/master/csl-citation.json"}</w:instrText>
      </w:r>
      <w:r>
        <w:rPr>
          <w:rFonts w:ascii="Arial" w:hAnsi="Arial" w:cs="Arial"/>
        </w:rPr>
        <w:fldChar w:fldCharType="separate"/>
      </w:r>
      <w:r w:rsidR="008F6790">
        <w:rPr>
          <w:rFonts w:ascii="Arial" w:hAnsi="Arial" w:cs="Arial"/>
          <w:noProof/>
        </w:rPr>
        <w:t>Ma et al.</w:t>
      </w:r>
      <w:r w:rsidRPr="00A635FD">
        <w:rPr>
          <w:rFonts w:ascii="Arial" w:hAnsi="Arial" w:cs="Arial"/>
          <w:noProof/>
        </w:rPr>
        <w:t xml:space="preserve"> </w:t>
      </w:r>
      <w:r>
        <w:rPr>
          <w:rFonts w:ascii="Arial" w:hAnsi="Arial" w:cs="Arial"/>
          <w:noProof/>
          <w:lang w:val="id-ID"/>
        </w:rPr>
        <w:t>(</w:t>
      </w:r>
      <w:r w:rsidRPr="00A635FD">
        <w:rPr>
          <w:rFonts w:ascii="Arial" w:hAnsi="Arial" w:cs="Arial"/>
          <w:noProof/>
        </w:rPr>
        <w:t>2022)</w:t>
      </w:r>
      <w:r>
        <w:rPr>
          <w:rFonts w:ascii="Arial" w:hAnsi="Arial" w:cs="Arial"/>
        </w:rPr>
        <w:fldChar w:fldCharType="end"/>
      </w:r>
      <w:r w:rsidRPr="00C32631">
        <w:rPr>
          <w:rFonts w:ascii="Arial" w:hAnsi="Arial" w:cs="Arial"/>
        </w:rPr>
        <w:t xml:space="preserve">, N absorption by host plants can be increased by AM colonization. In the AM pathway, N in the form of ammonium and/or nitrate is absorbed by the extraradical mycelium and assimilated into glutamine to form arginine </w:t>
      </w:r>
      <w:r>
        <w:rPr>
          <w:rFonts w:ascii="Arial" w:hAnsi="Arial" w:cs="Arial"/>
        </w:rPr>
        <w:fldChar w:fldCharType="begin" w:fldLock="1"/>
      </w:r>
      <w:r>
        <w:rPr>
          <w:rFonts w:ascii="Arial" w:hAnsi="Arial" w:cs="Arial"/>
        </w:rPr>
        <w:instrText>ADDIN CSL_CITATION {"citationItems":[{"id":"ITEM-1","itemData":{"DOI":"10.1590/S1678-3921.pab2019.v54.25140","ISSN":"16783921","abstract":"The symbiotic interaction between arbuscular mycorrhizal fungi (AMF) and 70-90% of the plant species is largely studied, but ectomycorrhizal fungi, Piriformospora indica, Trichoderma sp., and dark septate endophytes (DSE), also establish beneficial interactions with plants. Despite this, the joint discussion on the biochemical, physiological, and molecular aspects of nutrient transfer, mainly from the extraradical mycelium (ERM) to the plant, is still limited. The objective of this review is to present biochemical, physiological, and molecular approaches to the plant-AMF interaction, as well as to analyze the response of plants to inoculations with different growthpromoting fungi. Here, are highlighted the characteristics of the H+-ATPases and of the transporters of NH4+ and H2PO4- involved in the absorption of phosphorus and nitrogen by the soil through the ERM of the AMF, besides the biochemical aspects of the metabolism of both nutrients in the ERM and their translocations from the ERM to the intraradical mycelium and to the host plant. Finally, the nitrogen fertilizer recovery efficiency in plants inoculated with AMF, Trichoderma sp., P. indica, and DSE fungi is presented. By examining, together, the biochemical, physiological, and molecular aspects of the plant-AMF interaction and the nitrogen fertilizer recovery efficiency in inoculated plants, it is possible to conclude that a low-input agriculture could be achieved with the use of these fungi in agrosystems.","author":[{"dropping-particle":"","family":"Vergara","given":"Carlos","non-dropping-particle":"","parse-names":false,"suffix":""},{"dropping-particle":"","family":"Araujo","given":"Karla Emanuelle Campos","non-dropping-particle":"","parse-names":false,"suffix":""},{"dropping-particle":"","family":"Souza","given":"Sônia Regina","non-dropping-particle":"de","parse-names":false,"suffix":""},{"dropping-particle":"","family":"Schultz","given":"Nivaldo","non-dropping-particle":"","parse-names":false,"suffix":""},{"dropping-particle":"","family":"Jaggin Júnior","given":"Orivaldo José","non-dropping-particle":"","parse-names":false,"suffix":""},{"dropping-particle":"","family":"Sperandio","given":"Marcus Vinícius Loss","non-dropping-particle":"","parse-names":false,"suffix":""},{"dropping-particle":"","family":"Zilli","given":"Jerri Édson","non-dropping-particle":"","parse-names":false,"suffix":""}],"container-title":"Pesquisa Agropecuaria Brasileira","id":"ITEM-1","issued":{"date-parts":[["2019"]]},"page":"e25140","title":"Plant-Mycorrhizal Fungi Interaction and Response to Inoculation with Different Growth-Promoting Fungi","type":"article-journal","volume":"54"},"uris":["http://www.mendeley.com/documents/?uuid=56ed7ada-541d-460f-b0b5-44b6f97b9ab5"]},{"id":"ITEM-2","itemData":{"DOI":"10.1016/j.molp.2017.07.012","ISSN":"17529867","PMID":"28782719","abstract":"Most land plants form symbiotic associations with arbuscular mycorrhizal (AM) fungi. These are the most common and widespread terrestrial plant symbioses, which have a global impact on plant mineral nutrition. The establishment of AM symbiosis involves recognition of the two partners and bidirectional transport of different mineral and carbon nutrients through the symbiotic interfaces within the host root cells. Intriguingly, recent discoveries have highlighted that lipids are transferred from the plant host to AM fungus as a major carbon source. In this review, we discuss the transporter-mediated transfer of carbon, nitrogen, phosphate, potassium and sulfate, and present hypotheses pertaining to the potential regulatory mechanisms of nutrient exchange in AM symbiosis. Current challenges and future perspectives on AM symbiosis research are also discussed.","author":[{"dropping-particle":"","family":"Wang","given":"Wanxiao","non-dropping-particle":"","parse-names":false,"suffix":""},{"dropping-particle":"","family":"Shi","given":"Jincai","non-dropping-particle":"","parse-names":false,"suffix":""},{"dropping-particle":"","family":"Xie","given":"Qiujin","non-dropping-particle":"","parse-names":false,"suffix":""},{"dropping-particle":"","family":"Jiang","given":"Yina","non-dropping-particle":"","parse-names":false,"suffix":""},{"dropping-particle":"","family":"Yu","given":"Nan","non-dropping-particle":"","parse-names":false,"suffix":""},{"dropping-particle":"","family":"Wang","given":"Ertao","non-dropping-particle":"","parse-names":false,"suffix":""}],"container-title":"Molecular Plant","id":"ITEM-2","issue":"9","issued":{"date-parts":[["2017"]]},"page":"1147-1158","publisher":"Elsevier Ltd","title":"Nutrient Exchange and Regulation in Arbuscular Mycorrhizal Symbiosis","type":"article-journal","volume":"10"},"uris":["http://www.mendeley.com/documents/?uuid=42644dc2-9b60-403f-b780-c244eab0dfcc"]}],"mendeley":{"formattedCitation":"(Vergara et al., 2019; Wang et al., 2017)","plainTextFormattedCitation":"(Vergara et al., 2019; Wang et al., 2017)","previouslyFormattedCitation":"(Vergara et al., 2019; Wang et al., 2017)"},"properties":{"noteIndex":0},"schema":"https://github.com/citation-style-language/schema/raw/master/csl-citation.json"}</w:instrText>
      </w:r>
      <w:r>
        <w:rPr>
          <w:rFonts w:ascii="Arial" w:hAnsi="Arial" w:cs="Arial"/>
        </w:rPr>
        <w:fldChar w:fldCharType="separate"/>
      </w:r>
      <w:r w:rsidRPr="00A635FD">
        <w:rPr>
          <w:rFonts w:ascii="Arial" w:hAnsi="Arial" w:cs="Arial"/>
          <w:noProof/>
        </w:rPr>
        <w:t>(Vergara et al., 2019; Wang et al., 2017)</w:t>
      </w:r>
      <w:r>
        <w:rPr>
          <w:rFonts w:ascii="Arial" w:hAnsi="Arial" w:cs="Arial"/>
        </w:rPr>
        <w:fldChar w:fldCharType="end"/>
      </w:r>
      <w:r w:rsidRPr="00C32631">
        <w:rPr>
          <w:rFonts w:ascii="Arial" w:hAnsi="Arial" w:cs="Arial"/>
        </w:rPr>
        <w:t xml:space="preserve">. Arginine is the dominant amino acid in the extraradical mycelium, and it is transferred to the </w:t>
      </w:r>
      <w:proofErr w:type="spellStart"/>
      <w:r w:rsidRPr="00C32631">
        <w:rPr>
          <w:rFonts w:ascii="Arial" w:hAnsi="Arial" w:cs="Arial"/>
        </w:rPr>
        <w:t>intraradicular</w:t>
      </w:r>
      <w:proofErr w:type="spellEnd"/>
      <w:r w:rsidRPr="00C32631">
        <w:rPr>
          <w:rFonts w:ascii="Arial" w:hAnsi="Arial" w:cs="Arial"/>
        </w:rPr>
        <w:t xml:space="preserve"> mycelium through AM hyphae and broken down into urea and ornithine in the </w:t>
      </w:r>
      <w:proofErr w:type="spellStart"/>
      <w:r w:rsidRPr="00C32631">
        <w:rPr>
          <w:rFonts w:ascii="Arial" w:hAnsi="Arial" w:cs="Arial"/>
        </w:rPr>
        <w:t>intraradicular</w:t>
      </w:r>
      <w:proofErr w:type="spellEnd"/>
      <w:r w:rsidRPr="00C32631">
        <w:rPr>
          <w:rFonts w:ascii="Arial" w:hAnsi="Arial" w:cs="Arial"/>
        </w:rPr>
        <w:t xml:space="preserve"> mycelium </w:t>
      </w:r>
      <w:r>
        <w:rPr>
          <w:rFonts w:ascii="Arial" w:hAnsi="Arial" w:cs="Arial"/>
        </w:rPr>
        <w:fldChar w:fldCharType="begin" w:fldLock="1"/>
      </w:r>
      <w:r>
        <w:rPr>
          <w:rFonts w:ascii="Arial" w:hAnsi="Arial" w:cs="Arial"/>
        </w:rPr>
        <w:instrText>ADDIN CSL_CITATION {"citationItems":[{"id":"ITEM-1","itemData":{"DOI":"10.3390/ijms231911027","ISSN":"14220067","PMID":"36232323","abstract":"More than 80% of land plant species can form symbioses with arbuscular mycorrhizal (AM) fungi, and nutrient transfer to plants is largely mediated through this partnership. Over the last few years, great progress has been made in deciphering the molecular mechanisms underlying the AM-mediated modulation of nutrient uptake progress, and a growing number of fungal and plant genes responsible for the uptake of nutrients from soil or transfer across the fungal–root interface have been identified. In this review, we outline the current concepts of nutrient exchanges within this symbiosis (mechanisms and regulation) and focus on P and N transfer from the fungal partner to the host plant, with a highlight on a possible interplay between P and N nutrient exchanges. Transporters belonging to the plant or AM fungi can synergistically process the transmembrane transport of soil nutrients to the symbiotic interface for further plant acquisition. Although much progress has been made to elucidate the complex mechanism for the integrated roles of nutrient transfers in AM symbiosis, questions still remain to be answered; for example, P and N transporters are less studied in different species of AM fungi; the involvement of AM fungi in plant N uptake is not as clearly defined as that of P; coordinated utilization of N and P is unknown; transporters of cultivated plants inoculated with AM fungi and transcriptomic and metabolomic networks at both the soil–fungi interface and fungi–plant interface have been insufficiently studied. These findings open new perspectives for fundamental research and application of AM fungi in agriculture.","author":[{"dropping-particle":"","family":"Rui","given":"Wenjing","non-dropping-particle":"","parse-names":false,"suffix":""},{"dropping-particle":"","family":"Mao","given":"Zhipeng","non-dropping-particle":"","parse-names":false,"suffix":""},{"dropping-particle":"","family":"Li","given":"Zhifang","non-dropping-particle":"","parse-names":false,"suffix":""}],"container-title":"International Journal of Molecular Sciences","id":"ITEM-1","issued":{"date-parts":[["2022"]]},"page":"11027","title":"The Roles of Phosphorus and Nitrogen Nutrient Transporters in the Arbuscular Mycorrhizal Symbiosis","type":"article-journal","volume":"23"},"uris":["http://www.mendeley.com/documents/?uuid=5d798e3f-a212-4f8d-a800-93149e5c4f2e"]},{"id":"ITEM-2","itemData":{"DOI":"10.1186/s40538-019-0150-7","ISSN":"21965641","abstract":"Traditionally, the most popular sentences used to describe the arbuscular mycorrhizal symbiosis sound like: “AM fungi form one of the most widespread root symbioses, associating with 80% of land plants. In this symbiosis, the fungus provides the plant host with mineral nutrients, especially phosphate, receiving in turn carbohydrates.” In the last years, the mycorrhiza research field has witnessed a big step forward in the knowledge of the physiology and the mechanisms governing this important symbiosis, that helped plants colonizing the lands more than 400 MYA. The huge expansion of the -omics studies produced the first results on the fungal side, with genomes and transcriptomes of AM fungi being published. In parallel, the need for more sustainable agricultural practices has boosted the research in the field of the plant symbioses, with the final aim of improving plant productivity employing symbiotic microbes as bioinoculants. Beside all the other (positive) effects that mycorrhizal fungi exert on plants, the nutrient exchange is considered as the keystone, and the core mechanism governing this symbiosis. This review will focus on the molecular determinants underneath this exchange, both on the fungal and the plant side. Coming back to the sentence that claims this symbiosis as based on phosphate provided to the plant in return to carbohydrate, we will find that some concepts of this view still stand, while some others have been partly revolutionized. [Figure not available: see fulltext.].","author":[{"dropping-particle":"di","family":"Fossalunga","given":"Alessandra Salvioli","non-dropping-particle":"","parse-names":false,"suffix":""},{"dropping-particle":"","family":"Novero","given":"Mara","non-dropping-particle":"","parse-names":false,"suffix":""}],"container-title":"Chemical and Biological Technologies in Agriculture","id":"ITEM-2","issued":{"date-parts":[["2019"]]},"page":"12","publisher":"Springer International Publishing","title":"To Trade in The Field: The Molecular Determinants of Arbuscular Mycorrhiza Nutrient Exchange","type":"article-journal","volume":"6"},"uris":["http://www.mendeley.com/documents/?uuid=95dda061-862e-429f-af3f-eccfa6fdf132"]}],"mendeley":{"formattedCitation":"(Fossalunga &amp; Novero, 2019; Rui et al., 2022)","plainTextFormattedCitation":"(Fossalunga &amp; Novero, 2019; Rui et al., 2022)","previouslyFormattedCitation":"(Fossalunga &amp; Novero, 2019; Rui et al., 2022)"},"properties":{"noteIndex":0},"schema":"https://github.com/citation-style-language/schema/raw/master/csl-citation.json"}</w:instrText>
      </w:r>
      <w:r>
        <w:rPr>
          <w:rFonts w:ascii="Arial" w:hAnsi="Arial" w:cs="Arial"/>
        </w:rPr>
        <w:fldChar w:fldCharType="separate"/>
      </w:r>
      <w:r w:rsidRPr="00A635FD">
        <w:rPr>
          <w:rFonts w:ascii="Arial" w:hAnsi="Arial" w:cs="Arial"/>
          <w:noProof/>
        </w:rPr>
        <w:t>(Fossalunga &amp; Novero, 2019; Rui et al., 2022)</w:t>
      </w:r>
      <w:r>
        <w:rPr>
          <w:rFonts w:ascii="Arial" w:hAnsi="Arial" w:cs="Arial"/>
        </w:rPr>
        <w:fldChar w:fldCharType="end"/>
      </w:r>
      <w:r w:rsidRPr="00C32631">
        <w:rPr>
          <w:rFonts w:ascii="Arial" w:hAnsi="Arial" w:cs="Arial"/>
        </w:rPr>
        <w:t xml:space="preserve">. This finding suggests that ammonium and/or nitrate are likely released through the symbiotic interface by AM and absorbed by the host plant </w:t>
      </w:r>
      <w:r>
        <w:rPr>
          <w:rFonts w:ascii="Arial" w:hAnsi="Arial" w:cs="Arial"/>
        </w:rPr>
        <w:fldChar w:fldCharType="begin" w:fldLock="1"/>
      </w:r>
      <w:r>
        <w:rPr>
          <w:rFonts w:ascii="Arial" w:hAnsi="Arial" w:cs="Arial"/>
        </w:rPr>
        <w:instrText>ADDIN CSL_CITATION {"citationItems":[{"id":"ITEM-1","itemData":{"DOI":"10.1016/j.apsoil.2024.105799","ISSN":"09291393","abstract":"Nitrogen (N) cycling within terrestrial ecosystem is largely controlled by networks of prokaryotic microbial communities that mediate the conversion, immobilization, and turnover of various forms of N present in soil. Recently, the role of arbuscular mycorrhizal (AM) symbiosis in N cycling within terrestrial ecosystems has gained considerable attention. However, a comprehensive assessment of how AM symbiosis can contribute to reducing N loss within the agricultural ecosystems remains incomplete. In this review, we examine the direct and indirect mechanisms by which arbuscular mycorrhizal fungi (AMF) can help mitigate N loss from agricultural ecosystems. Direct mechanisms include the interception and immobilization of organic and inorganic N within fungal and plant biomass. Indirect mechanisms involve the contributions of AMF to plant nutrition and diversity, soil organic matter mineralization, soil structure formation, plant–soil–water relations, microbial biomass N immobilization. Both the direct and indirect mechanisms ultimately influence the composition and functioning of N-cycling communities. This review reinforces the relevance of ecologically based approaches not only for addressing agricultural N losses but also for advancing sustainable development goals, especially the target to halve N waste from all sources by 2030.","author":[{"dropping-particle":"","family":"Basiru","given":"Sulaimon","non-dropping-particle":"","parse-names":false,"suffix":""},{"dropping-particle":"","family":"Mhand","given":"Khadija Ait Si","non-dropping-particle":"","parse-names":false,"suffix":""},{"dropping-particle":"","family":"Hijri","given":"Mohamed","non-dropping-particle":"","parse-names":false,"suffix":""}],"container-title":"Applied Soil Ecology","id":"ITEM-1","issued":{"date-parts":[["2025"]]},"page":"105799","publisher":"Elsevier B.V.","title":"Deciphering the mechanisms through which arbuscular mycorrhizal symbiosis reduces nitrogen losses in agroecosystems","type":"article-journal","volume":"206"},"uris":["http://www.mendeley.com/documents/?uuid=e8faa327-0930-4230-b6f8-6fe8ffb2fb8e"]},{"id":"ITEM-2","itemData":{"DOI":"10.3390/agronomy5040587","ISSN":"20734395","abstract":"Arbuscular mycorrhizal (AM) fungi play an essential role for the nutrient uptake of the majority of land plants, including many important crop species. The extraradical mycelium of the fungus takes up nutrients from the soil, transfers these nutrients to the intraradical mycelium within the host root, and exchanges the nutrients against carbon from the host across a specialized plant-fungal interface. The contribution of the AM symbiosis to the phosphate nutrition has long been known, but whether AM fungi contribute similarly to the nitrogen nutrition of their host is still controversially discussed. However, there is a growing body of evidence that demonstrates that AM fungi can actively transfer nitrogen to their host, and that the host plant with its carbon supply stimulates this transport, and that the periarbuscular membrane of the host is able to facilitate the active uptake of nitrogen from the mycorrhizal interface. In this review, our current knowledge about nitrogen transport through the fungal hyphae and across the mycorrhizal interface is summarized, and we discuss the regulation of these pathways and major research gaps.","author":[{"dropping-particle":"","family":"Bucking","given":"Heike","non-dropping-particle":"","parse-names":false,"suffix":""},{"dropping-particle":"","family":"Kafle","given":"Arjun","non-dropping-particle":"","parse-names":false,"suffix":""}],"container-title":"Agronomy","id":"ITEM-2","issue":"4","issued":{"date-parts":[["2015"]]},"page":"587-612","title":"Role of arbuscular mycorrhizal fungi in the nitrogen uptake of plants: Current knowledge and research gaps","type":"article-journal","volume":"5"},"uris":["http://www.mendeley.com/documents/?uuid=b5ee2f03-8caa-49d5-b8be-725c93e29d5a"]}],"mendeley":{"formattedCitation":"(Basiru et al., 2025; Bucking &amp; Kafle, 2015)","plainTextFormattedCitation":"(Basiru et al., 2025; Bucking &amp; Kafle, 2015)","previouslyFormattedCitation":"(Basiru et al., 2025; Bucking &amp; Kafle, 2015)"},"properties":{"noteIndex":0},"schema":"https://github.com/citation-style-language/schema/raw/master/csl-citation.json"}</w:instrText>
      </w:r>
      <w:r>
        <w:rPr>
          <w:rFonts w:ascii="Arial" w:hAnsi="Arial" w:cs="Arial"/>
        </w:rPr>
        <w:fldChar w:fldCharType="separate"/>
      </w:r>
      <w:r w:rsidRPr="005C10D6">
        <w:rPr>
          <w:rFonts w:ascii="Arial" w:hAnsi="Arial" w:cs="Arial"/>
          <w:noProof/>
        </w:rPr>
        <w:t>(Basiru et al., 2025; Bucking &amp; Kafle, 2015)</w:t>
      </w:r>
      <w:r>
        <w:rPr>
          <w:rFonts w:ascii="Arial" w:hAnsi="Arial" w:cs="Arial"/>
        </w:rPr>
        <w:fldChar w:fldCharType="end"/>
      </w:r>
      <w:r w:rsidRPr="00C32631">
        <w:rPr>
          <w:rFonts w:ascii="Arial" w:hAnsi="Arial" w:cs="Arial"/>
        </w:rPr>
        <w:t>.</w:t>
      </w:r>
      <w:r w:rsidR="00426F89">
        <w:rPr>
          <w:rFonts w:ascii="Arial" w:hAnsi="Arial" w:cs="Arial"/>
          <w:lang w:val="id-ID"/>
        </w:rPr>
        <w:t xml:space="preserve"> </w:t>
      </w:r>
      <w:r w:rsidR="00426F89" w:rsidRPr="00426F89">
        <w:rPr>
          <w:rFonts w:ascii="Arial" w:hAnsi="Arial" w:cs="Arial"/>
          <w:lang w:val="id-ID"/>
        </w:rPr>
        <w:t>Therefore, N accumulation in Av leaves is likely inseparable from the role of AM.</w:t>
      </w:r>
    </w:p>
    <w:p w14:paraId="5C7AB138" w14:textId="36D51DB7" w:rsidR="00935556" w:rsidRPr="00357DFD" w:rsidRDefault="00935556" w:rsidP="00935556">
      <w:pPr>
        <w:pStyle w:val="Body"/>
        <w:rPr>
          <w:rFonts w:ascii="Arial" w:hAnsi="Arial" w:cs="Arial"/>
          <w:lang w:val="id-ID"/>
        </w:rPr>
      </w:pPr>
      <w:r w:rsidRPr="00C32631">
        <w:rPr>
          <w:rFonts w:ascii="Arial" w:hAnsi="Arial" w:cs="Arial"/>
        </w:rPr>
        <w:t xml:space="preserve">Phosphorus (P) </w:t>
      </w:r>
      <w:r w:rsidR="00357DFD">
        <w:rPr>
          <w:rFonts w:ascii="Arial" w:hAnsi="Arial" w:cs="Arial"/>
        </w:rPr>
        <w:t>is the main nutrient for plants</w:t>
      </w:r>
      <w:r w:rsidR="00357DFD">
        <w:rPr>
          <w:rFonts w:ascii="Arial" w:hAnsi="Arial" w:cs="Arial"/>
          <w:lang w:val="id-ID"/>
        </w:rPr>
        <w:t>.</w:t>
      </w:r>
      <w:r w:rsidRPr="00C32631">
        <w:rPr>
          <w:rFonts w:ascii="Arial" w:hAnsi="Arial" w:cs="Arial"/>
        </w:rPr>
        <w:t xml:space="preserve"> Fig 3C shows that P minerals a</w:t>
      </w:r>
      <w:r w:rsidR="00357DFD">
        <w:rPr>
          <w:rFonts w:ascii="Arial" w:hAnsi="Arial" w:cs="Arial"/>
        </w:rPr>
        <w:t>re found more in Av leaf tissue</w:t>
      </w:r>
      <w:r w:rsidR="00357DFD">
        <w:rPr>
          <w:rFonts w:ascii="Arial" w:hAnsi="Arial" w:cs="Arial"/>
          <w:lang w:val="id-ID"/>
        </w:rPr>
        <w:t>,</w:t>
      </w:r>
      <w:r w:rsidR="00357DFD">
        <w:rPr>
          <w:rFonts w:ascii="Arial" w:hAnsi="Arial" w:cs="Arial"/>
        </w:rPr>
        <w:t xml:space="preserve"> </w:t>
      </w:r>
      <w:r w:rsidR="00357DFD">
        <w:rPr>
          <w:rFonts w:ascii="Arial" w:hAnsi="Arial" w:cs="Arial"/>
          <w:lang w:val="id-ID"/>
        </w:rPr>
        <w:t>a</w:t>
      </w:r>
      <w:proofErr w:type="spellStart"/>
      <w:r w:rsidRPr="00C32631">
        <w:rPr>
          <w:rFonts w:ascii="Arial" w:hAnsi="Arial" w:cs="Arial"/>
        </w:rPr>
        <w:t>ccording</w:t>
      </w:r>
      <w:proofErr w:type="spellEnd"/>
      <w:r w:rsidRPr="00C32631">
        <w:rPr>
          <w:rFonts w:ascii="Arial" w:hAnsi="Arial" w:cs="Arial"/>
        </w:rPr>
        <w:t xml:space="preserve"> to </w:t>
      </w:r>
      <w:r>
        <w:rPr>
          <w:rFonts w:ascii="Arial" w:hAnsi="Arial" w:cs="Arial"/>
        </w:rPr>
        <w:fldChar w:fldCharType="begin" w:fldLock="1"/>
      </w:r>
      <w:r>
        <w:rPr>
          <w:rFonts w:ascii="Arial" w:hAnsi="Arial" w:cs="Arial"/>
        </w:rPr>
        <w:instrText>ADDIN CSL_CITATION {"citationItems":[{"id":"ITEM-1","itemData":{"DOI":"10.3390/ijms23115960","ISSN":"14220067","PMID":"35682640","abstract":"Plant-microorganism interactions at the rhizosphere level have a major impact on plant growth and plant tolerance and/or resistance to biotic and abiotic stresses. Of particular importance for forestry and agricultural systems is the cooperative and mutualistic interaction between plant roots and arbuscular mycorrhizal (AM) fungi from the phylum Glomeromycotina, since about 80% of terrestrial plant species can form AM symbiosis. The interaction is tightly regulated by both partners at the cellular, molecular and genetic levels, and it is highly dependent on environmental and biological variables. Recent studies have shown how fungal signals and their corresponding host plant receptor-mediated signalling regulate AM symbiosis. Host-generated symbiotic responses have been characterized and the molecular mechanisms enabling the regulation of fungal colonization and symbiosis functionality have been investigated. This review summarizes these and other recent relevant findings focusing on the molecular players and the signalling that regulate AM symbiosis. Future progress and knowledge about the underlying mechanisms for AM symbiosis regulation will be useful to facilitate agro-biotechnological procedures to improve AM colonization and/or efficiency.","author":[{"dropping-particle":"","family":"Ho-Plagaro","given":"Tania","non-dropping-particle":"","parse-names":false,"suffix":""},{"dropping-particle":"","family":"Garcia-Garrido","given":"Jose Manuel","non-dropping-particle":"","parse-names":false,"suffix":""}],"container-title":"International Journal of Molecular Sciences","id":"ITEM-1","issued":{"date-parts":[["2022"]]},"page":"5960","title":"Molecular Regulation of Arbuscular Mycorrhizal Symbiosis","type":"article-journal","volume":"23"},"uris":["http://www.mendeley.com/documents/?uuid=7fbe9e49-d998-4de2-b05a-438f6ed5fc4b"]}],"mendeley":{"formattedCitation":"(Ho-Plagaro &amp; Garcia-Garrido, 2022)","manualFormatting":"Ho-Plagaro &amp; Garcia-Garrido, (2022)","plainTextFormattedCitation":"(Ho-Plagaro &amp; Garcia-Garrido, 2022)","previouslyFormattedCitation":"(Ho-Plagaro &amp; Garcia-Garrido, 2022)"},"properties":{"noteIndex":0},"schema":"https://github.com/citation-style-language/schema/raw/master/csl-citation.json"}</w:instrText>
      </w:r>
      <w:r>
        <w:rPr>
          <w:rFonts w:ascii="Arial" w:hAnsi="Arial" w:cs="Arial"/>
        </w:rPr>
        <w:fldChar w:fldCharType="separate"/>
      </w:r>
      <w:r w:rsidR="007E15AB">
        <w:rPr>
          <w:rFonts w:ascii="Arial" w:hAnsi="Arial" w:cs="Arial"/>
          <w:noProof/>
        </w:rPr>
        <w:t>Ho-Plagaro &amp; Garcia-Garrido</w:t>
      </w:r>
      <w:r w:rsidR="007E15AB">
        <w:rPr>
          <w:rFonts w:ascii="Arial" w:hAnsi="Arial" w:cs="Arial"/>
          <w:noProof/>
          <w:lang w:val="id-ID"/>
        </w:rPr>
        <w:t>.</w:t>
      </w:r>
      <w:r w:rsidRPr="00DD666C">
        <w:rPr>
          <w:rFonts w:ascii="Arial" w:hAnsi="Arial" w:cs="Arial"/>
          <w:noProof/>
        </w:rPr>
        <w:t xml:space="preserve"> </w:t>
      </w:r>
      <w:r>
        <w:rPr>
          <w:rFonts w:ascii="Arial" w:hAnsi="Arial" w:cs="Arial"/>
          <w:noProof/>
          <w:lang w:val="id-ID"/>
        </w:rPr>
        <w:t>(</w:t>
      </w:r>
      <w:r w:rsidRPr="00DD666C">
        <w:rPr>
          <w:rFonts w:ascii="Arial" w:hAnsi="Arial" w:cs="Arial"/>
          <w:noProof/>
        </w:rPr>
        <w:t>2022)</w:t>
      </w:r>
      <w:r>
        <w:rPr>
          <w:rFonts w:ascii="Arial" w:hAnsi="Arial" w:cs="Arial"/>
        </w:rPr>
        <w:fldChar w:fldCharType="end"/>
      </w:r>
      <w:r>
        <w:rPr>
          <w:rFonts w:ascii="Arial" w:hAnsi="Arial" w:cs="Arial"/>
          <w:lang w:val="id-ID"/>
        </w:rPr>
        <w:t xml:space="preserve"> </w:t>
      </w:r>
      <w:r w:rsidRPr="00C32631">
        <w:rPr>
          <w:rFonts w:ascii="Arial" w:hAnsi="Arial" w:cs="Arial"/>
        </w:rPr>
        <w:t xml:space="preserve">and </w:t>
      </w:r>
      <w:r>
        <w:rPr>
          <w:rFonts w:ascii="Arial" w:hAnsi="Arial" w:cs="Arial"/>
        </w:rPr>
        <w:fldChar w:fldCharType="begin" w:fldLock="1"/>
      </w:r>
      <w:r>
        <w:rPr>
          <w:rFonts w:ascii="Arial" w:hAnsi="Arial" w:cs="Arial"/>
        </w:rPr>
        <w:instrText>ADDIN CSL_CITATION {"citationItems":[{"id":"ITEM-1","itemData":{"DOI":"10.1007/s10533-025-01210-1","ISBN":"0123456789","ISSN":"1573515X","abstract":"The stability of carbon (C) stocks in peatlands is intricately linked to phosphorus (P) bioavailability. Given that organic P compounds (Po) can make up to 89% of total soil P in these ecosystems, it is vital to understand their role in regulating plant productivity and organic matter decomposition. Despite this significance, the mechanisms controlling P bioavailability remain poorly understood. Plants and soil microorganisms primarily regulate the release of soil P via low-molecular-weight organic acids (LMWOAs) and modulate the hydrolysis of Po through phosphatase enzymes, particularly phosphomonoesterase, phytase, and phosphodiesterase. This study investigated the role of LMWOAs, derived from root exudates of dominant vascular plants and Sphagnum leachates in a temperate montane peatland, in facilitating the release of P. We also quantified the ability of these plants to hydrolyze Po from various LMWOA-extracted fractions by adding phosphomonoesterase, phytase, and phosphodiesterase. The results show that peatland plants predominantly exuded muconic, azelaic, 3-hydroxybutyric, and malonic acids. The concentration of enzymatically hydrolyzed Po in the water-extracted fraction was 8.1 ± 3.4 mg kg−1. Notably, azelaic and malonic acids were effective in releasing over 58% of soil P (330–798 mg kg−1), with more than 88% of this P being in organic form. In the azelaic and malonic acid-extracted fractions, the concentration of enzymatically hydrolyzed Po concentration was 123.7 ± 32.1 mg kg−1, accounting for 23% of the LMWOA-extracted Po. Phytase, the most important phosphatase enzyme, accounts for 66% (47–88%) of the enzymatically hydrolyzed Po (81.9 ± 20.9 mg kg−1). Our study demonstrates that LMWOA-mediated release of Po is an essential prerequisite for enzymatic hydrolysis of Po in organic peat soils. However, only a small portion of LMWOA-extracted Po can be hydrolyzed by phosphatase enzymes. The different composition and efficacy of LMWOAs from species of different plant functional types highlight the necessity to consider changes in vegetation composition, as this could significantly impact P dynamics in peatlands and, consequently, the stability of their C stocks.","author":[{"dropping-particle":"","family":"Suo","given":"Yuchen","non-dropping-particle":"","parse-names":false,"suffix":""},{"dropping-particle":"","family":"Li","given":"Tong","non-dropping-particle":"","parse-names":false,"suffix":""},{"dropping-particle":"","family":"Sperber","given":"Christian","non-dropping-particle":"von","parse-names":false,"suffix":""},{"dropping-particle":"","family":"Ge","given":"Leming","non-dropping-particle":"","parse-names":false,"suffix":""},{"dropping-particle":"","family":"Cao","given":"Chenhao","non-dropping-particle":"","parse-names":false,"suffix":""},{"dropping-particle":"","family":"Zhai","given":"Zhifeng","non-dropping-particle":"","parse-names":false,"suffix":""},{"dropping-particle":"","family":"Bu","given":"Zhaojun","non-dropping-particle":"","parse-names":false,"suffix":""},{"dropping-particle":"","family":"Wang","given":"Meng","non-dropping-particle":"","parse-names":false,"suffix":""}],"container-title":"Biogeochemistry","id":"ITEM-1","issued":{"date-parts":[["2025"]]},"page":"19","publisher":"Springer International Publishing","title":"Low Molecular Weight Organic Acids Mobilize Soil Organic Phosphorus for Enzymatic Hydrolysis in A Temperate Montane Peatland","type":"article-journal","volume":"168"},"uris":["http://www.mendeley.com/documents/?uuid=33cba5b1-58e1-475a-9655-cc3347085dc1"]}],"mendeley":{"formattedCitation":"(Suo et al., 2025)","manualFormatting":"Suo et al., (2025)","plainTextFormattedCitation":"(Suo et al., 2025)","previouslyFormattedCitation":"(Suo et al., 2025)"},"properties":{"noteIndex":0},"schema":"https://github.com/citation-style-language/schema/raw/master/csl-citation.json"}</w:instrText>
      </w:r>
      <w:r>
        <w:rPr>
          <w:rFonts w:ascii="Arial" w:hAnsi="Arial" w:cs="Arial"/>
        </w:rPr>
        <w:fldChar w:fldCharType="separate"/>
      </w:r>
      <w:r w:rsidR="007E15AB">
        <w:rPr>
          <w:rFonts w:ascii="Arial" w:hAnsi="Arial" w:cs="Arial"/>
          <w:noProof/>
        </w:rPr>
        <w:t>Suo et al.</w:t>
      </w:r>
      <w:r w:rsidRPr="00A635FD">
        <w:rPr>
          <w:rFonts w:ascii="Arial" w:hAnsi="Arial" w:cs="Arial"/>
          <w:noProof/>
        </w:rPr>
        <w:t xml:space="preserve"> </w:t>
      </w:r>
      <w:r>
        <w:rPr>
          <w:rFonts w:ascii="Arial" w:hAnsi="Arial" w:cs="Arial"/>
          <w:noProof/>
          <w:lang w:val="id-ID"/>
        </w:rPr>
        <w:t>(</w:t>
      </w:r>
      <w:r w:rsidRPr="00A635FD">
        <w:rPr>
          <w:rFonts w:ascii="Arial" w:hAnsi="Arial" w:cs="Arial"/>
          <w:noProof/>
        </w:rPr>
        <w:t>2025)</w:t>
      </w:r>
      <w:r>
        <w:rPr>
          <w:rFonts w:ascii="Arial" w:hAnsi="Arial" w:cs="Arial"/>
        </w:rPr>
        <w:fldChar w:fldCharType="end"/>
      </w:r>
      <w:r w:rsidRPr="00C32631">
        <w:rPr>
          <w:rFonts w:ascii="Arial" w:hAnsi="Arial" w:cs="Arial"/>
        </w:rPr>
        <w:t xml:space="preserve">, AM can decompose P elements bound in the soil by releasing phosphatase enzymes and organic acids as exudates, making P elements available and usable by plants. AM </w:t>
      </w:r>
      <w:r w:rsidR="00357DFD">
        <w:rPr>
          <w:rFonts w:ascii="Arial" w:hAnsi="Arial" w:cs="Arial"/>
          <w:lang w:val="id-ID"/>
        </w:rPr>
        <w:t xml:space="preserve">also </w:t>
      </w:r>
      <w:r w:rsidRPr="00C32631">
        <w:rPr>
          <w:rFonts w:ascii="Arial" w:hAnsi="Arial" w:cs="Arial"/>
        </w:rPr>
        <w:t xml:space="preserve">causes an increase in the area of water and nutrient absorption in plants and releases organic acids that can dissolve P minerals bound by soil colloids </w:t>
      </w:r>
      <w:r>
        <w:rPr>
          <w:rFonts w:ascii="Arial" w:hAnsi="Arial" w:cs="Arial"/>
        </w:rPr>
        <w:fldChar w:fldCharType="begin" w:fldLock="1"/>
      </w:r>
      <w:r>
        <w:rPr>
          <w:rFonts w:ascii="Arial" w:hAnsi="Arial" w:cs="Arial"/>
        </w:rPr>
        <w:instrText>ADDIN CSL_CITATION {"citationItems":[{"id":"ITEM-1","itemData":{"DOI":"10.3389/fpls.2021.699618","ISSN":"1664462X","abstract":"Phosphorus (P) availability is usually low in soils around the globe. Most soils have a deficiency of available P; if they are not fertilized, they will not be able to satisfy the P requirement of plants. P fertilization is generally recommended to manage soil P deficiency; however, the low efficacy of P fertilizers in acidic and in calcareous soils restricts P availability. Moreover, the overuse of P fertilizers is a cause of significant environmental concerns. However, the use of arbuscular mycorrhizal fungi (AMF), phosphate–solubilizing bacteria (PSB), and the addition of silicon (Si) are effective and economical ways to improve the availability and efficacy of P. In this review the contributions of Si, PSB, and AMF in improving the P availability is discussed. Based on what is known about them, the combined strategy of using Si along with AMF and PSB may be highly useful in improving the P availability and as a result, its uptake by plants compared to using either of them alone. A better understanding how the two microorganism groups and Si interact is crucial to preserving soil fertility and improving the economic and environmental sustainability of crop production in P deficient soils. This review summarizes and discusses the current knowledge concerning the interactions among AMF, PSB, and Si in enhancing P availability and its uptake by plants in sustainable agriculture.","author":[{"dropping-particle":"","family":"Etesami","given":"Hassan","non-dropping-particle":"","parse-names":false,"suffix":""},{"dropping-particle":"","family":"Jeong","given":"Byoung Ryong","non-dropping-particle":"","parse-names":false,"suffix":""},{"dropping-particle":"","family":"Glick","given":"Bernard R.","non-dropping-particle":"","parse-names":false,"suffix":""}],"container-title":"Frontiers in Plant Science","id":"ITEM-1","issued":{"date-parts":[["2021"]]},"page":"699618","title":"Contribution of Arbuscular Mycorrhizal Fungi, Phosphate–Solubilizing Bacteria, and Silicon to P Uptake by Plant","type":"article-journal","volume":"12"},"uris":["http://www.mendeley.com/documents/?uuid=4505d4b4-b4b9-484d-87b8-b4ac8793b828"]},{"id":"ITEM-2","itemData":{"DOI":"10.1007/s11104-023-06266-2","ISBN":"0123456789","ISSN":"15735036","abstract":"Background: Phosphorus (P) is an essential nutrient for plant growth, taking part in primary cellular metabolic processes as a structural component of key biomolecules. Soil processes as adsorption, precipitation, and coprecipitation can affect P bioavailability, leading to limited plant growth and excessive use of P fertilizers, with adverse impacts on the environment and progressive depletion of P reserves. To cope with P stress, plants undergo several growth, development, and metabolic adjustments, aimed at increasing P-acquisition and -utilization efficiency. Recently, strigolactones (SLs) have emerged as newly defined hormones that mediate multiple levels of morphological, physiological and biochemical changes in plants as part of the P acclimation strategies to optimize growth. Therefore, understanding the soil processes affecting P availability and P acquisition strategies by plants can contribute to improved agronomical practices, resources optimization and environmental protection, and the development of plants with high P use efficiency for enhanced agricultural productivity. Scope: In this review, we discuss the range of abiotic processes that control P retention in soil and how different concentrations or degrees of P bioavailability can trigger various responses in plants, while critically highlighting the inconsistent conditions under which experiments evaluating aspects of P nutrition in plants have been conducted. We also present recent advances in elucidating the role of SLs in the complex P signalling pathway, with a special focus on what has been discovered so far in the model plant tomato (Solanum lycopersicum L.).","author":[{"dropping-particle":"","family":"Santoro","given":"Veronica","non-dropping-particle":"","parse-names":false,"suffix":""},{"dropping-particle":"","family":"Schiavon","given":"Michela","non-dropping-particle":"","parse-names":false,"suffix":""},{"dropping-particle":"","family":"Celi","given":"Luisella","non-dropping-particle":"","parse-names":false,"suffix":""}],"container-title":"Plant and Soil","id":"ITEM-2","issued":{"date-parts":[["2024"]]},"page":"1-49","title":"Role of Soil Abiotic Processes on Phosphorus Availability and Plant Responses with A Focus on Strigolactones in Tomato Plants","type":"article-journal","volume":"494"},"uris":["http://www.mendeley.com/documents/?uuid=759cc18a-49a2-43ae-ad07-7ccf26037438"]}],"mendeley":{"formattedCitation":"(Etesami et al., 2021; Santoro et al., 2024)","plainTextFormattedCitation":"(Etesami et al., 2021; Santoro et al., 2024)","previouslyFormattedCitation":"(Etesami et al., 2021; Santoro et al., 2024)"},"properties":{"noteIndex":0},"schema":"https://github.com/citation-style-language/schema/raw/master/csl-citation.json"}</w:instrText>
      </w:r>
      <w:r>
        <w:rPr>
          <w:rFonts w:ascii="Arial" w:hAnsi="Arial" w:cs="Arial"/>
        </w:rPr>
        <w:fldChar w:fldCharType="separate"/>
      </w:r>
      <w:r w:rsidRPr="00AD5FE9">
        <w:rPr>
          <w:rFonts w:ascii="Arial" w:hAnsi="Arial" w:cs="Arial"/>
          <w:noProof/>
        </w:rPr>
        <w:t>(Etesami et al., 2021; Santoro et al., 2024)</w:t>
      </w:r>
      <w:r>
        <w:rPr>
          <w:rFonts w:ascii="Arial" w:hAnsi="Arial" w:cs="Arial"/>
        </w:rPr>
        <w:fldChar w:fldCharType="end"/>
      </w:r>
      <w:r w:rsidRPr="00C32631">
        <w:rPr>
          <w:rFonts w:ascii="Arial" w:hAnsi="Arial" w:cs="Arial"/>
        </w:rPr>
        <w:t xml:space="preserve">. In rice colonized by AM fungi, about 70% of the total phosphorus (P) obtained is supplied by symbiotic fungi </w:t>
      </w:r>
      <w:r>
        <w:rPr>
          <w:rFonts w:ascii="Arial" w:hAnsi="Arial" w:cs="Arial"/>
          <w:lang w:val="id-ID"/>
        </w:rPr>
        <w:t xml:space="preserve"> </w:t>
      </w:r>
      <w:r>
        <w:rPr>
          <w:rFonts w:ascii="Arial" w:hAnsi="Arial" w:cs="Arial"/>
          <w:lang w:val="id-ID"/>
        </w:rPr>
        <w:fldChar w:fldCharType="begin" w:fldLock="1"/>
      </w:r>
      <w:r>
        <w:rPr>
          <w:rFonts w:ascii="Arial" w:hAnsi="Arial" w:cs="Arial"/>
          <w:lang w:val="id-ID"/>
        </w:rPr>
        <w:instrText>ADDIN CSL_CITATION {"citationItems":[{"id":"ITEM-1","itemData":{"DOI":"10.1016/j.indcrop.2023.117356","ISSN":"09266690","abstract":"Arbuscular mycorrhizal (AM) participate in fungi-plant symbiotic relationships and mediate the acquisition of soil-borne nutrients by host plants. However, little is known about how AM colonization affects the homeostasis of iron (Fe) and zinc (Zn) in the host plant. Here, we assessed the performance of mycorrhizal growth, oxidative defense, nutrient accumulation, and key gene responses in AM-colonized tobacco (Nicotiana tabacum L.) under different nutrient stress. The total mycorrhizal frequency of AM fungi on tobacco roots reached 86 % and 75 % under low and high phosphorus (P) treatments, respectively. Under Fe/Zn stress, AM alleviated the inhibition of tobacco biomass accumulation, decreased the content of lipid peroxides, and upregulated enzymatic antioxidant capability. In AM-colonized tobacco, Fe/Zn accumulation was increased under deficient conditions and decreased under surplus conditions. Tobacco uptake of P, Fe, and Zn was impaired by excess nutrient concentrations and improved at low concentrations, and this phenomenon was supported by AM colonization. Fe/Zn deficiency upregulated genes related to Fe/Zn uptake, and Fe/Zn excess upregulated genes related to heavy metal efflux, with AM colonization further promoting these upregulations. Notely, we found a possible crosstalk node, Yellow Stripe-Like 7 (NtYSL7), in the AM and Fe/Zn homeostasis regulatory network. NtYSL7 has a plasma membrane-localized oligopeptide transporter domain. NtYSL7 is strongly induced by AM colonization, deficiency of Fe, and surplus Zn, and interacts with many Fe/Zn transporters. AM assists host plants in maintaining Fe/Zn homeostasis by improving nutrient accumulation, redox homeostasis, and transport mechanisms, and NtYSL7 is likely important within the crosstalk network of AM, Fe, and Zn nutrient homeostasis.","author":[{"dropping-particle":"","family":"Ren","given":"Ying","non-dropping-particle":"","parse-names":false,"suffix":""},{"dropping-particle":"","family":"Wang","given":"Xinyang","non-dropping-particle":"","parse-names":false,"suffix":""},{"dropping-particle":"","family":"Liang","given":"Jingwei","non-dropping-particle":"","parse-names":false,"suffix":""},{"dropping-particle":"","family":"Wang","given":"Sijia","non-dropping-particle":"","parse-names":false,"suffix":""},{"dropping-particle":"","family":"Chen","given":"Hui","non-dropping-particle":"","parse-names":false,"suffix":""},{"dropping-particle":"","family":"Tang","given":"Ming","non-dropping-particle":"","parse-names":false,"suffix":""}],"container-title":"Industrial Crops and Products","id":"ITEM-1","issued":{"date-parts":[["2023"]]},"page":"117356","title":"Arbuscular Mycorrhiza Fungi Rhizophagus irregularis Regulate Iron and Zinc Homeostasis in Tobacco by Mediating the Expression of Yellow Stripe-Like 7","type":"article-journal","volume":"204"},"uris":["http://www.mendeley.com/documents/?uuid=c3c8978c-c35e-48ed-9c20-23bb4d737632"]},{"id":"ITEM-2","itemData":{"DOI":"10.3390/ijms231911027","ISSN":"14220067","PMID":"36232323","abstract":"More than 80% of land plant species can form symbioses with arbuscular mycorrhizal (AM) fungi, and nutrient transfer to plants is largely mediated through this partnership. Over the last few years, great progress has been made in deciphering the molecular mechanisms underlying the AM-mediated modulation of nutrient uptake progress, and a growing number of fungal and plant genes responsible for the uptake of nutrients from soil or transfer across the fungal–root interface have been identified. In this review, we outline the current concepts of nutrient exchanges within this symbiosis (mechanisms and regulation) and focus on P and N transfer from the fungal partner to the host plant, with a highlight on a possible interplay between P and N nutrient exchanges. Transporters belonging to the plant or AM fungi can synergistically process the transmembrane transport of soil nutrients to the symbiotic interface for further plant acquisition. Although much progress has been made to elucidate the complex mechanism for the integrated roles of nutrient transfers in AM symbiosis, questions still remain to be answered; for example, P and N transporters are less studied in different species of AM fungi; the involvement of AM fungi in plant N uptake is not as clearly defined as that of P; coordinated utilization of N and P is unknown; transporters of cultivated plants inoculated with AM fungi and transcriptomic and metabolomic networks at both the soil–fungi interface and fungi–plant interface have been insufficiently studied. These findings open new perspectives for fundamental research and application of AM fungi in agriculture.","author":[{"dropping-particle":"","family":"Rui","given":"Wenjing","non-dropping-particle":"","parse-names":false,"suffix":""},{"dropping-particle":"","family":"Mao","given":"Zhipeng","non-dropping-particle":"","parse-names":false,"suffix":""},{"dropping-particle":"","family":"Li","given":"Zhifang","non-dropping-particle":"","parse-names":false,"suffix":""}],"container-title":"International Journal of Molecular Sciences","id":"ITEM-2","issued":{"date-parts":[["2022"]]},"page":"11027","title":"The Roles of Phosphorus and Nitrogen Nutrient Transporters in the Arbuscular Mycorrhizal Symbiosis","type":"article-journal","volume":"23"},"uris":["http://www.mendeley.com/documents/?uuid=5d798e3f-a212-4f8d-a800-93149e5c4f2e"]}],"mendeley":{"formattedCitation":"(Ren et al., 2023; Rui et al., 2022)","plainTextFormattedCitation":"(Ren et al., 2023; Rui et al., 2022)","previouslyFormattedCitation":"(Ren et al., 2023; Rui et al., 2022)"},"properties":{"noteIndex":0},"schema":"https://github.com/citation-style-language/schema/raw/master/csl-citation.json"}</w:instrText>
      </w:r>
      <w:r>
        <w:rPr>
          <w:rFonts w:ascii="Arial" w:hAnsi="Arial" w:cs="Arial"/>
          <w:lang w:val="id-ID"/>
        </w:rPr>
        <w:fldChar w:fldCharType="separate"/>
      </w:r>
      <w:r w:rsidRPr="00AD5FE9">
        <w:rPr>
          <w:rFonts w:ascii="Arial" w:hAnsi="Arial" w:cs="Arial"/>
          <w:noProof/>
          <w:lang w:val="id-ID"/>
        </w:rPr>
        <w:t>(Ren et al., 2023; Rui et al., 2022)</w:t>
      </w:r>
      <w:r>
        <w:rPr>
          <w:rFonts w:ascii="Arial" w:hAnsi="Arial" w:cs="Arial"/>
          <w:lang w:val="id-ID"/>
        </w:rPr>
        <w:fldChar w:fldCharType="end"/>
      </w:r>
      <w:r w:rsidRPr="00C32631">
        <w:rPr>
          <w:rFonts w:ascii="Arial" w:hAnsi="Arial" w:cs="Arial"/>
        </w:rPr>
        <w:t xml:space="preserve">. According to </w:t>
      </w:r>
      <w:r>
        <w:rPr>
          <w:rFonts w:ascii="Arial" w:hAnsi="Arial" w:cs="Arial"/>
        </w:rPr>
        <w:fldChar w:fldCharType="begin" w:fldLock="1"/>
      </w:r>
      <w:r>
        <w:rPr>
          <w:rFonts w:ascii="Arial" w:hAnsi="Arial" w:cs="Arial"/>
        </w:rPr>
        <w:instrText>ADDIN CSL_CITATION {"citationItems":[{"id":"ITEM-1","itemData":{"DOI":"10.3390/plants12173102","ISSN":"22237747","abstract":"Arbuscular mycorrhizal fungi (AMF) form symbiotic relationships with the roots of nearly all land-dwelling plants, increasing growth and productivity, especially during abiotic stress. AMF improves plant development by improving nutrient acquisition, such as phosphorus, water, and mineral uptake. AMF improves plant tolerance and resilience to abiotic stressors such as drought, salt, and heavy metal toxicity. These benefits come from the arbuscular mycorrhizal interface, which lets fungal and plant partners exchange nutrients, signalling molecules, and protective chemical compounds. Plants’ antioxidant defence systems, osmotic adjustment, and hormone regulation are also affected by AMF infestation. These responses promote plant performance, photosynthetic efficiency, and biomass production in abiotic stress conditions. As a result of its positive effects on soil structure, nutrient cycling, and carbon sequestration, AMF contributes to the maintenance of resilient ecosystems. The effects of AMFs on plant growth and ecological stability are species- and environment-specific. AMF’s growth-regulating, productivity-enhancing role in abiotic stress alleviation under abiotic stress is reviewed. More research is needed to understand the molecular mechanisms that drive AMF-plant interactions and their responses to abiotic stresses. AMF triggers plants’ morphological, physiological, and molecular responses to abiotic stress. Water and nutrient acquisition, plant development, and abiotic stress tolerance are improved by arbuscular mycorrhizal symbiosis. In plants, AMF colonization modulates antioxidant defense mechanisms, osmotic adjustment, and hormonal regulation. These responses promote plant performance, photosynthetic efficiency, and biomass production in abiotic stress circumstances. AMF-mediated effects are also enhanced by essential oils (EOs), superoxide dismutase (SOD), peroxidase (POD), ascorbate peroxidase (APX), hydrogen peroxide (H2O2), malondialdehyde (MDA), and phosphorus (P). Understanding how AMF increases plant adaptation and reduces abiotic stress will help sustain agriculture, ecosystem management, and climate change mitigation. Arbuscular mycorrhizal fungi (AMF) have gained prominence in agriculture due to their multifaceted roles in promoting plant health and productivity. This review delves into how AMF influences plant growth and nutrient absorption, especially under challenging environmental conditions. We further explore the extent to whi…","author":[{"dropping-particle":"","family":"Wahab","given":"Abdul","non-dropping-particle":"","parse-names":false,"suffix":""},{"dropping-particle":"","family":"Muhammad","given":"Murad","non-dropping-particle":"","parse-names":false,"suffix":""},{"dropping-particle":"","family":"Munir","given":"Asma","non-dropping-particle":"","parse-names":false,"suffix":""},{"dropping-particle":"","family":"Abdi","given":"Gholamreza","non-dropping-particle":"","parse-names":false,"suffix":""},{"dropping-particle":"","family":"Zaman","given":"Wajib","non-dropping-particle":"","parse-names":false,"suffix":""},{"dropping-particle":"","family":"Ayaz","given":"Asma","non-dropping-particle":"","parse-names":false,"suffix":""},{"dropping-particle":"","family":"Khizar","given":"Chandni","non-dropping-particle":"","parse-names":false,"suffix":""},{"dropping-particle":"","family":"Reddy","given":"Sneha Priya Pappula","non-dropping-particle":"","parse-names":false,"suffix":""}],"container-title":"Plants","id":"ITEM-1","issued":{"date-parts":[["2023"]]},"page":"3102","title":"Role of Arbuscular Mycorrhizal Fungi in Regulating Growth, Enhancing Productivity, and Potentially Influencing Ecosystems under Abiotic and Biotic Stresses","type":"article-journal","volume":"12"},"uris":["http://www.mendeley.com/documents/?uuid=3640b655-2d79-485a-b4c3-fc7c86fa59c4"]}],"mendeley":{"formattedCitation":"(Wahab et al., 2023)","manualFormatting":"Wahab et al., (2023)","plainTextFormattedCitation":"(Wahab et al., 2023)","previouslyFormattedCitation":"(Wahab et al., 2023)"},"properties":{"noteIndex":0},"schema":"https://github.com/citation-style-language/schema/raw/master/csl-citation.json"}</w:instrText>
      </w:r>
      <w:r>
        <w:rPr>
          <w:rFonts w:ascii="Arial" w:hAnsi="Arial" w:cs="Arial"/>
        </w:rPr>
        <w:fldChar w:fldCharType="separate"/>
      </w:r>
      <w:r w:rsidR="007E15AB">
        <w:rPr>
          <w:rFonts w:ascii="Arial" w:hAnsi="Arial" w:cs="Arial"/>
          <w:noProof/>
        </w:rPr>
        <w:t>Wahab et al.</w:t>
      </w:r>
      <w:r w:rsidRPr="00AD5FE9">
        <w:rPr>
          <w:rFonts w:ascii="Arial" w:hAnsi="Arial" w:cs="Arial"/>
          <w:noProof/>
        </w:rPr>
        <w:t xml:space="preserve"> </w:t>
      </w:r>
      <w:r>
        <w:rPr>
          <w:rFonts w:ascii="Arial" w:hAnsi="Arial" w:cs="Arial"/>
          <w:noProof/>
          <w:lang w:val="id-ID"/>
        </w:rPr>
        <w:t>(</w:t>
      </w:r>
      <w:r w:rsidRPr="00AD5FE9">
        <w:rPr>
          <w:rFonts w:ascii="Arial" w:hAnsi="Arial" w:cs="Arial"/>
          <w:noProof/>
        </w:rPr>
        <w:t>2023)</w:t>
      </w:r>
      <w:r>
        <w:rPr>
          <w:rFonts w:ascii="Arial" w:hAnsi="Arial" w:cs="Arial"/>
        </w:rPr>
        <w:fldChar w:fldCharType="end"/>
      </w:r>
      <w:r>
        <w:rPr>
          <w:rFonts w:ascii="Arial" w:hAnsi="Arial" w:cs="Arial"/>
          <w:lang w:val="id-ID"/>
        </w:rPr>
        <w:t xml:space="preserve"> </w:t>
      </w:r>
      <w:r w:rsidRPr="00C32631">
        <w:rPr>
          <w:rFonts w:ascii="Arial" w:hAnsi="Arial" w:cs="Arial"/>
        </w:rPr>
        <w:t xml:space="preserve">and </w:t>
      </w:r>
      <w:r>
        <w:rPr>
          <w:rFonts w:ascii="Arial" w:hAnsi="Arial" w:cs="Arial"/>
        </w:rPr>
        <w:fldChar w:fldCharType="begin" w:fldLock="1"/>
      </w:r>
      <w:r>
        <w:rPr>
          <w:rFonts w:ascii="Arial" w:hAnsi="Arial" w:cs="Arial"/>
        </w:rPr>
        <w:instrText>ADDIN CSL_CITATION {"citationItems":[{"id":"ITEM-1","itemData":{"DOI":"10.13057/biodiv/d251249","ISBN":"6234156584","ISSN":"20854722","abstract":"One main problem of ex-coal mining land is low soil phosphate (P) availability and easy binding of phosphate to Fe and Al (hydro)oxide. These conditions affect the abundance and activity of soil microorganisms. Unlike other microbes, mycorrhizae can help root uptake of P that is not available in the inorganic form and make it available for crops. The addition of slow-release phosphate sources-such as rock phosphate, bone meal, and fish meal-are good sources of P nutrients because they are not easily fixed and washed away. This study aimed to improve ex-coal mining land conditions by increasing the level of P availability in soil via the application of various P sources at different dosages to improve mycorrhizal spores and sorghum growth. The pot experiment used a factorial completely randomized block design (CRBD) with 3 different phosphate source type (P), consisting of 3 treatment levels, under the optimum concentration of-P1: rock phosphate; P2: bone meal; and P3: fish meal-and various dose of phosphate source (F) consisting of 5 treatment levels-F0: control; F1: 0.17 g/polybag; F2: 0.29 g/polybag; F3: 0.40 g/polybag; and F4: 0.57 g/polybag-with a total combination of 15 treatments with 4 replications. The combination of the P2F3 treatment (bone meal dose of 0.40 g/polybag) was the best dose. It was effective in increasing the number of Arbuscular Mycorrhizae (AM) spores by 273 and increasing soil available P by 28.24 mg/kg. The P1F4 (natural phosphate with 0.57 g polybag-1) was the best treatment and produced the greater fresh weight and dry weight biomass of sorghum at about 31.86 g and 10.47 g, respectively. The plant height was increased by 5 to 35%, but there was no effect on the number of sorghum leaves.","author":[{"dropping-particle":"","family":"Prasetya","given":"Budi","non-dropping-particle":"","parse-names":false,"suffix":""},{"dropping-particle":"","family":"Arfiyanti","given":"Herliana","non-dropping-particle":"","parse-names":false,"suffix":""},{"dropping-particle":"","family":"Arfarita","given":"Novi","non-dropping-particle":"","parse-names":false,"suffix":""}],"container-title":"Biodiversitas","id":"ITEM-1","issue":"12","issued":{"date-parts":[["2024"]]},"page":"5112-5122","title":"Exploring the benefit of arbuscular mycorrhizal Glomus spp. in improving available soil P and crop growth of sorghum cultivated on ex-coal mine soil","type":"article-journal","volume":"25"},"uris":["http://www.mendeley.com/documents/?uuid=1d687c47-2577-42d7-8e1c-68186621005c"]}],"mendeley":{"formattedCitation":"(Prasetya et al., 2024)","manualFormatting":"Prasetya et al., (2024)","plainTextFormattedCitation":"(Prasetya et al., 2024)","previouslyFormattedCitation":"(Prasetya et al., 2024)"},"properties":{"noteIndex":0},"schema":"https://github.com/citation-style-language/schema/raw/master/csl-citation.json"}</w:instrText>
      </w:r>
      <w:r>
        <w:rPr>
          <w:rFonts w:ascii="Arial" w:hAnsi="Arial" w:cs="Arial"/>
        </w:rPr>
        <w:fldChar w:fldCharType="separate"/>
      </w:r>
      <w:r w:rsidR="007E15AB">
        <w:rPr>
          <w:rFonts w:ascii="Arial" w:hAnsi="Arial" w:cs="Arial"/>
          <w:noProof/>
        </w:rPr>
        <w:t>Prasetya et al.</w:t>
      </w:r>
      <w:r w:rsidRPr="00AD5FE9">
        <w:rPr>
          <w:rFonts w:ascii="Arial" w:hAnsi="Arial" w:cs="Arial"/>
          <w:noProof/>
        </w:rPr>
        <w:t xml:space="preserve"> </w:t>
      </w:r>
      <w:r>
        <w:rPr>
          <w:rFonts w:ascii="Arial" w:hAnsi="Arial" w:cs="Arial"/>
          <w:noProof/>
          <w:lang w:val="id-ID"/>
        </w:rPr>
        <w:t>(</w:t>
      </w:r>
      <w:r w:rsidRPr="00AD5FE9">
        <w:rPr>
          <w:rFonts w:ascii="Arial" w:hAnsi="Arial" w:cs="Arial"/>
          <w:noProof/>
        </w:rPr>
        <w:t>2024)</w:t>
      </w:r>
      <w:r>
        <w:rPr>
          <w:rFonts w:ascii="Arial" w:hAnsi="Arial" w:cs="Arial"/>
        </w:rPr>
        <w:fldChar w:fldCharType="end"/>
      </w:r>
      <w:r w:rsidRPr="00C32631">
        <w:rPr>
          <w:rFonts w:ascii="Arial" w:hAnsi="Arial" w:cs="Arial"/>
        </w:rPr>
        <w:t>, the distribution of hyphae in the soil can affect the efficiency of phosphorus absorption by AM.</w:t>
      </w:r>
      <w:r w:rsidR="00357DFD">
        <w:rPr>
          <w:rFonts w:ascii="Arial" w:hAnsi="Arial" w:cs="Arial"/>
          <w:lang w:val="id-ID"/>
        </w:rPr>
        <w:t xml:space="preserve"> </w:t>
      </w:r>
      <w:r w:rsidR="00357DFD" w:rsidRPr="00357DFD">
        <w:rPr>
          <w:rFonts w:ascii="Arial" w:hAnsi="Arial" w:cs="Arial"/>
          <w:lang w:val="id-ID"/>
        </w:rPr>
        <w:t>This opinion strengthens the fact that the role of AM is inseparable from the accumulation of P in Av leaves.</w:t>
      </w:r>
    </w:p>
    <w:p w14:paraId="69ED8EC7" w14:textId="5B88FD36" w:rsidR="0045027C" w:rsidRDefault="00C32631" w:rsidP="00C32631">
      <w:pPr>
        <w:pStyle w:val="Body"/>
        <w:spacing w:after="0"/>
        <w:rPr>
          <w:rFonts w:ascii="Arial" w:hAnsi="Arial" w:cs="Arial"/>
          <w:lang w:val="id-ID"/>
        </w:rPr>
      </w:pPr>
      <w:r w:rsidRPr="00C32631">
        <w:rPr>
          <w:rFonts w:ascii="Arial" w:hAnsi="Arial" w:cs="Arial"/>
        </w:rPr>
        <w:t xml:space="preserve">Potassium (K+) is one of the most abundant elements in soil composition, but </w:t>
      </w:r>
      <w:proofErr w:type="spellStart"/>
      <w:r w:rsidRPr="00C32631">
        <w:rPr>
          <w:rFonts w:ascii="Arial" w:hAnsi="Arial" w:cs="Arial"/>
        </w:rPr>
        <w:t>its</w:t>
      </w:r>
      <w:proofErr w:type="spellEnd"/>
      <w:r w:rsidRPr="00C32631">
        <w:rPr>
          <w:rFonts w:ascii="Arial" w:hAnsi="Arial" w:cs="Arial"/>
        </w:rPr>
        <w:t xml:space="preserve"> very low availability limits plant growth and ecosystem productivity </w:t>
      </w:r>
      <w:r w:rsidR="003A4C64">
        <w:rPr>
          <w:rFonts w:ascii="Arial" w:hAnsi="Arial" w:cs="Arial"/>
        </w:rPr>
        <w:fldChar w:fldCharType="begin" w:fldLock="1"/>
      </w:r>
      <w:r w:rsidR="003A4C64">
        <w:rPr>
          <w:rFonts w:ascii="Arial" w:hAnsi="Arial" w:cs="Arial"/>
        </w:rPr>
        <w:instrText>ADDIN CSL_CITATION {"citationItems":[{"id":"ITEM-1","itemData":{"DOI":"10.1016/j.foreco.2021.119275","ISSN":"03781127","abstract":"Potassium (K) is essential for a wide range of physiological functions in plants, and a limiting element for wood productivity in numerous forest ecosystems. However, the contribution of each of the K-sensitive physiological processes to the limitation of wood productivity is poorly known. In trees, K deficiency acts both on the source and the sinks of carbon making it difficult to disentangle its effects on wood productivity. Here, we review the literature dealing with the influence of K-limitation on tree physiological processes. Results from extensively studied tropical Eucalyptus plantations are used to illustrate the physiological processes the most impacted by K deficiency. We identify the main processes that limit the availability of K to the trees and influence the circulation of K ions in the ecosystem. Then, we describe the influence of K bioavailability on carbon assimilation, the water economy of trees, and carbon partitioning. We conclude this review by identifying the main priorities towards the process-based modelling of the influence of K on the carbon and water cycles in forest ecosystems. For each process modelling priority, we identify options that could be used in the current conceptual framework of most eco-physiological models.","author":[{"dropping-particle":"","family":"Cornut","given":"Ivan","non-dropping-particle":"","parse-names":false,"suffix":""},{"dropping-particle":"","family":"Maire","given":"Guerric","non-dropping-particle":"Le","parse-names":false,"suffix":""},{"dropping-particle":"","family":"Laclau","given":"Jean Paul","non-dropping-particle":"","parse-names":false,"suffix":""},{"dropping-particle":"","family":"Guillemot","given":"Joannès","non-dropping-particle":"","parse-names":false,"suffix":""},{"dropping-particle":"","family":"Mareschal","given":"Louis","non-dropping-particle":"","parse-names":false,"suffix":""},{"dropping-particle":"","family":"Nouvellon","given":"Yann","non-dropping-particle":"","parse-names":false,"suffix":""},{"dropping-particle":"","family":"Delpierre","given":"Nicolas","non-dropping-particle":"","parse-names":false,"suffix":""}],"container-title":"Forest Ecology and Management","id":"ITEM-1","issued":{"date-parts":[["2021"]]},"page":"119275","title":"Potassium limitation of wood productivity: A review of elementary processes and ways forward to modelling illustrated by Eucalyptus plantations","type":"article-journal","volume":"494"},"uris":["http://www.mendeley.com/documents/?uuid=d8241f34-8546-4155-bc00-e519630cca85"]},{"id":"ITEM-2","itemData":{"DOI":"10.3389/fpls.2020.00904","ISSN":"1664462X","abstract":"Nitrogen (N) is one of the most required mineral elements for plant growth, and potassium (K) plays a vital role in nitrogen metabolism, both elements being widely applied as fertilizers in agricultural production. However, the exact relationship between K and nitrogen use efficiency (NUE) remains unclear. Apple dwarf rootstock seedlings (M9T337) were used to study the impacts of different K levels on plant growth, nitrogen metabolism, and carbon (C) assimilation in water culture experiments for 2 years. The results showed that both deficiency and excess K inhibited the growth and root development of M9T337 seedlings. When the K supply concentration was 0 mM and 12 mM, the biomass of each organ, root-shoot ratio, root activity and NO3– ion flow rate decreased significantly, net photosynthetic rate (Pn) and photochemical efficiency (Fv/Fm) being lower. Meanwhile, seedlings treated with 6 mM K+ had higher N and C metabolizing enzyme activities and higher nitrate transporter gene expression levels (NRT1.1; NRT2.1). 13C and 15N labeling results showed that deficiency and excess K could not only reduce 15N absorption and 13C assimilation accumulation of M9T337 seedlings, but also reduced the 15N distribution ratio in leaves and 13C distribution ratio in roots. These results suggest that appropriate K supply (6 mM) was optimal as it enhanced photoassimilate transport from leaves to roots and increased NUE by influencing photosynthesis, C and N metabolizing enzyme activities, nitrate assimilation gene activities, and nitrate transport.","author":[{"dropping-particle":"","family":"Xu","given":"Xinxiang","non-dropping-particle":"","parse-names":false,"suffix":""},{"dropping-particle":"","family":"Du","given":"Xin","non-dropping-particle":"","parse-names":false,"suffix":""},{"dropping-particle":"","family":"Wang","given":"Fen","non-dropping-particle":"","parse-names":false,"suffix":""},{"dropping-particle":"","family":"Sha","given":"Jianchuan","non-dropping-particle":"","parse-names":false,"suffix":""},{"dropping-particle":"","family":"Chen","given":"Qian","non-dropping-particle":"","parse-names":false,"suffix":""},{"dropping-particle":"","family":"Tian","given":"Ge","non-dropping-particle":"","parse-names":false,"suffix":""},{"dropping-particle":"","family":"Zhu","given":"Zhanling","non-dropping-particle":"","parse-names":false,"suffix":""},{"dropping-particle":"","family":"Ge","given":"Shunfeng","non-dropping-particle":"","parse-names":false,"suffix":""},{"dropping-particle":"","family":"Jiang","given":"Yuanmao","non-dropping-particle":"","parse-names":false,"suffix":""}],"container-title":"Frontiers in Plant Science","id":"ITEM-2","issued":{"date-parts":[["2020"]]},"page":"904","title":"Effects of Potassium Levels on Plant Growth, Accumulation and Distribution of Carbon, and Nitrate Metabolism in Apple Dwarf Rootstock Seedlings","type":"article-journal","volume":"11"},"uris":["http://www.mendeley.com/documents/?uuid=dc3eb92c-9ee7-428b-b0ec-68a2c3444efc"]}],"mendeley":{"formattedCitation":"(Cornut et al., 2021; Xu et al., 2020)","plainTextFormattedCitation":"(Cornut et al., 2021; Xu et al., 2020)","previouslyFormattedCitation":"(Cornut et al., 2021; Xu et al., 2020)"},"properties":{"noteIndex":0},"schema":"https://github.com/citation-style-language/schema/raw/master/csl-citation.json"}</w:instrText>
      </w:r>
      <w:r w:rsidR="003A4C64">
        <w:rPr>
          <w:rFonts w:ascii="Arial" w:hAnsi="Arial" w:cs="Arial"/>
        </w:rPr>
        <w:fldChar w:fldCharType="separate"/>
      </w:r>
      <w:r w:rsidR="003A4C64" w:rsidRPr="003A4C64">
        <w:rPr>
          <w:rFonts w:ascii="Arial" w:hAnsi="Arial" w:cs="Arial"/>
          <w:noProof/>
        </w:rPr>
        <w:t xml:space="preserve">(Cornut et al., 2021; Xu et al., </w:t>
      </w:r>
      <w:r w:rsidR="003A4C64" w:rsidRPr="003A4C64">
        <w:rPr>
          <w:rFonts w:ascii="Arial" w:hAnsi="Arial" w:cs="Arial"/>
          <w:noProof/>
        </w:rPr>
        <w:lastRenderedPageBreak/>
        <w:t>2020)</w:t>
      </w:r>
      <w:r w:rsidR="003A4C64">
        <w:rPr>
          <w:rFonts w:ascii="Arial" w:hAnsi="Arial" w:cs="Arial"/>
        </w:rPr>
        <w:fldChar w:fldCharType="end"/>
      </w:r>
      <w:r w:rsidRPr="00C32631">
        <w:rPr>
          <w:rFonts w:ascii="Arial" w:hAnsi="Arial" w:cs="Arial"/>
        </w:rPr>
        <w:t>. This cation participates in many metabolic processes, its constitutive absorption from</w:t>
      </w:r>
      <w:r w:rsidR="00357DFD">
        <w:rPr>
          <w:rFonts w:ascii="Arial" w:hAnsi="Arial" w:cs="Arial"/>
          <w:lang w:val="id-ID"/>
        </w:rPr>
        <w:t xml:space="preserve"> the </w:t>
      </w:r>
      <w:r w:rsidRPr="00C32631">
        <w:rPr>
          <w:rFonts w:ascii="Arial" w:hAnsi="Arial" w:cs="Arial"/>
        </w:rPr>
        <w:t xml:space="preserve">soil solution is very important for plant cell productivity. In Fig 3D, it shows that potassium is more accumulated in Av leaves, according to </w:t>
      </w:r>
      <w:r w:rsidR="003A4C64">
        <w:rPr>
          <w:rFonts w:ascii="Arial" w:hAnsi="Arial" w:cs="Arial"/>
        </w:rPr>
        <w:fldChar w:fldCharType="begin" w:fldLock="1"/>
      </w:r>
      <w:r w:rsidR="003E589C">
        <w:rPr>
          <w:rFonts w:ascii="Arial" w:hAnsi="Arial" w:cs="Arial"/>
        </w:rPr>
        <w:instrText>ADDIN CSL_CITATION {"citationItems":[{"id":"ITEM-1","itemData":{"DOI":"10.3390/plants9101259","abstract":"Potassium (K) is essential for the processes critical for plant performance, including photosynthesis, carbon assimilation, and response to stress. K also influences translocation of sugars in the phloem and regulates sucrose metabolism. Several plant species synthesize polyols and transport these sugar alcohols from source to sink tissues. Limited knowledge exists about the involvement of K in the above processes in polyol-translocating plants. We, therefore, studied K effects in Plantago major, a species that accumulates the polyol sorbitol to high concentrations. We grew P. major plants on soil substrate adjusted to low-, medium-, or high-potassium conditions. We found that biomass, seed yield, and leaf tissue K contents increased in a soil K-dependent manner. K gradually increased the photosynthetic efficiency and decreased the non-photochemical quenching. Concomitantly, sorbitol levels and sorbitol to sucrose ratio in leaves and phloem sap increased in a K-dependent manner. K supply also fostered plant cold acclimation. High soil K levels mitigated loss of water from leaves in the cold and supported cold-dependent sugar and sorbitol accumulation. We hypothesize that with increased K nutrition, P. major preferentially channels photosynthesis-derived electrons into sorbitol biosynthesis and that this increased sorbitol is supportive for sink development and as a protective solute, during abiotic stress.","author":[{"dropping-particle":"","family":"Ho","given":"Li-hsuan","non-dropping-particle":"","parse-names":false,"suffix":""},{"dropping-particle":"","family":"Rode","given":"Regina","non-dropping-particle":"","parse-names":false,"suffix":""},{"dropping-particle":"","family":"Siegel","given":"Maike","non-dropping-particle":"","parse-names":false,"suffix":""},{"dropping-particle":"","family":"Reinhardt","given":"Frank","non-dropping-particle":"","parse-names":false,"suffix":""},{"dropping-particle":"","family":"Neuhaus","given":"H Ekkehard","non-dropping-particle":"","parse-names":false,"suffix":""},{"dropping-particle":"","family":"Yvin","given":"Jean-claude","non-dropping-particle":"","parse-names":false,"suffix":""},{"dropping-particle":"","family":"Pluchon","given":"Sylvain","non-dropping-particle":"","parse-names":false,"suffix":""},{"dropping-particle":"","family":"Hosseini","given":"Seyed Abdollah","non-dropping-particle":"","parse-names":false,"suffix":""}],"container-title":"Plants","id":"ITEM-1","issued":{"date-parts":[["2020"]]},"page":"1259","title":"Potassium Application Boosts Photosynthesis and Sorbitol Biosynthesis and Accelerates Cold Acclimation of Common Plantain ( Plantago major L .)","type":"article-journal","volume":"9"},"uris":["http://www.mendeley.com/documents/?uuid=a4f5f044-6a4d-456f-92fc-8d25748c5d44"]},{"id":"ITEM-2","itemData":{"DOI":"10.1016/j.scienta.2023.112832","ISSN":"03044238","abstract":"The soil contributes to the main pool of crucial mineral nutrients for plant growth. These essential nutrients play an important role in the formation of plant biomolecules, perform fundamental functions in cellular processes, and participate in a wide range of enzymatic reactions. The roots serve as the primary gateway through which mineral nutrients enter the plant, facilitating its growth and seed production. In this context, a diverse set of plant nutrient transport systems, sensors, and signaling proteins operate to acquire mineral nutrients via the roots in plants. Chemical fertilizers, primarily consisting of nitrogen (N) and potassium (K), are globally applied in agricultural areas to boost crop yields. K and N are macronutrients that are required in large quantities by plants. Both K and N are dynamic elements and significantly play a prominent role in photosynthesis and the subsequent long-distance transport of the end products during photosynthesis. Imbalances in their levels in photosynthetic organelles can lead to excessive or insufficient assimilation, resulting in an interesting response at biochemical, physiological, and anatomical levels which ultimately impact the sugar metabolism and photosynthetic carbon assimilation. In this review article, we reviewed the functioning of K and N uptake in roots, and directly or indirectly associated with photosynthesis. We focused on the impact of K and N on sugar metabolism, and the translocation of photosynthetic end products from source (leaves) to sink (fruit). Furthermore, we summarized the current understanding of K and N transport of sugar and discussed the influence of both K and N nutrients mainly on photosynthetic and sugar metabolic systems in horticultural crops. We also discussed the mechanisms with coordination to the transport of N and K uptake mechanisms and regulatory key genes in plants and sugar metabolism. Overall, this review provides comprehensive insights into the interplay between sugar metabolism, nutrient uptake, and photosynthesis, with a specific emphasis on the roles of N and K transport in plants. This review enhances our understanding of the mechanisms underlying K and N nutrient transport and their regulation and provides valuable knowledge for improving nutritional quality and crop productivity.","author":[{"dropping-particle":"","family":"Shah","given":"Iftikhar Hussain","non-dropping-particle":"","parse-names":false,"suffix":""},{"dropping-particle":"","family":"Jinhui","given":"Wu","non-dropping-particle":"","parse-names":false,"suffix":""},{"dropping-particle":"","family":"Li","given":"Xuyang","non-dropping-particle":"","parse-names":false,"suffix":""},{"dropping-particle":"","family":"Hameed","given":"Muhammad Khalid","non-dropping-particle":"","parse-names":false,"suffix":""},{"dropping-particle":"","family":"Manzoor","given":"Muhammad Aamir","non-dropping-particle":"","parse-names":false,"suffix":""},{"dropping-particle":"","family":"Li","given":"Pengli","non-dropping-particle":"","parse-names":false,"suffix":""},{"dropping-particle":"","family":"Zhang","given":"Yidong","non-dropping-particle":"","parse-names":false,"suffix":""},{"dropping-particle":"","family":"Niu","given":"Qingliang","non-dropping-particle":"","parse-names":false,"suffix":""},{"dropping-particle":"","family":"Chang","given":"Liying","non-dropping-particle":"","parse-names":false,"suffix":""}],"container-title":"Scientia Horticulturae","id":"ITEM-2","issued":{"date-parts":[["2024"]]},"page":"112832","title":"Exploring the Role of Nitrogen and Potassium in Photosynthesis Implications for Sugar: Accumulation and Translocation in Horticultural Crops","type":"article-journal","volume":"327"},"uris":["http://www.mendeley.com/documents/?uuid=ad025f2a-5126-4eaa-8a0f-ea7dc2edcaad"]},{"id":"ITEM-3","itemData":{"DOI":"10.3389/fpls.2020.00904","ISSN":"1664462X","abstract":"Nitrogen (N) is one of the most required mineral elements for plant growth, and potassium (K) plays a vital role in nitrogen metabolism, both elements being widely applied as fertilizers in agricultural production. However, the exact relationship between K and nitrogen use efficiency (NUE) remains unclear. Apple dwarf rootstock seedlings (M9T337) were used to study the impacts of different K levels on plant growth, nitrogen metabolism, and carbon (C) assimilation in water culture experiments for 2 years. The results showed that both deficiency and excess K inhibited the growth and root development of M9T337 seedlings. When the K supply concentration was 0 mM and 12 mM, the biomass of each organ, root-shoot ratio, root activity and NO3– ion flow rate decreased significantly, net photosynthetic rate (Pn) and photochemical efficiency (Fv/Fm) being lower. Meanwhile, seedlings treated with 6 mM K+ had higher N and C metabolizing enzyme activities and higher nitrate transporter gene expression levels (NRT1.1; NRT2.1). 13C and 15N labeling results showed that deficiency and excess K could not only reduce 15N absorption and 13C assimilation accumulation of M9T337 seedlings, but also reduced the 15N distribution ratio in leaves and 13C distribution ratio in roots. These results suggest that appropriate K supply (6 mM) was optimal as it enhanced photoassimilate transport from leaves to roots and increased NUE by influencing photosynthesis, C and N metabolizing enzyme activities, nitrate assimilation gene activities, and nitrate transport.","author":[{"dropping-particle":"","family":"Xu","given":"Xinxiang","non-dropping-particle":"","parse-names":false,"suffix":""},{"dropping-particle":"","family":"Du","given":"Xin","non-dropping-particle":"","parse-names":false,"suffix":""},{"dropping-particle":"","family":"Wang","given":"Fen","non-dropping-particle":"","parse-names":false,"suffix":""},{"dropping-particle":"","family":"Sha","given":"Jianchuan","non-dropping-particle":"","parse-names":false,"suffix":""},{"dropping-particle":"","family":"Chen","given":"Qian","non-dropping-particle":"","parse-names":false,"suffix":""},{"dropping-particle":"","family":"Tian","given":"Ge","non-dropping-particle":"","parse-names":false,"suffix":""},{"dropping-particle":"","family":"Zhu","given":"Zhanling","non-dropping-particle":"","parse-names":false,"suffix":""},{"dropping-particle":"","family":"Ge","given":"Shunfeng","non-dropping-particle":"","parse-names":false,"suffix":""},{"dropping-particle":"","family":"Jiang","given":"Yuanmao","non-dropping-particle":"","parse-names":false,"suffix":""}],"container-title":"Frontiers in Plant Science","id":"ITEM-3","issued":{"date-parts":[["2020"]]},"page":"904","title":"Effects of Potassium Levels on Plant Growth, Accumulation and Distribution of Carbon, and Nitrate Metabolism in Apple Dwarf Rootstock Seedlings","type":"article-journal","volume":"11"},"uris":["http://www.mendeley.com/documents/?uuid=dc3eb92c-9ee7-428b-b0ec-68a2c3444efc"]}],"mendeley":{"formattedCitation":"(Ho et al., 2020; Shah et al., 2024; Xu et al., 2020)","manualFormatting":"Ho et al., (2020); Shah et al.,(2024); and  Xu et al., (2020)","plainTextFormattedCitation":"(Ho et al., 2020; Shah et al., 2024; Xu et al., 2020)","previouslyFormattedCitation":"(Ho et al., 2020; Shah et al., 2024; Xu et al., 2020)"},"properties":{"noteIndex":0},"schema":"https://github.com/citation-style-language/schema/raw/master/csl-citation.json"}</w:instrText>
      </w:r>
      <w:r w:rsidR="003A4C64">
        <w:rPr>
          <w:rFonts w:ascii="Arial" w:hAnsi="Arial" w:cs="Arial"/>
        </w:rPr>
        <w:fldChar w:fldCharType="separate"/>
      </w:r>
      <w:r w:rsidR="007E15AB">
        <w:rPr>
          <w:rFonts w:ascii="Arial" w:hAnsi="Arial" w:cs="Arial"/>
          <w:noProof/>
        </w:rPr>
        <w:t>Ho et al.</w:t>
      </w:r>
      <w:r w:rsidR="003A4C64" w:rsidRPr="003A4C64">
        <w:rPr>
          <w:rFonts w:ascii="Arial" w:hAnsi="Arial" w:cs="Arial"/>
          <w:noProof/>
        </w:rPr>
        <w:t xml:space="preserve"> </w:t>
      </w:r>
      <w:r w:rsidR="003E589C">
        <w:rPr>
          <w:rFonts w:ascii="Arial" w:hAnsi="Arial" w:cs="Arial"/>
          <w:noProof/>
          <w:lang w:val="id-ID"/>
        </w:rPr>
        <w:t>(</w:t>
      </w:r>
      <w:r w:rsidR="003A4C64" w:rsidRPr="003A4C64">
        <w:rPr>
          <w:rFonts w:ascii="Arial" w:hAnsi="Arial" w:cs="Arial"/>
          <w:noProof/>
        </w:rPr>
        <w:t>2020</w:t>
      </w:r>
      <w:r w:rsidR="003E589C">
        <w:rPr>
          <w:rFonts w:ascii="Arial" w:hAnsi="Arial" w:cs="Arial"/>
          <w:noProof/>
          <w:lang w:val="id-ID"/>
        </w:rPr>
        <w:t>)</w:t>
      </w:r>
      <w:r w:rsidR="007E15AB">
        <w:rPr>
          <w:rFonts w:ascii="Arial" w:hAnsi="Arial" w:cs="Arial"/>
          <w:noProof/>
        </w:rPr>
        <w:t>; Shah et al.</w:t>
      </w:r>
      <w:r w:rsidR="007E15AB">
        <w:rPr>
          <w:rFonts w:ascii="Arial" w:hAnsi="Arial" w:cs="Arial"/>
          <w:noProof/>
          <w:lang w:val="id-ID"/>
        </w:rPr>
        <w:t xml:space="preserve"> </w:t>
      </w:r>
      <w:r w:rsidR="003E589C">
        <w:rPr>
          <w:rFonts w:ascii="Arial" w:hAnsi="Arial" w:cs="Arial"/>
          <w:noProof/>
          <w:lang w:val="id-ID"/>
        </w:rPr>
        <w:t>(</w:t>
      </w:r>
      <w:r w:rsidR="003A4C64" w:rsidRPr="003A4C64">
        <w:rPr>
          <w:rFonts w:ascii="Arial" w:hAnsi="Arial" w:cs="Arial"/>
          <w:noProof/>
        </w:rPr>
        <w:t>2024</w:t>
      </w:r>
      <w:r w:rsidR="003E589C">
        <w:rPr>
          <w:rFonts w:ascii="Arial" w:hAnsi="Arial" w:cs="Arial"/>
          <w:noProof/>
          <w:lang w:val="id-ID"/>
        </w:rPr>
        <w:t>)</w:t>
      </w:r>
      <w:r w:rsidR="003A4C64" w:rsidRPr="003A4C64">
        <w:rPr>
          <w:rFonts w:ascii="Arial" w:hAnsi="Arial" w:cs="Arial"/>
          <w:noProof/>
        </w:rPr>
        <w:t>;</w:t>
      </w:r>
      <w:r w:rsidR="003E589C">
        <w:rPr>
          <w:rFonts w:ascii="Arial" w:hAnsi="Arial" w:cs="Arial"/>
          <w:noProof/>
          <w:lang w:val="id-ID"/>
        </w:rPr>
        <w:t xml:space="preserve"> and </w:t>
      </w:r>
      <w:r w:rsidR="007E15AB">
        <w:rPr>
          <w:rFonts w:ascii="Arial" w:hAnsi="Arial" w:cs="Arial"/>
          <w:noProof/>
        </w:rPr>
        <w:t xml:space="preserve"> Xu et al.</w:t>
      </w:r>
      <w:r w:rsidR="003E589C">
        <w:rPr>
          <w:rFonts w:ascii="Arial" w:hAnsi="Arial" w:cs="Arial"/>
          <w:noProof/>
          <w:lang w:val="id-ID"/>
        </w:rPr>
        <w:t>(</w:t>
      </w:r>
      <w:r w:rsidR="003A4C64" w:rsidRPr="003A4C64">
        <w:rPr>
          <w:rFonts w:ascii="Arial" w:hAnsi="Arial" w:cs="Arial"/>
          <w:noProof/>
        </w:rPr>
        <w:t>2020)</w:t>
      </w:r>
      <w:r w:rsidR="003A4C64">
        <w:rPr>
          <w:rFonts w:ascii="Arial" w:hAnsi="Arial" w:cs="Arial"/>
        </w:rPr>
        <w:fldChar w:fldCharType="end"/>
      </w:r>
      <w:r w:rsidRPr="00C32631">
        <w:rPr>
          <w:rFonts w:ascii="Arial" w:hAnsi="Arial" w:cs="Arial"/>
        </w:rPr>
        <w:t xml:space="preserve">, potassium functions to help plant photosynthesis, sugar translocation, activate enzyme activity, and regulate water potential pressure in guard cells so that it affects the opening and closing of stomata, increases the root system, prevents the effect of plant lodging, counteracts the negative effects of N, provides a balance effect between N and P, and is important for chlorophyll development. </w:t>
      </w:r>
      <w:r w:rsidR="00357DFD" w:rsidRPr="00357DFD">
        <w:rPr>
          <w:rFonts w:ascii="Arial" w:hAnsi="Arial" w:cs="Arial"/>
        </w:rPr>
        <w:t>However, information on the role of AM in K uptake is still limited and requires intensive and in-depth study, especially in Av.</w:t>
      </w:r>
    </w:p>
    <w:p w14:paraId="598B558A" w14:textId="77777777" w:rsidR="0045027C" w:rsidRDefault="0045027C" w:rsidP="00C32631">
      <w:pPr>
        <w:pStyle w:val="Body"/>
        <w:spacing w:after="0"/>
        <w:rPr>
          <w:rFonts w:ascii="Arial" w:hAnsi="Arial" w:cs="Arial"/>
          <w:lang w:val="id-ID"/>
        </w:rPr>
      </w:pPr>
    </w:p>
    <w:p w14:paraId="515D6287"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699B541" w14:textId="77777777" w:rsidR="00790ADA" w:rsidRPr="00FB3A86" w:rsidRDefault="00790ADA" w:rsidP="00441B6F">
      <w:pPr>
        <w:pStyle w:val="ConcHead"/>
        <w:spacing w:after="0"/>
        <w:jc w:val="both"/>
        <w:rPr>
          <w:rFonts w:ascii="Arial" w:hAnsi="Arial" w:cs="Arial"/>
        </w:rPr>
      </w:pPr>
    </w:p>
    <w:p w14:paraId="5FC14D30" w14:textId="77777777" w:rsidR="006E6C47" w:rsidRDefault="006E6C47" w:rsidP="00441B6F">
      <w:pPr>
        <w:pStyle w:val="Body"/>
        <w:spacing w:after="0"/>
        <w:rPr>
          <w:rFonts w:ascii="Arial" w:hAnsi="Arial" w:cs="Arial"/>
        </w:rPr>
      </w:pPr>
      <w:r w:rsidRPr="006E6C47">
        <w:rPr>
          <w:rFonts w:ascii="Arial" w:hAnsi="Arial" w:cs="Arial"/>
        </w:rPr>
        <w:t>Tablets and sachets of MA did not inhibit AM colonization in root tissue. Both showed significant effects on mineral nutrient concentrations (N, P, and K) in plant tissue, with accumulation more in the leaves.</w:t>
      </w:r>
    </w:p>
    <w:p w14:paraId="47E9D625" w14:textId="77777777" w:rsidR="00165862" w:rsidRDefault="00165862" w:rsidP="00441B6F">
      <w:pPr>
        <w:pStyle w:val="Body"/>
        <w:spacing w:after="0"/>
        <w:rPr>
          <w:rFonts w:ascii="Arial" w:hAnsi="Arial" w:cs="Arial"/>
        </w:rPr>
      </w:pPr>
    </w:p>
    <w:p w14:paraId="242D6984" w14:textId="77777777" w:rsidR="00165862" w:rsidRPr="004C1B64" w:rsidRDefault="00165862" w:rsidP="00165862">
      <w:pPr>
        <w:rPr>
          <w:b/>
          <w:bCs/>
          <w:highlight w:val="yellow"/>
        </w:rPr>
      </w:pPr>
      <w:r w:rsidRPr="004C1B64">
        <w:rPr>
          <w:b/>
          <w:bCs/>
          <w:highlight w:val="yellow"/>
        </w:rPr>
        <w:t>Disclaimer (Artificial intelligence)</w:t>
      </w:r>
    </w:p>
    <w:p w14:paraId="7D35B09C" w14:textId="77777777" w:rsidR="00165862" w:rsidRPr="004C1B64" w:rsidRDefault="00165862" w:rsidP="00165862">
      <w:pPr>
        <w:rPr>
          <w:highlight w:val="yellow"/>
        </w:rPr>
      </w:pPr>
      <w:r w:rsidRPr="004C1B64">
        <w:rPr>
          <w:highlight w:val="yellow"/>
        </w:rPr>
        <w:t xml:space="preserve">Option 1: </w:t>
      </w:r>
    </w:p>
    <w:p w14:paraId="0FC551B4" w14:textId="77777777" w:rsidR="00165862" w:rsidRPr="004C1B64" w:rsidRDefault="00165862" w:rsidP="00165862">
      <w:pPr>
        <w:rPr>
          <w:highlight w:val="yellow"/>
        </w:rPr>
      </w:pPr>
      <w:r w:rsidRPr="004C1B64">
        <w:rPr>
          <w:highlight w:val="yellow"/>
        </w:rPr>
        <w:t xml:space="preserve">Author(s) hereby </w:t>
      </w:r>
      <w:proofErr w:type="gramStart"/>
      <w:r w:rsidRPr="004C1B64">
        <w:rPr>
          <w:highlight w:val="yellow"/>
        </w:rPr>
        <w:t>declare</w:t>
      </w:r>
      <w:proofErr w:type="gramEnd"/>
      <w:r w:rsidRPr="004C1B64">
        <w:rPr>
          <w:highlight w:val="yellow"/>
        </w:rPr>
        <w:t xml:space="preserve"> that NO generative AI technologies such as Large Language Models (ChatGPT, COPILOT, </w:t>
      </w:r>
      <w:proofErr w:type="spellStart"/>
      <w:r w:rsidRPr="004C1B64">
        <w:rPr>
          <w:highlight w:val="yellow"/>
        </w:rPr>
        <w:t>etc</w:t>
      </w:r>
      <w:proofErr w:type="spellEnd"/>
      <w:r w:rsidRPr="004C1B64">
        <w:rPr>
          <w:highlight w:val="yellow"/>
        </w:rPr>
        <w:t xml:space="preserve">) and text-to-image generators have been used during writing or editing of manuscripts. </w:t>
      </w:r>
    </w:p>
    <w:p w14:paraId="1FDC11C7" w14:textId="77777777" w:rsidR="00165862" w:rsidRPr="004C1B64" w:rsidRDefault="00165862" w:rsidP="00165862">
      <w:pPr>
        <w:rPr>
          <w:highlight w:val="yellow"/>
        </w:rPr>
      </w:pPr>
      <w:r w:rsidRPr="004C1B64">
        <w:rPr>
          <w:highlight w:val="yellow"/>
        </w:rPr>
        <w:t xml:space="preserve">Option 2: </w:t>
      </w:r>
    </w:p>
    <w:p w14:paraId="58A2B949" w14:textId="77777777" w:rsidR="00165862" w:rsidRPr="004C1B64" w:rsidRDefault="00165862" w:rsidP="00165862">
      <w:pPr>
        <w:rPr>
          <w:highlight w:val="yellow"/>
        </w:rPr>
      </w:pPr>
      <w:r w:rsidRPr="004C1B64">
        <w:rPr>
          <w:highlight w:val="yellow"/>
        </w:rPr>
        <w:t xml:space="preserve">Author(s) hereby </w:t>
      </w:r>
      <w:proofErr w:type="gramStart"/>
      <w:r w:rsidRPr="004C1B64">
        <w:rPr>
          <w:highlight w:val="yellow"/>
        </w:rPr>
        <w:t>declare</w:t>
      </w:r>
      <w:proofErr w:type="gramEnd"/>
      <w:r w:rsidRPr="004C1B64">
        <w:rPr>
          <w:highlight w:val="yellow"/>
        </w:rPr>
        <w:t xml:space="preserve"> that generative AI technologies such as Large Language Models, </w:t>
      </w:r>
      <w:proofErr w:type="spellStart"/>
      <w:r w:rsidRPr="004C1B64">
        <w:rPr>
          <w:highlight w:val="yellow"/>
        </w:rPr>
        <w:t>etc</w:t>
      </w:r>
      <w:proofErr w:type="spellEnd"/>
      <w:r w:rsidRPr="004C1B64">
        <w:rPr>
          <w:highlight w:val="yellow"/>
        </w:rPr>
        <w:t xml:space="preserve"> have been used during writing or editing of manuscripts. This explanation will include the name, version, model, and source of the generative AI technology and as well as all input prompts provided to the generative AI technology</w:t>
      </w:r>
    </w:p>
    <w:p w14:paraId="75AB15FC" w14:textId="77777777" w:rsidR="00165862" w:rsidRPr="004C1B64" w:rsidRDefault="00165862" w:rsidP="00165862">
      <w:pPr>
        <w:rPr>
          <w:highlight w:val="yellow"/>
        </w:rPr>
      </w:pPr>
      <w:r w:rsidRPr="004C1B64">
        <w:rPr>
          <w:highlight w:val="yellow"/>
        </w:rPr>
        <w:t>Details of the AI usage are given below:</w:t>
      </w:r>
    </w:p>
    <w:p w14:paraId="3F77570A" w14:textId="77777777" w:rsidR="00165862" w:rsidRPr="004C1B64" w:rsidRDefault="00165862" w:rsidP="00165862">
      <w:pPr>
        <w:rPr>
          <w:highlight w:val="yellow"/>
        </w:rPr>
      </w:pPr>
      <w:r w:rsidRPr="004C1B64">
        <w:rPr>
          <w:highlight w:val="yellow"/>
        </w:rPr>
        <w:t>1.</w:t>
      </w:r>
    </w:p>
    <w:p w14:paraId="6052E316" w14:textId="77777777" w:rsidR="00165862" w:rsidRPr="004C1B64" w:rsidRDefault="00165862" w:rsidP="00165862">
      <w:pPr>
        <w:rPr>
          <w:highlight w:val="yellow"/>
        </w:rPr>
      </w:pPr>
      <w:r w:rsidRPr="004C1B64">
        <w:rPr>
          <w:highlight w:val="yellow"/>
        </w:rPr>
        <w:t>2.</w:t>
      </w:r>
    </w:p>
    <w:p w14:paraId="66DEB5A1" w14:textId="77777777" w:rsidR="00165862" w:rsidRPr="00D047BB" w:rsidRDefault="00165862" w:rsidP="00165862">
      <w:r w:rsidRPr="004C1B64">
        <w:rPr>
          <w:highlight w:val="yellow"/>
        </w:rPr>
        <w:t>3.</w:t>
      </w:r>
    </w:p>
    <w:p w14:paraId="70750627" w14:textId="77777777" w:rsidR="00165862" w:rsidRDefault="00165862" w:rsidP="00441B6F">
      <w:pPr>
        <w:pStyle w:val="Body"/>
        <w:spacing w:after="0"/>
        <w:rPr>
          <w:rFonts w:ascii="Arial" w:hAnsi="Arial" w:cs="Arial"/>
          <w:lang w:val="id-ID"/>
        </w:rPr>
      </w:pPr>
    </w:p>
    <w:p w14:paraId="7C9ADF06" w14:textId="15BB271F" w:rsidR="00790ADA" w:rsidRPr="00FB3A86" w:rsidRDefault="00190734" w:rsidP="00441B6F">
      <w:pPr>
        <w:pStyle w:val="Body"/>
        <w:spacing w:after="0"/>
        <w:rPr>
          <w:rFonts w:ascii="Arial" w:hAnsi="Arial" w:cs="Arial"/>
        </w:rPr>
      </w:pPr>
      <w:r w:rsidRPr="00FB3A86">
        <w:rPr>
          <w:rFonts w:ascii="Arial" w:hAnsi="Arial" w:cs="Arial"/>
        </w:rPr>
        <w:t xml:space="preserve"> </w:t>
      </w:r>
    </w:p>
    <w:p w14:paraId="601787C8"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1C0F88C" w14:textId="77777777" w:rsidR="00790ADA" w:rsidRPr="00FB3A86" w:rsidRDefault="00790ADA" w:rsidP="00441B6F">
      <w:pPr>
        <w:pStyle w:val="ReferHead"/>
        <w:spacing w:after="0"/>
        <w:jc w:val="both"/>
        <w:rPr>
          <w:rFonts w:ascii="Arial" w:hAnsi="Arial" w:cs="Arial"/>
        </w:rPr>
      </w:pPr>
    </w:p>
    <w:p w14:paraId="630BD41F" w14:textId="77777777" w:rsidR="00AB7385" w:rsidRPr="00AB7385" w:rsidRDefault="00E80A25" w:rsidP="00E85BE7">
      <w:pPr>
        <w:widowControl w:val="0"/>
        <w:autoSpaceDE w:val="0"/>
        <w:autoSpaceDN w:val="0"/>
        <w:adjustRightInd w:val="0"/>
        <w:spacing w:after="240"/>
        <w:ind w:left="480" w:hanging="480"/>
        <w:jc w:val="both"/>
        <w:rPr>
          <w:rFonts w:ascii="Arial" w:hAnsi="Arial" w:cs="Arial"/>
          <w:noProof/>
          <w:szCs w:val="24"/>
        </w:rPr>
      </w:pPr>
      <w:r>
        <w:rPr>
          <w:rFonts w:ascii="Arial" w:hAnsi="Arial" w:cs="Arial"/>
          <w:b/>
          <w:lang w:val="id-ID"/>
        </w:rPr>
        <w:fldChar w:fldCharType="begin" w:fldLock="1"/>
      </w:r>
      <w:r>
        <w:rPr>
          <w:rFonts w:ascii="Arial" w:hAnsi="Arial" w:cs="Arial"/>
          <w:b/>
          <w:lang w:val="id-ID"/>
        </w:rPr>
        <w:instrText xml:space="preserve">ADDIN Mendeley Bibliography CSL_BIBLIOGRAPHY </w:instrText>
      </w:r>
      <w:r>
        <w:rPr>
          <w:rFonts w:ascii="Arial" w:hAnsi="Arial" w:cs="Arial"/>
          <w:b/>
          <w:lang w:val="id-ID"/>
        </w:rPr>
        <w:fldChar w:fldCharType="separate"/>
      </w:r>
      <w:r w:rsidR="00AB7385" w:rsidRPr="00AB7385">
        <w:rPr>
          <w:rFonts w:ascii="Arial" w:hAnsi="Arial" w:cs="Arial"/>
          <w:noProof/>
          <w:szCs w:val="24"/>
        </w:rPr>
        <w:t xml:space="preserve">Ahmad, N., Akib, M. A., Qadri, S. N., Syatrawati, &amp; Prayudyaningsih, R. (2023). Effect of Arbuscular Mycorrhizal Tablets and Sachets on the growth of Pueraria javanica. </w:t>
      </w:r>
      <w:r w:rsidR="00AB7385" w:rsidRPr="00AB7385">
        <w:rPr>
          <w:rFonts w:ascii="Arial" w:hAnsi="Arial" w:cs="Arial"/>
          <w:i/>
          <w:iCs/>
          <w:noProof/>
          <w:szCs w:val="24"/>
        </w:rPr>
        <w:t>Gontor Agrotech Science Journal</w:t>
      </w:r>
      <w:r w:rsidR="00AB7385" w:rsidRPr="00AB7385">
        <w:rPr>
          <w:rFonts w:ascii="Arial" w:hAnsi="Arial" w:cs="Arial"/>
          <w:noProof/>
          <w:szCs w:val="24"/>
        </w:rPr>
        <w:t xml:space="preserve">, </w:t>
      </w:r>
      <w:r w:rsidR="00AB7385" w:rsidRPr="00AB7385">
        <w:rPr>
          <w:rFonts w:ascii="Arial" w:hAnsi="Arial" w:cs="Arial"/>
          <w:i/>
          <w:iCs/>
          <w:noProof/>
          <w:szCs w:val="24"/>
        </w:rPr>
        <w:t>9</w:t>
      </w:r>
      <w:r w:rsidR="00AB7385" w:rsidRPr="00AB7385">
        <w:rPr>
          <w:rFonts w:ascii="Arial" w:hAnsi="Arial" w:cs="Arial"/>
          <w:noProof/>
          <w:szCs w:val="24"/>
        </w:rPr>
        <w:t>(1), 11–19. https://doi.org/10.21111/agrotech.v9i1.8877</w:t>
      </w:r>
    </w:p>
    <w:p w14:paraId="57D58B1F"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Ahmad, S., Tariq, M., Saniya, Belwal, V., Shah, M. H., Kumar, P., Sharma, M., Kole, C., Jain, M., &amp; Kaushik, P. (2024). Efficient in-vitro regeneration protocol for large-scale propagation of Aloe vera (L.) Burm.f. </w:t>
      </w:r>
      <w:r w:rsidRPr="00AB7385">
        <w:rPr>
          <w:rFonts w:ascii="Arial" w:hAnsi="Arial" w:cs="Arial"/>
          <w:i/>
          <w:iCs/>
          <w:noProof/>
          <w:szCs w:val="24"/>
        </w:rPr>
        <w:t>Journal of Applied Research on Medicinal and Aromatic Plants</w:t>
      </w:r>
      <w:r w:rsidRPr="00AB7385">
        <w:rPr>
          <w:rFonts w:ascii="Arial" w:hAnsi="Arial" w:cs="Arial"/>
          <w:noProof/>
          <w:szCs w:val="24"/>
        </w:rPr>
        <w:t xml:space="preserve">, </w:t>
      </w:r>
      <w:r w:rsidRPr="00AB7385">
        <w:rPr>
          <w:rFonts w:ascii="Arial" w:hAnsi="Arial" w:cs="Arial"/>
          <w:i/>
          <w:iCs/>
          <w:noProof/>
          <w:szCs w:val="24"/>
        </w:rPr>
        <w:t>43</w:t>
      </w:r>
      <w:r w:rsidRPr="00AB7385">
        <w:rPr>
          <w:rFonts w:ascii="Arial" w:hAnsi="Arial" w:cs="Arial"/>
          <w:noProof/>
          <w:szCs w:val="24"/>
        </w:rPr>
        <w:t>(October), 100588. https://doi.org/10.1016/j.jarmap.2024.100588</w:t>
      </w:r>
    </w:p>
    <w:p w14:paraId="3646F748"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Ahmed, N., Li, J., Li, Y., Deng, L., Deng, L., Chachar, M., Chachar, Z., Chachar, S., Hayat, F., Raza, A., Umrani, J. H., Gong, L., &amp; Tu, P. (2025). Symbiotic synergy: How Arbuscular Mycorrhizal Fungi enhance nutrient uptake, stress tolerance, and soil health through molecular mechanisms and hormonal regulation. </w:t>
      </w:r>
      <w:r w:rsidRPr="00AB7385">
        <w:rPr>
          <w:rFonts w:ascii="Arial" w:hAnsi="Arial" w:cs="Arial"/>
          <w:i/>
          <w:iCs/>
          <w:noProof/>
          <w:szCs w:val="24"/>
        </w:rPr>
        <w:t>IMA Fungus</w:t>
      </w:r>
      <w:r w:rsidRPr="00AB7385">
        <w:rPr>
          <w:rFonts w:ascii="Arial" w:hAnsi="Arial" w:cs="Arial"/>
          <w:noProof/>
          <w:szCs w:val="24"/>
        </w:rPr>
        <w:t xml:space="preserve">, </w:t>
      </w:r>
      <w:r w:rsidRPr="00AB7385">
        <w:rPr>
          <w:rFonts w:ascii="Arial" w:hAnsi="Arial" w:cs="Arial"/>
          <w:i/>
          <w:iCs/>
          <w:noProof/>
          <w:szCs w:val="24"/>
        </w:rPr>
        <w:t>16</w:t>
      </w:r>
      <w:r w:rsidRPr="00AB7385">
        <w:rPr>
          <w:rFonts w:ascii="Arial" w:hAnsi="Arial" w:cs="Arial"/>
          <w:noProof/>
          <w:szCs w:val="24"/>
        </w:rPr>
        <w:t>, e144989. https://doi.org/10.3897/imafungus.16.144989</w:t>
      </w:r>
    </w:p>
    <w:p w14:paraId="5B8968E2"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5F79AE">
        <w:rPr>
          <w:rFonts w:ascii="Arial" w:hAnsi="Arial" w:cs="Arial"/>
          <w:noProof/>
          <w:szCs w:val="24"/>
        </w:rPr>
        <w:t>Al-Maamari, S., &amp; Nas</w:t>
      </w:r>
      <w:r w:rsidRPr="00AB7385">
        <w:rPr>
          <w:rFonts w:ascii="Arial" w:hAnsi="Arial" w:cs="Arial"/>
          <w:noProof/>
          <w:szCs w:val="24"/>
        </w:rPr>
        <w:t xml:space="preserve">ser, J. (2021). Pharmacological Effects and Pharmaceutical Dosage Forms Development of Aloe vera. </w:t>
      </w:r>
      <w:r w:rsidRPr="00AB7385">
        <w:rPr>
          <w:rFonts w:ascii="Arial" w:hAnsi="Arial" w:cs="Arial"/>
          <w:i/>
          <w:iCs/>
          <w:noProof/>
          <w:szCs w:val="24"/>
        </w:rPr>
        <w:t>Journal of Pharmacy Science and Practice I</w:t>
      </w:r>
      <w:r w:rsidRPr="00AB7385">
        <w:rPr>
          <w:rFonts w:ascii="Arial" w:hAnsi="Arial" w:cs="Arial"/>
          <w:noProof/>
          <w:szCs w:val="24"/>
        </w:rPr>
        <w:t xml:space="preserve">, </w:t>
      </w:r>
      <w:r w:rsidRPr="00AB7385">
        <w:rPr>
          <w:rFonts w:ascii="Arial" w:hAnsi="Arial" w:cs="Arial"/>
          <w:i/>
          <w:iCs/>
          <w:noProof/>
          <w:szCs w:val="24"/>
        </w:rPr>
        <w:t>8</w:t>
      </w:r>
      <w:r w:rsidRPr="00AB7385">
        <w:rPr>
          <w:rFonts w:ascii="Arial" w:hAnsi="Arial" w:cs="Arial"/>
          <w:noProof/>
          <w:szCs w:val="24"/>
        </w:rPr>
        <w:t>(2), 85–90.</w:t>
      </w:r>
    </w:p>
    <w:p w14:paraId="41899D3D"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lastRenderedPageBreak/>
        <w:t xml:space="preserve">Atteya, A. K. G., Omer, E. A., Genaidy, E. A. E., Fouad, R., &amp; Elnony, A. F. A. (2021). Impact of in vitro propagation on chemical composition of Aloe vera plants. </w:t>
      </w:r>
      <w:r w:rsidRPr="00AB7385">
        <w:rPr>
          <w:rFonts w:ascii="Arial" w:hAnsi="Arial" w:cs="Arial"/>
          <w:i/>
          <w:iCs/>
          <w:noProof/>
          <w:szCs w:val="24"/>
        </w:rPr>
        <w:t>Middle East Journal of Agriculture Research</w:t>
      </w:r>
      <w:r w:rsidRPr="00AB7385">
        <w:rPr>
          <w:rFonts w:ascii="Arial" w:hAnsi="Arial" w:cs="Arial"/>
          <w:noProof/>
          <w:szCs w:val="24"/>
        </w:rPr>
        <w:t>, 654–673. https://doi.org/10.36632/mejar/2021.10.2.48</w:t>
      </w:r>
    </w:p>
    <w:p w14:paraId="5761FFA8"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Balestrini, R., Brunetti, C., Chitarra, W., &amp; Nerva, L. (2020). Photosynthetic traits and nitrogen uptake in crops: Which is the role of arbuscular mycorrhizal fungi? </w:t>
      </w:r>
      <w:r w:rsidRPr="00AB7385">
        <w:rPr>
          <w:rFonts w:ascii="Arial" w:hAnsi="Arial" w:cs="Arial"/>
          <w:i/>
          <w:iCs/>
          <w:noProof/>
          <w:szCs w:val="24"/>
        </w:rPr>
        <w:t>Plants</w:t>
      </w:r>
      <w:r w:rsidRPr="00AB7385">
        <w:rPr>
          <w:rFonts w:ascii="Arial" w:hAnsi="Arial" w:cs="Arial"/>
          <w:noProof/>
          <w:szCs w:val="24"/>
        </w:rPr>
        <w:t xml:space="preserve">, </w:t>
      </w:r>
      <w:r w:rsidRPr="00AB7385">
        <w:rPr>
          <w:rFonts w:ascii="Arial" w:hAnsi="Arial" w:cs="Arial"/>
          <w:i/>
          <w:iCs/>
          <w:noProof/>
          <w:szCs w:val="24"/>
        </w:rPr>
        <w:t>9</w:t>
      </w:r>
      <w:r w:rsidRPr="00AB7385">
        <w:rPr>
          <w:rFonts w:ascii="Arial" w:hAnsi="Arial" w:cs="Arial"/>
          <w:noProof/>
          <w:szCs w:val="24"/>
        </w:rPr>
        <w:t>(9), 1–16. https://doi.org/10.3390/plants9091105</w:t>
      </w:r>
    </w:p>
    <w:p w14:paraId="6599A958"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Basiru, S., Mhand, K. A. S., &amp; Hijri, M. (2025). Deciphering the mechanisms through which arbuscular mycorrhizal symbiosis reduces nitrogen losses in agroecosystems. </w:t>
      </w:r>
      <w:r w:rsidRPr="00AB7385">
        <w:rPr>
          <w:rFonts w:ascii="Arial" w:hAnsi="Arial" w:cs="Arial"/>
          <w:i/>
          <w:iCs/>
          <w:noProof/>
          <w:szCs w:val="24"/>
        </w:rPr>
        <w:t>Applied Soil Ecology</w:t>
      </w:r>
      <w:r w:rsidRPr="00AB7385">
        <w:rPr>
          <w:rFonts w:ascii="Arial" w:hAnsi="Arial" w:cs="Arial"/>
          <w:noProof/>
          <w:szCs w:val="24"/>
        </w:rPr>
        <w:t xml:space="preserve">, </w:t>
      </w:r>
      <w:r w:rsidRPr="00AB7385">
        <w:rPr>
          <w:rFonts w:ascii="Arial" w:hAnsi="Arial" w:cs="Arial"/>
          <w:i/>
          <w:iCs/>
          <w:noProof/>
          <w:szCs w:val="24"/>
        </w:rPr>
        <w:t>206</w:t>
      </w:r>
      <w:r w:rsidRPr="00AB7385">
        <w:rPr>
          <w:rFonts w:ascii="Arial" w:hAnsi="Arial" w:cs="Arial"/>
          <w:noProof/>
          <w:szCs w:val="24"/>
        </w:rPr>
        <w:t>, 105799. https://doi.org/10.1016/j.apsoil.2024.105799</w:t>
      </w:r>
    </w:p>
    <w:p w14:paraId="53028297"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Bortolot, M., Buffoni, B., Mazzarino, S., Hoff, G., Martino, E., Fiorilli, V., &amp; Salvioli Di Fossalunga, A. (2024). The Importance of Mycorrhizal Fungi and Their Associated Bacteria in Promoting Crops’ Performance: An Applicative Perspective. </w:t>
      </w:r>
      <w:r w:rsidRPr="00AB7385">
        <w:rPr>
          <w:rFonts w:ascii="Arial" w:hAnsi="Arial" w:cs="Arial"/>
          <w:i/>
          <w:iCs/>
          <w:noProof/>
          <w:szCs w:val="24"/>
        </w:rPr>
        <w:t>Horticulturae</w:t>
      </w:r>
      <w:r w:rsidRPr="00AB7385">
        <w:rPr>
          <w:rFonts w:ascii="Arial" w:hAnsi="Arial" w:cs="Arial"/>
          <w:noProof/>
          <w:szCs w:val="24"/>
        </w:rPr>
        <w:t xml:space="preserve">, </w:t>
      </w:r>
      <w:r w:rsidRPr="00AB7385">
        <w:rPr>
          <w:rFonts w:ascii="Arial" w:hAnsi="Arial" w:cs="Arial"/>
          <w:i/>
          <w:iCs/>
          <w:noProof/>
          <w:szCs w:val="24"/>
        </w:rPr>
        <w:t>10</w:t>
      </w:r>
      <w:r w:rsidRPr="00AB7385">
        <w:rPr>
          <w:rFonts w:ascii="Arial" w:hAnsi="Arial" w:cs="Arial"/>
          <w:noProof/>
          <w:szCs w:val="24"/>
        </w:rPr>
        <w:t>(12), 1–26. https://doi.org/10.3390/horticulturae10121326</w:t>
      </w:r>
    </w:p>
    <w:p w14:paraId="2258AABB"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Boyno, G., &amp; Demir, S. (2022). Plant-mycorrhiza communication and mycorrhizae in inter-plant communication. </w:t>
      </w:r>
      <w:r w:rsidRPr="00AB7385">
        <w:rPr>
          <w:rFonts w:ascii="Arial" w:hAnsi="Arial" w:cs="Arial"/>
          <w:i/>
          <w:iCs/>
          <w:noProof/>
          <w:szCs w:val="24"/>
        </w:rPr>
        <w:t>Symbiosis</w:t>
      </w:r>
      <w:r w:rsidRPr="00AB7385">
        <w:rPr>
          <w:rFonts w:ascii="Arial" w:hAnsi="Arial" w:cs="Arial"/>
          <w:noProof/>
          <w:szCs w:val="24"/>
        </w:rPr>
        <w:t xml:space="preserve">, </w:t>
      </w:r>
      <w:r w:rsidRPr="00AB7385">
        <w:rPr>
          <w:rFonts w:ascii="Arial" w:hAnsi="Arial" w:cs="Arial"/>
          <w:i/>
          <w:iCs/>
          <w:noProof/>
          <w:szCs w:val="24"/>
        </w:rPr>
        <w:t>86</w:t>
      </w:r>
      <w:r w:rsidRPr="00AB7385">
        <w:rPr>
          <w:rFonts w:ascii="Arial" w:hAnsi="Arial" w:cs="Arial"/>
          <w:noProof/>
          <w:szCs w:val="24"/>
        </w:rPr>
        <w:t>(2), 155–168. https://doi.org/10.1007/s13199-022-00837-0</w:t>
      </w:r>
    </w:p>
    <w:p w14:paraId="3E9A9389"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Bucking, H., &amp; Kafle, A. (2015). Role of arbuscular mycorrhizal fungi in the nitrogen uptake of plants: Current knowledge and research gaps. </w:t>
      </w:r>
      <w:r w:rsidRPr="00AB7385">
        <w:rPr>
          <w:rFonts w:ascii="Arial" w:hAnsi="Arial" w:cs="Arial"/>
          <w:i/>
          <w:iCs/>
          <w:noProof/>
          <w:szCs w:val="24"/>
        </w:rPr>
        <w:t>Agronomy</w:t>
      </w:r>
      <w:r w:rsidRPr="00AB7385">
        <w:rPr>
          <w:rFonts w:ascii="Arial" w:hAnsi="Arial" w:cs="Arial"/>
          <w:noProof/>
          <w:szCs w:val="24"/>
        </w:rPr>
        <w:t xml:space="preserve">, </w:t>
      </w:r>
      <w:r w:rsidRPr="00AB7385">
        <w:rPr>
          <w:rFonts w:ascii="Arial" w:hAnsi="Arial" w:cs="Arial"/>
          <w:i/>
          <w:iCs/>
          <w:noProof/>
          <w:szCs w:val="24"/>
        </w:rPr>
        <w:t>5</w:t>
      </w:r>
      <w:r w:rsidRPr="00AB7385">
        <w:rPr>
          <w:rFonts w:ascii="Arial" w:hAnsi="Arial" w:cs="Arial"/>
          <w:noProof/>
          <w:szCs w:val="24"/>
        </w:rPr>
        <w:t>(4), 587–612. https://doi.org/10.3390/agronomy5040587</w:t>
      </w:r>
    </w:p>
    <w:p w14:paraId="4B1AD32C"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Cargill, R. I. M., Shimizu, T. S., Kiers, E. T., &amp; Kokkoris, V. (2025). Cellular anatomy of arbuscular mycorrhizal fungi. </w:t>
      </w:r>
      <w:r w:rsidRPr="00AB7385">
        <w:rPr>
          <w:rFonts w:ascii="Arial" w:hAnsi="Arial" w:cs="Arial"/>
          <w:i/>
          <w:iCs/>
          <w:noProof/>
          <w:szCs w:val="24"/>
        </w:rPr>
        <w:t>Current Biology</w:t>
      </w:r>
      <w:r w:rsidRPr="00AB7385">
        <w:rPr>
          <w:rFonts w:ascii="Arial" w:hAnsi="Arial" w:cs="Arial"/>
          <w:noProof/>
          <w:szCs w:val="24"/>
        </w:rPr>
        <w:t xml:space="preserve">, </w:t>
      </w:r>
      <w:r w:rsidRPr="00AB7385">
        <w:rPr>
          <w:rFonts w:ascii="Arial" w:hAnsi="Arial" w:cs="Arial"/>
          <w:i/>
          <w:iCs/>
          <w:noProof/>
          <w:szCs w:val="24"/>
        </w:rPr>
        <w:t>35</w:t>
      </w:r>
      <w:r w:rsidRPr="00AB7385">
        <w:rPr>
          <w:rFonts w:ascii="Arial" w:hAnsi="Arial" w:cs="Arial"/>
          <w:noProof/>
          <w:szCs w:val="24"/>
        </w:rPr>
        <w:t>(11), 545–562. https://doi.org/10.1016/j.cub.2025.03.053</w:t>
      </w:r>
    </w:p>
    <w:p w14:paraId="5F24281B"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Chandel, N. S., Singh, H. B., &amp; Vaishnav, A. (2025). Mechanistic understanding of metabolic cross-talk between Aloe vera and native soil bacteria for growth promotion and secondary metabolites accumulation. </w:t>
      </w:r>
      <w:r w:rsidRPr="00AB7385">
        <w:rPr>
          <w:rFonts w:ascii="Arial" w:hAnsi="Arial" w:cs="Arial"/>
          <w:i/>
          <w:iCs/>
          <w:noProof/>
          <w:szCs w:val="24"/>
        </w:rPr>
        <w:t>Frontiers in Plant Science</w:t>
      </w:r>
      <w:r w:rsidRPr="00AB7385">
        <w:rPr>
          <w:rFonts w:ascii="Arial" w:hAnsi="Arial" w:cs="Arial"/>
          <w:noProof/>
          <w:szCs w:val="24"/>
        </w:rPr>
        <w:t xml:space="preserve">, </w:t>
      </w:r>
      <w:r w:rsidRPr="00AB7385">
        <w:rPr>
          <w:rFonts w:ascii="Arial" w:hAnsi="Arial" w:cs="Arial"/>
          <w:i/>
          <w:iCs/>
          <w:noProof/>
          <w:szCs w:val="24"/>
        </w:rPr>
        <w:t>16</w:t>
      </w:r>
      <w:r w:rsidRPr="00AB7385">
        <w:rPr>
          <w:rFonts w:ascii="Arial" w:hAnsi="Arial" w:cs="Arial"/>
          <w:noProof/>
          <w:szCs w:val="24"/>
        </w:rPr>
        <w:t>(March), 1–12. https://doi.org/10.3389/fpls.2025.1577521</w:t>
      </w:r>
    </w:p>
    <w:p w14:paraId="09238DF2"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Chandran, D., Rajasekharan, A., Marthandan, V., Emran, T. Bin, Sharun, K., Mitra, S., Buttar, H. S., Kumar, H., Tuli, H. S., &amp; Dhama, K. (2022). Potential Health Benefits of Using Aloe vera as a Feed Additive in Livestock : A Mini-Review. </w:t>
      </w:r>
      <w:r w:rsidRPr="00AB7385">
        <w:rPr>
          <w:rFonts w:ascii="Arial" w:hAnsi="Arial" w:cs="Arial"/>
          <w:i/>
          <w:iCs/>
          <w:noProof/>
          <w:szCs w:val="24"/>
        </w:rPr>
        <w:t>Indian Veterinary Journal</w:t>
      </w:r>
      <w:r w:rsidRPr="00AB7385">
        <w:rPr>
          <w:rFonts w:ascii="Arial" w:hAnsi="Arial" w:cs="Arial"/>
          <w:noProof/>
          <w:szCs w:val="24"/>
        </w:rPr>
        <w:t xml:space="preserve">, </w:t>
      </w:r>
      <w:r w:rsidRPr="00AB7385">
        <w:rPr>
          <w:rFonts w:ascii="Arial" w:hAnsi="Arial" w:cs="Arial"/>
          <w:i/>
          <w:iCs/>
          <w:noProof/>
          <w:szCs w:val="24"/>
        </w:rPr>
        <w:t>99</w:t>
      </w:r>
      <w:r w:rsidRPr="00AB7385">
        <w:rPr>
          <w:rFonts w:ascii="Arial" w:hAnsi="Arial" w:cs="Arial"/>
          <w:noProof/>
          <w:szCs w:val="24"/>
        </w:rPr>
        <w:t>(1), 9–18. https://doi.org/10.21608/javs.2 023.243964.1287</w:t>
      </w:r>
    </w:p>
    <w:p w14:paraId="3409333D"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Chaudhary, A., Poudyal, S., &amp; Kaundal, A. (2025). Role of Arbuscular Mycorrhizal Fungi in Maintaining Sustainable Agroecosystems. </w:t>
      </w:r>
      <w:r w:rsidRPr="00AB7385">
        <w:rPr>
          <w:rFonts w:ascii="Arial" w:hAnsi="Arial" w:cs="Arial"/>
          <w:i/>
          <w:iCs/>
          <w:noProof/>
          <w:szCs w:val="24"/>
        </w:rPr>
        <w:t>Applied Microbiology</w:t>
      </w:r>
      <w:r w:rsidRPr="00AB7385">
        <w:rPr>
          <w:rFonts w:ascii="Arial" w:hAnsi="Arial" w:cs="Arial"/>
          <w:noProof/>
          <w:szCs w:val="24"/>
        </w:rPr>
        <w:t xml:space="preserve">, </w:t>
      </w:r>
      <w:r w:rsidRPr="00AB7385">
        <w:rPr>
          <w:rFonts w:ascii="Arial" w:hAnsi="Arial" w:cs="Arial"/>
          <w:i/>
          <w:iCs/>
          <w:noProof/>
          <w:szCs w:val="24"/>
        </w:rPr>
        <w:t>5</w:t>
      </w:r>
      <w:r w:rsidRPr="00AB7385">
        <w:rPr>
          <w:rFonts w:ascii="Arial" w:hAnsi="Arial" w:cs="Arial"/>
          <w:noProof/>
          <w:szCs w:val="24"/>
        </w:rPr>
        <w:t>(6), 1–19. https://doi.org/10.3390/applmicrobiol5010006</w:t>
      </w:r>
    </w:p>
    <w:p w14:paraId="5FFF7915"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Chowdhury, M. A. H., Sultana, T., Rahman, M. A., Chowdhury, T., Enyoh, C. E., Saha, B. K., &amp; Qingyue, W. (2020). Nitrogen use efficiency and critical leaf N concentration of Aloe vera in urea and diammonium phosphate amended soil. </w:t>
      </w:r>
      <w:r w:rsidRPr="00AB7385">
        <w:rPr>
          <w:rFonts w:ascii="Arial" w:hAnsi="Arial" w:cs="Arial"/>
          <w:i/>
          <w:iCs/>
          <w:noProof/>
          <w:szCs w:val="24"/>
        </w:rPr>
        <w:t>Heliyon</w:t>
      </w:r>
      <w:r w:rsidRPr="00AB7385">
        <w:rPr>
          <w:rFonts w:ascii="Arial" w:hAnsi="Arial" w:cs="Arial"/>
          <w:noProof/>
          <w:szCs w:val="24"/>
        </w:rPr>
        <w:t xml:space="preserve">, </w:t>
      </w:r>
      <w:r w:rsidRPr="00AB7385">
        <w:rPr>
          <w:rFonts w:ascii="Arial" w:hAnsi="Arial" w:cs="Arial"/>
          <w:i/>
          <w:iCs/>
          <w:noProof/>
          <w:szCs w:val="24"/>
        </w:rPr>
        <w:t>6</w:t>
      </w:r>
      <w:r w:rsidRPr="00AB7385">
        <w:rPr>
          <w:rFonts w:ascii="Arial" w:hAnsi="Arial" w:cs="Arial"/>
          <w:noProof/>
          <w:szCs w:val="24"/>
        </w:rPr>
        <w:t>(12), e05718. https://doi.org/10.1016/j.heliyon.2020.e05718</w:t>
      </w:r>
    </w:p>
    <w:p w14:paraId="66D5173C"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Cornut, I., Le Maire, G., Laclau, J. P., Guillemot, J., Mareschal, L., Nouvellon, Y., &amp; Delpierre, N. (2021). Potassium limitation of wood productivity: A review of elementary processes and ways forward to modelling illustrated by Eucalyptus plantations. </w:t>
      </w:r>
      <w:r w:rsidRPr="00AB7385">
        <w:rPr>
          <w:rFonts w:ascii="Arial" w:hAnsi="Arial" w:cs="Arial"/>
          <w:i/>
          <w:iCs/>
          <w:noProof/>
          <w:szCs w:val="24"/>
        </w:rPr>
        <w:t>Forest Ecology and Management</w:t>
      </w:r>
      <w:r w:rsidRPr="00AB7385">
        <w:rPr>
          <w:rFonts w:ascii="Arial" w:hAnsi="Arial" w:cs="Arial"/>
          <w:noProof/>
          <w:szCs w:val="24"/>
        </w:rPr>
        <w:t xml:space="preserve">, </w:t>
      </w:r>
      <w:r w:rsidRPr="00AB7385">
        <w:rPr>
          <w:rFonts w:ascii="Arial" w:hAnsi="Arial" w:cs="Arial"/>
          <w:i/>
          <w:iCs/>
          <w:noProof/>
          <w:szCs w:val="24"/>
        </w:rPr>
        <w:t>494</w:t>
      </w:r>
      <w:r w:rsidRPr="00AB7385">
        <w:rPr>
          <w:rFonts w:ascii="Arial" w:hAnsi="Arial" w:cs="Arial"/>
          <w:noProof/>
          <w:szCs w:val="24"/>
        </w:rPr>
        <w:t>, 119275. https://doi.org/10.1016/j.foreco.2021.119275</w:t>
      </w:r>
    </w:p>
    <w:p w14:paraId="17E93543"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lastRenderedPageBreak/>
        <w:t xml:space="preserve">Corrales-Sanchez, J. B., Lopez-Meyer, M., Valdez-Morales, M., Aguilar, D. T., Bojorquez-Armenta, Y. D. J., Valle-Castillo, C. E., Ibarra-Sarmiento, C. R., Romero-Urias, C. D. L. Á., &amp; Mora-Romero, G. A. (2022). Arbuscular Mycorrhiza Symbiosis Reduces the Rhizoctonia Root Rot and Alters the Phenolic Profile in Common Bean. </w:t>
      </w:r>
      <w:r w:rsidRPr="00AB7385">
        <w:rPr>
          <w:rFonts w:ascii="Arial" w:hAnsi="Arial" w:cs="Arial"/>
          <w:i/>
          <w:iCs/>
          <w:noProof/>
          <w:szCs w:val="24"/>
        </w:rPr>
        <w:t>Acta Biologica Colombiana</w:t>
      </w:r>
      <w:r w:rsidRPr="00AB7385">
        <w:rPr>
          <w:rFonts w:ascii="Arial" w:hAnsi="Arial" w:cs="Arial"/>
          <w:noProof/>
          <w:szCs w:val="24"/>
        </w:rPr>
        <w:t xml:space="preserve">, </w:t>
      </w:r>
      <w:r w:rsidRPr="00AB7385">
        <w:rPr>
          <w:rFonts w:ascii="Arial" w:hAnsi="Arial" w:cs="Arial"/>
          <w:i/>
          <w:iCs/>
          <w:noProof/>
          <w:szCs w:val="24"/>
        </w:rPr>
        <w:t>27</w:t>
      </w:r>
      <w:r w:rsidRPr="00AB7385">
        <w:rPr>
          <w:rFonts w:ascii="Arial" w:hAnsi="Arial" w:cs="Arial"/>
          <w:noProof/>
          <w:szCs w:val="24"/>
        </w:rPr>
        <w:t>(3), 316–325. https://doi.org/10.15446/abc.v27n3.87627</w:t>
      </w:r>
    </w:p>
    <w:p w14:paraId="68AD045C"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Crosino, A., &amp; Genre, A. (2022). Peace talks: symbiotic signaling molecules in arbuscular mycorrhizas and their potential application. </w:t>
      </w:r>
      <w:r w:rsidRPr="00AB7385">
        <w:rPr>
          <w:rFonts w:ascii="Arial" w:hAnsi="Arial" w:cs="Arial"/>
          <w:i/>
          <w:iCs/>
          <w:noProof/>
          <w:szCs w:val="24"/>
        </w:rPr>
        <w:t>Journal of Plant Interactions</w:t>
      </w:r>
      <w:r w:rsidRPr="00AB7385">
        <w:rPr>
          <w:rFonts w:ascii="Arial" w:hAnsi="Arial" w:cs="Arial"/>
          <w:noProof/>
          <w:szCs w:val="24"/>
        </w:rPr>
        <w:t xml:space="preserve">, </w:t>
      </w:r>
      <w:r w:rsidRPr="00AB7385">
        <w:rPr>
          <w:rFonts w:ascii="Arial" w:hAnsi="Arial" w:cs="Arial"/>
          <w:i/>
          <w:iCs/>
          <w:noProof/>
          <w:szCs w:val="24"/>
        </w:rPr>
        <w:t>17</w:t>
      </w:r>
      <w:r w:rsidRPr="00AB7385">
        <w:rPr>
          <w:rFonts w:ascii="Arial" w:hAnsi="Arial" w:cs="Arial"/>
          <w:noProof/>
          <w:szCs w:val="24"/>
        </w:rPr>
        <w:t>(1), 824–839. https://doi.org/10.1080/17429145.2022.2108150</w:t>
      </w:r>
    </w:p>
    <w:p w14:paraId="508D2007"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da Silva, A. K. V., Aguiar, T. da S., Dos Santos, M. E. C., de Araújo, J. K. P., Freire, Á. da C., Salami, G., &amp; Araujo, P. C. D. (2022). Vegetative Propagation of Mimosa Caesalpiniifolia By Mini-Cuttings Technique. </w:t>
      </w:r>
      <w:r w:rsidRPr="00AB7385">
        <w:rPr>
          <w:rFonts w:ascii="Arial" w:hAnsi="Arial" w:cs="Arial"/>
          <w:i/>
          <w:iCs/>
          <w:noProof/>
          <w:szCs w:val="24"/>
        </w:rPr>
        <w:t>Revista Arvore</w:t>
      </w:r>
      <w:r w:rsidRPr="00AB7385">
        <w:rPr>
          <w:rFonts w:ascii="Arial" w:hAnsi="Arial" w:cs="Arial"/>
          <w:noProof/>
          <w:szCs w:val="24"/>
        </w:rPr>
        <w:t xml:space="preserve">, </w:t>
      </w:r>
      <w:r w:rsidRPr="00AB7385">
        <w:rPr>
          <w:rFonts w:ascii="Arial" w:hAnsi="Arial" w:cs="Arial"/>
          <w:i/>
          <w:iCs/>
          <w:noProof/>
          <w:szCs w:val="24"/>
        </w:rPr>
        <w:t>46</w:t>
      </w:r>
      <w:r w:rsidRPr="00AB7385">
        <w:rPr>
          <w:rFonts w:ascii="Arial" w:hAnsi="Arial" w:cs="Arial"/>
          <w:noProof/>
          <w:szCs w:val="24"/>
        </w:rPr>
        <w:t>, e4631. https://doi.org/10.1590/1806-908820220000031</w:t>
      </w:r>
    </w:p>
    <w:p w14:paraId="511287E1"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Du, X., Yin, Y., Xia, G., &amp; Yuan, Y. (2025). Effect of Arbuscular Mycorrhizal Hyphae on The Structure of Fungal and Bacterial Communities: An in Situ Study. </w:t>
      </w:r>
      <w:r w:rsidRPr="00AB7385">
        <w:rPr>
          <w:rFonts w:ascii="Arial" w:hAnsi="Arial" w:cs="Arial"/>
          <w:i/>
          <w:iCs/>
          <w:noProof/>
          <w:szCs w:val="24"/>
        </w:rPr>
        <w:t>Rhizosphere</w:t>
      </w:r>
      <w:r w:rsidRPr="00AB7385">
        <w:rPr>
          <w:rFonts w:ascii="Arial" w:hAnsi="Arial" w:cs="Arial"/>
          <w:noProof/>
          <w:szCs w:val="24"/>
        </w:rPr>
        <w:t xml:space="preserve">, </w:t>
      </w:r>
      <w:r w:rsidRPr="00AB7385">
        <w:rPr>
          <w:rFonts w:ascii="Arial" w:hAnsi="Arial" w:cs="Arial"/>
          <w:i/>
          <w:iCs/>
          <w:noProof/>
          <w:szCs w:val="24"/>
        </w:rPr>
        <w:t>34</w:t>
      </w:r>
      <w:r w:rsidRPr="00AB7385">
        <w:rPr>
          <w:rFonts w:ascii="Arial" w:hAnsi="Arial" w:cs="Arial"/>
          <w:noProof/>
          <w:szCs w:val="24"/>
        </w:rPr>
        <w:t>, 101082. https://doi.org/10.1016/j.rhisph.2025.101082</w:t>
      </w:r>
    </w:p>
    <w:p w14:paraId="4EF3ACB0"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Etesami, H., Jeong, B. R., &amp; Glick, B. R. (2021). Contribution of Arbuscular Mycorrhizal Fungi, Phosphate–Solubilizing Bacteria, and Silicon to P Uptake by Plant. </w:t>
      </w:r>
      <w:r w:rsidRPr="00AB7385">
        <w:rPr>
          <w:rFonts w:ascii="Arial" w:hAnsi="Arial" w:cs="Arial"/>
          <w:i/>
          <w:iCs/>
          <w:noProof/>
          <w:szCs w:val="24"/>
        </w:rPr>
        <w:t>Frontiers in Plant Science</w:t>
      </w:r>
      <w:r w:rsidRPr="00AB7385">
        <w:rPr>
          <w:rFonts w:ascii="Arial" w:hAnsi="Arial" w:cs="Arial"/>
          <w:noProof/>
          <w:szCs w:val="24"/>
        </w:rPr>
        <w:t xml:space="preserve">, </w:t>
      </w:r>
      <w:r w:rsidRPr="00AB7385">
        <w:rPr>
          <w:rFonts w:ascii="Arial" w:hAnsi="Arial" w:cs="Arial"/>
          <w:i/>
          <w:iCs/>
          <w:noProof/>
          <w:szCs w:val="24"/>
        </w:rPr>
        <w:t>12</w:t>
      </w:r>
      <w:r w:rsidRPr="00AB7385">
        <w:rPr>
          <w:rFonts w:ascii="Arial" w:hAnsi="Arial" w:cs="Arial"/>
          <w:noProof/>
          <w:szCs w:val="24"/>
        </w:rPr>
        <w:t>, 699618. https://doi.org/10.3389/fpls.2021.699618</w:t>
      </w:r>
    </w:p>
    <w:p w14:paraId="7534AFA1"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Fentaw, E., Dagne, K., Wondimu, T., Demissew, S., Bjorå, C. S., &amp; Grace, O. M. (2022). Uses and perceived sustainability of Aloe L. (Asphodelaceae) in the central and northern Highlands of Ethiopia. </w:t>
      </w:r>
      <w:r w:rsidRPr="00AB7385">
        <w:rPr>
          <w:rFonts w:ascii="Arial" w:hAnsi="Arial" w:cs="Arial"/>
          <w:i/>
          <w:iCs/>
          <w:noProof/>
          <w:szCs w:val="24"/>
        </w:rPr>
        <w:t>South African Journal of Botany</w:t>
      </w:r>
      <w:r w:rsidRPr="00AB7385">
        <w:rPr>
          <w:rFonts w:ascii="Arial" w:hAnsi="Arial" w:cs="Arial"/>
          <w:noProof/>
          <w:szCs w:val="24"/>
        </w:rPr>
        <w:t xml:space="preserve">, </w:t>
      </w:r>
      <w:r w:rsidRPr="00AB7385">
        <w:rPr>
          <w:rFonts w:ascii="Arial" w:hAnsi="Arial" w:cs="Arial"/>
          <w:i/>
          <w:iCs/>
          <w:noProof/>
          <w:szCs w:val="24"/>
        </w:rPr>
        <w:t>147</w:t>
      </w:r>
      <w:r w:rsidRPr="00AB7385">
        <w:rPr>
          <w:rFonts w:ascii="Arial" w:hAnsi="Arial" w:cs="Arial"/>
          <w:noProof/>
          <w:szCs w:val="24"/>
        </w:rPr>
        <w:t>, 1042–1050. https://doi.org/10.1016/j.sajb.2020.11.001</w:t>
      </w:r>
    </w:p>
    <w:p w14:paraId="0142AF93"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Fiorilli, V., Martínez-Medina, A., Pozo, M. J., &amp; Lanfranco, L. (2024). Plant Immunity Modulation in Arbuscular Mycorrhizal Symbiosis and Its Impact on Pathogens and Pests. </w:t>
      </w:r>
      <w:r w:rsidRPr="00AB7385">
        <w:rPr>
          <w:rFonts w:ascii="Arial" w:hAnsi="Arial" w:cs="Arial"/>
          <w:i/>
          <w:iCs/>
          <w:noProof/>
          <w:szCs w:val="24"/>
        </w:rPr>
        <w:t>Annual Review of Phytopathology</w:t>
      </w:r>
      <w:r w:rsidRPr="00AB7385">
        <w:rPr>
          <w:rFonts w:ascii="Arial" w:hAnsi="Arial" w:cs="Arial"/>
          <w:noProof/>
          <w:szCs w:val="24"/>
        </w:rPr>
        <w:t xml:space="preserve">, </w:t>
      </w:r>
      <w:r w:rsidRPr="00AB7385">
        <w:rPr>
          <w:rFonts w:ascii="Arial" w:hAnsi="Arial" w:cs="Arial"/>
          <w:i/>
          <w:iCs/>
          <w:noProof/>
          <w:szCs w:val="24"/>
        </w:rPr>
        <w:t>62</w:t>
      </w:r>
      <w:r w:rsidRPr="00AB7385">
        <w:rPr>
          <w:rFonts w:ascii="Arial" w:hAnsi="Arial" w:cs="Arial"/>
          <w:noProof/>
          <w:szCs w:val="24"/>
        </w:rPr>
        <w:t>(1), 127–156. https://doi.org/10.1146/annurev-phyto-121423-042014</w:t>
      </w:r>
    </w:p>
    <w:p w14:paraId="76564615"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Fossalunga, A. S. di, &amp; Novero, M. (2019). To Trade in The Field: The Molecular Determinants of Arbuscular Mycorrhiza Nutrient Exchange. </w:t>
      </w:r>
      <w:r w:rsidRPr="00AB7385">
        <w:rPr>
          <w:rFonts w:ascii="Arial" w:hAnsi="Arial" w:cs="Arial"/>
          <w:i/>
          <w:iCs/>
          <w:noProof/>
          <w:szCs w:val="24"/>
        </w:rPr>
        <w:t>Chemical and Biological Technologies in Agriculture</w:t>
      </w:r>
      <w:r w:rsidRPr="00AB7385">
        <w:rPr>
          <w:rFonts w:ascii="Arial" w:hAnsi="Arial" w:cs="Arial"/>
          <w:noProof/>
          <w:szCs w:val="24"/>
        </w:rPr>
        <w:t xml:space="preserve">, </w:t>
      </w:r>
      <w:r w:rsidRPr="00AB7385">
        <w:rPr>
          <w:rFonts w:ascii="Arial" w:hAnsi="Arial" w:cs="Arial"/>
          <w:i/>
          <w:iCs/>
          <w:noProof/>
          <w:szCs w:val="24"/>
        </w:rPr>
        <w:t>6</w:t>
      </w:r>
      <w:r w:rsidRPr="00AB7385">
        <w:rPr>
          <w:rFonts w:ascii="Arial" w:hAnsi="Arial" w:cs="Arial"/>
          <w:noProof/>
          <w:szCs w:val="24"/>
        </w:rPr>
        <w:t>, 12. https://doi.org/10.1186/s40538-019-0150-7</w:t>
      </w:r>
    </w:p>
    <w:p w14:paraId="66CB8FDC"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Giovannetti, M., &amp; Mosse, B. (1980). An Evaluation of Tecnique for Measuring Vesicular Arbuscular Mycorrhizal Infection in Roots. </w:t>
      </w:r>
      <w:r w:rsidRPr="00AB7385">
        <w:rPr>
          <w:rFonts w:ascii="Arial" w:hAnsi="Arial" w:cs="Arial"/>
          <w:i/>
          <w:iCs/>
          <w:noProof/>
          <w:szCs w:val="24"/>
        </w:rPr>
        <w:t>New Phytologist</w:t>
      </w:r>
      <w:r w:rsidRPr="00AB7385">
        <w:rPr>
          <w:rFonts w:ascii="Arial" w:hAnsi="Arial" w:cs="Arial"/>
          <w:noProof/>
          <w:szCs w:val="24"/>
        </w:rPr>
        <w:t xml:space="preserve">, </w:t>
      </w:r>
      <w:r w:rsidRPr="00AB7385">
        <w:rPr>
          <w:rFonts w:ascii="Arial" w:hAnsi="Arial" w:cs="Arial"/>
          <w:i/>
          <w:iCs/>
          <w:noProof/>
          <w:szCs w:val="24"/>
        </w:rPr>
        <w:t>84</w:t>
      </w:r>
      <w:r w:rsidRPr="00AB7385">
        <w:rPr>
          <w:rFonts w:ascii="Arial" w:hAnsi="Arial" w:cs="Arial"/>
          <w:noProof/>
          <w:szCs w:val="24"/>
        </w:rPr>
        <w:t>, 489–500. https://doi.org/10.1111/j.1469-8137.1980.tb04556.x</w:t>
      </w:r>
    </w:p>
    <w:p w14:paraId="2A5AD672"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He, J., Huang, R., &amp; Xie, X. (2024). A gap in the recognition of two mycorrhizal factors: new insights into two LysM-type mycorrhizal receptors. </w:t>
      </w:r>
      <w:r w:rsidRPr="00AB7385">
        <w:rPr>
          <w:rFonts w:ascii="Arial" w:hAnsi="Arial" w:cs="Arial"/>
          <w:i/>
          <w:iCs/>
          <w:noProof/>
          <w:szCs w:val="24"/>
        </w:rPr>
        <w:t>Frontiers in Plant Science</w:t>
      </w:r>
      <w:r w:rsidRPr="00AB7385">
        <w:rPr>
          <w:rFonts w:ascii="Arial" w:hAnsi="Arial" w:cs="Arial"/>
          <w:noProof/>
          <w:szCs w:val="24"/>
        </w:rPr>
        <w:t xml:space="preserve">, </w:t>
      </w:r>
      <w:r w:rsidRPr="00AB7385">
        <w:rPr>
          <w:rFonts w:ascii="Arial" w:hAnsi="Arial" w:cs="Arial"/>
          <w:i/>
          <w:iCs/>
          <w:noProof/>
          <w:szCs w:val="24"/>
        </w:rPr>
        <w:t>15</w:t>
      </w:r>
      <w:r w:rsidRPr="00AB7385">
        <w:rPr>
          <w:rFonts w:ascii="Arial" w:hAnsi="Arial" w:cs="Arial"/>
          <w:noProof/>
          <w:szCs w:val="24"/>
        </w:rPr>
        <w:t>(September), 1–8. https://doi.org/10.3389/fpls.2024.1418699</w:t>
      </w:r>
    </w:p>
    <w:p w14:paraId="79E19FFD"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Hijri, M., &amp; Ba, A. (2023). Editorial: Mycorrhizal Fungi and Plants in Terrestrial Ecosystems. </w:t>
      </w:r>
      <w:r w:rsidRPr="00AB7385">
        <w:rPr>
          <w:rFonts w:ascii="Arial" w:hAnsi="Arial" w:cs="Arial"/>
          <w:i/>
          <w:iCs/>
          <w:noProof/>
          <w:szCs w:val="24"/>
        </w:rPr>
        <w:t>Frontiers in Plant Science</w:t>
      </w:r>
      <w:r w:rsidRPr="00AB7385">
        <w:rPr>
          <w:rFonts w:ascii="Arial" w:hAnsi="Arial" w:cs="Arial"/>
          <w:noProof/>
          <w:szCs w:val="24"/>
        </w:rPr>
        <w:t xml:space="preserve">, </w:t>
      </w:r>
      <w:r w:rsidRPr="00AB7385">
        <w:rPr>
          <w:rFonts w:ascii="Arial" w:hAnsi="Arial" w:cs="Arial"/>
          <w:i/>
          <w:iCs/>
          <w:noProof/>
          <w:szCs w:val="24"/>
        </w:rPr>
        <w:t>14</w:t>
      </w:r>
      <w:r w:rsidRPr="00AB7385">
        <w:rPr>
          <w:rFonts w:ascii="Arial" w:hAnsi="Arial" w:cs="Arial"/>
          <w:noProof/>
          <w:szCs w:val="24"/>
        </w:rPr>
        <w:t>, 1180884. https://doi.org/10.3389/fpls.2023.1180884</w:t>
      </w:r>
    </w:p>
    <w:p w14:paraId="5FC39F2D"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Ho-Plagaro, T., &amp; Garcia-Garrido, J. M. (2022). Molecular Regulation of Arbuscular Mycorrhizal Symbiosis. </w:t>
      </w:r>
      <w:r w:rsidRPr="00AB7385">
        <w:rPr>
          <w:rFonts w:ascii="Arial" w:hAnsi="Arial" w:cs="Arial"/>
          <w:i/>
          <w:iCs/>
          <w:noProof/>
          <w:szCs w:val="24"/>
        </w:rPr>
        <w:t>International Journal of Molecular Sciences</w:t>
      </w:r>
      <w:r w:rsidRPr="00AB7385">
        <w:rPr>
          <w:rFonts w:ascii="Arial" w:hAnsi="Arial" w:cs="Arial"/>
          <w:noProof/>
          <w:szCs w:val="24"/>
        </w:rPr>
        <w:t xml:space="preserve">, </w:t>
      </w:r>
      <w:r w:rsidRPr="00AB7385">
        <w:rPr>
          <w:rFonts w:ascii="Arial" w:hAnsi="Arial" w:cs="Arial"/>
          <w:i/>
          <w:iCs/>
          <w:noProof/>
          <w:szCs w:val="24"/>
        </w:rPr>
        <w:t>23</w:t>
      </w:r>
      <w:r w:rsidRPr="00AB7385">
        <w:rPr>
          <w:rFonts w:ascii="Arial" w:hAnsi="Arial" w:cs="Arial"/>
          <w:noProof/>
          <w:szCs w:val="24"/>
        </w:rPr>
        <w:t>, 5960. https://doi.org/10.3390/ijms23115960</w:t>
      </w:r>
    </w:p>
    <w:p w14:paraId="6EBE5B56"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Ho, L., Rode, R., Siegel, M., Reinhardt, F., Neuhaus, H. E., Yvin, J., Pluchon, S., &amp; Hosseini, </w:t>
      </w:r>
      <w:r w:rsidRPr="00AB7385">
        <w:rPr>
          <w:rFonts w:ascii="Arial" w:hAnsi="Arial" w:cs="Arial"/>
          <w:noProof/>
          <w:szCs w:val="24"/>
        </w:rPr>
        <w:lastRenderedPageBreak/>
        <w:t xml:space="preserve">S. A. (2020). Potassium Application Boosts Photosynthesis and Sorbitol Biosynthesis and Accelerates Cold Acclimation of Common Plantain ( Plantago major L .). </w:t>
      </w:r>
      <w:r w:rsidRPr="00AB7385">
        <w:rPr>
          <w:rFonts w:ascii="Arial" w:hAnsi="Arial" w:cs="Arial"/>
          <w:i/>
          <w:iCs/>
          <w:noProof/>
          <w:szCs w:val="24"/>
        </w:rPr>
        <w:t>Plants</w:t>
      </w:r>
      <w:r w:rsidRPr="00AB7385">
        <w:rPr>
          <w:rFonts w:ascii="Arial" w:hAnsi="Arial" w:cs="Arial"/>
          <w:noProof/>
          <w:szCs w:val="24"/>
        </w:rPr>
        <w:t xml:space="preserve">, </w:t>
      </w:r>
      <w:r w:rsidRPr="00AB7385">
        <w:rPr>
          <w:rFonts w:ascii="Arial" w:hAnsi="Arial" w:cs="Arial"/>
          <w:i/>
          <w:iCs/>
          <w:noProof/>
          <w:szCs w:val="24"/>
        </w:rPr>
        <w:t>9</w:t>
      </w:r>
      <w:r w:rsidRPr="00AB7385">
        <w:rPr>
          <w:rFonts w:ascii="Arial" w:hAnsi="Arial" w:cs="Arial"/>
          <w:noProof/>
          <w:szCs w:val="24"/>
        </w:rPr>
        <w:t>, 1259. https://doi.org/10.3390/plants9101259</w:t>
      </w:r>
    </w:p>
    <w:p w14:paraId="17C2D1DA"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Hogewoning, S. W., Boogaart, S. A. van den, Tongelo, E. van, &amp; Trouborst, G. (2021). CAM</w:t>
      </w:r>
      <w:r w:rsidRPr="00AB7385">
        <w:rPr>
          <w:rFonts w:ascii="Cambria Math" w:hAnsi="Cambria Math" w:cs="Cambria Math"/>
          <w:noProof/>
          <w:szCs w:val="24"/>
        </w:rPr>
        <w:t>‐</w:t>
      </w:r>
      <w:r w:rsidRPr="00AB7385">
        <w:rPr>
          <w:rFonts w:ascii="Arial" w:hAnsi="Arial" w:cs="Arial"/>
          <w:noProof/>
          <w:szCs w:val="24"/>
        </w:rPr>
        <w:t xml:space="preserve">physiology and carbon gain of the orchid Phalaenopsis in response to light intesity, light integral and CO2. </w:t>
      </w:r>
      <w:r w:rsidRPr="00AB7385">
        <w:rPr>
          <w:rFonts w:ascii="Arial" w:hAnsi="Arial" w:cs="Arial"/>
          <w:i/>
          <w:iCs/>
          <w:noProof/>
          <w:szCs w:val="24"/>
        </w:rPr>
        <w:t>Plant Cell Environmental</w:t>
      </w:r>
      <w:r w:rsidRPr="00AB7385">
        <w:rPr>
          <w:rFonts w:ascii="Arial" w:hAnsi="Arial" w:cs="Arial"/>
          <w:noProof/>
          <w:szCs w:val="24"/>
        </w:rPr>
        <w:t xml:space="preserve">, </w:t>
      </w:r>
      <w:r w:rsidRPr="00AB7385">
        <w:rPr>
          <w:rFonts w:ascii="Arial" w:hAnsi="Arial" w:cs="Arial"/>
          <w:i/>
          <w:iCs/>
          <w:noProof/>
          <w:szCs w:val="24"/>
        </w:rPr>
        <w:t>44</w:t>
      </w:r>
      <w:r w:rsidRPr="00AB7385">
        <w:rPr>
          <w:rFonts w:ascii="Arial" w:hAnsi="Arial" w:cs="Arial"/>
          <w:noProof/>
          <w:szCs w:val="24"/>
        </w:rPr>
        <w:t>, 762–774. https://doi.org/10.1111/pce.13960 ORIGINAL</w:t>
      </w:r>
    </w:p>
    <w:p w14:paraId="27F96958" w14:textId="77777777" w:rsidR="00AB7385" w:rsidRPr="005F79AE" w:rsidRDefault="00AB7385" w:rsidP="00E85BE7">
      <w:pPr>
        <w:widowControl w:val="0"/>
        <w:autoSpaceDE w:val="0"/>
        <w:autoSpaceDN w:val="0"/>
        <w:adjustRightInd w:val="0"/>
        <w:spacing w:after="240"/>
        <w:ind w:left="480" w:hanging="480"/>
        <w:jc w:val="both"/>
        <w:rPr>
          <w:rFonts w:ascii="Arial" w:hAnsi="Arial" w:cs="Arial"/>
          <w:noProof/>
          <w:szCs w:val="24"/>
        </w:rPr>
      </w:pPr>
      <w:r w:rsidRPr="005F79AE">
        <w:rPr>
          <w:rFonts w:ascii="Arial" w:hAnsi="Arial" w:cs="Arial"/>
          <w:noProof/>
          <w:szCs w:val="24"/>
        </w:rPr>
        <w:t xml:space="preserve">Jompa, S., Syarief, R., Sutjahjo, S. H., &amp; Yulianto, A. (2022). Aloe Vera Agribusiness Development Sustainability Analysis in Bogor Regency. </w:t>
      </w:r>
      <w:r w:rsidRPr="005F79AE">
        <w:rPr>
          <w:rFonts w:ascii="Arial" w:hAnsi="Arial" w:cs="Arial"/>
          <w:i/>
          <w:iCs/>
          <w:noProof/>
          <w:szCs w:val="24"/>
        </w:rPr>
        <w:t>International Journal of Agriculture System (IJAS)</w:t>
      </w:r>
      <w:r w:rsidRPr="005F79AE">
        <w:rPr>
          <w:rFonts w:ascii="Arial" w:hAnsi="Arial" w:cs="Arial"/>
          <w:noProof/>
          <w:szCs w:val="24"/>
        </w:rPr>
        <w:t xml:space="preserve">, </w:t>
      </w:r>
      <w:r w:rsidRPr="005F79AE">
        <w:rPr>
          <w:rFonts w:ascii="Arial" w:hAnsi="Arial" w:cs="Arial"/>
          <w:i/>
          <w:iCs/>
          <w:noProof/>
          <w:szCs w:val="24"/>
        </w:rPr>
        <w:t>9</w:t>
      </w:r>
      <w:r w:rsidRPr="005F79AE">
        <w:rPr>
          <w:rFonts w:ascii="Arial" w:hAnsi="Arial" w:cs="Arial"/>
          <w:noProof/>
          <w:szCs w:val="24"/>
        </w:rPr>
        <w:t>(2), 80–90. https://doi.org/10.20956/ijas.v9i2.2988</w:t>
      </w:r>
    </w:p>
    <w:p w14:paraId="264B23F2"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5F79AE">
        <w:rPr>
          <w:rFonts w:ascii="Arial" w:hAnsi="Arial" w:cs="Arial"/>
          <w:noProof/>
          <w:szCs w:val="24"/>
        </w:rPr>
        <w:t>Khajeeyan, R., Salehi, A., Movahhedi Dehnavi, M., Farajee, H., &amp; Kohanmoo, M. A. (2022). Growth parameter</w:t>
      </w:r>
      <w:r w:rsidRPr="00AB7385">
        <w:rPr>
          <w:rFonts w:ascii="Arial" w:hAnsi="Arial" w:cs="Arial"/>
          <w:noProof/>
          <w:szCs w:val="24"/>
        </w:rPr>
        <w:t xml:space="preserve">s, water productivity and aloin content of Aloe vera affected by mycorrhiza and PGPR application under different irrigation regimes. </w:t>
      </w:r>
      <w:r w:rsidRPr="00AB7385">
        <w:rPr>
          <w:rFonts w:ascii="Arial" w:hAnsi="Arial" w:cs="Arial"/>
          <w:i/>
          <w:iCs/>
          <w:noProof/>
          <w:szCs w:val="24"/>
        </w:rPr>
        <w:t>South African Journal of Botany</w:t>
      </w:r>
      <w:r w:rsidRPr="00AB7385">
        <w:rPr>
          <w:rFonts w:ascii="Arial" w:hAnsi="Arial" w:cs="Arial"/>
          <w:noProof/>
          <w:szCs w:val="24"/>
        </w:rPr>
        <w:t xml:space="preserve">, </w:t>
      </w:r>
      <w:r w:rsidRPr="00AB7385">
        <w:rPr>
          <w:rFonts w:ascii="Arial" w:hAnsi="Arial" w:cs="Arial"/>
          <w:i/>
          <w:iCs/>
          <w:noProof/>
          <w:szCs w:val="24"/>
        </w:rPr>
        <w:t>147</w:t>
      </w:r>
      <w:r w:rsidRPr="00AB7385">
        <w:rPr>
          <w:rFonts w:ascii="Arial" w:hAnsi="Arial" w:cs="Arial"/>
          <w:noProof/>
          <w:szCs w:val="24"/>
        </w:rPr>
        <w:t>, 1188–1198. https://doi.org/10.1016/j.sajb.2021.02.026</w:t>
      </w:r>
    </w:p>
    <w:p w14:paraId="2BAEBFA0"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Khaliq, A., Perveen, S., Alamer, K. H., Haq, M. Z. U., Rafique, Z., Alsudays, I. M., Althobaiti, A. T., Muneera A, S., Hussain, S., &amp; Attia, H. (2022). Arbuscular Mycorrhizal Fungi Symbiosis to Enhance Plant–Soil Interaction. </w:t>
      </w:r>
      <w:r w:rsidRPr="00AB7385">
        <w:rPr>
          <w:rFonts w:ascii="Arial" w:hAnsi="Arial" w:cs="Arial"/>
          <w:i/>
          <w:iCs/>
          <w:noProof/>
          <w:szCs w:val="24"/>
        </w:rPr>
        <w:t>Sustainability</w:t>
      </w:r>
      <w:r w:rsidRPr="00AB7385">
        <w:rPr>
          <w:rFonts w:ascii="Arial" w:hAnsi="Arial" w:cs="Arial"/>
          <w:noProof/>
          <w:szCs w:val="24"/>
        </w:rPr>
        <w:t xml:space="preserve">, </w:t>
      </w:r>
      <w:r w:rsidRPr="00AB7385">
        <w:rPr>
          <w:rFonts w:ascii="Arial" w:hAnsi="Arial" w:cs="Arial"/>
          <w:i/>
          <w:iCs/>
          <w:noProof/>
          <w:szCs w:val="24"/>
        </w:rPr>
        <w:t>14</w:t>
      </w:r>
      <w:r w:rsidRPr="00AB7385">
        <w:rPr>
          <w:rFonts w:ascii="Arial" w:hAnsi="Arial" w:cs="Arial"/>
          <w:noProof/>
          <w:szCs w:val="24"/>
        </w:rPr>
        <w:t>, 7840. https://doi.org/10.3390/su14137840</w:t>
      </w:r>
    </w:p>
    <w:p w14:paraId="69FA2641"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Kuila, D., &amp; Ghosh, S. (2022). Aspects, problems and utilization of Arbuscular Mycorrhizal (AM) application as bio-fertilizer in sustainable agriculture. </w:t>
      </w:r>
      <w:r w:rsidRPr="00AB7385">
        <w:rPr>
          <w:rFonts w:ascii="Arial" w:hAnsi="Arial" w:cs="Arial"/>
          <w:i/>
          <w:iCs/>
          <w:noProof/>
          <w:szCs w:val="24"/>
        </w:rPr>
        <w:t>Current Research in Microbial Sciences</w:t>
      </w:r>
      <w:r w:rsidRPr="00AB7385">
        <w:rPr>
          <w:rFonts w:ascii="Arial" w:hAnsi="Arial" w:cs="Arial"/>
          <w:noProof/>
          <w:szCs w:val="24"/>
        </w:rPr>
        <w:t xml:space="preserve">, </w:t>
      </w:r>
      <w:r w:rsidRPr="00AB7385">
        <w:rPr>
          <w:rFonts w:ascii="Arial" w:hAnsi="Arial" w:cs="Arial"/>
          <w:i/>
          <w:iCs/>
          <w:noProof/>
          <w:szCs w:val="24"/>
        </w:rPr>
        <w:t>3</w:t>
      </w:r>
      <w:r w:rsidRPr="00AB7385">
        <w:rPr>
          <w:rFonts w:ascii="Arial" w:hAnsi="Arial" w:cs="Arial"/>
          <w:noProof/>
          <w:szCs w:val="24"/>
        </w:rPr>
        <w:t>, 100107. https://doi.org/10.1016/j.crmicr.2022.100107</w:t>
      </w:r>
    </w:p>
    <w:p w14:paraId="3C9A703E"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Kumar, A., &amp; Tapwal, A. (2022). Diversity of arbuscular mycorrhizal fungi and root colonization in Polygonatum verticillatum. </w:t>
      </w:r>
      <w:r w:rsidRPr="00AB7385">
        <w:rPr>
          <w:rFonts w:ascii="Arial" w:hAnsi="Arial" w:cs="Arial"/>
          <w:i/>
          <w:iCs/>
          <w:noProof/>
          <w:szCs w:val="24"/>
        </w:rPr>
        <w:t>Nusantara Bioscience</w:t>
      </w:r>
      <w:r w:rsidRPr="00AB7385">
        <w:rPr>
          <w:rFonts w:ascii="Arial" w:hAnsi="Arial" w:cs="Arial"/>
          <w:noProof/>
          <w:szCs w:val="24"/>
        </w:rPr>
        <w:t xml:space="preserve">, </w:t>
      </w:r>
      <w:r w:rsidRPr="00AB7385">
        <w:rPr>
          <w:rFonts w:ascii="Arial" w:hAnsi="Arial" w:cs="Arial"/>
          <w:i/>
          <w:iCs/>
          <w:noProof/>
          <w:szCs w:val="24"/>
        </w:rPr>
        <w:t>14</w:t>
      </w:r>
      <w:r w:rsidRPr="00AB7385">
        <w:rPr>
          <w:rFonts w:ascii="Arial" w:hAnsi="Arial" w:cs="Arial"/>
          <w:noProof/>
          <w:szCs w:val="24"/>
        </w:rPr>
        <w:t>, 53–63. https://doi.org/10.13057/nusbiosci/n140107</w:t>
      </w:r>
    </w:p>
    <w:p w14:paraId="0BD0D231"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Luo, X., Liu, Y., Li, S., &amp; He, X. (2023). Interplant Carbon and Nitrogen Transfers Mediated by Common Arbuscular Mycorrhizal Networks: Beneficial Pathways for System Functionality. </w:t>
      </w:r>
      <w:r w:rsidRPr="00AB7385">
        <w:rPr>
          <w:rFonts w:ascii="Arial" w:hAnsi="Arial" w:cs="Arial"/>
          <w:i/>
          <w:iCs/>
          <w:noProof/>
          <w:szCs w:val="24"/>
        </w:rPr>
        <w:t>Frontiers in Plant Science</w:t>
      </w:r>
      <w:r w:rsidRPr="00AB7385">
        <w:rPr>
          <w:rFonts w:ascii="Arial" w:hAnsi="Arial" w:cs="Arial"/>
          <w:noProof/>
          <w:szCs w:val="24"/>
        </w:rPr>
        <w:t xml:space="preserve">, </w:t>
      </w:r>
      <w:r w:rsidRPr="00AB7385">
        <w:rPr>
          <w:rFonts w:ascii="Arial" w:hAnsi="Arial" w:cs="Arial"/>
          <w:i/>
          <w:iCs/>
          <w:noProof/>
          <w:szCs w:val="24"/>
        </w:rPr>
        <w:t>14</w:t>
      </w:r>
      <w:r w:rsidRPr="00AB7385">
        <w:rPr>
          <w:rFonts w:ascii="Arial" w:hAnsi="Arial" w:cs="Arial"/>
          <w:noProof/>
          <w:szCs w:val="24"/>
        </w:rPr>
        <w:t>, 1169310. https://doi.org/10.3389/fpls.2023.1169310</w:t>
      </w:r>
    </w:p>
    <w:p w14:paraId="651C6935"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Ma, Q., Chadwick, D. R., Wu, L., &amp; Jones, D. L. (2022). Arbuscular Mycorrhiza Fungi Colonisation Stimulates Uptake of Inorganic Nitrogen and Sulphur but Reduces Utilisation of Organic Forms in Tomato. </w:t>
      </w:r>
      <w:r w:rsidRPr="00AB7385">
        <w:rPr>
          <w:rFonts w:ascii="Arial" w:hAnsi="Arial" w:cs="Arial"/>
          <w:i/>
          <w:iCs/>
          <w:noProof/>
          <w:szCs w:val="24"/>
        </w:rPr>
        <w:t>Soil Biology and Biochemistry</w:t>
      </w:r>
      <w:r w:rsidRPr="00AB7385">
        <w:rPr>
          <w:rFonts w:ascii="Arial" w:hAnsi="Arial" w:cs="Arial"/>
          <w:noProof/>
          <w:szCs w:val="24"/>
        </w:rPr>
        <w:t xml:space="preserve">, </w:t>
      </w:r>
      <w:r w:rsidRPr="00AB7385">
        <w:rPr>
          <w:rFonts w:ascii="Arial" w:hAnsi="Arial" w:cs="Arial"/>
          <w:i/>
          <w:iCs/>
          <w:noProof/>
          <w:szCs w:val="24"/>
        </w:rPr>
        <w:t>172</w:t>
      </w:r>
      <w:r w:rsidRPr="00AB7385">
        <w:rPr>
          <w:rFonts w:ascii="Arial" w:hAnsi="Arial" w:cs="Arial"/>
          <w:noProof/>
          <w:szCs w:val="24"/>
        </w:rPr>
        <w:t>, 108719. https://doi.org/10.1016/j.soilbio.2022.108719</w:t>
      </w:r>
    </w:p>
    <w:p w14:paraId="0DFCF411" w14:textId="77777777" w:rsidR="00AB7385" w:rsidRPr="005F79AE" w:rsidRDefault="00AB7385" w:rsidP="00E85BE7">
      <w:pPr>
        <w:widowControl w:val="0"/>
        <w:autoSpaceDE w:val="0"/>
        <w:autoSpaceDN w:val="0"/>
        <w:adjustRightInd w:val="0"/>
        <w:spacing w:after="240"/>
        <w:ind w:left="480" w:hanging="480"/>
        <w:jc w:val="both"/>
        <w:rPr>
          <w:rFonts w:ascii="Arial" w:hAnsi="Arial" w:cs="Arial"/>
          <w:noProof/>
          <w:szCs w:val="24"/>
        </w:rPr>
      </w:pPr>
      <w:r w:rsidRPr="005F79AE">
        <w:rPr>
          <w:rFonts w:ascii="Arial" w:hAnsi="Arial" w:cs="Arial"/>
          <w:noProof/>
          <w:szCs w:val="24"/>
        </w:rPr>
        <w:t xml:space="preserve">Matei, C. E., Visan, A. I., &amp; Crestescu, R. (2025). Aloe Vera Polysaccharides as Therapeutic Agents : Benefits Versus Side Effects in Biomedical Applications. </w:t>
      </w:r>
      <w:r w:rsidRPr="005F79AE">
        <w:rPr>
          <w:rFonts w:ascii="Arial" w:hAnsi="Arial" w:cs="Arial"/>
          <w:i/>
          <w:iCs/>
          <w:noProof/>
          <w:szCs w:val="24"/>
        </w:rPr>
        <w:t>Polysaccharides</w:t>
      </w:r>
      <w:r w:rsidRPr="005F79AE">
        <w:rPr>
          <w:rFonts w:ascii="Arial" w:hAnsi="Arial" w:cs="Arial"/>
          <w:noProof/>
          <w:szCs w:val="24"/>
        </w:rPr>
        <w:t xml:space="preserve">, </w:t>
      </w:r>
      <w:r w:rsidRPr="005F79AE">
        <w:rPr>
          <w:rFonts w:ascii="Arial" w:hAnsi="Arial" w:cs="Arial"/>
          <w:i/>
          <w:iCs/>
          <w:noProof/>
          <w:szCs w:val="24"/>
        </w:rPr>
        <w:t>6</w:t>
      </w:r>
      <w:r w:rsidRPr="005F79AE">
        <w:rPr>
          <w:rFonts w:ascii="Arial" w:hAnsi="Arial" w:cs="Arial"/>
          <w:noProof/>
          <w:szCs w:val="24"/>
        </w:rPr>
        <w:t>, 1–32. https://doi.org/10.3390/polysaccharides6020036</w:t>
      </w:r>
    </w:p>
    <w:p w14:paraId="3C2BF389"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5F79AE">
        <w:rPr>
          <w:rFonts w:ascii="Arial" w:hAnsi="Arial" w:cs="Arial"/>
          <w:noProof/>
          <w:szCs w:val="24"/>
        </w:rPr>
        <w:t xml:space="preserve">Mensah, E. O., Adadi, P., Asase, R. V., Kelvin, O., Mozhdehi, F. J., Amoah, I., &amp; Agyei, D. (2025). Aloe vera and its Byproducts as Sources of Valuable Bioactive Compounds: Extraction, Biological Activities, and Applications in Various Food Industries. </w:t>
      </w:r>
      <w:r w:rsidRPr="005F79AE">
        <w:rPr>
          <w:rFonts w:ascii="Arial" w:hAnsi="Arial" w:cs="Arial"/>
          <w:i/>
          <w:iCs/>
          <w:noProof/>
          <w:szCs w:val="24"/>
        </w:rPr>
        <w:t>PharmaNutrition</w:t>
      </w:r>
      <w:r w:rsidRPr="005F79AE">
        <w:rPr>
          <w:rFonts w:ascii="Arial" w:hAnsi="Arial" w:cs="Arial"/>
          <w:noProof/>
          <w:szCs w:val="24"/>
        </w:rPr>
        <w:t xml:space="preserve">, </w:t>
      </w:r>
      <w:r w:rsidRPr="005F79AE">
        <w:rPr>
          <w:rFonts w:ascii="Arial" w:hAnsi="Arial" w:cs="Arial"/>
          <w:i/>
          <w:iCs/>
          <w:noProof/>
          <w:szCs w:val="24"/>
        </w:rPr>
        <w:t>31</w:t>
      </w:r>
      <w:r w:rsidRPr="005F79AE">
        <w:rPr>
          <w:rFonts w:ascii="Arial" w:hAnsi="Arial" w:cs="Arial"/>
          <w:noProof/>
          <w:szCs w:val="24"/>
        </w:rPr>
        <w:t>,</w:t>
      </w:r>
      <w:r w:rsidRPr="00AB7385">
        <w:rPr>
          <w:rFonts w:ascii="Arial" w:hAnsi="Arial" w:cs="Arial"/>
          <w:noProof/>
          <w:szCs w:val="24"/>
        </w:rPr>
        <w:t xml:space="preserve"> 100436. https://doi.org/10.1016/j.phanu.2025.100436</w:t>
      </w:r>
    </w:p>
    <w:p w14:paraId="7D2AB3EB"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Nacoon, S., Seemakram, W., Ekprasert, J., Theerakulpisut, P., Sanitchon, J., Kuyper, T. W., &amp; Boonlue, S. (2023). Arbuscular Mycorrhizal Fungi Enhance Growth and Increase Concentrations of Anthocyanin, Phenolic Compounds, and Antioxidant Activity of Black </w:t>
      </w:r>
      <w:r w:rsidRPr="00AB7385">
        <w:rPr>
          <w:rFonts w:ascii="Arial" w:hAnsi="Arial" w:cs="Arial"/>
          <w:noProof/>
          <w:szCs w:val="24"/>
        </w:rPr>
        <w:lastRenderedPageBreak/>
        <w:t xml:space="preserve">Rice (Oryza sativa L.). </w:t>
      </w:r>
      <w:r w:rsidRPr="00AB7385">
        <w:rPr>
          <w:rFonts w:ascii="Arial" w:hAnsi="Arial" w:cs="Arial"/>
          <w:i/>
          <w:iCs/>
          <w:noProof/>
          <w:szCs w:val="24"/>
        </w:rPr>
        <w:t>Soil Systems</w:t>
      </w:r>
      <w:r w:rsidRPr="00AB7385">
        <w:rPr>
          <w:rFonts w:ascii="Arial" w:hAnsi="Arial" w:cs="Arial"/>
          <w:noProof/>
          <w:szCs w:val="24"/>
        </w:rPr>
        <w:t xml:space="preserve">, </w:t>
      </w:r>
      <w:r w:rsidRPr="00AB7385">
        <w:rPr>
          <w:rFonts w:ascii="Arial" w:hAnsi="Arial" w:cs="Arial"/>
          <w:i/>
          <w:iCs/>
          <w:noProof/>
          <w:szCs w:val="24"/>
        </w:rPr>
        <w:t>7</w:t>
      </w:r>
      <w:r w:rsidRPr="00AB7385">
        <w:rPr>
          <w:rFonts w:ascii="Arial" w:hAnsi="Arial" w:cs="Arial"/>
          <w:noProof/>
          <w:szCs w:val="24"/>
        </w:rPr>
        <w:t>(2), 1–14. https://doi.org/10.3390/soilsystems7020044</w:t>
      </w:r>
    </w:p>
    <w:p w14:paraId="6A4546D0"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Naz, M., Afzal, M. R., Raza, M. A., Tariq, M., Yan, M., Dai, Z., Qi, S., &amp; Du, D. (2025). The Significant Effects of Strigolactones on Plant Growth and Microbe Interactions: A Review. </w:t>
      </w:r>
      <w:r w:rsidRPr="00AB7385">
        <w:rPr>
          <w:rFonts w:ascii="Arial" w:hAnsi="Arial" w:cs="Arial"/>
          <w:i/>
          <w:iCs/>
          <w:noProof/>
          <w:szCs w:val="24"/>
        </w:rPr>
        <w:t>Plant Growth Regulation</w:t>
      </w:r>
      <w:r w:rsidRPr="00AB7385">
        <w:rPr>
          <w:rFonts w:ascii="Arial" w:hAnsi="Arial" w:cs="Arial"/>
          <w:noProof/>
          <w:szCs w:val="24"/>
        </w:rPr>
        <w:t>, 1–21. https://doi.org/10.1007/s10725-025-01325-3</w:t>
      </w:r>
    </w:p>
    <w:p w14:paraId="7EBA90EB"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Nguyen, C. T., &amp; Saito, K. (2021). Role of Cell Wall Polyphosphates in Phosphorus Transfer at the Arbuscular Interface in Mycorrhizas. </w:t>
      </w:r>
      <w:r w:rsidRPr="00AB7385">
        <w:rPr>
          <w:rFonts w:ascii="Arial" w:hAnsi="Arial" w:cs="Arial"/>
          <w:i/>
          <w:iCs/>
          <w:noProof/>
          <w:szCs w:val="24"/>
        </w:rPr>
        <w:t>Frontiers in Plant Science</w:t>
      </w:r>
      <w:r w:rsidRPr="00AB7385">
        <w:rPr>
          <w:rFonts w:ascii="Arial" w:hAnsi="Arial" w:cs="Arial"/>
          <w:noProof/>
          <w:szCs w:val="24"/>
        </w:rPr>
        <w:t xml:space="preserve">, </w:t>
      </w:r>
      <w:r w:rsidRPr="00AB7385">
        <w:rPr>
          <w:rFonts w:ascii="Arial" w:hAnsi="Arial" w:cs="Arial"/>
          <w:i/>
          <w:iCs/>
          <w:noProof/>
          <w:szCs w:val="24"/>
        </w:rPr>
        <w:t>12</w:t>
      </w:r>
      <w:r w:rsidRPr="00AB7385">
        <w:rPr>
          <w:rFonts w:ascii="Arial" w:hAnsi="Arial" w:cs="Arial"/>
          <w:noProof/>
          <w:szCs w:val="24"/>
        </w:rPr>
        <w:t>, 725939. https://doi.org/10.3389/fpls.2021.725939</w:t>
      </w:r>
    </w:p>
    <w:p w14:paraId="56569522"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Nie, W., He, Q., Guo, H., Zhang, W., Ma, L., Li, J., &amp; Wen, D. (2024). Arbuscular Mycorrhizal Fungi: Boosting Crop Resilience to Environmental Stresses. </w:t>
      </w:r>
      <w:r w:rsidRPr="00AB7385">
        <w:rPr>
          <w:rFonts w:ascii="Arial" w:hAnsi="Arial" w:cs="Arial"/>
          <w:i/>
          <w:iCs/>
          <w:noProof/>
          <w:szCs w:val="24"/>
        </w:rPr>
        <w:t>Microorganisms</w:t>
      </w:r>
      <w:r w:rsidRPr="00AB7385">
        <w:rPr>
          <w:rFonts w:ascii="Arial" w:hAnsi="Arial" w:cs="Arial"/>
          <w:noProof/>
          <w:szCs w:val="24"/>
        </w:rPr>
        <w:t xml:space="preserve">, </w:t>
      </w:r>
      <w:r w:rsidRPr="00AB7385">
        <w:rPr>
          <w:rFonts w:ascii="Arial" w:hAnsi="Arial" w:cs="Arial"/>
          <w:i/>
          <w:iCs/>
          <w:noProof/>
          <w:szCs w:val="24"/>
        </w:rPr>
        <w:t>12</w:t>
      </w:r>
      <w:r w:rsidRPr="00AB7385">
        <w:rPr>
          <w:rFonts w:ascii="Arial" w:hAnsi="Arial" w:cs="Arial"/>
          <w:noProof/>
          <w:szCs w:val="24"/>
        </w:rPr>
        <w:t>, 2448. https://doi.org/10.3390/microorganisms12122448</w:t>
      </w:r>
    </w:p>
    <w:p w14:paraId="52A42CAA"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Pina-Torres, I. H., Davila-Berumen, F., Gonzalez-Hernadez, G. A. G.-H., Terres-Guzman, J. C., &amp; Padilla-Guerrero, I. E. (2023). Hyphal Growth and Conidia Germination Are Induced by Phytohormones in the Root Colonizing and Plant Growth Promoting Fungus Metarhizium guizhouense. </w:t>
      </w:r>
      <w:r w:rsidRPr="00AB7385">
        <w:rPr>
          <w:rFonts w:ascii="Arial" w:hAnsi="Arial" w:cs="Arial"/>
          <w:i/>
          <w:iCs/>
          <w:noProof/>
          <w:szCs w:val="24"/>
        </w:rPr>
        <w:t>Journal of Fungi</w:t>
      </w:r>
      <w:r w:rsidRPr="00AB7385">
        <w:rPr>
          <w:rFonts w:ascii="Arial" w:hAnsi="Arial" w:cs="Arial"/>
          <w:noProof/>
          <w:szCs w:val="24"/>
        </w:rPr>
        <w:t xml:space="preserve">, </w:t>
      </w:r>
      <w:r w:rsidRPr="00AB7385">
        <w:rPr>
          <w:rFonts w:ascii="Arial" w:hAnsi="Arial" w:cs="Arial"/>
          <w:i/>
          <w:iCs/>
          <w:noProof/>
          <w:szCs w:val="24"/>
        </w:rPr>
        <w:t>9</w:t>
      </w:r>
      <w:r w:rsidRPr="00AB7385">
        <w:rPr>
          <w:rFonts w:ascii="Arial" w:hAnsi="Arial" w:cs="Arial"/>
          <w:noProof/>
          <w:szCs w:val="24"/>
        </w:rPr>
        <w:t>, 945. https://doi.org/10.3390/jof9090945</w:t>
      </w:r>
    </w:p>
    <w:p w14:paraId="7F526480"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Prasetya, B., Arfiyanti, H., &amp; Arfarita, N. (2024). Exploring the benefit of arbuscular mycorrhizal Glomus spp. in improving available soil P and crop growth of sorghum cultivated on ex-coal mine soil. </w:t>
      </w:r>
      <w:r w:rsidRPr="00AB7385">
        <w:rPr>
          <w:rFonts w:ascii="Arial" w:hAnsi="Arial" w:cs="Arial"/>
          <w:i/>
          <w:iCs/>
          <w:noProof/>
          <w:szCs w:val="24"/>
        </w:rPr>
        <w:t>Biodiversitas</w:t>
      </w:r>
      <w:r w:rsidRPr="00AB7385">
        <w:rPr>
          <w:rFonts w:ascii="Arial" w:hAnsi="Arial" w:cs="Arial"/>
          <w:noProof/>
          <w:szCs w:val="24"/>
        </w:rPr>
        <w:t xml:space="preserve">, </w:t>
      </w:r>
      <w:r w:rsidRPr="00AB7385">
        <w:rPr>
          <w:rFonts w:ascii="Arial" w:hAnsi="Arial" w:cs="Arial"/>
          <w:i/>
          <w:iCs/>
          <w:noProof/>
          <w:szCs w:val="24"/>
        </w:rPr>
        <w:t>25</w:t>
      </w:r>
      <w:r w:rsidRPr="00AB7385">
        <w:rPr>
          <w:rFonts w:ascii="Arial" w:hAnsi="Arial" w:cs="Arial"/>
          <w:noProof/>
          <w:szCs w:val="24"/>
        </w:rPr>
        <w:t>(12), 5112–5122. https://doi.org/10.13057/biodiv/d251249</w:t>
      </w:r>
    </w:p>
    <w:p w14:paraId="16E66E2D"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Ren, Y., Wang, X., Liang, J., Wang, S., Chen, H., &amp; Tang, M. (2023). Arbuscular Mycorrhiza Fungi Rhizophagus irregularis Regulate Iron and Zinc Homeostasis in Tobacco by Mediating the Expression of Yellow Stripe-Like 7. </w:t>
      </w:r>
      <w:r w:rsidRPr="00AB7385">
        <w:rPr>
          <w:rFonts w:ascii="Arial" w:hAnsi="Arial" w:cs="Arial"/>
          <w:i/>
          <w:iCs/>
          <w:noProof/>
          <w:szCs w:val="24"/>
        </w:rPr>
        <w:t>Industrial Crops and Products</w:t>
      </w:r>
      <w:r w:rsidRPr="00AB7385">
        <w:rPr>
          <w:rFonts w:ascii="Arial" w:hAnsi="Arial" w:cs="Arial"/>
          <w:noProof/>
          <w:szCs w:val="24"/>
        </w:rPr>
        <w:t xml:space="preserve">, </w:t>
      </w:r>
      <w:r w:rsidRPr="00AB7385">
        <w:rPr>
          <w:rFonts w:ascii="Arial" w:hAnsi="Arial" w:cs="Arial"/>
          <w:i/>
          <w:iCs/>
          <w:noProof/>
          <w:szCs w:val="24"/>
        </w:rPr>
        <w:t>204</w:t>
      </w:r>
      <w:r w:rsidRPr="00AB7385">
        <w:rPr>
          <w:rFonts w:ascii="Arial" w:hAnsi="Arial" w:cs="Arial"/>
          <w:noProof/>
          <w:szCs w:val="24"/>
        </w:rPr>
        <w:t>, 117356. https://doi.org/10.1016/j.indcrop.2023.117356</w:t>
      </w:r>
    </w:p>
    <w:p w14:paraId="211D6893"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Rui, W., Mao, Z., &amp; Li, Z. (2022). The Roles of Phosphorus and Nitrogen Nutrient Transporters in the Arbuscular Mycorrhizal Symbiosis. </w:t>
      </w:r>
      <w:r w:rsidRPr="00AB7385">
        <w:rPr>
          <w:rFonts w:ascii="Arial" w:hAnsi="Arial" w:cs="Arial"/>
          <w:i/>
          <w:iCs/>
          <w:noProof/>
          <w:szCs w:val="24"/>
        </w:rPr>
        <w:t>International Journal of Molecular Sciences</w:t>
      </w:r>
      <w:r w:rsidRPr="00AB7385">
        <w:rPr>
          <w:rFonts w:ascii="Arial" w:hAnsi="Arial" w:cs="Arial"/>
          <w:noProof/>
          <w:szCs w:val="24"/>
        </w:rPr>
        <w:t xml:space="preserve">, </w:t>
      </w:r>
      <w:r w:rsidRPr="00AB7385">
        <w:rPr>
          <w:rFonts w:ascii="Arial" w:hAnsi="Arial" w:cs="Arial"/>
          <w:i/>
          <w:iCs/>
          <w:noProof/>
          <w:szCs w:val="24"/>
        </w:rPr>
        <w:t>23</w:t>
      </w:r>
      <w:r w:rsidRPr="00AB7385">
        <w:rPr>
          <w:rFonts w:ascii="Arial" w:hAnsi="Arial" w:cs="Arial"/>
          <w:noProof/>
          <w:szCs w:val="24"/>
        </w:rPr>
        <w:t>, 11027. https://doi.org/10.3390/ijms231911027</w:t>
      </w:r>
    </w:p>
    <w:p w14:paraId="00419A09"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Salim, M. A., Budi, S. W., Setyaningsih, L., Iskandar, Wahyudi, I., &amp; Kirmi, H. (2020). Root Colonization by Arbuscular Mycorrhizal Fungi (AMF) in Various Age Classes of Revegetation Post-coal Mine. </w:t>
      </w:r>
      <w:r w:rsidRPr="00AB7385">
        <w:rPr>
          <w:rFonts w:ascii="Arial" w:hAnsi="Arial" w:cs="Arial"/>
          <w:i/>
          <w:iCs/>
          <w:noProof/>
          <w:szCs w:val="24"/>
        </w:rPr>
        <w:t>Biodiversitas</w:t>
      </w:r>
      <w:r w:rsidRPr="00AB7385">
        <w:rPr>
          <w:rFonts w:ascii="Arial" w:hAnsi="Arial" w:cs="Arial"/>
          <w:noProof/>
          <w:szCs w:val="24"/>
        </w:rPr>
        <w:t xml:space="preserve">, </w:t>
      </w:r>
      <w:r w:rsidRPr="00AB7385">
        <w:rPr>
          <w:rFonts w:ascii="Arial" w:hAnsi="Arial" w:cs="Arial"/>
          <w:i/>
          <w:iCs/>
          <w:noProof/>
          <w:szCs w:val="24"/>
        </w:rPr>
        <w:t>21</w:t>
      </w:r>
      <w:r w:rsidRPr="00AB7385">
        <w:rPr>
          <w:rFonts w:ascii="Arial" w:hAnsi="Arial" w:cs="Arial"/>
          <w:noProof/>
          <w:szCs w:val="24"/>
        </w:rPr>
        <w:t>, 5013–5022. https://doi.org/10.13057/biodiv/d211005</w:t>
      </w:r>
    </w:p>
    <w:p w14:paraId="6FBEFB72"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Santoro, V., Schiavon, M., &amp; Celi, L. (2024). Role of Soil Abiotic Processes on Phosphorus Availability and Plant Responses with A Focus on Strigolactones in Tomato Plants. </w:t>
      </w:r>
      <w:r w:rsidRPr="00AB7385">
        <w:rPr>
          <w:rFonts w:ascii="Arial" w:hAnsi="Arial" w:cs="Arial"/>
          <w:i/>
          <w:iCs/>
          <w:noProof/>
          <w:szCs w:val="24"/>
        </w:rPr>
        <w:t>Plant and Soil</w:t>
      </w:r>
      <w:r w:rsidRPr="00AB7385">
        <w:rPr>
          <w:rFonts w:ascii="Arial" w:hAnsi="Arial" w:cs="Arial"/>
          <w:noProof/>
          <w:szCs w:val="24"/>
        </w:rPr>
        <w:t xml:space="preserve">, </w:t>
      </w:r>
      <w:r w:rsidRPr="00AB7385">
        <w:rPr>
          <w:rFonts w:ascii="Arial" w:hAnsi="Arial" w:cs="Arial"/>
          <w:i/>
          <w:iCs/>
          <w:noProof/>
          <w:szCs w:val="24"/>
        </w:rPr>
        <w:t>494</w:t>
      </w:r>
      <w:r w:rsidRPr="00AB7385">
        <w:rPr>
          <w:rFonts w:ascii="Arial" w:hAnsi="Arial" w:cs="Arial"/>
          <w:noProof/>
          <w:szCs w:val="24"/>
        </w:rPr>
        <w:t>, 1–49. https://doi.org/10.1007/s11104-023-06266-2</w:t>
      </w:r>
    </w:p>
    <w:p w14:paraId="0CC13CC1"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1B5F19">
        <w:rPr>
          <w:rFonts w:ascii="Arial" w:hAnsi="Arial" w:cs="Arial"/>
          <w:noProof/>
          <w:szCs w:val="24"/>
        </w:rPr>
        <w:t>Shafara,</w:t>
      </w:r>
      <w:r w:rsidRPr="00AB7385">
        <w:rPr>
          <w:rFonts w:ascii="Arial" w:hAnsi="Arial" w:cs="Arial"/>
          <w:noProof/>
          <w:szCs w:val="24"/>
        </w:rPr>
        <w:t xml:space="preserve"> F. Q., Irawan, B., &amp; Ernah, E. (2023). Bioprospecting of Pontianak Aloe as An Indonesian Plant for Coemeceutical: A Review. </w:t>
      </w:r>
      <w:r w:rsidRPr="00AB7385">
        <w:rPr>
          <w:rFonts w:ascii="Arial" w:hAnsi="Arial" w:cs="Arial"/>
          <w:i/>
          <w:iCs/>
          <w:noProof/>
          <w:szCs w:val="24"/>
        </w:rPr>
        <w:t>AGROLAND: The Agricultural Sciences Journal</w:t>
      </w:r>
      <w:r w:rsidRPr="00AB7385">
        <w:rPr>
          <w:rFonts w:ascii="Arial" w:hAnsi="Arial" w:cs="Arial"/>
          <w:noProof/>
          <w:szCs w:val="24"/>
        </w:rPr>
        <w:t xml:space="preserve">, </w:t>
      </w:r>
      <w:r w:rsidRPr="00AB7385">
        <w:rPr>
          <w:rFonts w:ascii="Arial" w:hAnsi="Arial" w:cs="Arial"/>
          <w:i/>
          <w:iCs/>
          <w:noProof/>
          <w:szCs w:val="24"/>
        </w:rPr>
        <w:t>10</w:t>
      </w:r>
      <w:r w:rsidRPr="00AB7385">
        <w:rPr>
          <w:rFonts w:ascii="Arial" w:hAnsi="Arial" w:cs="Arial"/>
          <w:noProof/>
          <w:szCs w:val="24"/>
        </w:rPr>
        <w:t>, 50–57. https://doi.org/10.22487/agroland.v0i0.1440</w:t>
      </w:r>
    </w:p>
    <w:p w14:paraId="6C446F09"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Shah, I. H., Jinhui, W., Li, X., Hameed, M. K., Manzoor, M. A., Li, P., Zhang, Y., Niu, Q., &amp; Chang, L. (2024). Exploring the Role of Nitrogen and Potassium in Photosynthesis Implications for Sugar: Accumulation and Translocation in Horticultural Crops. </w:t>
      </w:r>
      <w:r w:rsidRPr="00AB7385">
        <w:rPr>
          <w:rFonts w:ascii="Arial" w:hAnsi="Arial" w:cs="Arial"/>
          <w:i/>
          <w:iCs/>
          <w:noProof/>
          <w:szCs w:val="24"/>
        </w:rPr>
        <w:t>Scientia Horticulturae</w:t>
      </w:r>
      <w:r w:rsidRPr="00AB7385">
        <w:rPr>
          <w:rFonts w:ascii="Arial" w:hAnsi="Arial" w:cs="Arial"/>
          <w:noProof/>
          <w:szCs w:val="24"/>
        </w:rPr>
        <w:t xml:space="preserve">, </w:t>
      </w:r>
      <w:r w:rsidRPr="00AB7385">
        <w:rPr>
          <w:rFonts w:ascii="Arial" w:hAnsi="Arial" w:cs="Arial"/>
          <w:i/>
          <w:iCs/>
          <w:noProof/>
          <w:szCs w:val="24"/>
        </w:rPr>
        <w:t>327</w:t>
      </w:r>
      <w:r w:rsidRPr="00AB7385">
        <w:rPr>
          <w:rFonts w:ascii="Arial" w:hAnsi="Arial" w:cs="Arial"/>
          <w:noProof/>
          <w:szCs w:val="24"/>
        </w:rPr>
        <w:t>, 112832. https://doi.org/10.1016/j.scienta.2023.112832</w:t>
      </w:r>
    </w:p>
    <w:p w14:paraId="18648B95"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lastRenderedPageBreak/>
        <w:t xml:space="preserve">Shi, S., Luo, X., Dong, X., Qiu, Y., Xu, C., &amp; He, X. (2021). Arbuscular mycorrhization enhances nitrogen, phosphorus and potassium accumulation in vicia faba by modulating soil nutrient balance under elevated co2. </w:t>
      </w:r>
      <w:r w:rsidRPr="00AB7385">
        <w:rPr>
          <w:rFonts w:ascii="Arial" w:hAnsi="Arial" w:cs="Arial"/>
          <w:i/>
          <w:iCs/>
          <w:noProof/>
          <w:szCs w:val="24"/>
        </w:rPr>
        <w:t>Journal of Fungi</w:t>
      </w:r>
      <w:r w:rsidRPr="00AB7385">
        <w:rPr>
          <w:rFonts w:ascii="Arial" w:hAnsi="Arial" w:cs="Arial"/>
          <w:noProof/>
          <w:szCs w:val="24"/>
        </w:rPr>
        <w:t xml:space="preserve">, </w:t>
      </w:r>
      <w:r w:rsidRPr="00AB7385">
        <w:rPr>
          <w:rFonts w:ascii="Arial" w:hAnsi="Arial" w:cs="Arial"/>
          <w:i/>
          <w:iCs/>
          <w:noProof/>
          <w:szCs w:val="24"/>
        </w:rPr>
        <w:t>7</w:t>
      </w:r>
      <w:r w:rsidRPr="00AB7385">
        <w:rPr>
          <w:rFonts w:ascii="Arial" w:hAnsi="Arial" w:cs="Arial"/>
          <w:noProof/>
          <w:szCs w:val="24"/>
        </w:rPr>
        <w:t>(5), 1–15. https://doi.org/10.3390/jof7050361</w:t>
      </w:r>
    </w:p>
    <w:p w14:paraId="644B8867"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Suo, Y., Li, T., von Sperber, C., Ge, L., Cao, C., Zhai, Z., Bu, Z., &amp; Wang, M. (2025). Low Molecular Weight Organic Acids Mobilize Soil Organic Phosphorus for Enzymatic Hydrolysis in A Temperate Montane Peatland. </w:t>
      </w:r>
      <w:r w:rsidRPr="00AB7385">
        <w:rPr>
          <w:rFonts w:ascii="Arial" w:hAnsi="Arial" w:cs="Arial"/>
          <w:i/>
          <w:iCs/>
          <w:noProof/>
          <w:szCs w:val="24"/>
        </w:rPr>
        <w:t>Biogeochemistry</w:t>
      </w:r>
      <w:r w:rsidRPr="00AB7385">
        <w:rPr>
          <w:rFonts w:ascii="Arial" w:hAnsi="Arial" w:cs="Arial"/>
          <w:noProof/>
          <w:szCs w:val="24"/>
        </w:rPr>
        <w:t xml:space="preserve">, </w:t>
      </w:r>
      <w:r w:rsidRPr="00AB7385">
        <w:rPr>
          <w:rFonts w:ascii="Arial" w:hAnsi="Arial" w:cs="Arial"/>
          <w:i/>
          <w:iCs/>
          <w:noProof/>
          <w:szCs w:val="24"/>
        </w:rPr>
        <w:t>168</w:t>
      </w:r>
      <w:r w:rsidRPr="00AB7385">
        <w:rPr>
          <w:rFonts w:ascii="Arial" w:hAnsi="Arial" w:cs="Arial"/>
          <w:noProof/>
          <w:szCs w:val="24"/>
        </w:rPr>
        <w:t>, 19. https://doi.org/10.1007/s10533-025-01210-1</w:t>
      </w:r>
    </w:p>
    <w:p w14:paraId="40BCB6E0"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van Tongerlo, E., Trouwborst, G., Hogewoning, S. W., van Ieperen, W., Dieleman, J. A., &amp; Marcelis, L. F. M. (2021). Crassulacean Acid Metabolism Species Differ in The Contribution of C3 and C4 Carboxylation to End of Day CO2 Fixation. </w:t>
      </w:r>
      <w:r w:rsidRPr="00AB7385">
        <w:rPr>
          <w:rFonts w:ascii="Arial" w:hAnsi="Arial" w:cs="Arial"/>
          <w:i/>
          <w:iCs/>
          <w:noProof/>
          <w:szCs w:val="24"/>
        </w:rPr>
        <w:t>Physiologia Plantarum</w:t>
      </w:r>
      <w:r w:rsidRPr="00AB7385">
        <w:rPr>
          <w:rFonts w:ascii="Arial" w:hAnsi="Arial" w:cs="Arial"/>
          <w:noProof/>
          <w:szCs w:val="24"/>
        </w:rPr>
        <w:t xml:space="preserve">, </w:t>
      </w:r>
      <w:r w:rsidRPr="00AB7385">
        <w:rPr>
          <w:rFonts w:ascii="Arial" w:hAnsi="Arial" w:cs="Arial"/>
          <w:i/>
          <w:iCs/>
          <w:noProof/>
          <w:szCs w:val="24"/>
        </w:rPr>
        <w:t>172</w:t>
      </w:r>
      <w:r w:rsidRPr="00AB7385">
        <w:rPr>
          <w:rFonts w:ascii="Arial" w:hAnsi="Arial" w:cs="Arial"/>
          <w:noProof/>
          <w:szCs w:val="24"/>
        </w:rPr>
        <w:t>, 134. https://doi.org/10.1111/ppl.13312</w:t>
      </w:r>
    </w:p>
    <w:p w14:paraId="22C098F3"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Vergara, C., Araujo, K. E. C., de Souza, S. R., Schultz, N., Jaggin Júnior, O. J., Sperandio, M. V. L., &amp; Zilli, J. É. (2019). Plant-Mycorrhizal Fungi Interaction and Response to Inoculation with Different Growth-Promoting Fungi. </w:t>
      </w:r>
      <w:r w:rsidRPr="00AB7385">
        <w:rPr>
          <w:rFonts w:ascii="Arial" w:hAnsi="Arial" w:cs="Arial"/>
          <w:i/>
          <w:iCs/>
          <w:noProof/>
          <w:szCs w:val="24"/>
        </w:rPr>
        <w:t>Pesquisa Agropecuaria Brasileira</w:t>
      </w:r>
      <w:r w:rsidRPr="00AB7385">
        <w:rPr>
          <w:rFonts w:ascii="Arial" w:hAnsi="Arial" w:cs="Arial"/>
          <w:noProof/>
          <w:szCs w:val="24"/>
        </w:rPr>
        <w:t xml:space="preserve">, </w:t>
      </w:r>
      <w:r w:rsidRPr="00AB7385">
        <w:rPr>
          <w:rFonts w:ascii="Arial" w:hAnsi="Arial" w:cs="Arial"/>
          <w:i/>
          <w:iCs/>
          <w:noProof/>
          <w:szCs w:val="24"/>
        </w:rPr>
        <w:t>54</w:t>
      </w:r>
      <w:r w:rsidRPr="00AB7385">
        <w:rPr>
          <w:rFonts w:ascii="Arial" w:hAnsi="Arial" w:cs="Arial"/>
          <w:noProof/>
          <w:szCs w:val="24"/>
        </w:rPr>
        <w:t>, e25140. https://doi.org/10.1590/S1678-3921.pab2019.v54.25140</w:t>
      </w:r>
    </w:p>
    <w:p w14:paraId="51B8797E"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Vieira, C. K., Marascalchi, M. N., Rozmos, M., Benada, O., Belova, V., &amp; Jansa, J. (2025). Arbuscular Mycorrhizal Fungal Highways – What, How and Why? </w:t>
      </w:r>
      <w:r w:rsidRPr="00AB7385">
        <w:rPr>
          <w:rFonts w:ascii="Arial" w:hAnsi="Arial" w:cs="Arial"/>
          <w:i/>
          <w:iCs/>
          <w:noProof/>
          <w:szCs w:val="24"/>
        </w:rPr>
        <w:t>Soil Biology and Biochemistry</w:t>
      </w:r>
      <w:r w:rsidRPr="00AB7385">
        <w:rPr>
          <w:rFonts w:ascii="Arial" w:hAnsi="Arial" w:cs="Arial"/>
          <w:noProof/>
          <w:szCs w:val="24"/>
        </w:rPr>
        <w:t xml:space="preserve">, </w:t>
      </w:r>
      <w:r w:rsidRPr="00AB7385">
        <w:rPr>
          <w:rFonts w:ascii="Arial" w:hAnsi="Arial" w:cs="Arial"/>
          <w:i/>
          <w:iCs/>
          <w:noProof/>
          <w:szCs w:val="24"/>
        </w:rPr>
        <w:t>202</w:t>
      </w:r>
      <w:r w:rsidRPr="00AB7385">
        <w:rPr>
          <w:rFonts w:ascii="Arial" w:hAnsi="Arial" w:cs="Arial"/>
          <w:noProof/>
          <w:szCs w:val="24"/>
        </w:rPr>
        <w:t>, 109702. https://doi.org/10.1016/j.soilbio.2024.109702</w:t>
      </w:r>
    </w:p>
    <w:p w14:paraId="2D19C119"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Wahab, A., Muhammad, M., Munir, A., Abdi, G., Zaman, W., Ayaz, A., Khizar, C., &amp; Reddy, S. P. P. (2023). Role of Arbuscular Mycorrhizal Fungi in Regulating Growth, Enhancing Productivity, and Potentially Influencing Ecosystems under Abiotic and Biotic Stresses. </w:t>
      </w:r>
      <w:r w:rsidRPr="00AB7385">
        <w:rPr>
          <w:rFonts w:ascii="Arial" w:hAnsi="Arial" w:cs="Arial"/>
          <w:i/>
          <w:iCs/>
          <w:noProof/>
          <w:szCs w:val="24"/>
        </w:rPr>
        <w:t>Plants</w:t>
      </w:r>
      <w:r w:rsidRPr="00AB7385">
        <w:rPr>
          <w:rFonts w:ascii="Arial" w:hAnsi="Arial" w:cs="Arial"/>
          <w:noProof/>
          <w:szCs w:val="24"/>
        </w:rPr>
        <w:t xml:space="preserve">, </w:t>
      </w:r>
      <w:r w:rsidRPr="00AB7385">
        <w:rPr>
          <w:rFonts w:ascii="Arial" w:hAnsi="Arial" w:cs="Arial"/>
          <w:i/>
          <w:iCs/>
          <w:noProof/>
          <w:szCs w:val="24"/>
        </w:rPr>
        <w:t>12</w:t>
      </w:r>
      <w:r w:rsidRPr="00AB7385">
        <w:rPr>
          <w:rFonts w:ascii="Arial" w:hAnsi="Arial" w:cs="Arial"/>
          <w:noProof/>
          <w:szCs w:val="24"/>
        </w:rPr>
        <w:t>, 3102. https://doi.org/10.3390/plants12173102</w:t>
      </w:r>
    </w:p>
    <w:p w14:paraId="5011AC41"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Wang, W., Shi, J., Xie, Q., Jiang, Y., Yu, N., &amp; Wang, E. (2017). Nutrient Exchange and Regulation in Arbuscular Mycorrhizal Symbiosis. </w:t>
      </w:r>
      <w:r w:rsidRPr="00AB7385">
        <w:rPr>
          <w:rFonts w:ascii="Arial" w:hAnsi="Arial" w:cs="Arial"/>
          <w:i/>
          <w:iCs/>
          <w:noProof/>
          <w:szCs w:val="24"/>
        </w:rPr>
        <w:t>Molecular Plant</w:t>
      </w:r>
      <w:r w:rsidRPr="00AB7385">
        <w:rPr>
          <w:rFonts w:ascii="Arial" w:hAnsi="Arial" w:cs="Arial"/>
          <w:noProof/>
          <w:szCs w:val="24"/>
        </w:rPr>
        <w:t xml:space="preserve">, </w:t>
      </w:r>
      <w:r w:rsidRPr="00AB7385">
        <w:rPr>
          <w:rFonts w:ascii="Arial" w:hAnsi="Arial" w:cs="Arial"/>
          <w:i/>
          <w:iCs/>
          <w:noProof/>
          <w:szCs w:val="24"/>
        </w:rPr>
        <w:t>10</w:t>
      </w:r>
      <w:r w:rsidRPr="00AB7385">
        <w:rPr>
          <w:rFonts w:ascii="Arial" w:hAnsi="Arial" w:cs="Arial"/>
          <w:noProof/>
          <w:szCs w:val="24"/>
        </w:rPr>
        <w:t>(9), 1147–1158. https://doi.org/10.1016/j.molp.2017.07.012</w:t>
      </w:r>
    </w:p>
    <w:p w14:paraId="510A2117"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Wilkes, T. I. (2021). Arbuscular Mycorrhizal Fungi in Agriculture. </w:t>
      </w:r>
      <w:r w:rsidRPr="00AB7385">
        <w:rPr>
          <w:rFonts w:ascii="Arial" w:hAnsi="Arial" w:cs="Arial"/>
          <w:i/>
          <w:iCs/>
          <w:noProof/>
          <w:szCs w:val="24"/>
        </w:rPr>
        <w:t>Encyclopedia</w:t>
      </w:r>
      <w:r w:rsidRPr="00AB7385">
        <w:rPr>
          <w:rFonts w:ascii="Arial" w:hAnsi="Arial" w:cs="Arial"/>
          <w:noProof/>
          <w:szCs w:val="24"/>
        </w:rPr>
        <w:t xml:space="preserve">, </w:t>
      </w:r>
      <w:r w:rsidRPr="00AB7385">
        <w:rPr>
          <w:rFonts w:ascii="Arial" w:hAnsi="Arial" w:cs="Arial"/>
          <w:i/>
          <w:iCs/>
          <w:noProof/>
          <w:szCs w:val="24"/>
        </w:rPr>
        <w:t>1</w:t>
      </w:r>
      <w:r w:rsidRPr="00AB7385">
        <w:rPr>
          <w:rFonts w:ascii="Arial" w:hAnsi="Arial" w:cs="Arial"/>
          <w:noProof/>
          <w:szCs w:val="24"/>
        </w:rPr>
        <w:t>, 1132. https://doi.org/10.3390/encyclopedia1040085</w:t>
      </w:r>
    </w:p>
    <w:p w14:paraId="0CA44347"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Xu, X., Du, X., Wang, F., Sha, J., Chen, Q., Tian, G., Zhu, Z., Ge, S., &amp; Jiang, Y. (2020). Effects of Potassium Levels on Plant Growth, Accumulation and Distribution of Carbon, and Nitrate Metabolism in Apple Dwarf Rootstock Seedlings. </w:t>
      </w:r>
      <w:r w:rsidRPr="00AB7385">
        <w:rPr>
          <w:rFonts w:ascii="Arial" w:hAnsi="Arial" w:cs="Arial"/>
          <w:i/>
          <w:iCs/>
          <w:noProof/>
          <w:szCs w:val="24"/>
        </w:rPr>
        <w:t>Frontiers in Plant Science</w:t>
      </w:r>
      <w:r w:rsidRPr="00AB7385">
        <w:rPr>
          <w:rFonts w:ascii="Arial" w:hAnsi="Arial" w:cs="Arial"/>
          <w:noProof/>
          <w:szCs w:val="24"/>
        </w:rPr>
        <w:t xml:space="preserve">, </w:t>
      </w:r>
      <w:r w:rsidRPr="00AB7385">
        <w:rPr>
          <w:rFonts w:ascii="Arial" w:hAnsi="Arial" w:cs="Arial"/>
          <w:i/>
          <w:iCs/>
          <w:noProof/>
          <w:szCs w:val="24"/>
        </w:rPr>
        <w:t>11</w:t>
      </w:r>
      <w:r w:rsidRPr="00AB7385">
        <w:rPr>
          <w:rFonts w:ascii="Arial" w:hAnsi="Arial" w:cs="Arial"/>
          <w:noProof/>
          <w:szCs w:val="24"/>
        </w:rPr>
        <w:t>, 904. https://doi.org/10.3389/fpls.2020.00904</w:t>
      </w:r>
    </w:p>
    <w:p w14:paraId="14B5BF0E"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szCs w:val="24"/>
        </w:rPr>
      </w:pPr>
      <w:r w:rsidRPr="00AB7385">
        <w:rPr>
          <w:rFonts w:ascii="Arial" w:hAnsi="Arial" w:cs="Arial"/>
          <w:noProof/>
          <w:szCs w:val="24"/>
        </w:rPr>
        <w:t xml:space="preserve">Yousaf, Z., Hussain, S. M., Ali, S., Kucharczyk, D., Nowosad, J., Turkowski, K., Paray, B. A., &amp; Naeem, A. (2025). Aloe vera: A Promising Natural Herbal Supplement for Enhancing Growth, Physiology, Antioxidant Activity and Immunity in Catla catla. </w:t>
      </w:r>
      <w:r w:rsidRPr="00AB7385">
        <w:rPr>
          <w:rFonts w:ascii="Arial" w:hAnsi="Arial" w:cs="Arial"/>
          <w:i/>
          <w:iCs/>
          <w:noProof/>
          <w:szCs w:val="24"/>
        </w:rPr>
        <w:t>Aquaculture Reports</w:t>
      </w:r>
      <w:r w:rsidRPr="00AB7385">
        <w:rPr>
          <w:rFonts w:ascii="Arial" w:hAnsi="Arial" w:cs="Arial"/>
          <w:noProof/>
          <w:szCs w:val="24"/>
        </w:rPr>
        <w:t xml:space="preserve">, </w:t>
      </w:r>
      <w:r w:rsidRPr="00AB7385">
        <w:rPr>
          <w:rFonts w:ascii="Arial" w:hAnsi="Arial" w:cs="Arial"/>
          <w:i/>
          <w:iCs/>
          <w:noProof/>
          <w:szCs w:val="24"/>
        </w:rPr>
        <w:t>41</w:t>
      </w:r>
      <w:r w:rsidRPr="00AB7385">
        <w:rPr>
          <w:rFonts w:ascii="Arial" w:hAnsi="Arial" w:cs="Arial"/>
          <w:noProof/>
          <w:szCs w:val="24"/>
        </w:rPr>
        <w:t>, 102662. https://doi.org/10.1016/j.aqrep.2025.102662</w:t>
      </w:r>
    </w:p>
    <w:p w14:paraId="1B6F41C6" w14:textId="77777777" w:rsidR="00AB7385" w:rsidRPr="00AB7385" w:rsidRDefault="00AB7385" w:rsidP="00E85BE7">
      <w:pPr>
        <w:widowControl w:val="0"/>
        <w:autoSpaceDE w:val="0"/>
        <w:autoSpaceDN w:val="0"/>
        <w:adjustRightInd w:val="0"/>
        <w:spacing w:after="240"/>
        <w:ind w:left="480" w:hanging="480"/>
        <w:jc w:val="both"/>
        <w:rPr>
          <w:rFonts w:ascii="Arial" w:hAnsi="Arial" w:cs="Arial"/>
          <w:noProof/>
        </w:rPr>
      </w:pPr>
      <w:r w:rsidRPr="00AB7385">
        <w:rPr>
          <w:rFonts w:ascii="Arial" w:hAnsi="Arial" w:cs="Arial"/>
          <w:noProof/>
          <w:szCs w:val="24"/>
        </w:rPr>
        <w:t xml:space="preserve">Zhang, L., Chu, Q., Zhou, J., Rengel, Z., &amp; Feng, G. (2021). Soil Phosphorus Availability Determines The Preference for Direct or Mycorrhizal Phosphorus Uptake Pathway in Maize. </w:t>
      </w:r>
      <w:r w:rsidRPr="00AB7385">
        <w:rPr>
          <w:rFonts w:ascii="Arial" w:hAnsi="Arial" w:cs="Arial"/>
          <w:i/>
          <w:iCs/>
          <w:noProof/>
          <w:szCs w:val="24"/>
        </w:rPr>
        <w:t>Geoderma</w:t>
      </w:r>
      <w:r w:rsidRPr="00AB7385">
        <w:rPr>
          <w:rFonts w:ascii="Arial" w:hAnsi="Arial" w:cs="Arial"/>
          <w:noProof/>
          <w:szCs w:val="24"/>
        </w:rPr>
        <w:t xml:space="preserve">, </w:t>
      </w:r>
      <w:r w:rsidRPr="00AB7385">
        <w:rPr>
          <w:rFonts w:ascii="Arial" w:hAnsi="Arial" w:cs="Arial"/>
          <w:i/>
          <w:iCs/>
          <w:noProof/>
          <w:szCs w:val="24"/>
        </w:rPr>
        <w:t>403</w:t>
      </w:r>
      <w:r w:rsidRPr="00AB7385">
        <w:rPr>
          <w:rFonts w:ascii="Arial" w:hAnsi="Arial" w:cs="Arial"/>
          <w:noProof/>
          <w:szCs w:val="24"/>
        </w:rPr>
        <w:t>, 115261. https://doi.org/10.1016/j.geoderma.2021.115261</w:t>
      </w:r>
    </w:p>
    <w:p w14:paraId="163AF990" w14:textId="77777777" w:rsidR="004D4277" w:rsidRDefault="00E80A25" w:rsidP="00E85BE7">
      <w:pPr>
        <w:widowControl w:val="0"/>
        <w:autoSpaceDE w:val="0"/>
        <w:autoSpaceDN w:val="0"/>
        <w:adjustRightInd w:val="0"/>
        <w:spacing w:after="240"/>
        <w:ind w:left="480" w:hanging="480"/>
        <w:jc w:val="both"/>
        <w:rPr>
          <w:rFonts w:ascii="Arial" w:hAnsi="Arial" w:cs="Arial"/>
          <w:b/>
          <w:lang w:val="id-ID"/>
        </w:rPr>
      </w:pPr>
      <w:r>
        <w:rPr>
          <w:rFonts w:ascii="Arial" w:hAnsi="Arial" w:cs="Arial"/>
          <w:b/>
          <w:lang w:val="id-ID"/>
        </w:rPr>
        <w:fldChar w:fldCharType="end"/>
      </w:r>
    </w:p>
    <w:p w14:paraId="6F84B85D" w14:textId="77777777" w:rsidR="00E80A25" w:rsidRPr="00650D01" w:rsidRDefault="00E80A25" w:rsidP="00650D01">
      <w:pPr>
        <w:pStyle w:val="Body"/>
        <w:rPr>
          <w:rFonts w:ascii="Arial" w:hAnsi="Arial" w:cs="Arial"/>
          <w:b/>
          <w:lang w:val="id-ID"/>
        </w:rPr>
        <w:sectPr w:rsidR="00E80A25" w:rsidRPr="00650D01" w:rsidSect="00E33B96">
          <w:headerReference w:type="even" r:id="rId25"/>
          <w:headerReference w:type="default" r:id="rId26"/>
          <w:footerReference w:type="default" r:id="rId27"/>
          <w:headerReference w:type="first" r:id="rId28"/>
          <w:type w:val="continuous"/>
          <w:pgSz w:w="12240" w:h="15840"/>
          <w:pgMar w:top="1440" w:right="2016" w:bottom="2016" w:left="2016" w:header="720" w:footer="1123" w:gutter="0"/>
          <w:cols w:space="720"/>
          <w:docGrid w:linePitch="272"/>
        </w:sectPr>
      </w:pPr>
    </w:p>
    <w:p w14:paraId="51A1CAAF" w14:textId="77777777" w:rsidR="00B01FCD" w:rsidRPr="00650D01" w:rsidRDefault="00B01FCD" w:rsidP="00441B6F">
      <w:pPr>
        <w:pStyle w:val="Appendix"/>
        <w:spacing w:after="0"/>
        <w:jc w:val="both"/>
        <w:rPr>
          <w:rFonts w:ascii="Arial" w:hAnsi="Arial" w:cs="Arial"/>
          <w:b w:val="0"/>
          <w:lang w:val="id-ID"/>
        </w:rPr>
      </w:pPr>
    </w:p>
    <w:sectPr w:rsidR="00B01FCD" w:rsidRPr="00650D01" w:rsidSect="00E33B9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39ADEB" w14:textId="77777777" w:rsidR="005E1EBF" w:rsidRDefault="005E1EBF" w:rsidP="00C37E61">
      <w:r>
        <w:separator/>
      </w:r>
    </w:p>
  </w:endnote>
  <w:endnote w:type="continuationSeparator" w:id="0">
    <w:p w14:paraId="32DB48B0" w14:textId="77777777" w:rsidR="005E1EBF" w:rsidRDefault="005E1EB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FAA74" w14:textId="77777777" w:rsidR="007D3359" w:rsidRDefault="007D33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FBC70" w14:textId="77777777" w:rsidR="007D3359" w:rsidRDefault="007D33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95F08" w14:textId="77777777" w:rsidR="009E048A" w:rsidRDefault="009E048A">
    <w:pPr>
      <w:pStyle w:val="Footer"/>
      <w:rPr>
        <w:rFonts w:ascii="Arial" w:hAnsi="Arial" w:cs="Arial"/>
        <w:sz w:val="16"/>
      </w:rPr>
    </w:pPr>
  </w:p>
  <w:p w14:paraId="3A8F6EC7"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B999CF7" w14:textId="77777777" w:rsidR="009E048A" w:rsidRDefault="009E048A">
    <w:pPr>
      <w:pStyle w:val="Footer"/>
      <w:rPr>
        <w:rFonts w:ascii="Arial" w:hAnsi="Arial" w:cs="Arial"/>
        <w:sz w:val="16"/>
      </w:rPr>
    </w:pPr>
  </w:p>
  <w:p w14:paraId="3F276CF2"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C584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2459D6" w14:textId="77777777" w:rsidR="005E1EBF" w:rsidRDefault="005E1EBF" w:rsidP="00C37E61">
      <w:r>
        <w:separator/>
      </w:r>
    </w:p>
  </w:footnote>
  <w:footnote w:type="continuationSeparator" w:id="0">
    <w:p w14:paraId="77C30CB5" w14:textId="77777777" w:rsidR="005E1EBF" w:rsidRDefault="005E1EB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FB014" w14:textId="1D79C409" w:rsidR="007D3359" w:rsidRDefault="007D33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E1C89" w14:textId="63625E31" w:rsidR="007D3359" w:rsidRDefault="007D33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C6A8B" w14:textId="04B7E285" w:rsidR="00296529" w:rsidRPr="00296529" w:rsidRDefault="00296529" w:rsidP="00296529">
    <w:pPr>
      <w:ind w:left="2160"/>
      <w:jc w:val="center"/>
      <w:rPr>
        <w:rFonts w:ascii="Times New Roman" w:eastAsia="Calibri" w:hAnsi="Times New Roman"/>
        <w:i/>
        <w:sz w:val="18"/>
        <w:szCs w:val="22"/>
      </w:rPr>
    </w:pPr>
  </w:p>
  <w:p w14:paraId="5FDFFE5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F2DDB2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D3E305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5D0DE5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8EE383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5EFB84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89C02" w14:textId="3B5FF4DF" w:rsidR="007D3359" w:rsidRDefault="007D335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A1388" w14:textId="6B41D704" w:rsidR="007D3359" w:rsidRDefault="007D335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C80ED" w14:textId="4FC45E3C" w:rsidR="007D3359" w:rsidRDefault="007D33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65035912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10409055">
    <w:abstractNumId w:val="15"/>
  </w:num>
  <w:num w:numId="3" w16cid:durableId="1366057426">
    <w:abstractNumId w:val="23"/>
  </w:num>
  <w:num w:numId="4" w16cid:durableId="1190991943">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500076740">
    <w:abstractNumId w:val="7"/>
  </w:num>
  <w:num w:numId="6" w16cid:durableId="2018656273">
    <w:abstractNumId w:val="6"/>
  </w:num>
  <w:num w:numId="7" w16cid:durableId="841746116">
    <w:abstractNumId w:val="1"/>
  </w:num>
  <w:num w:numId="8" w16cid:durableId="668605994">
    <w:abstractNumId w:val="12"/>
  </w:num>
  <w:num w:numId="9" w16cid:durableId="1224757124">
    <w:abstractNumId w:val="25"/>
  </w:num>
  <w:num w:numId="10" w16cid:durableId="805197208">
    <w:abstractNumId w:val="2"/>
  </w:num>
  <w:num w:numId="11" w16cid:durableId="40713095">
    <w:abstractNumId w:val="18"/>
  </w:num>
  <w:num w:numId="12" w16cid:durableId="741363">
    <w:abstractNumId w:val="3"/>
  </w:num>
  <w:num w:numId="13" w16cid:durableId="985817239">
    <w:abstractNumId w:val="17"/>
  </w:num>
  <w:num w:numId="14" w16cid:durableId="663625935">
    <w:abstractNumId w:val="8"/>
  </w:num>
  <w:num w:numId="15" w16cid:durableId="923730877">
    <w:abstractNumId w:val="21"/>
  </w:num>
  <w:num w:numId="16" w16cid:durableId="95442512">
    <w:abstractNumId w:val="5"/>
  </w:num>
  <w:num w:numId="17" w16cid:durableId="1908803393">
    <w:abstractNumId w:val="22"/>
  </w:num>
  <w:num w:numId="18" w16cid:durableId="234820723">
    <w:abstractNumId w:val="14"/>
  </w:num>
  <w:num w:numId="19" w16cid:durableId="273639050">
    <w:abstractNumId w:val="28"/>
  </w:num>
  <w:num w:numId="20" w16cid:durableId="678384830">
    <w:abstractNumId w:val="11"/>
  </w:num>
  <w:num w:numId="21" w16cid:durableId="1840920907">
    <w:abstractNumId w:val="9"/>
  </w:num>
  <w:num w:numId="22" w16cid:durableId="1075981117">
    <w:abstractNumId w:val="13"/>
  </w:num>
  <w:num w:numId="23" w16cid:durableId="1347365651">
    <w:abstractNumId w:val="19"/>
  </w:num>
  <w:num w:numId="24" w16cid:durableId="339089143">
    <w:abstractNumId w:val="26"/>
  </w:num>
  <w:num w:numId="25" w16cid:durableId="82990605">
    <w:abstractNumId w:val="4"/>
  </w:num>
  <w:num w:numId="26" w16cid:durableId="1113209299">
    <w:abstractNumId w:val="16"/>
  </w:num>
  <w:num w:numId="27" w16cid:durableId="586575434">
    <w:abstractNumId w:val="20"/>
  </w:num>
  <w:num w:numId="28" w16cid:durableId="1019895417">
    <w:abstractNumId w:val="27"/>
  </w:num>
  <w:num w:numId="29" w16cid:durableId="1014963639">
    <w:abstractNumId w:val="24"/>
  </w:num>
  <w:num w:numId="30" w16cid:durableId="7682359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01099"/>
    <w:rsid w:val="00030174"/>
    <w:rsid w:val="0004579C"/>
    <w:rsid w:val="00045F15"/>
    <w:rsid w:val="00066702"/>
    <w:rsid w:val="00077CCD"/>
    <w:rsid w:val="000A47FA"/>
    <w:rsid w:val="000A65D3"/>
    <w:rsid w:val="000B1E33"/>
    <w:rsid w:val="000D689F"/>
    <w:rsid w:val="000E7B7B"/>
    <w:rsid w:val="000E7D62"/>
    <w:rsid w:val="000F33FF"/>
    <w:rsid w:val="000F512D"/>
    <w:rsid w:val="00100155"/>
    <w:rsid w:val="00103357"/>
    <w:rsid w:val="00123C9F"/>
    <w:rsid w:val="00126190"/>
    <w:rsid w:val="00130F17"/>
    <w:rsid w:val="001320BF"/>
    <w:rsid w:val="001324E2"/>
    <w:rsid w:val="00146CBC"/>
    <w:rsid w:val="001542F4"/>
    <w:rsid w:val="00163BC4"/>
    <w:rsid w:val="00163EC7"/>
    <w:rsid w:val="00165862"/>
    <w:rsid w:val="00190734"/>
    <w:rsid w:val="00191062"/>
    <w:rsid w:val="00192B72"/>
    <w:rsid w:val="001A29D8"/>
    <w:rsid w:val="001A5CAA"/>
    <w:rsid w:val="001B0427"/>
    <w:rsid w:val="001B5F19"/>
    <w:rsid w:val="001C511E"/>
    <w:rsid w:val="001D3A51"/>
    <w:rsid w:val="001E10D2"/>
    <w:rsid w:val="001E25B4"/>
    <w:rsid w:val="001E3222"/>
    <w:rsid w:val="001E44FE"/>
    <w:rsid w:val="00200595"/>
    <w:rsid w:val="00204835"/>
    <w:rsid w:val="00211461"/>
    <w:rsid w:val="00227EA7"/>
    <w:rsid w:val="00231607"/>
    <w:rsid w:val="00231920"/>
    <w:rsid w:val="0023195C"/>
    <w:rsid w:val="0024282C"/>
    <w:rsid w:val="002460DC"/>
    <w:rsid w:val="00250985"/>
    <w:rsid w:val="00251FEE"/>
    <w:rsid w:val="002556F6"/>
    <w:rsid w:val="00276B5E"/>
    <w:rsid w:val="00277776"/>
    <w:rsid w:val="00283105"/>
    <w:rsid w:val="00284C4C"/>
    <w:rsid w:val="00287E68"/>
    <w:rsid w:val="00296529"/>
    <w:rsid w:val="002B27FB"/>
    <w:rsid w:val="002B685A"/>
    <w:rsid w:val="002C57D2"/>
    <w:rsid w:val="002E0D56"/>
    <w:rsid w:val="00315186"/>
    <w:rsid w:val="0033343E"/>
    <w:rsid w:val="0034275D"/>
    <w:rsid w:val="003512C2"/>
    <w:rsid w:val="00357DFD"/>
    <w:rsid w:val="00371FB6"/>
    <w:rsid w:val="003763C1"/>
    <w:rsid w:val="00376BBE"/>
    <w:rsid w:val="0039224F"/>
    <w:rsid w:val="003A43A4"/>
    <w:rsid w:val="003A4C64"/>
    <w:rsid w:val="003A7E18"/>
    <w:rsid w:val="003C4C86"/>
    <w:rsid w:val="003C6258"/>
    <w:rsid w:val="003C7F08"/>
    <w:rsid w:val="003D1C54"/>
    <w:rsid w:val="003E2904"/>
    <w:rsid w:val="003E589C"/>
    <w:rsid w:val="00401927"/>
    <w:rsid w:val="0041027F"/>
    <w:rsid w:val="00412475"/>
    <w:rsid w:val="00415153"/>
    <w:rsid w:val="00423789"/>
    <w:rsid w:val="00426F89"/>
    <w:rsid w:val="00440F43"/>
    <w:rsid w:val="00441B6F"/>
    <w:rsid w:val="00446221"/>
    <w:rsid w:val="0045027C"/>
    <w:rsid w:val="00450E62"/>
    <w:rsid w:val="004539DB"/>
    <w:rsid w:val="00471A80"/>
    <w:rsid w:val="004902CB"/>
    <w:rsid w:val="004B66BE"/>
    <w:rsid w:val="004D2157"/>
    <w:rsid w:val="004D2F8C"/>
    <w:rsid w:val="004D305E"/>
    <w:rsid w:val="004D4277"/>
    <w:rsid w:val="004D42D8"/>
    <w:rsid w:val="004E3FCC"/>
    <w:rsid w:val="00502516"/>
    <w:rsid w:val="00505F06"/>
    <w:rsid w:val="00506828"/>
    <w:rsid w:val="0053056E"/>
    <w:rsid w:val="005528C9"/>
    <w:rsid w:val="00554FDA"/>
    <w:rsid w:val="00566E58"/>
    <w:rsid w:val="005A3C9D"/>
    <w:rsid w:val="005C10D6"/>
    <w:rsid w:val="005C784C"/>
    <w:rsid w:val="005D17F6"/>
    <w:rsid w:val="005E1EBF"/>
    <w:rsid w:val="005E5539"/>
    <w:rsid w:val="005F79AE"/>
    <w:rsid w:val="00602BF5"/>
    <w:rsid w:val="00617FDD"/>
    <w:rsid w:val="00633614"/>
    <w:rsid w:val="00633F68"/>
    <w:rsid w:val="00635D07"/>
    <w:rsid w:val="00636EB2"/>
    <w:rsid w:val="00636FA6"/>
    <w:rsid w:val="006375B8"/>
    <w:rsid w:val="00641F39"/>
    <w:rsid w:val="0065084F"/>
    <w:rsid w:val="00650D01"/>
    <w:rsid w:val="0066510A"/>
    <w:rsid w:val="00673F9F"/>
    <w:rsid w:val="00686953"/>
    <w:rsid w:val="00687DEA"/>
    <w:rsid w:val="00687E67"/>
    <w:rsid w:val="006967F7"/>
    <w:rsid w:val="006A250C"/>
    <w:rsid w:val="006B21D3"/>
    <w:rsid w:val="006B57D0"/>
    <w:rsid w:val="006C349F"/>
    <w:rsid w:val="006C3812"/>
    <w:rsid w:val="006C40C9"/>
    <w:rsid w:val="006D30FF"/>
    <w:rsid w:val="006D6940"/>
    <w:rsid w:val="006E6C47"/>
    <w:rsid w:val="006F11EC"/>
    <w:rsid w:val="006F3C1B"/>
    <w:rsid w:val="0070082C"/>
    <w:rsid w:val="007027F5"/>
    <w:rsid w:val="007369E6"/>
    <w:rsid w:val="00746E59"/>
    <w:rsid w:val="00754C9A"/>
    <w:rsid w:val="0075599A"/>
    <w:rsid w:val="00761D52"/>
    <w:rsid w:val="00762287"/>
    <w:rsid w:val="0077749E"/>
    <w:rsid w:val="00790ADA"/>
    <w:rsid w:val="00792DD1"/>
    <w:rsid w:val="007D2288"/>
    <w:rsid w:val="007D3359"/>
    <w:rsid w:val="007E088F"/>
    <w:rsid w:val="007E15AB"/>
    <w:rsid w:val="007E33CE"/>
    <w:rsid w:val="007F7B32"/>
    <w:rsid w:val="00801237"/>
    <w:rsid w:val="00804BC2"/>
    <w:rsid w:val="0081431A"/>
    <w:rsid w:val="0083216F"/>
    <w:rsid w:val="00837BB0"/>
    <w:rsid w:val="0084494B"/>
    <w:rsid w:val="00845742"/>
    <w:rsid w:val="00860000"/>
    <w:rsid w:val="00863BD3"/>
    <w:rsid w:val="008641ED"/>
    <w:rsid w:val="00866D66"/>
    <w:rsid w:val="008671C6"/>
    <w:rsid w:val="00875803"/>
    <w:rsid w:val="008979F4"/>
    <w:rsid w:val="008B459E"/>
    <w:rsid w:val="008E13AE"/>
    <w:rsid w:val="008E1506"/>
    <w:rsid w:val="008E710C"/>
    <w:rsid w:val="008F6790"/>
    <w:rsid w:val="008F69D6"/>
    <w:rsid w:val="00902823"/>
    <w:rsid w:val="00912C6A"/>
    <w:rsid w:val="009152E2"/>
    <w:rsid w:val="00915CA6"/>
    <w:rsid w:val="00924A27"/>
    <w:rsid w:val="00927834"/>
    <w:rsid w:val="00935556"/>
    <w:rsid w:val="009500A6"/>
    <w:rsid w:val="00957C18"/>
    <w:rsid w:val="00964F7E"/>
    <w:rsid w:val="009659BA"/>
    <w:rsid w:val="0097267E"/>
    <w:rsid w:val="009820AB"/>
    <w:rsid w:val="00983040"/>
    <w:rsid w:val="009924FF"/>
    <w:rsid w:val="009A3695"/>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41C23"/>
    <w:rsid w:val="00A51431"/>
    <w:rsid w:val="00A539AD"/>
    <w:rsid w:val="00A635FD"/>
    <w:rsid w:val="00A94063"/>
    <w:rsid w:val="00A97F89"/>
    <w:rsid w:val="00AA3B8B"/>
    <w:rsid w:val="00AA6219"/>
    <w:rsid w:val="00AA74E0"/>
    <w:rsid w:val="00AB703F"/>
    <w:rsid w:val="00AB7385"/>
    <w:rsid w:val="00AC1B85"/>
    <w:rsid w:val="00AC6BB8"/>
    <w:rsid w:val="00AD5FE9"/>
    <w:rsid w:val="00AD662E"/>
    <w:rsid w:val="00AE008F"/>
    <w:rsid w:val="00B01FCD"/>
    <w:rsid w:val="00B10125"/>
    <w:rsid w:val="00B1776C"/>
    <w:rsid w:val="00B249D8"/>
    <w:rsid w:val="00B52583"/>
    <w:rsid w:val="00B52896"/>
    <w:rsid w:val="00B95236"/>
    <w:rsid w:val="00B96BD9"/>
    <w:rsid w:val="00BA1B01"/>
    <w:rsid w:val="00BA2641"/>
    <w:rsid w:val="00BB37AA"/>
    <w:rsid w:val="00BC53A0"/>
    <w:rsid w:val="00BE62AD"/>
    <w:rsid w:val="00BF121F"/>
    <w:rsid w:val="00BF1F80"/>
    <w:rsid w:val="00BF2F63"/>
    <w:rsid w:val="00C166EF"/>
    <w:rsid w:val="00C17EB0"/>
    <w:rsid w:val="00C215F2"/>
    <w:rsid w:val="00C27F5F"/>
    <w:rsid w:val="00C30A0F"/>
    <w:rsid w:val="00C32631"/>
    <w:rsid w:val="00C37E61"/>
    <w:rsid w:val="00C70F1B"/>
    <w:rsid w:val="00C7118A"/>
    <w:rsid w:val="00C71A47"/>
    <w:rsid w:val="00C7464C"/>
    <w:rsid w:val="00C7583E"/>
    <w:rsid w:val="00C85588"/>
    <w:rsid w:val="00CD6755"/>
    <w:rsid w:val="00CD6856"/>
    <w:rsid w:val="00CE0089"/>
    <w:rsid w:val="00CE793C"/>
    <w:rsid w:val="00CF193C"/>
    <w:rsid w:val="00D173F1"/>
    <w:rsid w:val="00D24BC9"/>
    <w:rsid w:val="00D6586F"/>
    <w:rsid w:val="00D74CB0"/>
    <w:rsid w:val="00D8295D"/>
    <w:rsid w:val="00D86361"/>
    <w:rsid w:val="00D96936"/>
    <w:rsid w:val="00DB5E10"/>
    <w:rsid w:val="00DC2A65"/>
    <w:rsid w:val="00DD666C"/>
    <w:rsid w:val="00DE15F0"/>
    <w:rsid w:val="00DE2F71"/>
    <w:rsid w:val="00DE5663"/>
    <w:rsid w:val="00DE78AA"/>
    <w:rsid w:val="00E02EA1"/>
    <w:rsid w:val="00E053D0"/>
    <w:rsid w:val="00E14EE1"/>
    <w:rsid w:val="00E15994"/>
    <w:rsid w:val="00E20E78"/>
    <w:rsid w:val="00E3114E"/>
    <w:rsid w:val="00E31A70"/>
    <w:rsid w:val="00E33B96"/>
    <w:rsid w:val="00E35B02"/>
    <w:rsid w:val="00E61FB3"/>
    <w:rsid w:val="00E66496"/>
    <w:rsid w:val="00E66B35"/>
    <w:rsid w:val="00E66E10"/>
    <w:rsid w:val="00E678C1"/>
    <w:rsid w:val="00E769F6"/>
    <w:rsid w:val="00E80A25"/>
    <w:rsid w:val="00E8407C"/>
    <w:rsid w:val="00E84F3C"/>
    <w:rsid w:val="00E85BE7"/>
    <w:rsid w:val="00EA012C"/>
    <w:rsid w:val="00EC6A55"/>
    <w:rsid w:val="00ED0288"/>
    <w:rsid w:val="00EE52CB"/>
    <w:rsid w:val="00EF581D"/>
    <w:rsid w:val="00EF7FD8"/>
    <w:rsid w:val="00F06F59"/>
    <w:rsid w:val="00F17988"/>
    <w:rsid w:val="00F469F0"/>
    <w:rsid w:val="00F53273"/>
    <w:rsid w:val="00F532BB"/>
    <w:rsid w:val="00F755E4"/>
    <w:rsid w:val="00F77D02"/>
    <w:rsid w:val="00F86F3E"/>
    <w:rsid w:val="00F92238"/>
    <w:rsid w:val="00FB3A86"/>
    <w:rsid w:val="00FB740C"/>
    <w:rsid w:val="00FD36C8"/>
    <w:rsid w:val="00FE30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595C81"/>
  <w15:docId w15:val="{3259B829-5517-4ED6-AA71-42EB951DC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styleId="LightShading">
    <w:name w:val="Light Shading"/>
    <w:basedOn w:val="TableNormal"/>
    <w:uiPriority w:val="60"/>
    <w:rsid w:val="004902CB"/>
    <w:rPr>
      <w:rFonts w:asciiTheme="minorHAnsi" w:eastAsiaTheme="minorHAnsi" w:hAnsiTheme="minorHAnsi" w:cstheme="minorBidi"/>
      <w:color w:val="000000" w:themeColor="text1" w:themeShade="BF"/>
      <w:sz w:val="22"/>
      <w:szCs w:val="22"/>
      <w:lang w:val="id-ID"/>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UnresolvedMention2">
    <w:name w:val="Unresolved Mention2"/>
    <w:basedOn w:val="DefaultParagraphFont"/>
    <w:uiPriority w:val="99"/>
    <w:semiHidden/>
    <w:unhideWhenUsed/>
    <w:rsid w:val="009A36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hdphoto" Target="media/hdphoto2.wdp"/><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png"/><Relationship Id="rId20" Type="http://schemas.microsoft.com/office/2007/relationships/hdphoto" Target="media/hdphoto3.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7.png"/><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footer" Target="foot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3D4E59-78D6-4D87-A396-D62A50ABC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98</TotalTime>
  <Pages>12</Pages>
  <Words>38104</Words>
  <Characters>217199</Characters>
  <Application>Microsoft Office Word</Application>
  <DocSecurity>0</DocSecurity>
  <Lines>1809</Lines>
  <Paragraphs>509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254794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Editor-28</cp:lastModifiedBy>
  <cp:revision>26</cp:revision>
  <cp:lastPrinted>1999-07-06T11:00:00Z</cp:lastPrinted>
  <dcterms:created xsi:type="dcterms:W3CDTF">2025-07-13T09:25:00Z</dcterms:created>
  <dcterms:modified xsi:type="dcterms:W3CDTF">2025-07-14T10:35:00Z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d9309f37-72bd-3417-9e63-32b27ec9aab5</vt:lpwstr>
  </property>
  <property fmtid="{D5CDD505-2E9C-101B-9397-08002B2CF9AE}" pid="4" name="Mendeley Citation Style_1">
    <vt:lpwstr>http://www.zotero.org/styles/apa</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http://www.zotero.org/styles/chicago-note-bibliography</vt:lpwstr>
  </property>
  <property fmtid="{D5CDD505-2E9C-101B-9397-08002B2CF9AE}" pid="12" name="Mendeley Recent Style Name 3_1">
    <vt:lpwstr>Chicago Manual of Style 17th edition (note)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http://www.zotero.org/styles/turabian-fullnote-bibliography</vt:lpwstr>
  </property>
  <property fmtid="{D5CDD505-2E9C-101B-9397-08002B2CF9AE}" pid="24" name="Mendeley Recent Style Name 9_1">
    <vt:lpwstr>Turabian 8th edition (full note)</vt:lpwstr>
  </property>
</Properties>
</file>