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1421" w14:textId="77777777" w:rsidR="007341CF" w:rsidRPr="007341CF" w:rsidRDefault="007341CF" w:rsidP="007341CF">
      <w:pPr>
        <w:pStyle w:val="Heading1"/>
        <w:spacing w:before="240" w:after="120" w:line="360" w:lineRule="auto"/>
        <w:jc w:val="center"/>
        <w:rPr>
          <w:rFonts w:ascii="Times New Roman" w:hAnsi="Times New Roman" w:cs="Times New Roman"/>
        </w:rPr>
      </w:pPr>
      <w:r w:rsidRPr="007341CF">
        <w:rPr>
          <w:rFonts w:ascii="Times New Roman" w:hAnsi="Times New Roman" w:cs="Times New Roman"/>
          <w:highlight w:val="yellow"/>
        </w:rPr>
        <w:t>Original Research Article</w:t>
      </w:r>
    </w:p>
    <w:p w14:paraId="21DF0F90" w14:textId="0FE960B2" w:rsidR="008528AE" w:rsidRDefault="00A56630" w:rsidP="00C668C0">
      <w:pPr>
        <w:spacing w:before="240" w:after="120" w:line="360" w:lineRule="auto"/>
        <w:jc w:val="center"/>
        <w:rPr>
          <w:rStyle w:val="Hyperlink"/>
          <w:rFonts w:ascii="Times New Roman" w:hAnsi="Times New Roman" w:cs="Times New Roman"/>
          <w:sz w:val="24"/>
          <w:szCs w:val="24"/>
          <w:lang w:val="en-US"/>
        </w:rPr>
      </w:pPr>
      <w:r w:rsidRPr="00A56630">
        <w:rPr>
          <w:rFonts w:ascii="Times New Roman" w:eastAsia="Calibri" w:hAnsi="Times New Roman" w:cs="Times New Roman"/>
          <w:b/>
          <w:bCs/>
          <w:sz w:val="28"/>
          <w:szCs w:val="28"/>
          <w:highlight w:val="yellow"/>
        </w:rPr>
        <w:t>Integrative Evaluation of Pearl Millet Restorer Lines for Blast Resistance Using Phenotypic Screening and Gene Specific SSR Markers</w:t>
      </w:r>
    </w:p>
    <w:p w14:paraId="2D7B52B9" w14:textId="46395E2F" w:rsidR="00A24ACA" w:rsidRPr="00C96F61" w:rsidRDefault="00A24ACA" w:rsidP="00C668C0">
      <w:pPr>
        <w:spacing w:before="240" w:after="120" w:line="360" w:lineRule="auto"/>
        <w:jc w:val="center"/>
        <w:rPr>
          <w:rStyle w:val="Hyperlink"/>
          <w:rFonts w:ascii="Times New Roman" w:hAnsi="Times New Roman" w:cs="Times New Roman"/>
          <w:sz w:val="24"/>
          <w:szCs w:val="24"/>
          <w:lang w:val="en-US"/>
        </w:rPr>
      </w:pPr>
      <w:r>
        <w:rPr>
          <w:rStyle w:val="Hyperlink"/>
          <w:rFonts w:ascii="Times New Roman" w:hAnsi="Times New Roman" w:cs="Times New Roman"/>
          <w:sz w:val="24"/>
          <w:szCs w:val="24"/>
          <w:lang w:val="en-US"/>
        </w:rPr>
        <w:t xml:space="preserve"> </w:t>
      </w:r>
    </w:p>
    <w:p w14:paraId="0526F615" w14:textId="77777777" w:rsidR="00902979" w:rsidRPr="00221467" w:rsidRDefault="00902979" w:rsidP="00221467">
      <w:pPr>
        <w:spacing w:before="240" w:after="120" w:line="360" w:lineRule="auto"/>
        <w:jc w:val="both"/>
        <w:rPr>
          <w:rFonts w:ascii="Times New Roman" w:hAnsi="Times New Roman" w:cs="Times New Roman"/>
          <w:b/>
          <w:sz w:val="28"/>
          <w:szCs w:val="28"/>
        </w:rPr>
      </w:pPr>
      <w:r w:rsidRPr="00221467">
        <w:rPr>
          <w:rFonts w:ascii="Times New Roman" w:hAnsi="Times New Roman" w:cs="Times New Roman"/>
          <w:b/>
          <w:sz w:val="28"/>
          <w:szCs w:val="28"/>
        </w:rPr>
        <w:t xml:space="preserve">Abstract </w:t>
      </w:r>
    </w:p>
    <w:p w14:paraId="42BB3AED" w14:textId="7DF551DF" w:rsidR="008C6BB1" w:rsidRPr="002F39AE" w:rsidRDefault="00902979" w:rsidP="00221467">
      <w:pPr>
        <w:spacing w:before="120" w:after="120" w:line="360" w:lineRule="auto"/>
        <w:jc w:val="both"/>
        <w:rPr>
          <w:rFonts w:ascii="Times New Roman" w:hAnsi="Times New Roman" w:cs="Times New Roman"/>
          <w:sz w:val="24"/>
        </w:rPr>
      </w:pPr>
      <w:r w:rsidRPr="00A56630">
        <w:rPr>
          <w:rFonts w:ascii="Times New Roman" w:hAnsi="Times New Roman" w:cs="Times New Roman"/>
          <w:sz w:val="24"/>
          <w:highlight w:val="yellow"/>
        </w:rPr>
        <w:t>Pearl millet (</w:t>
      </w:r>
      <w:r w:rsidRPr="00A56630">
        <w:rPr>
          <w:rFonts w:ascii="Times New Roman" w:hAnsi="Times New Roman" w:cs="Times New Roman"/>
          <w:i/>
          <w:sz w:val="24"/>
          <w:highlight w:val="yellow"/>
        </w:rPr>
        <w:t>Pennisetum glaucum</w:t>
      </w:r>
      <w:r w:rsidRPr="00A56630">
        <w:rPr>
          <w:rFonts w:ascii="Times New Roman" w:hAnsi="Times New Roman" w:cs="Times New Roman"/>
          <w:sz w:val="24"/>
          <w:highlight w:val="yellow"/>
        </w:rPr>
        <w:t xml:space="preserve"> (L.) R. Br.) is a climate-resilient cereal crop cultivated extensively in arid and semi-arid regions, particularly in India and sub-Saharan Africa. Despite its tolerance to harsh abiotic stresses, productivity is limited by</w:t>
      </w:r>
      <w:r w:rsidR="00A80FB4" w:rsidRPr="00A56630">
        <w:rPr>
          <w:rFonts w:ascii="Times New Roman" w:hAnsi="Times New Roman" w:cs="Times New Roman"/>
          <w:sz w:val="24"/>
          <w:highlight w:val="yellow"/>
        </w:rPr>
        <w:t xml:space="preserve"> an array of biotic</w:t>
      </w:r>
      <w:r w:rsidRPr="00A56630">
        <w:rPr>
          <w:rFonts w:ascii="Times New Roman" w:hAnsi="Times New Roman" w:cs="Times New Roman"/>
          <w:sz w:val="24"/>
          <w:highlight w:val="yellow"/>
        </w:rPr>
        <w:t xml:space="preserve"> factors, </w:t>
      </w:r>
      <w:r w:rsidR="00A80FB4" w:rsidRPr="00A56630">
        <w:rPr>
          <w:rFonts w:ascii="Times New Roman" w:hAnsi="Times New Roman" w:cs="Times New Roman"/>
          <w:sz w:val="24"/>
          <w:highlight w:val="yellow"/>
        </w:rPr>
        <w:t>especially</w:t>
      </w:r>
      <w:r w:rsidRPr="00A56630">
        <w:rPr>
          <w:rFonts w:ascii="Times New Roman" w:hAnsi="Times New Roman" w:cs="Times New Roman"/>
          <w:sz w:val="24"/>
          <w:highlight w:val="yellow"/>
        </w:rPr>
        <w:t xml:space="preserve"> blast disease caused by </w:t>
      </w:r>
      <w:r w:rsidRPr="00A56630">
        <w:rPr>
          <w:rFonts w:ascii="Times New Roman" w:hAnsi="Times New Roman" w:cs="Times New Roman"/>
          <w:i/>
          <w:sz w:val="24"/>
          <w:highlight w:val="yellow"/>
        </w:rPr>
        <w:t>Magnaporthe grisea</w:t>
      </w:r>
      <w:r w:rsidR="00A56630" w:rsidRPr="00A56630">
        <w:rPr>
          <w:rFonts w:ascii="Times New Roman" w:hAnsi="Times New Roman" w:cs="Times New Roman"/>
          <w:i/>
          <w:sz w:val="24"/>
          <w:highlight w:val="yellow"/>
        </w:rPr>
        <w:t>,</w:t>
      </w:r>
      <w:r w:rsidR="00A56630" w:rsidRPr="00A56630">
        <w:rPr>
          <w:rFonts w:ascii="Times New Roman" w:hAnsi="Times New Roman" w:cs="Times New Roman"/>
          <w:sz w:val="24"/>
          <w:highlight w:val="yellow"/>
        </w:rPr>
        <w:t xml:space="preserve"> leading</w:t>
      </w:r>
      <w:r w:rsidRPr="00A56630">
        <w:rPr>
          <w:rFonts w:ascii="Times New Roman" w:hAnsi="Times New Roman" w:cs="Times New Roman"/>
          <w:sz w:val="24"/>
          <w:highlight w:val="yellow"/>
        </w:rPr>
        <w:t xml:space="preserve"> to significant yield losses by affecting leaves, stems and panicles.</w:t>
      </w:r>
      <w:r w:rsidRPr="002F39AE">
        <w:rPr>
          <w:rFonts w:ascii="Times New Roman" w:hAnsi="Times New Roman" w:cs="Times New Roman"/>
          <w:sz w:val="24"/>
        </w:rPr>
        <w:t xml:space="preserve"> The present </w:t>
      </w:r>
      <w:r w:rsidR="00A80FB4">
        <w:rPr>
          <w:rFonts w:ascii="Times New Roman" w:hAnsi="Times New Roman" w:cs="Times New Roman"/>
          <w:sz w:val="24"/>
        </w:rPr>
        <w:t>investigation</w:t>
      </w:r>
      <w:r w:rsidRPr="002F39AE">
        <w:rPr>
          <w:rFonts w:ascii="Times New Roman" w:hAnsi="Times New Roman" w:cs="Times New Roman"/>
          <w:sz w:val="24"/>
        </w:rPr>
        <w:t xml:space="preserve"> aimed to evaluate 77 diverse pearl millet restorer lines for </w:t>
      </w:r>
      <w:r w:rsidR="00A80FB4">
        <w:rPr>
          <w:rFonts w:ascii="Times New Roman" w:hAnsi="Times New Roman" w:cs="Times New Roman"/>
          <w:sz w:val="24"/>
        </w:rPr>
        <w:t xml:space="preserve">putative </w:t>
      </w:r>
      <w:r w:rsidRPr="002F39AE">
        <w:rPr>
          <w:rFonts w:ascii="Times New Roman" w:hAnsi="Times New Roman" w:cs="Times New Roman"/>
          <w:sz w:val="24"/>
        </w:rPr>
        <w:t xml:space="preserve">resistance against blast disease </w:t>
      </w:r>
      <w:r w:rsidR="00A80FB4">
        <w:rPr>
          <w:rFonts w:ascii="Times New Roman" w:hAnsi="Times New Roman" w:cs="Times New Roman"/>
          <w:sz w:val="24"/>
        </w:rPr>
        <w:t xml:space="preserve">by screening under field conditions </w:t>
      </w:r>
      <w:r w:rsidRPr="002F39AE">
        <w:rPr>
          <w:rFonts w:ascii="Times New Roman" w:hAnsi="Times New Roman" w:cs="Times New Roman"/>
          <w:sz w:val="24"/>
        </w:rPr>
        <w:t xml:space="preserve">and </w:t>
      </w:r>
      <w:r w:rsidR="00AB6EE2">
        <w:rPr>
          <w:rFonts w:ascii="Times New Roman" w:hAnsi="Times New Roman" w:cs="Times New Roman"/>
          <w:sz w:val="24"/>
        </w:rPr>
        <w:t>employing</w:t>
      </w:r>
      <w:r w:rsidR="00AB6EE2" w:rsidRPr="002F39AE">
        <w:rPr>
          <w:rFonts w:ascii="Times New Roman" w:hAnsi="Times New Roman" w:cs="Times New Roman"/>
          <w:sz w:val="24"/>
        </w:rPr>
        <w:t xml:space="preserve"> </w:t>
      </w:r>
      <w:r w:rsidRPr="002F39AE">
        <w:rPr>
          <w:rFonts w:ascii="Times New Roman" w:hAnsi="Times New Roman" w:cs="Times New Roman"/>
          <w:sz w:val="24"/>
        </w:rPr>
        <w:t xml:space="preserve">gene-specific Simple Sequence Repeat (SSR) markers. The field experiment was conducted during the </w:t>
      </w:r>
      <w:r w:rsidRPr="002F39AE">
        <w:rPr>
          <w:rFonts w:ascii="Times New Roman" w:hAnsi="Times New Roman" w:cs="Times New Roman"/>
          <w:i/>
          <w:sz w:val="24"/>
        </w:rPr>
        <w:t>Kharif</w:t>
      </w:r>
      <w:r w:rsidR="00A80FB4">
        <w:rPr>
          <w:rFonts w:ascii="Times New Roman" w:hAnsi="Times New Roman" w:cs="Times New Roman"/>
          <w:sz w:val="24"/>
        </w:rPr>
        <w:t xml:space="preserve">, </w:t>
      </w:r>
      <w:r w:rsidRPr="002F39AE">
        <w:rPr>
          <w:rFonts w:ascii="Times New Roman" w:hAnsi="Times New Roman" w:cs="Times New Roman"/>
          <w:sz w:val="24"/>
        </w:rPr>
        <w:t xml:space="preserve">2023 at RVSKVV, Gwalior, </w:t>
      </w:r>
      <w:r w:rsidR="00A80FB4">
        <w:rPr>
          <w:rFonts w:ascii="Times New Roman" w:hAnsi="Times New Roman" w:cs="Times New Roman"/>
          <w:sz w:val="24"/>
        </w:rPr>
        <w:t>in</w:t>
      </w:r>
      <w:r w:rsidRPr="002F39AE">
        <w:rPr>
          <w:rFonts w:ascii="Times New Roman" w:hAnsi="Times New Roman" w:cs="Times New Roman"/>
          <w:sz w:val="24"/>
        </w:rPr>
        <w:t xml:space="preserve"> a randomized complete block design with two replications. Blast resistance screening was carried out under natural epiphytotic conditions, and disease severity was rated using a modified 1–9 scale. </w:t>
      </w:r>
      <w:r w:rsidR="00A56630" w:rsidRPr="00A56630">
        <w:rPr>
          <w:rFonts w:ascii="Times New Roman" w:hAnsi="Times New Roman" w:cs="Times New Roman"/>
          <w:sz w:val="24"/>
          <w:highlight w:val="yellow"/>
        </w:rPr>
        <w:t xml:space="preserve">Among the evaluated </w:t>
      </w:r>
      <w:r w:rsidR="00AB6EE2">
        <w:rPr>
          <w:rFonts w:ascii="Times New Roman" w:hAnsi="Times New Roman" w:cs="Times New Roman"/>
          <w:sz w:val="24"/>
          <w:highlight w:val="yellow"/>
        </w:rPr>
        <w:t xml:space="preserve">restorer </w:t>
      </w:r>
      <w:r w:rsidR="00A56630" w:rsidRPr="00A56630">
        <w:rPr>
          <w:rFonts w:ascii="Times New Roman" w:hAnsi="Times New Roman" w:cs="Times New Roman"/>
          <w:sz w:val="24"/>
          <w:highlight w:val="yellow"/>
        </w:rPr>
        <w:t xml:space="preserve">lines, </w:t>
      </w:r>
      <w:r w:rsidR="00A56630">
        <w:rPr>
          <w:rFonts w:ascii="Times New Roman" w:hAnsi="Times New Roman" w:cs="Times New Roman"/>
          <w:sz w:val="24"/>
          <w:highlight w:val="yellow"/>
        </w:rPr>
        <w:t>13 genotypes</w:t>
      </w:r>
      <w:r w:rsidR="00AB6EE2">
        <w:rPr>
          <w:rFonts w:ascii="Times New Roman" w:hAnsi="Times New Roman" w:cs="Times New Roman"/>
          <w:sz w:val="24"/>
          <w:highlight w:val="yellow"/>
        </w:rPr>
        <w:t xml:space="preserve"> found to</w:t>
      </w:r>
      <w:r w:rsidR="00A56630">
        <w:rPr>
          <w:rFonts w:ascii="Times New Roman" w:hAnsi="Times New Roman" w:cs="Times New Roman"/>
          <w:sz w:val="24"/>
          <w:highlight w:val="yellow"/>
        </w:rPr>
        <w:t xml:space="preserve"> be highly resistant, including R-20876, R-23774, R-24665</w:t>
      </w:r>
      <w:r w:rsidR="00A56630" w:rsidRPr="00A56630">
        <w:rPr>
          <w:rFonts w:ascii="Times New Roman" w:hAnsi="Times New Roman" w:cs="Times New Roman"/>
          <w:sz w:val="24"/>
          <w:highlight w:val="yellow"/>
        </w:rPr>
        <w:t xml:space="preserve"> and R-20212 owing to their negligible blast symptoms.</w:t>
      </w:r>
      <w:r w:rsidR="00A56630" w:rsidRPr="00A56630">
        <w:rPr>
          <w:rFonts w:ascii="Times New Roman" w:hAnsi="Times New Roman" w:cs="Times New Roman"/>
          <w:sz w:val="24"/>
        </w:rPr>
        <w:t xml:space="preserve"> </w:t>
      </w:r>
      <w:r w:rsidRPr="002F39AE">
        <w:rPr>
          <w:rFonts w:ascii="Times New Roman" w:hAnsi="Times New Roman" w:cs="Times New Roman"/>
          <w:sz w:val="24"/>
        </w:rPr>
        <w:t xml:space="preserve">Concurrently, molecular analysis </w:t>
      </w:r>
      <w:r w:rsidR="00A80FB4">
        <w:rPr>
          <w:rFonts w:ascii="Times New Roman" w:hAnsi="Times New Roman" w:cs="Times New Roman"/>
          <w:sz w:val="24"/>
        </w:rPr>
        <w:t xml:space="preserve">was performed </w:t>
      </w:r>
      <w:r w:rsidR="00AB6EE2">
        <w:rPr>
          <w:rFonts w:ascii="Times New Roman" w:hAnsi="Times New Roman" w:cs="Times New Roman"/>
          <w:sz w:val="24"/>
        </w:rPr>
        <w:t>employing</w:t>
      </w:r>
      <w:r w:rsidRPr="002F39AE">
        <w:rPr>
          <w:rFonts w:ascii="Times New Roman" w:hAnsi="Times New Roman" w:cs="Times New Roman"/>
          <w:sz w:val="24"/>
        </w:rPr>
        <w:t xml:space="preserve"> 20 SSR markers. Of the 77 genotypes, several exhibited high to moderate resistance, while others ranged </w:t>
      </w:r>
      <w:r w:rsidR="00AB6EE2">
        <w:rPr>
          <w:rFonts w:ascii="Times New Roman" w:hAnsi="Times New Roman" w:cs="Times New Roman"/>
          <w:sz w:val="24"/>
        </w:rPr>
        <w:t>between</w:t>
      </w:r>
      <w:r w:rsidRPr="002F39AE">
        <w:rPr>
          <w:rFonts w:ascii="Times New Roman" w:hAnsi="Times New Roman" w:cs="Times New Roman"/>
          <w:sz w:val="24"/>
        </w:rPr>
        <w:t xml:space="preserve"> susceptible to highly susceptible. Five SSR markers revealed moderate to high polymorphism, with major allele frequency ranging from 0.402 to 0.571, gene diversity from 0.557 to 0.701, and PIC values from 0.479 to 0.646. Marker Xpgird 49 was</w:t>
      </w:r>
      <w:r w:rsidR="00A80FB4">
        <w:rPr>
          <w:rFonts w:ascii="Times New Roman" w:hAnsi="Times New Roman" w:cs="Times New Roman"/>
          <w:sz w:val="24"/>
        </w:rPr>
        <w:t xml:space="preserve"> proved</w:t>
      </w:r>
      <w:r w:rsidRPr="002F39AE">
        <w:rPr>
          <w:rFonts w:ascii="Times New Roman" w:hAnsi="Times New Roman" w:cs="Times New Roman"/>
          <w:sz w:val="24"/>
        </w:rPr>
        <w:t xml:space="preserve"> the most informative. The study highlights the potential of integrating phenotypic and molecular screening to identify resistant and genetically diverse genotypes. These findings can be instrumental in breeding program</w:t>
      </w:r>
      <w:r w:rsidR="00A80FB4">
        <w:rPr>
          <w:rFonts w:ascii="Times New Roman" w:hAnsi="Times New Roman" w:cs="Times New Roman"/>
          <w:sz w:val="24"/>
        </w:rPr>
        <w:t>me</w:t>
      </w:r>
      <w:r w:rsidRPr="002F39AE">
        <w:rPr>
          <w:rFonts w:ascii="Times New Roman" w:hAnsi="Times New Roman" w:cs="Times New Roman"/>
          <w:sz w:val="24"/>
        </w:rPr>
        <w:t xml:space="preserve">s aimed </w:t>
      </w:r>
      <w:r w:rsidR="00A80FB4">
        <w:rPr>
          <w:rFonts w:ascii="Times New Roman" w:hAnsi="Times New Roman" w:cs="Times New Roman"/>
          <w:sz w:val="24"/>
        </w:rPr>
        <w:t>to</w:t>
      </w:r>
      <w:r w:rsidRPr="002F39AE">
        <w:rPr>
          <w:rFonts w:ascii="Times New Roman" w:hAnsi="Times New Roman" w:cs="Times New Roman"/>
          <w:sz w:val="24"/>
        </w:rPr>
        <w:t xml:space="preserve"> develop high-yielding, blast-resistant pearl millet cultivars for sustainable agriculture in disease-prone regions.</w:t>
      </w:r>
    </w:p>
    <w:p w14:paraId="6204869D" w14:textId="7B85F2C9" w:rsidR="008528AE" w:rsidRPr="00A56630" w:rsidRDefault="00902979" w:rsidP="00221467">
      <w:pPr>
        <w:spacing w:before="120" w:after="120" w:line="360" w:lineRule="auto"/>
        <w:jc w:val="both"/>
        <w:rPr>
          <w:rFonts w:ascii="Times New Roman" w:hAnsi="Times New Roman" w:cs="Times New Roman"/>
          <w:bCs/>
          <w:sz w:val="24"/>
        </w:rPr>
      </w:pPr>
      <w:r w:rsidRPr="00902979">
        <w:rPr>
          <w:rFonts w:ascii="Times New Roman" w:hAnsi="Times New Roman" w:cs="Times New Roman"/>
          <w:b/>
          <w:sz w:val="24"/>
        </w:rPr>
        <w:t xml:space="preserve">Keywords: </w:t>
      </w:r>
      <w:r w:rsidRPr="008C6BB1">
        <w:rPr>
          <w:rFonts w:ascii="Times New Roman" w:hAnsi="Times New Roman" w:cs="Times New Roman"/>
          <w:bCs/>
          <w:sz w:val="24"/>
        </w:rPr>
        <w:t xml:space="preserve">Blast disease, Disease resistance, Field screening, </w:t>
      </w:r>
      <w:r w:rsidRPr="008C6BB1">
        <w:rPr>
          <w:rFonts w:ascii="Times New Roman" w:hAnsi="Times New Roman" w:cs="Times New Roman"/>
          <w:bCs/>
          <w:i/>
          <w:sz w:val="24"/>
        </w:rPr>
        <w:t>Magnaporthe grisea</w:t>
      </w:r>
      <w:r w:rsidRPr="008C6BB1">
        <w:rPr>
          <w:rFonts w:ascii="Times New Roman" w:hAnsi="Times New Roman" w:cs="Times New Roman"/>
          <w:bCs/>
          <w:sz w:val="24"/>
        </w:rPr>
        <w:t>, Molecular characterization, Pearl millet (</w:t>
      </w:r>
      <w:r w:rsidRPr="008C6BB1">
        <w:rPr>
          <w:rFonts w:ascii="Times New Roman" w:hAnsi="Times New Roman" w:cs="Times New Roman"/>
          <w:bCs/>
          <w:i/>
          <w:sz w:val="24"/>
        </w:rPr>
        <w:t>Pennisetum glaucum</w:t>
      </w:r>
      <w:r w:rsidRPr="008C6BB1">
        <w:rPr>
          <w:rFonts w:ascii="Times New Roman" w:hAnsi="Times New Roman" w:cs="Times New Roman"/>
          <w:bCs/>
          <w:sz w:val="24"/>
        </w:rPr>
        <w:t>)</w:t>
      </w:r>
    </w:p>
    <w:p w14:paraId="0EADD880" w14:textId="77777777" w:rsidR="00A31F36" w:rsidRPr="00221467" w:rsidRDefault="00A31F36" w:rsidP="00221467">
      <w:pPr>
        <w:pStyle w:val="ListParagraph"/>
        <w:numPr>
          <w:ilvl w:val="0"/>
          <w:numId w:val="10"/>
        </w:numPr>
        <w:spacing w:before="240" w:after="120" w:line="360" w:lineRule="auto"/>
        <w:ind w:left="357" w:hanging="357"/>
        <w:jc w:val="both"/>
        <w:rPr>
          <w:rFonts w:ascii="Times New Roman" w:hAnsi="Times New Roman" w:cs="Times New Roman"/>
          <w:sz w:val="28"/>
          <w:szCs w:val="28"/>
        </w:rPr>
      </w:pPr>
      <w:r w:rsidRPr="00221467">
        <w:rPr>
          <w:rFonts w:ascii="Times New Roman" w:hAnsi="Times New Roman" w:cs="Times New Roman"/>
          <w:b/>
          <w:bCs/>
          <w:spacing w:val="-2"/>
          <w:sz w:val="28"/>
          <w:szCs w:val="28"/>
        </w:rPr>
        <w:lastRenderedPageBreak/>
        <w:t>Introduction</w:t>
      </w:r>
    </w:p>
    <w:p w14:paraId="3E576178" w14:textId="6E951D79" w:rsidR="00902979" w:rsidRPr="00A306D3" w:rsidRDefault="00902979" w:rsidP="00221467">
      <w:pPr>
        <w:spacing w:before="120" w:after="120" w:line="360" w:lineRule="auto"/>
        <w:jc w:val="both"/>
        <w:rPr>
          <w:rFonts w:ascii="Times New Roman" w:hAnsi="Times New Roman" w:cs="Times New Roman"/>
          <w:sz w:val="24"/>
        </w:rPr>
      </w:pPr>
      <w:r w:rsidRPr="00A306D3">
        <w:rPr>
          <w:rFonts w:ascii="Times New Roman" w:hAnsi="Times New Roman" w:cs="Times New Roman"/>
          <w:i/>
          <w:sz w:val="24"/>
        </w:rPr>
        <w:t xml:space="preserve">Pennisetum glaucum </w:t>
      </w:r>
      <w:r w:rsidRPr="00DA668B">
        <w:rPr>
          <w:rFonts w:ascii="Times New Roman" w:hAnsi="Times New Roman" w:cs="Times New Roman"/>
          <w:sz w:val="24"/>
        </w:rPr>
        <w:t>(L.) R. Br.</w:t>
      </w:r>
      <w:r w:rsidRPr="00A306D3">
        <w:rPr>
          <w:rFonts w:ascii="Times New Roman" w:hAnsi="Times New Roman" w:cs="Times New Roman"/>
          <w:sz w:val="24"/>
        </w:rPr>
        <w:t xml:space="preserve"> is a crucial staple cereal crop cultivated predominantly in the semi-arid and arid regions of the world</w:t>
      </w:r>
      <w:r>
        <w:rPr>
          <w:rFonts w:ascii="Times New Roman" w:hAnsi="Times New Roman" w:cs="Times New Roman"/>
          <w:sz w:val="24"/>
        </w:rPr>
        <w:t xml:space="preserve"> (Satyavathi et al., 2021; </w:t>
      </w:r>
      <w:r w:rsidR="00CC2E11">
        <w:rPr>
          <w:rFonts w:ascii="Times New Roman" w:hAnsi="Times New Roman" w:cs="Times New Roman"/>
          <w:sz w:val="24"/>
        </w:rPr>
        <w:t xml:space="preserve">Reddy et al., 2021; </w:t>
      </w:r>
      <w:r>
        <w:rPr>
          <w:rFonts w:ascii="Times New Roman" w:hAnsi="Times New Roman" w:cs="Times New Roman"/>
          <w:sz w:val="24"/>
        </w:rPr>
        <w:t>Makwana et al., 2022)</w:t>
      </w:r>
      <w:r w:rsidRPr="00A306D3">
        <w:rPr>
          <w:rFonts w:ascii="Times New Roman" w:hAnsi="Times New Roman" w:cs="Times New Roman"/>
          <w:sz w:val="24"/>
        </w:rPr>
        <w:t>. Belonging to the Poaceae family, it is a hardy, climate-resilient species capable of withstanding extreme environmental conditions such as high temperatures, prolonged drought, and nutrient-deficient soils</w:t>
      </w:r>
      <w:r>
        <w:rPr>
          <w:rFonts w:ascii="Times New Roman" w:hAnsi="Times New Roman" w:cs="Times New Roman"/>
          <w:sz w:val="24"/>
        </w:rPr>
        <w:t xml:space="preserve"> (</w:t>
      </w:r>
      <w:r w:rsidR="00A80FB4">
        <w:rPr>
          <w:rFonts w:ascii="Times New Roman" w:hAnsi="Times New Roman" w:cs="Times New Roman"/>
          <w:sz w:val="24"/>
        </w:rPr>
        <w:t>Choudhary et al., 2021a; Rajpoot et al.,</w:t>
      </w:r>
      <w:r w:rsidR="00CC2E11">
        <w:rPr>
          <w:rFonts w:ascii="Times New Roman" w:hAnsi="Times New Roman" w:cs="Times New Roman"/>
          <w:sz w:val="24"/>
        </w:rPr>
        <w:t>2023a;</w:t>
      </w:r>
      <w:r w:rsidR="00A80FB4">
        <w:rPr>
          <w:rFonts w:ascii="Times New Roman" w:hAnsi="Times New Roman" w:cs="Times New Roman"/>
          <w:sz w:val="24"/>
        </w:rPr>
        <w:t xml:space="preserve"> Karthik</w:t>
      </w:r>
      <w:r>
        <w:rPr>
          <w:rFonts w:ascii="Times New Roman" w:hAnsi="Times New Roman" w:cs="Times New Roman"/>
          <w:sz w:val="24"/>
        </w:rPr>
        <w:t xml:space="preserve"> et al., 2024</w:t>
      </w:r>
      <w:r w:rsidR="00CC2E11">
        <w:rPr>
          <w:rFonts w:ascii="Times New Roman" w:hAnsi="Times New Roman" w:cs="Times New Roman"/>
          <w:sz w:val="24"/>
        </w:rPr>
        <w:t>;</w:t>
      </w:r>
      <w:r w:rsidR="007341CF">
        <w:rPr>
          <w:rFonts w:ascii="Times New Roman" w:hAnsi="Times New Roman" w:cs="Times New Roman"/>
          <w:sz w:val="24"/>
        </w:rPr>
        <w:t xml:space="preserve"> </w:t>
      </w:r>
      <w:r w:rsidR="00CC2E11" w:rsidRPr="002754E9">
        <w:rPr>
          <w:rFonts w:ascii="Times New Roman" w:hAnsi="Times New Roman" w:cs="Times New Roman"/>
          <w:sz w:val="24"/>
          <w:szCs w:val="24"/>
          <w:shd w:val="clear" w:color="auto" w:fill="FFFFFF"/>
        </w:rPr>
        <w:t>Khandelwal</w:t>
      </w:r>
      <w:r w:rsidR="00CC2E11">
        <w:rPr>
          <w:rFonts w:ascii="Times New Roman" w:hAnsi="Times New Roman" w:cs="Times New Roman"/>
          <w:sz w:val="24"/>
          <w:szCs w:val="24"/>
          <w:shd w:val="clear" w:color="auto" w:fill="FFFFFF"/>
        </w:rPr>
        <w:t xml:space="preserve"> et al., 2024</w:t>
      </w:r>
      <w:r w:rsidR="00CC2E11">
        <w:rPr>
          <w:rFonts w:ascii="Times New Roman" w:hAnsi="Times New Roman" w:cs="Times New Roman"/>
          <w:sz w:val="24"/>
        </w:rPr>
        <w:t>)</w:t>
      </w:r>
      <w:r w:rsidRPr="00A306D3">
        <w:rPr>
          <w:rFonts w:ascii="Times New Roman" w:hAnsi="Times New Roman" w:cs="Times New Roman"/>
          <w:sz w:val="24"/>
        </w:rPr>
        <w:t xml:space="preserve">. </w:t>
      </w:r>
      <w:r w:rsidRPr="00665223">
        <w:rPr>
          <w:rFonts w:ascii="Times New Roman" w:hAnsi="Times New Roman" w:cs="Times New Roman"/>
          <w:sz w:val="24"/>
        </w:rPr>
        <w:t xml:space="preserve">It is rich in carbohydrates and serves as an excellent source of energy and resistant starch (RS), containing approximately 92.5% dry matter. The composition includes 5–7% fat, 2.1% ash, and 1.2 g dietary </w:t>
      </w:r>
      <w:r w:rsidR="008C6BB1" w:rsidRPr="00665223">
        <w:rPr>
          <w:rFonts w:ascii="Times New Roman" w:hAnsi="Times New Roman" w:cs="Times New Roman"/>
          <w:sz w:val="24"/>
        </w:rPr>
        <w:t>fibre</w:t>
      </w:r>
      <w:r w:rsidRPr="00665223">
        <w:rPr>
          <w:rFonts w:ascii="Times New Roman" w:hAnsi="Times New Roman" w:cs="Times New Roman"/>
          <w:sz w:val="24"/>
        </w:rPr>
        <w:t xml:space="preserve"> per 100 g. It also provides 13.6% crude protein, with quality protein ranging between 8–19%, and a significant starch content of 63.2%. Additionally, it exhibits α-amylase activity and is a valuable source of essential minerals (2.3 mg/100 g), vitamins A and B, and antioxidant compounds such as coumaric acid and ferulic acid (Goswami et al., 2020</w:t>
      </w:r>
      <w:r w:rsidR="00CC2E11">
        <w:rPr>
          <w:rFonts w:ascii="Times New Roman" w:hAnsi="Times New Roman" w:cs="Times New Roman"/>
          <w:sz w:val="24"/>
        </w:rPr>
        <w:t>; Rajpoot et al., 2023b; Patel et al., 2023a</w:t>
      </w:r>
      <w:r w:rsidRPr="00665223">
        <w:rPr>
          <w:rFonts w:ascii="Times New Roman" w:hAnsi="Times New Roman" w:cs="Times New Roman"/>
          <w:sz w:val="24"/>
        </w:rPr>
        <w:t>).</w:t>
      </w:r>
      <w:r w:rsidR="00265927">
        <w:rPr>
          <w:rFonts w:ascii="Times New Roman" w:hAnsi="Times New Roman" w:cs="Times New Roman"/>
          <w:sz w:val="24"/>
        </w:rPr>
        <w:t xml:space="preserve"> </w:t>
      </w:r>
      <w:r w:rsidRPr="00A306D3">
        <w:rPr>
          <w:rFonts w:ascii="Times New Roman" w:hAnsi="Times New Roman" w:cs="Times New Roman"/>
          <w:sz w:val="24"/>
        </w:rPr>
        <w:t>Due to these unique adaptive traits, pearl millet plays a vital role in the food, fodder, and nutritional security of millions of smallholder farmers, especially in South Asia and sub-Saharan Africa</w:t>
      </w:r>
      <w:r>
        <w:rPr>
          <w:rFonts w:ascii="Times New Roman" w:hAnsi="Times New Roman" w:cs="Times New Roman"/>
          <w:sz w:val="24"/>
        </w:rPr>
        <w:t xml:space="preserve"> (</w:t>
      </w:r>
      <w:r w:rsidR="00CC2E11">
        <w:rPr>
          <w:rFonts w:ascii="Times New Roman" w:hAnsi="Times New Roman" w:cs="Times New Roman"/>
          <w:sz w:val="24"/>
        </w:rPr>
        <w:t xml:space="preserve">Rajpoot et al., 2024; </w:t>
      </w:r>
      <w:r>
        <w:rPr>
          <w:rFonts w:ascii="Times New Roman" w:hAnsi="Times New Roman" w:cs="Times New Roman"/>
          <w:sz w:val="24"/>
        </w:rPr>
        <w:t>Riahi et al., 2024; Ramashia et al., 2025)</w:t>
      </w:r>
      <w:r w:rsidRPr="00A306D3">
        <w:rPr>
          <w:rFonts w:ascii="Times New Roman" w:hAnsi="Times New Roman" w:cs="Times New Roman"/>
          <w:sz w:val="24"/>
        </w:rPr>
        <w:t xml:space="preserve">. In India, it is predominantly cultivated during the </w:t>
      </w:r>
      <w:r w:rsidRPr="00A306D3">
        <w:rPr>
          <w:rFonts w:ascii="Times New Roman" w:hAnsi="Times New Roman" w:cs="Times New Roman"/>
          <w:i/>
          <w:sz w:val="24"/>
        </w:rPr>
        <w:t>Kharif</w:t>
      </w:r>
      <w:r w:rsidRPr="00A306D3">
        <w:rPr>
          <w:rFonts w:ascii="Times New Roman" w:hAnsi="Times New Roman" w:cs="Times New Roman"/>
          <w:sz w:val="24"/>
        </w:rPr>
        <w:t xml:space="preserve"> season in states like Rajasthan, Gujarat, Maharashtra, Haryana, and Uttar Pradesh, often under rainfed conditions</w:t>
      </w:r>
      <w:r>
        <w:rPr>
          <w:rFonts w:ascii="Times New Roman" w:hAnsi="Times New Roman" w:cs="Times New Roman"/>
          <w:sz w:val="24"/>
        </w:rPr>
        <w:t xml:space="preserve"> (Yadav &amp; Rai, 2013; </w:t>
      </w:r>
      <w:r w:rsidR="00CC2E11">
        <w:rPr>
          <w:rFonts w:ascii="Times New Roman" w:hAnsi="Times New Roman" w:cs="Times New Roman"/>
          <w:sz w:val="24"/>
        </w:rPr>
        <w:t xml:space="preserve">Patel et al., 2023b; </w:t>
      </w:r>
      <w:r>
        <w:rPr>
          <w:rFonts w:ascii="Times New Roman" w:hAnsi="Times New Roman" w:cs="Times New Roman"/>
          <w:sz w:val="24"/>
        </w:rPr>
        <w:t>Garin et al., 2023)</w:t>
      </w:r>
      <w:r w:rsidRPr="00A306D3">
        <w:rPr>
          <w:rFonts w:ascii="Times New Roman" w:hAnsi="Times New Roman" w:cs="Times New Roman"/>
          <w:sz w:val="24"/>
        </w:rPr>
        <w:t>.</w:t>
      </w:r>
    </w:p>
    <w:p w14:paraId="3943108F" w14:textId="77777777" w:rsidR="00902979" w:rsidRDefault="00902979" w:rsidP="00221467">
      <w:pPr>
        <w:spacing w:before="120" w:after="120" w:line="360" w:lineRule="auto"/>
        <w:ind w:firstLine="720"/>
        <w:jc w:val="both"/>
        <w:rPr>
          <w:rFonts w:ascii="Times New Roman" w:hAnsi="Times New Roman" w:cs="Times New Roman"/>
          <w:sz w:val="24"/>
        </w:rPr>
      </w:pPr>
      <w:r w:rsidRPr="00A306D3">
        <w:rPr>
          <w:rFonts w:ascii="Times New Roman" w:hAnsi="Times New Roman" w:cs="Times New Roman"/>
          <w:sz w:val="24"/>
        </w:rPr>
        <w:t xml:space="preserve">Despite its remarkable tolerance to abiotic stresses, the productivity of pearl millet remains suboptimal, largely due to biotic constraints, among which blast disease caused by the fungal pathogen </w:t>
      </w:r>
      <w:r w:rsidRPr="00A306D3">
        <w:rPr>
          <w:rFonts w:ascii="Times New Roman" w:hAnsi="Times New Roman" w:cs="Times New Roman"/>
          <w:i/>
          <w:sz w:val="24"/>
        </w:rPr>
        <w:t>Magnaporthe grisea</w:t>
      </w:r>
      <w:r w:rsidRPr="00A306D3">
        <w:rPr>
          <w:rFonts w:ascii="Times New Roman" w:hAnsi="Times New Roman" w:cs="Times New Roman"/>
          <w:sz w:val="24"/>
        </w:rPr>
        <w:t xml:space="preserve"> (syn. </w:t>
      </w:r>
      <w:r w:rsidRPr="00A306D3">
        <w:rPr>
          <w:rFonts w:ascii="Times New Roman" w:hAnsi="Times New Roman" w:cs="Times New Roman"/>
          <w:i/>
          <w:sz w:val="24"/>
        </w:rPr>
        <w:t>Pyricularia grisea</w:t>
      </w:r>
      <w:r w:rsidRPr="00A306D3">
        <w:rPr>
          <w:rFonts w:ascii="Times New Roman" w:hAnsi="Times New Roman" w:cs="Times New Roman"/>
          <w:sz w:val="24"/>
        </w:rPr>
        <w:t>) is of significant concern</w:t>
      </w:r>
      <w:r>
        <w:rPr>
          <w:rFonts w:ascii="Times New Roman" w:hAnsi="Times New Roman" w:cs="Times New Roman"/>
          <w:sz w:val="24"/>
        </w:rPr>
        <w:t xml:space="preserve"> (</w:t>
      </w:r>
      <w:r w:rsidR="00CC2E11">
        <w:rPr>
          <w:rFonts w:ascii="Times New Roman" w:hAnsi="Times New Roman" w:cs="Times New Roman"/>
          <w:sz w:val="24"/>
        </w:rPr>
        <w:t xml:space="preserve">Parihar et al., 2022; Parmar et al., 2022; Makwana et al., 2023; </w:t>
      </w:r>
      <w:r w:rsidRPr="00D75A21">
        <w:rPr>
          <w:rFonts w:ascii="Times New Roman" w:eastAsia="Times New Roman" w:hAnsi="Times New Roman" w:cs="Times New Roman"/>
          <w:sz w:val="24"/>
          <w:szCs w:val="24"/>
          <w:lang w:eastAsia="en-IN"/>
        </w:rPr>
        <w:t>Poonacha</w:t>
      </w:r>
      <w:r>
        <w:rPr>
          <w:rFonts w:ascii="Times New Roman" w:hAnsi="Times New Roman" w:cs="Times New Roman"/>
          <w:sz w:val="24"/>
        </w:rPr>
        <w:t xml:space="preserve"> et al., 2023)</w:t>
      </w:r>
      <w:r w:rsidRPr="00A306D3">
        <w:rPr>
          <w:rFonts w:ascii="Times New Roman" w:hAnsi="Times New Roman" w:cs="Times New Roman"/>
          <w:sz w:val="24"/>
        </w:rPr>
        <w:t xml:space="preserve">.This pathogen has emerged as one of the most destructive foliar diseases in pearl millet, especially under warm and humid conditions that </w:t>
      </w:r>
      <w:r w:rsidR="008C6BB1" w:rsidRPr="00A306D3">
        <w:rPr>
          <w:rFonts w:ascii="Times New Roman" w:hAnsi="Times New Roman" w:cs="Times New Roman"/>
          <w:sz w:val="24"/>
        </w:rPr>
        <w:t>favour</w:t>
      </w:r>
      <w:r w:rsidRPr="00A306D3">
        <w:rPr>
          <w:rFonts w:ascii="Times New Roman" w:hAnsi="Times New Roman" w:cs="Times New Roman"/>
          <w:sz w:val="24"/>
        </w:rPr>
        <w:t xml:space="preserve"> its proliferation</w:t>
      </w:r>
      <w:r>
        <w:rPr>
          <w:rFonts w:ascii="Times New Roman" w:hAnsi="Times New Roman" w:cs="Times New Roman"/>
          <w:sz w:val="24"/>
        </w:rPr>
        <w:t xml:space="preserve"> (Adhikari et al., 2020; Singh et al., 2021a</w:t>
      </w:r>
      <w:r w:rsidR="00CC2E11">
        <w:rPr>
          <w:rFonts w:ascii="Times New Roman" w:hAnsi="Times New Roman" w:cs="Times New Roman"/>
          <w:sz w:val="24"/>
        </w:rPr>
        <w:t>; Parihar et al., 2023; Patel et al., 2024a</w:t>
      </w:r>
      <w:r>
        <w:rPr>
          <w:rFonts w:ascii="Times New Roman" w:hAnsi="Times New Roman" w:cs="Times New Roman"/>
          <w:sz w:val="24"/>
        </w:rPr>
        <w:t>)</w:t>
      </w:r>
      <w:r w:rsidRPr="00A306D3">
        <w:rPr>
          <w:rFonts w:ascii="Times New Roman" w:hAnsi="Times New Roman" w:cs="Times New Roman"/>
          <w:sz w:val="24"/>
        </w:rPr>
        <w:t>. The disease primarily affects the leaves but can also extend to nodes, stems, and panicles, severely impacting plant health and grain yield</w:t>
      </w:r>
      <w:r w:rsidR="00265927">
        <w:rPr>
          <w:rFonts w:ascii="Times New Roman" w:hAnsi="Times New Roman" w:cs="Times New Roman"/>
          <w:sz w:val="24"/>
        </w:rPr>
        <w:t xml:space="preserve"> </w:t>
      </w:r>
      <w:r w:rsidR="002A648B">
        <w:rPr>
          <w:rFonts w:ascii="Times New Roman" w:hAnsi="Times New Roman" w:cs="Times New Roman"/>
          <w:sz w:val="24"/>
        </w:rPr>
        <w:t>(Patel</w:t>
      </w:r>
      <w:r w:rsidR="00CC2E11">
        <w:rPr>
          <w:rFonts w:ascii="Times New Roman" w:hAnsi="Times New Roman" w:cs="Times New Roman"/>
          <w:sz w:val="24"/>
        </w:rPr>
        <w:t xml:space="preserve"> et al., 2024b; </w:t>
      </w:r>
      <w:r>
        <w:rPr>
          <w:rFonts w:ascii="Times New Roman" w:hAnsi="Times New Roman" w:cs="Times New Roman"/>
          <w:sz w:val="24"/>
        </w:rPr>
        <w:t>Andargie et al., 2025)</w:t>
      </w:r>
      <w:r w:rsidRPr="00A306D3">
        <w:rPr>
          <w:rFonts w:ascii="Times New Roman" w:hAnsi="Times New Roman" w:cs="Times New Roman"/>
          <w:sz w:val="24"/>
        </w:rPr>
        <w:t xml:space="preserve">. Initial symptoms appear as small, water-soaked lesions that rapidly enlarge into elliptical or spindle-shaped spots with greyish </w:t>
      </w:r>
      <w:r w:rsidR="008C6BB1" w:rsidRPr="00A306D3">
        <w:rPr>
          <w:rFonts w:ascii="Times New Roman" w:hAnsi="Times New Roman" w:cs="Times New Roman"/>
          <w:sz w:val="24"/>
        </w:rPr>
        <w:t>centres</w:t>
      </w:r>
      <w:r w:rsidRPr="00A306D3">
        <w:rPr>
          <w:rFonts w:ascii="Times New Roman" w:hAnsi="Times New Roman" w:cs="Times New Roman"/>
          <w:sz w:val="24"/>
        </w:rPr>
        <w:t xml:space="preserve"> and brown margins</w:t>
      </w:r>
      <w:r>
        <w:rPr>
          <w:rFonts w:ascii="Times New Roman" w:hAnsi="Times New Roman" w:cs="Times New Roman"/>
          <w:sz w:val="24"/>
        </w:rPr>
        <w:t xml:space="preserve"> (Singh et al., 2021)</w:t>
      </w:r>
      <w:r w:rsidRPr="00A306D3">
        <w:rPr>
          <w:rFonts w:ascii="Times New Roman" w:hAnsi="Times New Roman" w:cs="Times New Roman"/>
          <w:sz w:val="24"/>
        </w:rPr>
        <w:t xml:space="preserve">. As the infection progresses, these lesions coalesce, causing extensive leaf blighting, premature senescence, and in severe cases, complete </w:t>
      </w:r>
      <w:r w:rsidRPr="00A306D3">
        <w:rPr>
          <w:rFonts w:ascii="Times New Roman" w:hAnsi="Times New Roman" w:cs="Times New Roman"/>
          <w:sz w:val="24"/>
        </w:rPr>
        <w:lastRenderedPageBreak/>
        <w:t>defoliation. When the pathogen infects the panicle, it leads to peduncle lesions, reduced grain filling, and in ex</w:t>
      </w:r>
      <w:r>
        <w:rPr>
          <w:rFonts w:ascii="Times New Roman" w:hAnsi="Times New Roman" w:cs="Times New Roman"/>
          <w:sz w:val="24"/>
        </w:rPr>
        <w:t xml:space="preserve">treme cases, panicle sterility (Islam et al., 2020; Verma et al., 2021; Poonacha et al., 2023). </w:t>
      </w:r>
      <w:r w:rsidRPr="00A306D3">
        <w:rPr>
          <w:rFonts w:ascii="Times New Roman" w:hAnsi="Times New Roman" w:cs="Times New Roman"/>
          <w:sz w:val="24"/>
        </w:rPr>
        <w:t>Such widespread tissue damage disrupts photosynthesis and nutrient translocation, culminating in significant yield losses. The rapid evolution of the pathogen and limited availability of resistant cultivars pose chal</w:t>
      </w:r>
      <w:r>
        <w:rPr>
          <w:rFonts w:ascii="Times New Roman" w:hAnsi="Times New Roman" w:cs="Times New Roman"/>
          <w:sz w:val="24"/>
        </w:rPr>
        <w:t>lenges for disease management (</w:t>
      </w:r>
      <w:r w:rsidR="002A648B">
        <w:rPr>
          <w:rFonts w:ascii="Times New Roman" w:eastAsia="Times New Roman" w:hAnsi="Times New Roman" w:cs="Times New Roman"/>
          <w:sz w:val="24"/>
          <w:szCs w:val="24"/>
          <w:lang w:eastAsia="en-IN"/>
        </w:rPr>
        <w:t>Chauhan et al., 2023;</w:t>
      </w:r>
      <w:r w:rsidR="002A648B" w:rsidRPr="005F4B64">
        <w:rPr>
          <w:rFonts w:ascii="Times New Roman" w:eastAsia="Times New Roman" w:hAnsi="Times New Roman" w:cs="Times New Roman"/>
          <w:sz w:val="24"/>
          <w:szCs w:val="24"/>
          <w:lang w:eastAsia="en-IN"/>
        </w:rPr>
        <w:t xml:space="preserve"> McLaughlin</w:t>
      </w:r>
      <w:r>
        <w:rPr>
          <w:rFonts w:ascii="Times New Roman" w:eastAsia="Times New Roman" w:hAnsi="Times New Roman" w:cs="Times New Roman"/>
          <w:sz w:val="24"/>
          <w:szCs w:val="24"/>
          <w:lang w:eastAsia="en-IN"/>
        </w:rPr>
        <w:t xml:space="preserve"> et al., 2023)</w:t>
      </w:r>
      <w:r>
        <w:rPr>
          <w:rFonts w:ascii="Times New Roman" w:hAnsi="Times New Roman" w:cs="Times New Roman"/>
          <w:sz w:val="24"/>
        </w:rPr>
        <w:t xml:space="preserve">. </w:t>
      </w:r>
    </w:p>
    <w:p w14:paraId="5CDF213A" w14:textId="38DF5F74" w:rsidR="00902979" w:rsidRPr="00A306D3" w:rsidRDefault="00902979" w:rsidP="008A429C">
      <w:pPr>
        <w:spacing w:before="120" w:after="120" w:line="360" w:lineRule="auto"/>
        <w:ind w:firstLine="720"/>
        <w:jc w:val="both"/>
        <w:rPr>
          <w:rFonts w:ascii="Times New Roman" w:hAnsi="Times New Roman" w:cs="Times New Roman"/>
          <w:sz w:val="24"/>
        </w:rPr>
      </w:pPr>
      <w:r w:rsidRPr="00A306D3">
        <w:rPr>
          <w:rFonts w:ascii="Times New Roman" w:hAnsi="Times New Roman" w:cs="Times New Roman"/>
          <w:sz w:val="24"/>
        </w:rPr>
        <w:t>To address these challenges, the identification and deployment of blast-resistant genotypes are crucial for sustainable crop production</w:t>
      </w:r>
      <w:r>
        <w:rPr>
          <w:rFonts w:ascii="Times New Roman" w:hAnsi="Times New Roman" w:cs="Times New Roman"/>
          <w:sz w:val="24"/>
        </w:rPr>
        <w:t xml:space="preserve"> (Mbinda et al., 2021; Ojha et al., 2024)</w:t>
      </w:r>
      <w:r w:rsidRPr="00A306D3">
        <w:rPr>
          <w:rFonts w:ascii="Times New Roman" w:hAnsi="Times New Roman" w:cs="Times New Roman"/>
          <w:sz w:val="24"/>
        </w:rPr>
        <w:t>. Molecular markers, particularly Simple Sequence Repeats (SSRs), provide a powerful tool for assessing genetic diversity and identifying resistance sources within germplasm collections</w:t>
      </w:r>
      <w:r w:rsidR="002A648B">
        <w:rPr>
          <w:rFonts w:ascii="Times New Roman" w:hAnsi="Times New Roman" w:cs="Times New Roman"/>
          <w:sz w:val="24"/>
        </w:rPr>
        <w:t xml:space="preserve"> (</w:t>
      </w:r>
      <w:r w:rsidR="004B480F">
        <w:rPr>
          <w:rFonts w:ascii="Times New Roman" w:hAnsi="Times New Roman" w:cs="Times New Roman"/>
          <w:sz w:val="24"/>
        </w:rPr>
        <w:t xml:space="preserve">Mishra et al., 2020; </w:t>
      </w:r>
      <w:r w:rsidR="002A648B">
        <w:rPr>
          <w:rFonts w:ascii="Times New Roman" w:hAnsi="Times New Roman" w:cs="Times New Roman"/>
          <w:sz w:val="24"/>
        </w:rPr>
        <w:t xml:space="preserve">Rajpoot et al., 2020; Shyam et al., 2020; </w:t>
      </w:r>
      <w:r w:rsidR="002A648B" w:rsidRPr="002754E9">
        <w:rPr>
          <w:rFonts w:ascii="Times New Roman" w:hAnsi="Times New Roman" w:cs="Times New Roman"/>
          <w:sz w:val="24"/>
          <w:szCs w:val="24"/>
        </w:rPr>
        <w:t>Upadhyay</w:t>
      </w:r>
      <w:r w:rsidR="002A648B">
        <w:rPr>
          <w:rFonts w:ascii="Times New Roman" w:hAnsi="Times New Roman" w:cs="Times New Roman"/>
          <w:sz w:val="24"/>
          <w:szCs w:val="24"/>
        </w:rPr>
        <w:t xml:space="preserve">et al., 2020; </w:t>
      </w:r>
      <w:r w:rsidR="002A648B" w:rsidRPr="002754E9">
        <w:rPr>
          <w:rFonts w:ascii="Times New Roman" w:hAnsi="Times New Roman" w:cs="Times New Roman"/>
          <w:sz w:val="24"/>
          <w:szCs w:val="24"/>
        </w:rPr>
        <w:t>Choudhary</w:t>
      </w:r>
      <w:r w:rsidR="002A648B">
        <w:rPr>
          <w:rFonts w:ascii="Times New Roman" w:hAnsi="Times New Roman" w:cs="Times New Roman"/>
          <w:sz w:val="24"/>
          <w:szCs w:val="24"/>
        </w:rPr>
        <w:t xml:space="preserve"> et al., 2021b; Mishra et al., 2021)</w:t>
      </w:r>
      <w:r w:rsidRPr="00A306D3">
        <w:rPr>
          <w:rFonts w:ascii="Times New Roman" w:hAnsi="Times New Roman" w:cs="Times New Roman"/>
          <w:sz w:val="24"/>
        </w:rPr>
        <w:t>. SSR markers offer high polymo</w:t>
      </w:r>
      <w:r>
        <w:rPr>
          <w:rFonts w:ascii="Times New Roman" w:hAnsi="Times New Roman" w:cs="Times New Roman"/>
          <w:sz w:val="24"/>
        </w:rPr>
        <w:t>rphism, co-dominant inheritance</w:t>
      </w:r>
      <w:r w:rsidRPr="00A306D3">
        <w:rPr>
          <w:rFonts w:ascii="Times New Roman" w:hAnsi="Times New Roman" w:cs="Times New Roman"/>
          <w:sz w:val="24"/>
        </w:rPr>
        <w:t xml:space="preserve"> and genome-wide distribution, making them suitable for genetic diversity studies and marker-assisted selection in breeding program</w:t>
      </w:r>
      <w:r w:rsidR="000729CD">
        <w:rPr>
          <w:rFonts w:ascii="Times New Roman" w:hAnsi="Times New Roman" w:cs="Times New Roman"/>
          <w:sz w:val="24"/>
        </w:rPr>
        <w:t>mes</w:t>
      </w:r>
      <w:r>
        <w:rPr>
          <w:rFonts w:ascii="Times New Roman" w:hAnsi="Times New Roman" w:cs="Times New Roman"/>
          <w:sz w:val="24"/>
        </w:rPr>
        <w:t xml:space="preserve"> (Nadeem et al., 2018; Bhattarai et al., 2021; Liu et al., 2025)</w:t>
      </w:r>
      <w:r w:rsidRPr="00A306D3">
        <w:rPr>
          <w:rFonts w:ascii="Times New Roman" w:hAnsi="Times New Roman" w:cs="Times New Roman"/>
          <w:sz w:val="24"/>
        </w:rPr>
        <w:t>.</w:t>
      </w:r>
      <w:r w:rsidR="007341CF">
        <w:rPr>
          <w:rFonts w:ascii="Times New Roman" w:hAnsi="Times New Roman" w:cs="Times New Roman"/>
          <w:sz w:val="24"/>
        </w:rPr>
        <w:t xml:space="preserve"> </w:t>
      </w:r>
      <w:r w:rsidRPr="00A306D3">
        <w:rPr>
          <w:rFonts w:ascii="Times New Roman" w:hAnsi="Times New Roman" w:cs="Times New Roman"/>
          <w:sz w:val="24"/>
        </w:rPr>
        <w:t xml:space="preserve">The present study aimed to evaluate 77 pearl millet </w:t>
      </w:r>
      <w:r w:rsidR="004B480F">
        <w:rPr>
          <w:rFonts w:ascii="Times New Roman" w:hAnsi="Times New Roman" w:cs="Times New Roman"/>
          <w:sz w:val="24"/>
        </w:rPr>
        <w:t>restorer lines</w:t>
      </w:r>
      <w:r w:rsidRPr="00A306D3">
        <w:rPr>
          <w:rFonts w:ascii="Times New Roman" w:hAnsi="Times New Roman" w:cs="Times New Roman"/>
          <w:sz w:val="24"/>
        </w:rPr>
        <w:t xml:space="preserve"> for their </w:t>
      </w:r>
      <w:r w:rsidR="004B480F">
        <w:rPr>
          <w:rFonts w:ascii="Times New Roman" w:hAnsi="Times New Roman" w:cs="Times New Roman"/>
          <w:sz w:val="24"/>
        </w:rPr>
        <w:t xml:space="preserve">putative </w:t>
      </w:r>
      <w:r w:rsidRPr="00A306D3">
        <w:rPr>
          <w:rFonts w:ascii="Times New Roman" w:hAnsi="Times New Roman" w:cs="Times New Roman"/>
          <w:sz w:val="24"/>
        </w:rPr>
        <w:t xml:space="preserve">resistance </w:t>
      </w:r>
      <w:r w:rsidR="004B480F">
        <w:rPr>
          <w:rFonts w:ascii="Times New Roman" w:hAnsi="Times New Roman" w:cs="Times New Roman"/>
          <w:sz w:val="24"/>
        </w:rPr>
        <w:t>against</w:t>
      </w:r>
      <w:r w:rsidRPr="00A306D3">
        <w:rPr>
          <w:rFonts w:ascii="Times New Roman" w:hAnsi="Times New Roman" w:cs="Times New Roman"/>
          <w:sz w:val="24"/>
        </w:rPr>
        <w:t xml:space="preserve"> </w:t>
      </w:r>
      <w:r w:rsidRPr="00F43AB9">
        <w:rPr>
          <w:rFonts w:ascii="Times New Roman" w:hAnsi="Times New Roman" w:cs="Times New Roman"/>
          <w:sz w:val="24"/>
          <w:highlight w:val="yellow"/>
        </w:rPr>
        <w:t xml:space="preserve">blast disease </w:t>
      </w:r>
      <w:r w:rsidR="00F43AB9" w:rsidRPr="00F43AB9">
        <w:rPr>
          <w:rFonts w:ascii="Times New Roman" w:hAnsi="Times New Roman" w:cs="Times New Roman"/>
          <w:sz w:val="24"/>
          <w:highlight w:val="yellow"/>
        </w:rPr>
        <w:t>screening under field conditions and</w:t>
      </w:r>
      <w:r w:rsidR="00F43AB9" w:rsidRPr="00F43AB9">
        <w:rPr>
          <w:rFonts w:ascii="Times New Roman" w:hAnsi="Times New Roman" w:cs="Times New Roman"/>
          <w:sz w:val="24"/>
          <w:highlight w:val="yellow"/>
        </w:rPr>
        <w:t xml:space="preserve"> </w:t>
      </w:r>
      <w:r w:rsidR="004B480F" w:rsidRPr="00F43AB9">
        <w:rPr>
          <w:rFonts w:ascii="Times New Roman" w:hAnsi="Times New Roman" w:cs="Times New Roman"/>
          <w:sz w:val="24"/>
          <w:highlight w:val="yellow"/>
        </w:rPr>
        <w:t>employing</w:t>
      </w:r>
      <w:r w:rsidR="004B480F">
        <w:rPr>
          <w:rFonts w:ascii="Times New Roman" w:hAnsi="Times New Roman" w:cs="Times New Roman"/>
          <w:sz w:val="24"/>
        </w:rPr>
        <w:t xml:space="preserve"> </w:t>
      </w:r>
      <w:r w:rsidRPr="00A306D3">
        <w:rPr>
          <w:rFonts w:ascii="Times New Roman" w:hAnsi="Times New Roman" w:cs="Times New Roman"/>
          <w:sz w:val="24"/>
        </w:rPr>
        <w:t xml:space="preserve">gene-specific SSR markers. The integration of phenotypic screening with molecular characterization helps in understanding the relationship between genetic makeup and disease resistance, and facilitates the identification of promising </w:t>
      </w:r>
      <w:r w:rsidR="004B480F">
        <w:rPr>
          <w:rFonts w:ascii="Times New Roman" w:hAnsi="Times New Roman" w:cs="Times New Roman"/>
          <w:sz w:val="24"/>
        </w:rPr>
        <w:t xml:space="preserve">restorer </w:t>
      </w:r>
      <w:r w:rsidRPr="00A306D3">
        <w:rPr>
          <w:rFonts w:ascii="Times New Roman" w:hAnsi="Times New Roman" w:cs="Times New Roman"/>
          <w:sz w:val="24"/>
        </w:rPr>
        <w:t>line</w:t>
      </w:r>
      <w:r w:rsidR="00F43AB9">
        <w:rPr>
          <w:rFonts w:ascii="Times New Roman" w:hAnsi="Times New Roman" w:cs="Times New Roman"/>
          <w:sz w:val="24"/>
        </w:rPr>
        <w:t xml:space="preserve"> (</w:t>
      </w:r>
      <w:r w:rsidRPr="00A306D3">
        <w:rPr>
          <w:rFonts w:ascii="Times New Roman" w:hAnsi="Times New Roman" w:cs="Times New Roman"/>
          <w:sz w:val="24"/>
        </w:rPr>
        <w:t>s</w:t>
      </w:r>
      <w:r w:rsidR="00F43AB9">
        <w:rPr>
          <w:rFonts w:ascii="Times New Roman" w:hAnsi="Times New Roman" w:cs="Times New Roman"/>
          <w:sz w:val="24"/>
        </w:rPr>
        <w:t>)</w:t>
      </w:r>
      <w:r w:rsidRPr="00A306D3">
        <w:rPr>
          <w:rFonts w:ascii="Times New Roman" w:hAnsi="Times New Roman" w:cs="Times New Roman"/>
          <w:sz w:val="24"/>
        </w:rPr>
        <w:t xml:space="preserve"> for</w:t>
      </w:r>
      <w:r w:rsidR="004B480F">
        <w:rPr>
          <w:rFonts w:ascii="Times New Roman" w:hAnsi="Times New Roman" w:cs="Times New Roman"/>
          <w:sz w:val="24"/>
        </w:rPr>
        <w:t xml:space="preserve"> utilizing them in</w:t>
      </w:r>
      <w:r w:rsidRPr="00A306D3">
        <w:rPr>
          <w:rFonts w:ascii="Times New Roman" w:hAnsi="Times New Roman" w:cs="Times New Roman"/>
          <w:sz w:val="24"/>
        </w:rPr>
        <w:t xml:space="preserve"> future </w:t>
      </w:r>
      <w:r w:rsidR="004B480F" w:rsidRPr="00A306D3">
        <w:rPr>
          <w:rFonts w:ascii="Times New Roman" w:hAnsi="Times New Roman" w:cs="Times New Roman"/>
          <w:sz w:val="24"/>
        </w:rPr>
        <w:t>breeding</w:t>
      </w:r>
      <w:r w:rsidR="000729CD">
        <w:rPr>
          <w:rFonts w:ascii="Times New Roman" w:hAnsi="Times New Roman" w:cs="Times New Roman"/>
          <w:sz w:val="24"/>
        </w:rPr>
        <w:t xml:space="preserve"> </w:t>
      </w:r>
      <w:r w:rsidR="004B480F">
        <w:rPr>
          <w:rFonts w:ascii="Times New Roman" w:hAnsi="Times New Roman" w:cs="Times New Roman"/>
          <w:sz w:val="24"/>
        </w:rPr>
        <w:t xml:space="preserve">programmes to </w:t>
      </w:r>
      <w:r w:rsidR="008A429C">
        <w:rPr>
          <w:rFonts w:ascii="Times New Roman" w:hAnsi="Times New Roman" w:cs="Times New Roman"/>
          <w:sz w:val="24"/>
        </w:rPr>
        <w:t xml:space="preserve">develop blast disease </w:t>
      </w:r>
      <w:r w:rsidRPr="00A306D3">
        <w:rPr>
          <w:rFonts w:ascii="Times New Roman" w:hAnsi="Times New Roman" w:cs="Times New Roman"/>
          <w:sz w:val="24"/>
        </w:rPr>
        <w:t>resistance. The generated information will aid in broadening the genetic base of pearl millet and contribute to the development of high-yielding, blast-resistant cultivar</w:t>
      </w:r>
      <w:r w:rsidR="00F43AB9">
        <w:rPr>
          <w:rFonts w:ascii="Times New Roman" w:hAnsi="Times New Roman" w:cs="Times New Roman"/>
          <w:sz w:val="24"/>
        </w:rPr>
        <w:t xml:space="preserve"> (</w:t>
      </w:r>
      <w:r w:rsidRPr="00A306D3">
        <w:rPr>
          <w:rFonts w:ascii="Times New Roman" w:hAnsi="Times New Roman" w:cs="Times New Roman"/>
          <w:sz w:val="24"/>
        </w:rPr>
        <w:t>s</w:t>
      </w:r>
      <w:r w:rsidR="00F43AB9">
        <w:rPr>
          <w:rFonts w:ascii="Times New Roman" w:hAnsi="Times New Roman" w:cs="Times New Roman"/>
          <w:sz w:val="24"/>
        </w:rPr>
        <w:t>)</w:t>
      </w:r>
      <w:r w:rsidRPr="00A306D3">
        <w:rPr>
          <w:rFonts w:ascii="Times New Roman" w:hAnsi="Times New Roman" w:cs="Times New Roman"/>
          <w:sz w:val="24"/>
        </w:rPr>
        <w:t>.</w:t>
      </w:r>
    </w:p>
    <w:p w14:paraId="770AA1C2" w14:textId="77777777" w:rsidR="003A5F2F" w:rsidRDefault="003A5F2F" w:rsidP="008A429C">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2. Material &amp; Methods </w:t>
      </w:r>
    </w:p>
    <w:p w14:paraId="6DEC7AB2" w14:textId="77777777" w:rsidR="003A5F2F" w:rsidRDefault="003A5F2F" w:rsidP="008A429C">
      <w:pPr>
        <w:spacing w:before="120" w:after="120" w:line="360" w:lineRule="auto"/>
        <w:jc w:val="both"/>
        <w:rPr>
          <w:rFonts w:ascii="Times New Roman" w:hAnsi="Times New Roman" w:cs="Times New Roman"/>
          <w:b/>
          <w:sz w:val="24"/>
        </w:rPr>
      </w:pPr>
      <w:r w:rsidRPr="00DE7877">
        <w:rPr>
          <w:rFonts w:ascii="Times New Roman" w:eastAsia="Times New Roman" w:hAnsi="Times New Roman" w:cs="Times New Roman"/>
          <w:b/>
          <w:bCs/>
          <w:sz w:val="24"/>
          <w:szCs w:val="24"/>
          <w:lang w:eastAsia="en-IN"/>
        </w:rPr>
        <w:t>2.1 Experimental Site</w:t>
      </w:r>
    </w:p>
    <w:p w14:paraId="242BFC2C" w14:textId="47267E5A" w:rsidR="00FF3007" w:rsidRPr="00FF3007" w:rsidRDefault="00A31F36" w:rsidP="008A429C">
      <w:pPr>
        <w:spacing w:before="120" w:after="120" w:line="360" w:lineRule="auto"/>
        <w:jc w:val="both"/>
        <w:rPr>
          <w:rFonts w:ascii="Times New Roman" w:eastAsia="Arial MT" w:hAnsi="Times New Roman" w:cs="Times New Roman"/>
          <w:sz w:val="24"/>
          <w:szCs w:val="24"/>
          <w:lang w:val="en-US"/>
        </w:rPr>
      </w:pPr>
      <w:r w:rsidRPr="00FF3007">
        <w:rPr>
          <w:rFonts w:ascii="Times New Roman" w:eastAsia="Arial MT" w:hAnsi="Times New Roman" w:cs="Times New Roman"/>
          <w:sz w:val="24"/>
          <w:szCs w:val="24"/>
          <w:lang w:val="en-US"/>
        </w:rPr>
        <w:t>The field experiment was conducted at the experimental field, College</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of Agriculture, Rajmata</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Vijayaraje</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Scindia</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Agricultural</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University</w:t>
      </w:r>
      <w:r w:rsidRPr="00FF3007">
        <w:rPr>
          <w:rFonts w:ascii="Times New Roman" w:eastAsia="Arial MT" w:hAnsi="Times New Roman" w:cs="Times New Roman"/>
          <w:sz w:val="24"/>
          <w:szCs w:val="24"/>
          <w:lang w:val="en-US"/>
        </w:rPr>
        <w:t>,</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Gwalior</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M.P., India</w:t>
      </w:r>
      <w:r w:rsidR="007F30C8">
        <w:rPr>
          <w:rFonts w:ascii="Times New Roman" w:eastAsia="Arial MT" w:hAnsi="Times New Roman" w:cs="Times New Roman"/>
          <w:sz w:val="24"/>
          <w:szCs w:val="24"/>
          <w:lang w:val="en-US"/>
        </w:rPr>
        <w:t xml:space="preserve"> during </w:t>
      </w:r>
      <w:r w:rsidR="007F30C8" w:rsidRPr="007F30C8">
        <w:rPr>
          <w:rFonts w:ascii="Times New Roman" w:eastAsia="Arial MT" w:hAnsi="Times New Roman" w:cs="Times New Roman"/>
          <w:i/>
          <w:iCs/>
          <w:sz w:val="24"/>
          <w:szCs w:val="24"/>
          <w:lang w:val="en-US"/>
        </w:rPr>
        <w:t>kharif</w:t>
      </w:r>
      <w:r w:rsidR="007F30C8">
        <w:rPr>
          <w:rFonts w:ascii="Times New Roman" w:eastAsia="Arial MT" w:hAnsi="Times New Roman" w:cs="Times New Roman"/>
          <w:sz w:val="24"/>
          <w:szCs w:val="24"/>
          <w:lang w:val="en-US"/>
        </w:rPr>
        <w:t>, 2023</w:t>
      </w:r>
      <w:r w:rsidRPr="00FF3007">
        <w:rPr>
          <w:rFonts w:ascii="Times New Roman" w:eastAsia="Arial MT" w:hAnsi="Times New Roman" w:cs="Times New Roman"/>
          <w:sz w:val="24"/>
          <w:szCs w:val="24"/>
          <w:lang w:val="en-US"/>
        </w:rPr>
        <w:t xml:space="preserve">, while molecular work was carried out at </w:t>
      </w:r>
      <w:r w:rsidR="00F43AB9">
        <w:rPr>
          <w:rFonts w:ascii="Times New Roman" w:eastAsia="Arial MT" w:hAnsi="Times New Roman" w:cs="Times New Roman"/>
          <w:sz w:val="24"/>
          <w:szCs w:val="24"/>
          <w:lang w:val="en-US"/>
        </w:rPr>
        <w:t xml:space="preserve">Plant </w:t>
      </w:r>
      <w:r w:rsidRPr="00FF3007">
        <w:rPr>
          <w:rFonts w:ascii="Times New Roman" w:eastAsia="Arial MT" w:hAnsi="Times New Roman" w:cs="Times New Roman"/>
          <w:sz w:val="24"/>
          <w:szCs w:val="24"/>
          <w:lang w:val="en-US"/>
        </w:rPr>
        <w:t>Molecular Biology Laborator</w:t>
      </w:r>
      <w:r w:rsidR="007F30C8">
        <w:rPr>
          <w:rFonts w:ascii="Times New Roman" w:eastAsia="Arial MT" w:hAnsi="Times New Roman" w:cs="Times New Roman"/>
          <w:sz w:val="24"/>
          <w:szCs w:val="24"/>
          <w:lang w:val="en-US"/>
        </w:rPr>
        <w:t>y</w:t>
      </w:r>
      <w:r w:rsidRPr="00FF3007">
        <w:rPr>
          <w:rFonts w:ascii="Times New Roman" w:eastAsia="Arial MT" w:hAnsi="Times New Roman" w:cs="Times New Roman"/>
          <w:sz w:val="24"/>
          <w:szCs w:val="24"/>
          <w:lang w:val="en-US"/>
        </w:rPr>
        <w:t>, Department of Plant Molecular</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Biology</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and</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Biotechnology,</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College</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of</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Agriculture,</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Rajmata</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Vijayaraje</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Scindia</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Agricultural</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University,</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Gwalior, Madhya</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Pradesh, India.</w:t>
      </w:r>
      <w:r w:rsidR="00FF3007" w:rsidRPr="00FF3007">
        <w:rPr>
          <w:rFonts w:ascii="Times New Roman" w:eastAsia="Arial MT" w:hAnsi="Times New Roman" w:cs="Times New Roman"/>
          <w:sz w:val="24"/>
          <w:szCs w:val="24"/>
          <w:lang w:val="en-US"/>
        </w:rPr>
        <w:t xml:space="preserve"> The weather conditions were normal during</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the</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crop</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season</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with</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an</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average</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maximum</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and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minimum</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 xml:space="preserve">temperature </w:t>
      </w:r>
      <w:r w:rsidR="003752EE" w:rsidRPr="00FF3007">
        <w:rPr>
          <w:rFonts w:ascii="Times New Roman" w:eastAsia="Arial MT" w:hAnsi="Times New Roman" w:cs="Times New Roman"/>
          <w:sz w:val="24"/>
          <w:szCs w:val="24"/>
          <w:lang w:val="en-US"/>
        </w:rPr>
        <w:lastRenderedPageBreak/>
        <w:t>during</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growth</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remaining</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at</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35.2</w:t>
      </w:r>
      <w:r w:rsidR="00FF3007" w:rsidRPr="00155848">
        <w:rPr>
          <w:rFonts w:ascii="Times New Roman" w:eastAsia="Times New Roman" w:hAnsi="Times New Roman" w:cs="Times New Roman"/>
          <w:bCs/>
          <w:sz w:val="24"/>
          <w:szCs w:val="24"/>
          <w:lang w:eastAsia="en-IN"/>
        </w:rPr>
        <w:t>°C</w:t>
      </w:r>
      <w:r w:rsidR="000729CD">
        <w:rPr>
          <w:rFonts w:ascii="Times New Roman" w:eastAsia="Times New Roman" w:hAnsi="Times New Roman" w:cs="Times New Roman"/>
          <w:bCs/>
          <w:sz w:val="24"/>
          <w:szCs w:val="24"/>
          <w:lang w:eastAsia="en-IN"/>
        </w:rPr>
        <w:t xml:space="preserve"> </w:t>
      </w:r>
      <w:r w:rsidR="00FF3007" w:rsidRPr="00FF3007">
        <w:rPr>
          <w:rFonts w:ascii="Times New Roman" w:eastAsia="Arial MT" w:hAnsi="Times New Roman" w:cs="Times New Roman"/>
          <w:sz w:val="24"/>
          <w:szCs w:val="24"/>
          <w:lang w:val="en-US"/>
        </w:rPr>
        <w:t>and</w:t>
      </w:r>
      <w:r w:rsidR="000729CD">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24.5</w:t>
      </w:r>
      <w:r w:rsidR="00FF3007" w:rsidRPr="00155848">
        <w:rPr>
          <w:rFonts w:ascii="Times New Roman" w:eastAsia="Times New Roman" w:hAnsi="Times New Roman" w:cs="Times New Roman"/>
          <w:bCs/>
          <w:sz w:val="24"/>
          <w:szCs w:val="24"/>
          <w:lang w:eastAsia="en-IN"/>
        </w:rPr>
        <w:t>°C</w:t>
      </w:r>
      <w:r w:rsidR="00FF3007" w:rsidRPr="00FF3007">
        <w:rPr>
          <w:rFonts w:ascii="Times New Roman" w:eastAsia="Arial MT" w:hAnsi="Times New Roman" w:cs="Times New Roman"/>
          <w:sz w:val="24"/>
          <w:szCs w:val="24"/>
          <w:lang w:val="en-US"/>
        </w:rPr>
        <w:t>,</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respectively. The</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total</w:t>
      </w:r>
      <w:r w:rsidR="00FF3007" w:rsidRPr="00FF3007">
        <w:rPr>
          <w:rFonts w:ascii="Times New Roman" w:eastAsia="Arial MT" w:hAnsi="Times New Roman" w:cs="Times New Roman"/>
          <w:sz w:val="24"/>
          <w:szCs w:val="24"/>
          <w:lang w:val="en-US"/>
        </w:rPr>
        <w:t xml:space="preserve"> rainfall received during the crop growing period from July to October 2022</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was</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907.7</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mm.</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Rainfall</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was</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observed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scanty</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and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unevenly</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distributed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during</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the</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crop</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growing</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period.</w:t>
      </w:r>
      <w:r w:rsidR="00FF3007" w:rsidRPr="00FF3007">
        <w:rPr>
          <w:rFonts w:ascii="Times New Roman" w:eastAsia="Times New Roman" w:hAnsi="Times New Roman" w:cs="Times New Roman"/>
          <w:sz w:val="24"/>
          <w:szCs w:val="24"/>
          <w:lang w:eastAsia="en-IN"/>
        </w:rPr>
        <w:t xml:space="preserve"> The field exhibited </w:t>
      </w:r>
      <w:r w:rsidR="00FF3007" w:rsidRPr="00FF3007">
        <w:rPr>
          <w:rFonts w:ascii="Times New Roman" w:eastAsia="Times New Roman" w:hAnsi="Times New Roman" w:cs="Times New Roman"/>
          <w:bCs/>
          <w:sz w:val="24"/>
          <w:szCs w:val="24"/>
          <w:lang w:eastAsia="en-IN"/>
        </w:rPr>
        <w:t>uniform topography</w:t>
      </w:r>
      <w:r w:rsidR="00FF3007" w:rsidRPr="00FF3007">
        <w:rPr>
          <w:rFonts w:ascii="Times New Roman" w:eastAsia="Times New Roman" w:hAnsi="Times New Roman" w:cs="Times New Roman"/>
          <w:sz w:val="24"/>
          <w:szCs w:val="24"/>
          <w:lang w:eastAsia="en-IN"/>
        </w:rPr>
        <w:t xml:space="preserve"> and comprised </w:t>
      </w:r>
      <w:r w:rsidR="00FF3007" w:rsidRPr="00FF3007">
        <w:rPr>
          <w:rFonts w:ascii="Times New Roman" w:eastAsia="Times New Roman" w:hAnsi="Times New Roman" w:cs="Times New Roman"/>
          <w:bCs/>
          <w:sz w:val="24"/>
          <w:szCs w:val="24"/>
          <w:lang w:eastAsia="en-IN"/>
        </w:rPr>
        <w:t>medium-black soil</w:t>
      </w:r>
      <w:r w:rsidR="00FF3007" w:rsidRPr="00FF3007">
        <w:rPr>
          <w:rFonts w:ascii="Times New Roman" w:eastAsia="Times New Roman" w:hAnsi="Times New Roman" w:cs="Times New Roman"/>
          <w:sz w:val="24"/>
          <w:szCs w:val="24"/>
          <w:lang w:eastAsia="en-IN"/>
        </w:rPr>
        <w:t xml:space="preserve">, devoid of waterlogging circumstances, thereby offering a </w:t>
      </w:r>
      <w:r w:rsidR="00FF3007" w:rsidRPr="00FF3007">
        <w:rPr>
          <w:rFonts w:ascii="Times New Roman" w:eastAsia="Times New Roman" w:hAnsi="Times New Roman" w:cs="Times New Roman"/>
          <w:bCs/>
          <w:sz w:val="24"/>
          <w:szCs w:val="24"/>
          <w:lang w:eastAsia="en-IN"/>
        </w:rPr>
        <w:t>favourable agro-ecological environment</w:t>
      </w:r>
      <w:r w:rsidR="00FF3007" w:rsidRPr="00FF3007">
        <w:rPr>
          <w:rFonts w:ascii="Times New Roman" w:eastAsia="Times New Roman" w:hAnsi="Times New Roman" w:cs="Times New Roman"/>
          <w:sz w:val="24"/>
          <w:szCs w:val="24"/>
          <w:lang w:eastAsia="en-IN"/>
        </w:rPr>
        <w:t xml:space="preserve"> for the successful cultivation of </w:t>
      </w:r>
      <w:r w:rsidR="00FF3007">
        <w:rPr>
          <w:rFonts w:ascii="Times New Roman" w:eastAsia="Times New Roman" w:hAnsi="Times New Roman" w:cs="Times New Roman"/>
          <w:bCs/>
          <w:sz w:val="24"/>
          <w:szCs w:val="24"/>
          <w:lang w:eastAsia="en-IN"/>
        </w:rPr>
        <w:t>pearl millet</w:t>
      </w:r>
      <w:r w:rsidR="00FF3007" w:rsidRPr="00FF3007">
        <w:rPr>
          <w:rFonts w:ascii="Times New Roman" w:eastAsia="Times New Roman" w:hAnsi="Times New Roman" w:cs="Times New Roman"/>
          <w:sz w:val="24"/>
          <w:szCs w:val="24"/>
          <w:lang w:eastAsia="en-IN"/>
        </w:rPr>
        <w:t>.</w:t>
      </w:r>
    </w:p>
    <w:p w14:paraId="4675E10D" w14:textId="77777777" w:rsidR="003A5F2F" w:rsidRPr="00DE7877" w:rsidRDefault="003A5F2F" w:rsidP="008A429C">
      <w:pPr>
        <w:spacing w:before="120" w:after="120" w:line="360" w:lineRule="auto"/>
        <w:jc w:val="both"/>
        <w:rPr>
          <w:rFonts w:ascii="Times New Roman" w:eastAsia="Times New Roman" w:hAnsi="Times New Roman" w:cs="Times New Roman"/>
          <w:b/>
          <w:bCs/>
          <w:sz w:val="24"/>
          <w:szCs w:val="24"/>
          <w:lang w:eastAsia="en-IN"/>
        </w:rPr>
      </w:pPr>
      <w:r w:rsidRPr="00DE7877">
        <w:rPr>
          <w:rFonts w:ascii="Times New Roman" w:eastAsia="Times New Roman" w:hAnsi="Times New Roman" w:cs="Times New Roman"/>
          <w:b/>
          <w:bCs/>
          <w:sz w:val="24"/>
          <w:szCs w:val="24"/>
          <w:lang w:eastAsia="en-IN"/>
        </w:rPr>
        <w:t>2.2 Experimental Details</w:t>
      </w:r>
    </w:p>
    <w:p w14:paraId="33478AFD" w14:textId="2ACA21A2" w:rsidR="003A5F2F" w:rsidRPr="00A31F36" w:rsidRDefault="003A5F2F" w:rsidP="00A31F36">
      <w:pPr>
        <w:widowControl w:val="0"/>
        <w:autoSpaceDE w:val="0"/>
        <w:autoSpaceDN w:val="0"/>
        <w:spacing w:before="120" w:after="120" w:line="360" w:lineRule="auto"/>
        <w:jc w:val="both"/>
        <w:rPr>
          <w:rFonts w:ascii="Arial" w:eastAsia="Arial" w:hAnsi="Arial" w:cs="Arial"/>
          <w:color w:val="000000"/>
          <w:lang w:val="en-US"/>
        </w:rPr>
      </w:pPr>
      <w:r w:rsidRPr="00A31F36">
        <w:rPr>
          <w:rFonts w:ascii="Times New Roman" w:eastAsia="Times New Roman" w:hAnsi="Times New Roman" w:cs="Times New Roman"/>
          <w:sz w:val="24"/>
          <w:szCs w:val="24"/>
          <w:lang w:eastAsia="en-IN"/>
        </w:rPr>
        <w:t xml:space="preserve">The experiment was conducted using a </w:t>
      </w:r>
      <w:r w:rsidRPr="00A31F36">
        <w:rPr>
          <w:rFonts w:ascii="Times New Roman" w:eastAsia="Times New Roman" w:hAnsi="Times New Roman" w:cs="Times New Roman"/>
          <w:bCs/>
          <w:sz w:val="24"/>
          <w:szCs w:val="24"/>
          <w:lang w:eastAsia="en-IN"/>
        </w:rPr>
        <w:t>Randomized Block Design (RBD)</w:t>
      </w:r>
      <w:r w:rsidRPr="00A31F36">
        <w:rPr>
          <w:rFonts w:ascii="Times New Roman" w:eastAsia="Times New Roman" w:hAnsi="Times New Roman" w:cs="Times New Roman"/>
          <w:sz w:val="24"/>
          <w:szCs w:val="24"/>
          <w:lang w:eastAsia="en-IN"/>
        </w:rPr>
        <w:t xml:space="preserve"> with </w:t>
      </w:r>
      <w:r w:rsidRPr="00A31F36">
        <w:rPr>
          <w:rFonts w:ascii="Times New Roman" w:eastAsia="Times New Roman" w:hAnsi="Times New Roman" w:cs="Times New Roman"/>
          <w:bCs/>
          <w:sz w:val="24"/>
          <w:szCs w:val="24"/>
          <w:lang w:eastAsia="en-IN"/>
        </w:rPr>
        <w:t>two replications</w:t>
      </w:r>
      <w:r w:rsidRPr="00A31F36">
        <w:rPr>
          <w:rFonts w:ascii="Times New Roman" w:eastAsia="Times New Roman" w:hAnsi="Times New Roman" w:cs="Times New Roman"/>
          <w:sz w:val="24"/>
          <w:szCs w:val="24"/>
          <w:lang w:eastAsia="en-IN"/>
        </w:rPr>
        <w:t xml:space="preserve">. A total of </w:t>
      </w:r>
      <w:r w:rsidR="00A31F36" w:rsidRPr="00A31F36">
        <w:rPr>
          <w:rFonts w:ascii="Times New Roman" w:eastAsia="Arial MT" w:hAnsi="Times New Roman" w:cs="Times New Roman"/>
          <w:sz w:val="24"/>
          <w:szCs w:val="24"/>
          <w:lang w:val="en-US"/>
        </w:rPr>
        <w:t>77</w:t>
      </w:r>
      <w:r w:rsidR="003752EE">
        <w:rPr>
          <w:rFonts w:ascii="Times New Roman" w:eastAsia="Arial MT" w:hAnsi="Times New Roman" w:cs="Times New Roman"/>
          <w:sz w:val="24"/>
          <w:szCs w:val="24"/>
          <w:lang w:val="en-US"/>
        </w:rPr>
        <w:t xml:space="preserve"> </w:t>
      </w:r>
      <w:r w:rsidR="003752EE" w:rsidRPr="00A31F36">
        <w:rPr>
          <w:rFonts w:ascii="Times New Roman" w:eastAsia="Arial MT" w:hAnsi="Times New Roman" w:cs="Times New Roman"/>
          <w:sz w:val="24"/>
          <w:szCs w:val="24"/>
          <w:lang w:val="en-US"/>
        </w:rPr>
        <w:t>restorer</w:t>
      </w:r>
      <w:r w:rsidR="003752EE">
        <w:rPr>
          <w:rFonts w:ascii="Times New Roman" w:eastAsia="Arial MT" w:hAnsi="Times New Roman" w:cs="Times New Roman"/>
          <w:spacing w:val="1"/>
          <w:sz w:val="24"/>
          <w:szCs w:val="24"/>
          <w:lang w:val="en-US"/>
        </w:rPr>
        <w:t xml:space="preserve"> lines</w:t>
      </w:r>
      <w:r w:rsidR="008A429C">
        <w:rPr>
          <w:rFonts w:ascii="Times New Roman" w:eastAsia="Arial MT" w:hAnsi="Times New Roman" w:cs="Times New Roman"/>
          <w:spacing w:val="1"/>
          <w:sz w:val="24"/>
          <w:szCs w:val="24"/>
          <w:lang w:val="en-US"/>
        </w:rPr>
        <w:t xml:space="preserve"> </w:t>
      </w:r>
      <w:r w:rsidR="00A31F36" w:rsidRPr="00A31F36">
        <w:rPr>
          <w:rFonts w:ascii="Times New Roman" w:eastAsia="Arial MT" w:hAnsi="Times New Roman" w:cs="Times New Roman"/>
          <w:sz w:val="24"/>
          <w:szCs w:val="24"/>
          <w:lang w:val="en-US"/>
        </w:rPr>
        <w:t xml:space="preserve">(Table1) </w:t>
      </w:r>
      <w:r w:rsidR="003752EE" w:rsidRPr="00A31F36">
        <w:rPr>
          <w:rFonts w:ascii="Times New Roman" w:eastAsia="Arial MT" w:hAnsi="Times New Roman" w:cs="Times New Roman"/>
          <w:sz w:val="24"/>
          <w:szCs w:val="24"/>
          <w:lang w:val="en-US"/>
        </w:rPr>
        <w:t>of</w:t>
      </w:r>
      <w:r w:rsidR="003752EE" w:rsidRPr="00A31F36">
        <w:rPr>
          <w:rFonts w:ascii="Times New Roman" w:eastAsia="Arial MT" w:hAnsi="Times New Roman" w:cs="Times New Roman"/>
          <w:i/>
          <w:sz w:val="24"/>
          <w:szCs w:val="24"/>
          <w:lang w:val="en-US"/>
        </w:rPr>
        <w:t xml:space="preserve"> Pennisetum</w:t>
      </w:r>
      <w:r w:rsidR="00A31F36" w:rsidRPr="00A31F36">
        <w:rPr>
          <w:rFonts w:ascii="Times New Roman" w:eastAsia="Arial MT" w:hAnsi="Times New Roman" w:cs="Times New Roman"/>
          <w:i/>
          <w:sz w:val="24"/>
          <w:szCs w:val="24"/>
          <w:lang w:val="en-US"/>
        </w:rPr>
        <w:t xml:space="preserve"> glaucum </w:t>
      </w:r>
      <w:r w:rsidR="00A31F36" w:rsidRPr="00A31F36">
        <w:rPr>
          <w:rFonts w:ascii="Times New Roman" w:eastAsia="Arial MT" w:hAnsi="Times New Roman" w:cs="Times New Roman"/>
          <w:sz w:val="24"/>
          <w:szCs w:val="24"/>
          <w:lang w:val="en-US"/>
        </w:rPr>
        <w:t>(L.) R. Br. with divergent reactions to</w:t>
      </w:r>
      <w:r w:rsidR="003752EE">
        <w:rPr>
          <w:rFonts w:ascii="Times New Roman" w:eastAsia="Arial MT" w:hAnsi="Times New Roman" w:cs="Times New Roman"/>
          <w:sz w:val="24"/>
          <w:szCs w:val="24"/>
          <w:lang w:val="en-US"/>
        </w:rPr>
        <w:t xml:space="preserve"> </w:t>
      </w:r>
      <w:r w:rsidR="00A31F36" w:rsidRPr="00A31F36">
        <w:rPr>
          <w:rFonts w:ascii="Times New Roman" w:eastAsia="Arial MT" w:hAnsi="Times New Roman" w:cs="Times New Roman"/>
          <w:sz w:val="24"/>
          <w:szCs w:val="24"/>
          <w:lang w:val="en-US"/>
        </w:rPr>
        <w:t>blast disease</w:t>
      </w:r>
      <w:r w:rsidR="003752EE">
        <w:rPr>
          <w:rFonts w:ascii="Times New Roman" w:eastAsia="Arial MT" w:hAnsi="Times New Roman" w:cs="Times New Roman"/>
          <w:sz w:val="24"/>
          <w:szCs w:val="24"/>
          <w:lang w:val="en-US"/>
        </w:rPr>
        <w:t xml:space="preserve"> </w:t>
      </w:r>
      <w:r w:rsidR="00A31F36" w:rsidRPr="00A31F36">
        <w:rPr>
          <w:rFonts w:ascii="Times New Roman" w:eastAsia="Arial MT" w:hAnsi="Times New Roman" w:cs="Times New Roman"/>
          <w:i/>
          <w:sz w:val="24"/>
          <w:szCs w:val="24"/>
          <w:lang w:val="en-US"/>
        </w:rPr>
        <w:t>viz</w:t>
      </w:r>
      <w:r w:rsidR="00A31F36" w:rsidRPr="00A31F36">
        <w:rPr>
          <w:rFonts w:ascii="Times New Roman" w:eastAsia="Arial MT" w:hAnsi="Times New Roman" w:cs="Times New Roman"/>
          <w:sz w:val="24"/>
          <w:szCs w:val="24"/>
          <w:lang w:val="en-US"/>
        </w:rPr>
        <w:t>., susceptible, tolerant, and resistant</w:t>
      </w:r>
      <w:r w:rsidR="00A31F36" w:rsidRPr="00A31F36">
        <w:rPr>
          <w:rFonts w:ascii="Times New Roman" w:eastAsia="Arial" w:hAnsi="Times New Roman" w:cs="Times New Roman"/>
          <w:color w:val="000000"/>
          <w:sz w:val="24"/>
          <w:szCs w:val="24"/>
          <w:lang w:val="en-US"/>
        </w:rPr>
        <w:t xml:space="preserve"> obtained from ICRISAT, Hyderabad, Telangana, India.</w:t>
      </w:r>
      <w:r w:rsidR="00F43AB9">
        <w:rPr>
          <w:rFonts w:ascii="Times New Roman" w:eastAsia="Arial" w:hAnsi="Times New Roman" w:cs="Times New Roman"/>
          <w:color w:val="000000"/>
          <w:sz w:val="24"/>
          <w:szCs w:val="24"/>
          <w:lang w:val="en-US"/>
        </w:rPr>
        <w:t xml:space="preserve"> </w:t>
      </w:r>
      <w:r w:rsidRPr="003A5F2F">
        <w:rPr>
          <w:rFonts w:ascii="Times New Roman" w:eastAsia="Times New Roman" w:hAnsi="Times New Roman" w:cs="Times New Roman"/>
          <w:sz w:val="24"/>
          <w:szCs w:val="24"/>
          <w:lang w:eastAsia="en-IN"/>
        </w:rPr>
        <w:t xml:space="preserve">Each genotype was sown in a single row with an inter-row spacing of </w:t>
      </w:r>
      <w:r w:rsidR="00A31F36">
        <w:rPr>
          <w:rFonts w:ascii="Times New Roman" w:eastAsia="Times New Roman" w:hAnsi="Times New Roman" w:cs="Times New Roman"/>
          <w:bCs/>
          <w:sz w:val="24"/>
          <w:szCs w:val="24"/>
          <w:lang w:eastAsia="en-IN"/>
        </w:rPr>
        <w:t>4</w:t>
      </w:r>
      <w:r w:rsidR="00211617">
        <w:rPr>
          <w:rFonts w:ascii="Times New Roman" w:eastAsia="Times New Roman" w:hAnsi="Times New Roman" w:cs="Times New Roman"/>
          <w:bCs/>
          <w:sz w:val="24"/>
          <w:szCs w:val="24"/>
          <w:lang w:eastAsia="en-IN"/>
        </w:rPr>
        <w:t>0</w:t>
      </w:r>
      <w:r w:rsidRPr="003A5F2F">
        <w:rPr>
          <w:rFonts w:ascii="Times New Roman" w:eastAsia="Times New Roman" w:hAnsi="Times New Roman" w:cs="Times New Roman"/>
          <w:bCs/>
          <w:sz w:val="24"/>
          <w:szCs w:val="24"/>
          <w:lang w:eastAsia="en-IN"/>
        </w:rPr>
        <w:t xml:space="preserve"> cm</w:t>
      </w:r>
      <w:r w:rsidRPr="003A5F2F">
        <w:rPr>
          <w:rFonts w:ascii="Times New Roman" w:eastAsia="Times New Roman" w:hAnsi="Times New Roman" w:cs="Times New Roman"/>
          <w:sz w:val="24"/>
          <w:szCs w:val="24"/>
          <w:lang w:eastAsia="en-IN"/>
        </w:rPr>
        <w:t xml:space="preserve"> and intra-row spacing of </w:t>
      </w:r>
      <w:r w:rsidRPr="003A5F2F">
        <w:rPr>
          <w:rFonts w:ascii="Times New Roman" w:eastAsia="Times New Roman" w:hAnsi="Times New Roman" w:cs="Times New Roman"/>
          <w:bCs/>
          <w:sz w:val="24"/>
          <w:szCs w:val="24"/>
          <w:lang w:eastAsia="en-IN"/>
        </w:rPr>
        <w:t>1</w:t>
      </w:r>
      <w:r w:rsidR="00211617">
        <w:rPr>
          <w:rFonts w:ascii="Times New Roman" w:eastAsia="Times New Roman" w:hAnsi="Times New Roman" w:cs="Times New Roman"/>
          <w:bCs/>
          <w:sz w:val="24"/>
          <w:szCs w:val="24"/>
          <w:lang w:eastAsia="en-IN"/>
        </w:rPr>
        <w:t>0</w:t>
      </w:r>
      <w:r w:rsidRPr="003A5F2F">
        <w:rPr>
          <w:rFonts w:ascii="Times New Roman" w:eastAsia="Times New Roman" w:hAnsi="Times New Roman" w:cs="Times New Roman"/>
          <w:bCs/>
          <w:sz w:val="24"/>
          <w:szCs w:val="24"/>
          <w:lang w:eastAsia="en-IN"/>
        </w:rPr>
        <w:t xml:space="preserve"> cm</w:t>
      </w:r>
      <w:r w:rsidRPr="003A5F2F">
        <w:rPr>
          <w:rFonts w:ascii="Times New Roman" w:eastAsia="Times New Roman" w:hAnsi="Times New Roman" w:cs="Times New Roman"/>
          <w:sz w:val="24"/>
          <w:szCs w:val="24"/>
          <w:lang w:eastAsia="en-IN"/>
        </w:rPr>
        <w:t xml:space="preserve">, allowing sufficient space for optimal plant growth, light interception, and aeration. The length of each row was maintained at </w:t>
      </w:r>
      <w:r w:rsidR="00A31F36">
        <w:rPr>
          <w:rFonts w:ascii="Times New Roman" w:eastAsia="Times New Roman" w:hAnsi="Times New Roman" w:cs="Times New Roman"/>
          <w:bCs/>
          <w:sz w:val="24"/>
          <w:szCs w:val="24"/>
          <w:lang w:eastAsia="en-IN"/>
        </w:rPr>
        <w:t>4</w:t>
      </w:r>
      <w:r w:rsidRPr="003A5F2F">
        <w:rPr>
          <w:rFonts w:ascii="Times New Roman" w:eastAsia="Times New Roman" w:hAnsi="Times New Roman" w:cs="Times New Roman"/>
          <w:bCs/>
          <w:sz w:val="24"/>
          <w:szCs w:val="24"/>
          <w:lang w:eastAsia="en-IN"/>
        </w:rPr>
        <w:t xml:space="preserve"> meters</w:t>
      </w:r>
      <w:r w:rsidRPr="003A5F2F">
        <w:rPr>
          <w:rFonts w:ascii="Times New Roman" w:eastAsia="Times New Roman" w:hAnsi="Times New Roman" w:cs="Times New Roman"/>
          <w:sz w:val="24"/>
          <w:szCs w:val="24"/>
          <w:lang w:eastAsia="en-IN"/>
        </w:rPr>
        <w:t xml:space="preserve">, ensuring an adequate plot size for the reliable assessment of </w:t>
      </w:r>
      <w:r w:rsidR="00211617">
        <w:rPr>
          <w:rFonts w:ascii="Times New Roman" w:eastAsia="Times New Roman" w:hAnsi="Times New Roman" w:cs="Times New Roman"/>
          <w:sz w:val="24"/>
          <w:szCs w:val="24"/>
          <w:lang w:eastAsia="en-IN"/>
        </w:rPr>
        <w:t>disease incidence</w:t>
      </w:r>
      <w:r w:rsidRPr="003A5F2F">
        <w:rPr>
          <w:rFonts w:ascii="Times New Roman" w:eastAsia="Times New Roman" w:hAnsi="Times New Roman" w:cs="Times New Roman"/>
          <w:sz w:val="24"/>
          <w:szCs w:val="24"/>
          <w:lang w:eastAsia="en-IN"/>
        </w:rPr>
        <w:t>.</w:t>
      </w:r>
      <w:r w:rsidR="007341CF">
        <w:rPr>
          <w:rFonts w:ascii="Times New Roman" w:eastAsia="Times New Roman" w:hAnsi="Times New Roman" w:cs="Times New Roman"/>
          <w:sz w:val="24"/>
          <w:szCs w:val="24"/>
          <w:lang w:eastAsia="en-IN"/>
        </w:rPr>
        <w:t xml:space="preserve"> </w:t>
      </w:r>
      <w:r w:rsidRPr="003A5F2F">
        <w:rPr>
          <w:rFonts w:ascii="Times New Roman" w:eastAsia="Times New Roman" w:hAnsi="Times New Roman" w:cs="Times New Roman"/>
          <w:sz w:val="24"/>
          <w:szCs w:val="24"/>
          <w:lang w:eastAsia="en-IN"/>
        </w:rPr>
        <w:t xml:space="preserve">Uniform agronomic practices, including </w:t>
      </w:r>
      <w:r w:rsidR="00F90BE7">
        <w:rPr>
          <w:rFonts w:ascii="Times New Roman" w:eastAsia="Times New Roman" w:hAnsi="Times New Roman" w:cs="Times New Roman"/>
          <w:sz w:val="24"/>
          <w:szCs w:val="24"/>
          <w:lang w:eastAsia="en-IN"/>
        </w:rPr>
        <w:t>weeding, pest control</w:t>
      </w:r>
      <w:r w:rsidRPr="003A5F2F">
        <w:rPr>
          <w:rFonts w:ascii="Times New Roman" w:eastAsia="Times New Roman" w:hAnsi="Times New Roman" w:cs="Times New Roman"/>
          <w:sz w:val="24"/>
          <w:szCs w:val="24"/>
          <w:lang w:eastAsia="en-IN"/>
        </w:rPr>
        <w:t xml:space="preserve"> and fertilization, were meticulously followed across all experimental plots to ensure proper crop establishment and to facilitate the accurate evaluation of the genetic potential of each genotype</w:t>
      </w:r>
      <w:r w:rsidR="00211617">
        <w:rPr>
          <w:rFonts w:ascii="Times New Roman" w:eastAsia="Times New Roman" w:hAnsi="Times New Roman" w:cs="Times New Roman"/>
          <w:sz w:val="24"/>
          <w:szCs w:val="24"/>
          <w:lang w:eastAsia="en-IN"/>
        </w:rPr>
        <w:t xml:space="preserve"> against </w:t>
      </w:r>
      <w:r w:rsidR="00FF3007">
        <w:rPr>
          <w:rFonts w:ascii="Times New Roman" w:eastAsia="Times New Roman" w:hAnsi="Times New Roman" w:cs="Times New Roman"/>
          <w:sz w:val="24"/>
          <w:szCs w:val="24"/>
          <w:lang w:eastAsia="en-IN"/>
        </w:rPr>
        <w:t>blast disease</w:t>
      </w:r>
      <w:r w:rsidRPr="003A5F2F">
        <w:rPr>
          <w:rFonts w:ascii="Times New Roman" w:eastAsia="Times New Roman" w:hAnsi="Times New Roman" w:cs="Times New Roman"/>
          <w:sz w:val="24"/>
          <w:szCs w:val="24"/>
          <w:lang w:eastAsia="en-IN"/>
        </w:rPr>
        <w:t>.</w:t>
      </w:r>
    </w:p>
    <w:p w14:paraId="5AABC887" w14:textId="77777777" w:rsidR="00FF3007" w:rsidRPr="00FF3007" w:rsidRDefault="00FF3007" w:rsidP="00221467">
      <w:pPr>
        <w:widowControl w:val="0"/>
        <w:autoSpaceDE w:val="0"/>
        <w:autoSpaceDN w:val="0"/>
        <w:spacing w:before="120" w:after="120" w:line="360" w:lineRule="auto"/>
        <w:jc w:val="both"/>
        <w:rPr>
          <w:rFonts w:ascii="Times New Roman" w:eastAsia="Arial" w:hAnsi="Times New Roman" w:cs="Times New Roman"/>
          <w:b/>
          <w:color w:val="000000"/>
          <w:sz w:val="24"/>
          <w:szCs w:val="24"/>
          <w:lang w:val="en-US"/>
        </w:rPr>
      </w:pPr>
      <w:r w:rsidRPr="00FF3007">
        <w:rPr>
          <w:rFonts w:ascii="Times New Roman" w:eastAsia="Arial MT" w:hAnsi="Times New Roman" w:cs="Times New Roman"/>
          <w:b/>
          <w:sz w:val="24"/>
          <w:szCs w:val="24"/>
          <w:lang w:val="en-US"/>
        </w:rPr>
        <w:t xml:space="preserve">Table 1 List of pearl millet </w:t>
      </w:r>
      <w:r w:rsidR="009855C3">
        <w:rPr>
          <w:rFonts w:ascii="Times New Roman" w:eastAsia="Arial MT" w:hAnsi="Times New Roman" w:cs="Times New Roman"/>
          <w:b/>
          <w:sz w:val="24"/>
          <w:szCs w:val="24"/>
          <w:lang w:val="en-US"/>
        </w:rPr>
        <w:t>restorer lines</w:t>
      </w:r>
      <w:r w:rsidRPr="00FF3007">
        <w:rPr>
          <w:rFonts w:ascii="Times New Roman" w:eastAsia="Arial MT" w:hAnsi="Times New Roman" w:cs="Times New Roman"/>
          <w:b/>
          <w:sz w:val="24"/>
          <w:szCs w:val="24"/>
          <w:lang w:val="en-US"/>
        </w:rPr>
        <w:t xml:space="preserve"> used in the investigation</w:t>
      </w:r>
    </w:p>
    <w:tbl>
      <w:tblPr>
        <w:tblStyle w:val="TableGrid"/>
        <w:tblW w:w="9576" w:type="dxa"/>
        <w:tblLayout w:type="fixed"/>
        <w:tblLook w:val="04A0" w:firstRow="1" w:lastRow="0" w:firstColumn="1" w:lastColumn="0" w:noHBand="0" w:noVBand="1"/>
      </w:tblPr>
      <w:tblGrid>
        <w:gridCol w:w="534"/>
        <w:gridCol w:w="1062"/>
        <w:gridCol w:w="526"/>
        <w:gridCol w:w="1070"/>
        <w:gridCol w:w="483"/>
        <w:gridCol w:w="1113"/>
        <w:gridCol w:w="483"/>
        <w:gridCol w:w="1113"/>
        <w:gridCol w:w="528"/>
        <w:gridCol w:w="1068"/>
        <w:gridCol w:w="492"/>
        <w:gridCol w:w="1104"/>
      </w:tblGrid>
      <w:tr w:rsidR="00221467" w:rsidRPr="00FF3007" w14:paraId="00C4E382" w14:textId="77777777" w:rsidTr="00221467">
        <w:tc>
          <w:tcPr>
            <w:tcW w:w="534" w:type="dxa"/>
          </w:tcPr>
          <w:p w14:paraId="0B38BADD" w14:textId="77777777" w:rsidR="00221467" w:rsidRPr="00221467" w:rsidRDefault="00221467" w:rsidP="009118FF">
            <w:pPr>
              <w:widowControl w:val="0"/>
              <w:autoSpaceDE w:val="0"/>
              <w:autoSpaceDN w:val="0"/>
              <w:ind w:right="-108"/>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062" w:type="dxa"/>
          </w:tcPr>
          <w:p w14:paraId="1A655F45"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526" w:type="dxa"/>
          </w:tcPr>
          <w:p w14:paraId="3E048946"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070" w:type="dxa"/>
          </w:tcPr>
          <w:p w14:paraId="4F13068A"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483" w:type="dxa"/>
          </w:tcPr>
          <w:p w14:paraId="27EEBA3F"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113" w:type="dxa"/>
          </w:tcPr>
          <w:p w14:paraId="0C6BBBC3"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483" w:type="dxa"/>
          </w:tcPr>
          <w:p w14:paraId="1C0ED626"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113" w:type="dxa"/>
          </w:tcPr>
          <w:p w14:paraId="003A2D06"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528" w:type="dxa"/>
          </w:tcPr>
          <w:p w14:paraId="52DE0204"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068" w:type="dxa"/>
          </w:tcPr>
          <w:p w14:paraId="2A002E32"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492" w:type="dxa"/>
          </w:tcPr>
          <w:p w14:paraId="63F8F4C0"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104" w:type="dxa"/>
          </w:tcPr>
          <w:p w14:paraId="60D2599E"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r>
      <w:tr w:rsidR="00221467" w:rsidRPr="00FF3007" w14:paraId="41EBA684" w14:textId="77777777" w:rsidTr="00221467">
        <w:tc>
          <w:tcPr>
            <w:tcW w:w="534" w:type="dxa"/>
          </w:tcPr>
          <w:p w14:paraId="1C58B54A" w14:textId="77777777" w:rsidR="00221467" w:rsidRPr="00221467" w:rsidRDefault="00221467" w:rsidP="009118FF">
            <w:pPr>
              <w:widowControl w:val="0"/>
              <w:autoSpaceDE w:val="0"/>
              <w:autoSpaceDN w:val="0"/>
              <w:ind w:right="-108"/>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w:t>
            </w:r>
          </w:p>
        </w:tc>
        <w:tc>
          <w:tcPr>
            <w:tcW w:w="1062" w:type="dxa"/>
          </w:tcPr>
          <w:p w14:paraId="122FA12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R-20002</w:t>
            </w:r>
          </w:p>
        </w:tc>
        <w:tc>
          <w:tcPr>
            <w:tcW w:w="526" w:type="dxa"/>
          </w:tcPr>
          <w:p w14:paraId="48469FF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14</w:t>
            </w:r>
          </w:p>
        </w:tc>
        <w:tc>
          <w:tcPr>
            <w:tcW w:w="1070" w:type="dxa"/>
          </w:tcPr>
          <w:p w14:paraId="58737E7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R-20206</w:t>
            </w:r>
          </w:p>
        </w:tc>
        <w:tc>
          <w:tcPr>
            <w:tcW w:w="483" w:type="dxa"/>
          </w:tcPr>
          <w:p w14:paraId="61C67D9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27</w:t>
            </w:r>
          </w:p>
        </w:tc>
        <w:tc>
          <w:tcPr>
            <w:tcW w:w="1113" w:type="dxa"/>
          </w:tcPr>
          <w:p w14:paraId="16CC906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R-20846</w:t>
            </w:r>
          </w:p>
        </w:tc>
        <w:tc>
          <w:tcPr>
            <w:tcW w:w="483" w:type="dxa"/>
          </w:tcPr>
          <w:p w14:paraId="40CB852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40</w:t>
            </w:r>
          </w:p>
        </w:tc>
        <w:tc>
          <w:tcPr>
            <w:tcW w:w="1113" w:type="dxa"/>
          </w:tcPr>
          <w:p w14:paraId="5ABFC73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R-24657</w:t>
            </w:r>
          </w:p>
        </w:tc>
        <w:tc>
          <w:tcPr>
            <w:tcW w:w="528" w:type="dxa"/>
          </w:tcPr>
          <w:p w14:paraId="0A4A5C9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53</w:t>
            </w:r>
          </w:p>
        </w:tc>
        <w:tc>
          <w:tcPr>
            <w:tcW w:w="1068" w:type="dxa"/>
          </w:tcPr>
          <w:p w14:paraId="61CF4EB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R-25511</w:t>
            </w:r>
          </w:p>
        </w:tc>
        <w:tc>
          <w:tcPr>
            <w:tcW w:w="492" w:type="dxa"/>
          </w:tcPr>
          <w:p w14:paraId="690AD8D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66</w:t>
            </w:r>
          </w:p>
        </w:tc>
        <w:tc>
          <w:tcPr>
            <w:tcW w:w="1104" w:type="dxa"/>
          </w:tcPr>
          <w:p w14:paraId="602D38D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R-21283</w:t>
            </w:r>
          </w:p>
        </w:tc>
      </w:tr>
      <w:tr w:rsidR="00221467" w:rsidRPr="00FF3007" w14:paraId="3707276E" w14:textId="77777777" w:rsidTr="00221467">
        <w:tc>
          <w:tcPr>
            <w:tcW w:w="534" w:type="dxa"/>
          </w:tcPr>
          <w:p w14:paraId="085FF83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w:t>
            </w:r>
          </w:p>
        </w:tc>
        <w:tc>
          <w:tcPr>
            <w:tcW w:w="1062" w:type="dxa"/>
          </w:tcPr>
          <w:p w14:paraId="64C101EE"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R-20012</w:t>
            </w:r>
          </w:p>
        </w:tc>
        <w:tc>
          <w:tcPr>
            <w:tcW w:w="526" w:type="dxa"/>
          </w:tcPr>
          <w:p w14:paraId="5B74060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15</w:t>
            </w:r>
          </w:p>
        </w:tc>
        <w:tc>
          <w:tcPr>
            <w:tcW w:w="1070" w:type="dxa"/>
          </w:tcPr>
          <w:p w14:paraId="0D17994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R-20208</w:t>
            </w:r>
          </w:p>
        </w:tc>
        <w:tc>
          <w:tcPr>
            <w:tcW w:w="483" w:type="dxa"/>
          </w:tcPr>
          <w:p w14:paraId="5D5FF9C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28</w:t>
            </w:r>
          </w:p>
        </w:tc>
        <w:tc>
          <w:tcPr>
            <w:tcW w:w="1113" w:type="dxa"/>
          </w:tcPr>
          <w:p w14:paraId="45FD4D7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R-20871</w:t>
            </w:r>
          </w:p>
        </w:tc>
        <w:tc>
          <w:tcPr>
            <w:tcW w:w="483" w:type="dxa"/>
          </w:tcPr>
          <w:p w14:paraId="2191745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41</w:t>
            </w:r>
          </w:p>
        </w:tc>
        <w:tc>
          <w:tcPr>
            <w:tcW w:w="1113" w:type="dxa"/>
          </w:tcPr>
          <w:p w14:paraId="642A257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R-24658</w:t>
            </w:r>
          </w:p>
        </w:tc>
        <w:tc>
          <w:tcPr>
            <w:tcW w:w="528" w:type="dxa"/>
          </w:tcPr>
          <w:p w14:paraId="3FEB647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54</w:t>
            </w:r>
          </w:p>
        </w:tc>
        <w:tc>
          <w:tcPr>
            <w:tcW w:w="1068" w:type="dxa"/>
          </w:tcPr>
          <w:p w14:paraId="4479680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R-25850</w:t>
            </w:r>
          </w:p>
        </w:tc>
        <w:tc>
          <w:tcPr>
            <w:tcW w:w="492" w:type="dxa"/>
          </w:tcPr>
          <w:p w14:paraId="009946C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67</w:t>
            </w:r>
          </w:p>
        </w:tc>
        <w:tc>
          <w:tcPr>
            <w:tcW w:w="1104" w:type="dxa"/>
          </w:tcPr>
          <w:p w14:paraId="133D703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R-21355</w:t>
            </w:r>
          </w:p>
        </w:tc>
      </w:tr>
      <w:tr w:rsidR="00221467" w:rsidRPr="00FF3007" w14:paraId="35A45F4D" w14:textId="77777777" w:rsidTr="00221467">
        <w:tc>
          <w:tcPr>
            <w:tcW w:w="534" w:type="dxa"/>
          </w:tcPr>
          <w:p w14:paraId="28807B7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w:t>
            </w:r>
          </w:p>
        </w:tc>
        <w:tc>
          <w:tcPr>
            <w:tcW w:w="1062" w:type="dxa"/>
          </w:tcPr>
          <w:p w14:paraId="640C835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R-20057</w:t>
            </w:r>
          </w:p>
        </w:tc>
        <w:tc>
          <w:tcPr>
            <w:tcW w:w="526" w:type="dxa"/>
          </w:tcPr>
          <w:p w14:paraId="4F1803B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16</w:t>
            </w:r>
          </w:p>
        </w:tc>
        <w:tc>
          <w:tcPr>
            <w:tcW w:w="1070" w:type="dxa"/>
          </w:tcPr>
          <w:p w14:paraId="67534C2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R-20212</w:t>
            </w:r>
          </w:p>
        </w:tc>
        <w:tc>
          <w:tcPr>
            <w:tcW w:w="483" w:type="dxa"/>
          </w:tcPr>
          <w:p w14:paraId="019DA21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29</w:t>
            </w:r>
          </w:p>
        </w:tc>
        <w:tc>
          <w:tcPr>
            <w:tcW w:w="1113" w:type="dxa"/>
          </w:tcPr>
          <w:p w14:paraId="175FA34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R-23906</w:t>
            </w:r>
          </w:p>
        </w:tc>
        <w:tc>
          <w:tcPr>
            <w:tcW w:w="483" w:type="dxa"/>
          </w:tcPr>
          <w:p w14:paraId="4B085FC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42</w:t>
            </w:r>
          </w:p>
        </w:tc>
        <w:tc>
          <w:tcPr>
            <w:tcW w:w="1113" w:type="dxa"/>
          </w:tcPr>
          <w:p w14:paraId="1B4EE0A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R-24659</w:t>
            </w:r>
          </w:p>
        </w:tc>
        <w:tc>
          <w:tcPr>
            <w:tcW w:w="528" w:type="dxa"/>
          </w:tcPr>
          <w:p w14:paraId="3C0CF47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55</w:t>
            </w:r>
          </w:p>
        </w:tc>
        <w:tc>
          <w:tcPr>
            <w:tcW w:w="1068" w:type="dxa"/>
          </w:tcPr>
          <w:p w14:paraId="580AF02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R-25865</w:t>
            </w:r>
          </w:p>
        </w:tc>
        <w:tc>
          <w:tcPr>
            <w:tcW w:w="492" w:type="dxa"/>
          </w:tcPr>
          <w:p w14:paraId="36AC55E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68</w:t>
            </w:r>
          </w:p>
        </w:tc>
        <w:tc>
          <w:tcPr>
            <w:tcW w:w="1104" w:type="dxa"/>
          </w:tcPr>
          <w:p w14:paraId="0C69105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R-21370</w:t>
            </w:r>
          </w:p>
        </w:tc>
      </w:tr>
      <w:tr w:rsidR="00221467" w:rsidRPr="00FF3007" w14:paraId="4D66BCCE" w14:textId="77777777" w:rsidTr="00221467">
        <w:tc>
          <w:tcPr>
            <w:tcW w:w="534" w:type="dxa"/>
          </w:tcPr>
          <w:p w14:paraId="7DE8DF5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w:t>
            </w:r>
          </w:p>
        </w:tc>
        <w:tc>
          <w:tcPr>
            <w:tcW w:w="1062" w:type="dxa"/>
          </w:tcPr>
          <w:p w14:paraId="69CC182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R-20079</w:t>
            </w:r>
          </w:p>
        </w:tc>
        <w:tc>
          <w:tcPr>
            <w:tcW w:w="526" w:type="dxa"/>
          </w:tcPr>
          <w:p w14:paraId="55C7F94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17</w:t>
            </w:r>
          </w:p>
        </w:tc>
        <w:tc>
          <w:tcPr>
            <w:tcW w:w="1070" w:type="dxa"/>
          </w:tcPr>
          <w:p w14:paraId="73B2A92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R-20218</w:t>
            </w:r>
          </w:p>
        </w:tc>
        <w:tc>
          <w:tcPr>
            <w:tcW w:w="483" w:type="dxa"/>
          </w:tcPr>
          <w:p w14:paraId="280F216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30</w:t>
            </w:r>
          </w:p>
        </w:tc>
        <w:tc>
          <w:tcPr>
            <w:tcW w:w="1113" w:type="dxa"/>
          </w:tcPr>
          <w:p w14:paraId="6780E16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R-23956</w:t>
            </w:r>
          </w:p>
        </w:tc>
        <w:tc>
          <w:tcPr>
            <w:tcW w:w="483" w:type="dxa"/>
          </w:tcPr>
          <w:p w14:paraId="565411B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43</w:t>
            </w:r>
          </w:p>
        </w:tc>
        <w:tc>
          <w:tcPr>
            <w:tcW w:w="1113" w:type="dxa"/>
          </w:tcPr>
          <w:p w14:paraId="7238AFD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R-24661</w:t>
            </w:r>
          </w:p>
        </w:tc>
        <w:tc>
          <w:tcPr>
            <w:tcW w:w="528" w:type="dxa"/>
          </w:tcPr>
          <w:p w14:paraId="03BF79F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56</w:t>
            </w:r>
          </w:p>
        </w:tc>
        <w:tc>
          <w:tcPr>
            <w:tcW w:w="1068" w:type="dxa"/>
          </w:tcPr>
          <w:p w14:paraId="63B6DA0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R-25910</w:t>
            </w:r>
          </w:p>
        </w:tc>
        <w:tc>
          <w:tcPr>
            <w:tcW w:w="492" w:type="dxa"/>
          </w:tcPr>
          <w:p w14:paraId="78D86FC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69</w:t>
            </w:r>
          </w:p>
        </w:tc>
        <w:tc>
          <w:tcPr>
            <w:tcW w:w="1104" w:type="dxa"/>
          </w:tcPr>
          <w:p w14:paraId="2245089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R-21930</w:t>
            </w:r>
          </w:p>
        </w:tc>
      </w:tr>
      <w:tr w:rsidR="00221467" w:rsidRPr="00FF3007" w14:paraId="4FB21634" w14:textId="77777777" w:rsidTr="00221467">
        <w:tc>
          <w:tcPr>
            <w:tcW w:w="534" w:type="dxa"/>
          </w:tcPr>
          <w:p w14:paraId="7965F6A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w:t>
            </w:r>
          </w:p>
        </w:tc>
        <w:tc>
          <w:tcPr>
            <w:tcW w:w="1062" w:type="dxa"/>
          </w:tcPr>
          <w:p w14:paraId="57B4AAB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R-20090</w:t>
            </w:r>
          </w:p>
        </w:tc>
        <w:tc>
          <w:tcPr>
            <w:tcW w:w="526" w:type="dxa"/>
          </w:tcPr>
          <w:p w14:paraId="4905983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18</w:t>
            </w:r>
          </w:p>
        </w:tc>
        <w:tc>
          <w:tcPr>
            <w:tcW w:w="1070" w:type="dxa"/>
          </w:tcPr>
          <w:p w14:paraId="76ADC4EE"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R-20443</w:t>
            </w:r>
          </w:p>
        </w:tc>
        <w:tc>
          <w:tcPr>
            <w:tcW w:w="483" w:type="dxa"/>
          </w:tcPr>
          <w:p w14:paraId="0368D2D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31</w:t>
            </w:r>
          </w:p>
        </w:tc>
        <w:tc>
          <w:tcPr>
            <w:tcW w:w="1113" w:type="dxa"/>
          </w:tcPr>
          <w:p w14:paraId="676CC5F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R-23565</w:t>
            </w:r>
          </w:p>
        </w:tc>
        <w:tc>
          <w:tcPr>
            <w:tcW w:w="483" w:type="dxa"/>
          </w:tcPr>
          <w:p w14:paraId="52F2677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44</w:t>
            </w:r>
          </w:p>
        </w:tc>
        <w:tc>
          <w:tcPr>
            <w:tcW w:w="1113" w:type="dxa"/>
          </w:tcPr>
          <w:p w14:paraId="38794EC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R-24662</w:t>
            </w:r>
          </w:p>
        </w:tc>
        <w:tc>
          <w:tcPr>
            <w:tcW w:w="528" w:type="dxa"/>
          </w:tcPr>
          <w:p w14:paraId="20CFE16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57</w:t>
            </w:r>
          </w:p>
        </w:tc>
        <w:tc>
          <w:tcPr>
            <w:tcW w:w="1068" w:type="dxa"/>
          </w:tcPr>
          <w:p w14:paraId="62067C8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R-26462</w:t>
            </w:r>
          </w:p>
        </w:tc>
        <w:tc>
          <w:tcPr>
            <w:tcW w:w="492" w:type="dxa"/>
          </w:tcPr>
          <w:p w14:paraId="2DE4915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70</w:t>
            </w:r>
          </w:p>
        </w:tc>
        <w:tc>
          <w:tcPr>
            <w:tcW w:w="1104" w:type="dxa"/>
          </w:tcPr>
          <w:p w14:paraId="34A8EDA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R-21970</w:t>
            </w:r>
          </w:p>
        </w:tc>
      </w:tr>
      <w:tr w:rsidR="00221467" w:rsidRPr="00FF3007" w14:paraId="16F38839" w14:textId="77777777" w:rsidTr="00221467">
        <w:tc>
          <w:tcPr>
            <w:tcW w:w="534" w:type="dxa"/>
          </w:tcPr>
          <w:p w14:paraId="7E0AB05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w:t>
            </w:r>
          </w:p>
        </w:tc>
        <w:tc>
          <w:tcPr>
            <w:tcW w:w="1062" w:type="dxa"/>
          </w:tcPr>
          <w:p w14:paraId="7B1CDA1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R-20103</w:t>
            </w:r>
          </w:p>
        </w:tc>
        <w:tc>
          <w:tcPr>
            <w:tcW w:w="526" w:type="dxa"/>
          </w:tcPr>
          <w:p w14:paraId="1CE6A8C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19</w:t>
            </w:r>
          </w:p>
        </w:tc>
        <w:tc>
          <w:tcPr>
            <w:tcW w:w="1070" w:type="dxa"/>
          </w:tcPr>
          <w:p w14:paraId="57E6863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R-20444</w:t>
            </w:r>
          </w:p>
        </w:tc>
        <w:tc>
          <w:tcPr>
            <w:tcW w:w="483" w:type="dxa"/>
          </w:tcPr>
          <w:p w14:paraId="41B8636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32</w:t>
            </w:r>
          </w:p>
        </w:tc>
        <w:tc>
          <w:tcPr>
            <w:tcW w:w="1113" w:type="dxa"/>
          </w:tcPr>
          <w:p w14:paraId="59C9EAF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R-24610</w:t>
            </w:r>
          </w:p>
        </w:tc>
        <w:tc>
          <w:tcPr>
            <w:tcW w:w="483" w:type="dxa"/>
          </w:tcPr>
          <w:p w14:paraId="3248C8D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45</w:t>
            </w:r>
          </w:p>
        </w:tc>
        <w:tc>
          <w:tcPr>
            <w:tcW w:w="1113" w:type="dxa"/>
          </w:tcPr>
          <w:p w14:paraId="2D4D031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R-24663</w:t>
            </w:r>
          </w:p>
        </w:tc>
        <w:tc>
          <w:tcPr>
            <w:tcW w:w="528" w:type="dxa"/>
          </w:tcPr>
          <w:p w14:paraId="7E7D862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58</w:t>
            </w:r>
          </w:p>
        </w:tc>
        <w:tc>
          <w:tcPr>
            <w:tcW w:w="1068" w:type="dxa"/>
          </w:tcPr>
          <w:p w14:paraId="308FF0A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R-26482</w:t>
            </w:r>
          </w:p>
        </w:tc>
        <w:tc>
          <w:tcPr>
            <w:tcW w:w="492" w:type="dxa"/>
          </w:tcPr>
          <w:p w14:paraId="1D107EA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71</w:t>
            </w:r>
          </w:p>
        </w:tc>
        <w:tc>
          <w:tcPr>
            <w:tcW w:w="1104" w:type="dxa"/>
          </w:tcPr>
          <w:p w14:paraId="1CD79EC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R-22013</w:t>
            </w:r>
          </w:p>
        </w:tc>
      </w:tr>
      <w:tr w:rsidR="00221467" w:rsidRPr="00FF3007" w14:paraId="713D914C" w14:textId="77777777" w:rsidTr="00221467">
        <w:tc>
          <w:tcPr>
            <w:tcW w:w="534" w:type="dxa"/>
          </w:tcPr>
          <w:p w14:paraId="17BDA83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w:t>
            </w:r>
          </w:p>
        </w:tc>
        <w:tc>
          <w:tcPr>
            <w:tcW w:w="1062" w:type="dxa"/>
          </w:tcPr>
          <w:p w14:paraId="61EAC74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R-20105</w:t>
            </w:r>
          </w:p>
        </w:tc>
        <w:tc>
          <w:tcPr>
            <w:tcW w:w="526" w:type="dxa"/>
          </w:tcPr>
          <w:p w14:paraId="06EAE5D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20</w:t>
            </w:r>
          </w:p>
        </w:tc>
        <w:tc>
          <w:tcPr>
            <w:tcW w:w="1070" w:type="dxa"/>
          </w:tcPr>
          <w:p w14:paraId="7C7FA7F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R-20671</w:t>
            </w:r>
          </w:p>
        </w:tc>
        <w:tc>
          <w:tcPr>
            <w:tcW w:w="483" w:type="dxa"/>
          </w:tcPr>
          <w:p w14:paraId="485C9B0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33</w:t>
            </w:r>
          </w:p>
        </w:tc>
        <w:tc>
          <w:tcPr>
            <w:tcW w:w="1113" w:type="dxa"/>
          </w:tcPr>
          <w:p w14:paraId="23B4612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R-24650</w:t>
            </w:r>
          </w:p>
        </w:tc>
        <w:tc>
          <w:tcPr>
            <w:tcW w:w="483" w:type="dxa"/>
          </w:tcPr>
          <w:p w14:paraId="59FF76B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46</w:t>
            </w:r>
          </w:p>
        </w:tc>
        <w:tc>
          <w:tcPr>
            <w:tcW w:w="1113" w:type="dxa"/>
          </w:tcPr>
          <w:p w14:paraId="387B60F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R-24664</w:t>
            </w:r>
          </w:p>
        </w:tc>
        <w:tc>
          <w:tcPr>
            <w:tcW w:w="528" w:type="dxa"/>
          </w:tcPr>
          <w:p w14:paraId="7043CCE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59</w:t>
            </w:r>
          </w:p>
        </w:tc>
        <w:tc>
          <w:tcPr>
            <w:tcW w:w="1068" w:type="dxa"/>
          </w:tcPr>
          <w:p w14:paraId="7419A13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R-26492</w:t>
            </w:r>
          </w:p>
        </w:tc>
        <w:tc>
          <w:tcPr>
            <w:tcW w:w="492" w:type="dxa"/>
          </w:tcPr>
          <w:p w14:paraId="1649FA2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72</w:t>
            </w:r>
          </w:p>
        </w:tc>
        <w:tc>
          <w:tcPr>
            <w:tcW w:w="1104" w:type="dxa"/>
          </w:tcPr>
          <w:p w14:paraId="2F0F18F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R-22713</w:t>
            </w:r>
          </w:p>
        </w:tc>
      </w:tr>
      <w:tr w:rsidR="00221467" w:rsidRPr="00FF3007" w14:paraId="34AE28A6" w14:textId="77777777" w:rsidTr="00221467">
        <w:tc>
          <w:tcPr>
            <w:tcW w:w="534" w:type="dxa"/>
          </w:tcPr>
          <w:p w14:paraId="61FBFB1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8</w:t>
            </w:r>
          </w:p>
        </w:tc>
        <w:tc>
          <w:tcPr>
            <w:tcW w:w="1062" w:type="dxa"/>
          </w:tcPr>
          <w:p w14:paraId="1ADC32D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R-20108</w:t>
            </w:r>
          </w:p>
        </w:tc>
        <w:tc>
          <w:tcPr>
            <w:tcW w:w="526" w:type="dxa"/>
          </w:tcPr>
          <w:p w14:paraId="0C963BC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21</w:t>
            </w:r>
          </w:p>
        </w:tc>
        <w:tc>
          <w:tcPr>
            <w:tcW w:w="1070" w:type="dxa"/>
          </w:tcPr>
          <w:p w14:paraId="7A7F9EB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R-20706</w:t>
            </w:r>
          </w:p>
        </w:tc>
        <w:tc>
          <w:tcPr>
            <w:tcW w:w="483" w:type="dxa"/>
          </w:tcPr>
          <w:p w14:paraId="0CFA0FB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34</w:t>
            </w:r>
          </w:p>
        </w:tc>
        <w:tc>
          <w:tcPr>
            <w:tcW w:w="1113" w:type="dxa"/>
          </w:tcPr>
          <w:p w14:paraId="7039523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R-24651</w:t>
            </w:r>
          </w:p>
        </w:tc>
        <w:tc>
          <w:tcPr>
            <w:tcW w:w="483" w:type="dxa"/>
          </w:tcPr>
          <w:p w14:paraId="6214026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47</w:t>
            </w:r>
          </w:p>
        </w:tc>
        <w:tc>
          <w:tcPr>
            <w:tcW w:w="1113" w:type="dxa"/>
          </w:tcPr>
          <w:p w14:paraId="34AD6ED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R-24665</w:t>
            </w:r>
          </w:p>
        </w:tc>
        <w:tc>
          <w:tcPr>
            <w:tcW w:w="528" w:type="dxa"/>
          </w:tcPr>
          <w:p w14:paraId="7C8292E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60</w:t>
            </w:r>
          </w:p>
        </w:tc>
        <w:tc>
          <w:tcPr>
            <w:tcW w:w="1068" w:type="dxa"/>
          </w:tcPr>
          <w:p w14:paraId="384BD0B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R-26607</w:t>
            </w:r>
          </w:p>
        </w:tc>
        <w:tc>
          <w:tcPr>
            <w:tcW w:w="492" w:type="dxa"/>
          </w:tcPr>
          <w:p w14:paraId="4F91BF2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73</w:t>
            </w:r>
          </w:p>
        </w:tc>
        <w:tc>
          <w:tcPr>
            <w:tcW w:w="1104" w:type="dxa"/>
          </w:tcPr>
          <w:p w14:paraId="255E7B5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R-22768</w:t>
            </w:r>
          </w:p>
        </w:tc>
      </w:tr>
      <w:tr w:rsidR="00221467" w:rsidRPr="00FF3007" w14:paraId="18E51E16" w14:textId="77777777" w:rsidTr="00221467">
        <w:tc>
          <w:tcPr>
            <w:tcW w:w="534" w:type="dxa"/>
          </w:tcPr>
          <w:p w14:paraId="185A27B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9</w:t>
            </w:r>
          </w:p>
        </w:tc>
        <w:tc>
          <w:tcPr>
            <w:tcW w:w="1062" w:type="dxa"/>
          </w:tcPr>
          <w:p w14:paraId="55B1A4C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R-20111</w:t>
            </w:r>
          </w:p>
        </w:tc>
        <w:tc>
          <w:tcPr>
            <w:tcW w:w="526" w:type="dxa"/>
          </w:tcPr>
          <w:p w14:paraId="1B0AC98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22</w:t>
            </w:r>
          </w:p>
        </w:tc>
        <w:tc>
          <w:tcPr>
            <w:tcW w:w="1070" w:type="dxa"/>
          </w:tcPr>
          <w:p w14:paraId="07E1D6C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R-20710</w:t>
            </w:r>
          </w:p>
        </w:tc>
        <w:tc>
          <w:tcPr>
            <w:tcW w:w="483" w:type="dxa"/>
          </w:tcPr>
          <w:p w14:paraId="7DF838A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35</w:t>
            </w:r>
          </w:p>
        </w:tc>
        <w:tc>
          <w:tcPr>
            <w:tcW w:w="1113" w:type="dxa"/>
          </w:tcPr>
          <w:p w14:paraId="36A21B4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R-24652</w:t>
            </w:r>
          </w:p>
        </w:tc>
        <w:tc>
          <w:tcPr>
            <w:tcW w:w="483" w:type="dxa"/>
          </w:tcPr>
          <w:p w14:paraId="03FD976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48</w:t>
            </w:r>
          </w:p>
        </w:tc>
        <w:tc>
          <w:tcPr>
            <w:tcW w:w="1113" w:type="dxa"/>
          </w:tcPr>
          <w:p w14:paraId="32A6737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R-24666</w:t>
            </w:r>
          </w:p>
        </w:tc>
        <w:tc>
          <w:tcPr>
            <w:tcW w:w="528" w:type="dxa"/>
          </w:tcPr>
          <w:p w14:paraId="36A820F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61</w:t>
            </w:r>
          </w:p>
        </w:tc>
        <w:tc>
          <w:tcPr>
            <w:tcW w:w="1068" w:type="dxa"/>
          </w:tcPr>
          <w:p w14:paraId="6B04F51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R-27738</w:t>
            </w:r>
          </w:p>
        </w:tc>
        <w:tc>
          <w:tcPr>
            <w:tcW w:w="492" w:type="dxa"/>
          </w:tcPr>
          <w:p w14:paraId="383CA73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74</w:t>
            </w:r>
          </w:p>
        </w:tc>
        <w:tc>
          <w:tcPr>
            <w:tcW w:w="1104" w:type="dxa"/>
          </w:tcPr>
          <w:p w14:paraId="09E7B3B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R-22908</w:t>
            </w:r>
          </w:p>
        </w:tc>
      </w:tr>
      <w:tr w:rsidR="00221467" w:rsidRPr="00FF3007" w14:paraId="121B6BAF" w14:textId="77777777" w:rsidTr="00221467">
        <w:tc>
          <w:tcPr>
            <w:tcW w:w="534" w:type="dxa"/>
          </w:tcPr>
          <w:p w14:paraId="28BFFFD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10</w:t>
            </w:r>
          </w:p>
        </w:tc>
        <w:tc>
          <w:tcPr>
            <w:tcW w:w="1062" w:type="dxa"/>
          </w:tcPr>
          <w:p w14:paraId="68C6D0BE"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R-20113</w:t>
            </w:r>
          </w:p>
        </w:tc>
        <w:tc>
          <w:tcPr>
            <w:tcW w:w="526" w:type="dxa"/>
          </w:tcPr>
          <w:p w14:paraId="2E42E99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23</w:t>
            </w:r>
          </w:p>
        </w:tc>
        <w:tc>
          <w:tcPr>
            <w:tcW w:w="1070" w:type="dxa"/>
          </w:tcPr>
          <w:p w14:paraId="5808BE5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R-20810</w:t>
            </w:r>
          </w:p>
        </w:tc>
        <w:tc>
          <w:tcPr>
            <w:tcW w:w="483" w:type="dxa"/>
          </w:tcPr>
          <w:p w14:paraId="627A0F8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36</w:t>
            </w:r>
          </w:p>
        </w:tc>
        <w:tc>
          <w:tcPr>
            <w:tcW w:w="1113" w:type="dxa"/>
          </w:tcPr>
          <w:p w14:paraId="7FB3842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R-24653</w:t>
            </w:r>
          </w:p>
        </w:tc>
        <w:tc>
          <w:tcPr>
            <w:tcW w:w="483" w:type="dxa"/>
          </w:tcPr>
          <w:p w14:paraId="24E2275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49</w:t>
            </w:r>
          </w:p>
        </w:tc>
        <w:tc>
          <w:tcPr>
            <w:tcW w:w="1113" w:type="dxa"/>
          </w:tcPr>
          <w:p w14:paraId="130BCD4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R-24667</w:t>
            </w:r>
          </w:p>
        </w:tc>
        <w:tc>
          <w:tcPr>
            <w:tcW w:w="528" w:type="dxa"/>
          </w:tcPr>
          <w:p w14:paraId="46CE2D9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62</w:t>
            </w:r>
          </w:p>
        </w:tc>
        <w:tc>
          <w:tcPr>
            <w:tcW w:w="1068" w:type="dxa"/>
          </w:tcPr>
          <w:p w14:paraId="6EB8318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R-20876</w:t>
            </w:r>
          </w:p>
        </w:tc>
        <w:tc>
          <w:tcPr>
            <w:tcW w:w="492" w:type="dxa"/>
          </w:tcPr>
          <w:p w14:paraId="2B50036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75</w:t>
            </w:r>
          </w:p>
        </w:tc>
        <w:tc>
          <w:tcPr>
            <w:tcW w:w="1104" w:type="dxa"/>
          </w:tcPr>
          <w:p w14:paraId="37A00CE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R-22918</w:t>
            </w:r>
          </w:p>
        </w:tc>
      </w:tr>
      <w:tr w:rsidR="00221467" w:rsidRPr="00FF3007" w14:paraId="7BD9EF9E" w14:textId="77777777" w:rsidTr="00221467">
        <w:tc>
          <w:tcPr>
            <w:tcW w:w="534" w:type="dxa"/>
          </w:tcPr>
          <w:p w14:paraId="40FEDEC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11</w:t>
            </w:r>
          </w:p>
        </w:tc>
        <w:tc>
          <w:tcPr>
            <w:tcW w:w="1062" w:type="dxa"/>
          </w:tcPr>
          <w:p w14:paraId="0CB5801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R-20115</w:t>
            </w:r>
          </w:p>
        </w:tc>
        <w:tc>
          <w:tcPr>
            <w:tcW w:w="526" w:type="dxa"/>
          </w:tcPr>
          <w:p w14:paraId="29FEC4C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24</w:t>
            </w:r>
          </w:p>
        </w:tc>
        <w:tc>
          <w:tcPr>
            <w:tcW w:w="1070" w:type="dxa"/>
          </w:tcPr>
          <w:p w14:paraId="2DCEB28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R-20822</w:t>
            </w:r>
          </w:p>
        </w:tc>
        <w:tc>
          <w:tcPr>
            <w:tcW w:w="483" w:type="dxa"/>
          </w:tcPr>
          <w:p w14:paraId="6DA4728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37</w:t>
            </w:r>
          </w:p>
        </w:tc>
        <w:tc>
          <w:tcPr>
            <w:tcW w:w="1113" w:type="dxa"/>
          </w:tcPr>
          <w:p w14:paraId="58CBBFA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R-24654</w:t>
            </w:r>
          </w:p>
        </w:tc>
        <w:tc>
          <w:tcPr>
            <w:tcW w:w="483" w:type="dxa"/>
          </w:tcPr>
          <w:p w14:paraId="1B842C2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50</w:t>
            </w:r>
          </w:p>
        </w:tc>
        <w:tc>
          <w:tcPr>
            <w:tcW w:w="1113" w:type="dxa"/>
          </w:tcPr>
          <w:p w14:paraId="389DCC4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R-25046</w:t>
            </w:r>
          </w:p>
        </w:tc>
        <w:tc>
          <w:tcPr>
            <w:tcW w:w="528" w:type="dxa"/>
          </w:tcPr>
          <w:p w14:paraId="18B17A0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63</w:t>
            </w:r>
          </w:p>
        </w:tc>
        <w:tc>
          <w:tcPr>
            <w:tcW w:w="1068" w:type="dxa"/>
          </w:tcPr>
          <w:p w14:paraId="6BA45DE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R-21111</w:t>
            </w:r>
          </w:p>
        </w:tc>
        <w:tc>
          <w:tcPr>
            <w:tcW w:w="492" w:type="dxa"/>
          </w:tcPr>
          <w:p w14:paraId="1BB23EB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76</w:t>
            </w:r>
          </w:p>
        </w:tc>
        <w:tc>
          <w:tcPr>
            <w:tcW w:w="1104" w:type="dxa"/>
          </w:tcPr>
          <w:p w14:paraId="201C61A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R-22968</w:t>
            </w:r>
          </w:p>
        </w:tc>
      </w:tr>
      <w:tr w:rsidR="00221467" w:rsidRPr="00FF3007" w14:paraId="354891A5" w14:textId="77777777" w:rsidTr="00221467">
        <w:tc>
          <w:tcPr>
            <w:tcW w:w="534" w:type="dxa"/>
          </w:tcPr>
          <w:p w14:paraId="72CA7EF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12</w:t>
            </w:r>
          </w:p>
        </w:tc>
        <w:tc>
          <w:tcPr>
            <w:tcW w:w="1062" w:type="dxa"/>
          </w:tcPr>
          <w:p w14:paraId="5D75288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R-20204</w:t>
            </w:r>
          </w:p>
        </w:tc>
        <w:tc>
          <w:tcPr>
            <w:tcW w:w="526" w:type="dxa"/>
          </w:tcPr>
          <w:p w14:paraId="72A0FE2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25</w:t>
            </w:r>
          </w:p>
        </w:tc>
        <w:tc>
          <w:tcPr>
            <w:tcW w:w="1070" w:type="dxa"/>
          </w:tcPr>
          <w:p w14:paraId="254273E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R-20823</w:t>
            </w:r>
          </w:p>
        </w:tc>
        <w:tc>
          <w:tcPr>
            <w:tcW w:w="483" w:type="dxa"/>
          </w:tcPr>
          <w:p w14:paraId="01657A6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38</w:t>
            </w:r>
          </w:p>
        </w:tc>
        <w:tc>
          <w:tcPr>
            <w:tcW w:w="1113" w:type="dxa"/>
          </w:tcPr>
          <w:p w14:paraId="2D15833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R-24655</w:t>
            </w:r>
          </w:p>
        </w:tc>
        <w:tc>
          <w:tcPr>
            <w:tcW w:w="483" w:type="dxa"/>
          </w:tcPr>
          <w:p w14:paraId="2D574E2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51</w:t>
            </w:r>
          </w:p>
        </w:tc>
        <w:tc>
          <w:tcPr>
            <w:tcW w:w="1113" w:type="dxa"/>
          </w:tcPr>
          <w:p w14:paraId="095E724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R-25056</w:t>
            </w:r>
          </w:p>
        </w:tc>
        <w:tc>
          <w:tcPr>
            <w:tcW w:w="528" w:type="dxa"/>
          </w:tcPr>
          <w:p w14:paraId="07537EF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64</w:t>
            </w:r>
          </w:p>
        </w:tc>
        <w:tc>
          <w:tcPr>
            <w:tcW w:w="1068" w:type="dxa"/>
          </w:tcPr>
          <w:p w14:paraId="293A0E5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R-21121</w:t>
            </w:r>
          </w:p>
        </w:tc>
        <w:tc>
          <w:tcPr>
            <w:tcW w:w="492" w:type="dxa"/>
          </w:tcPr>
          <w:p w14:paraId="33455B4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77</w:t>
            </w:r>
          </w:p>
        </w:tc>
        <w:tc>
          <w:tcPr>
            <w:tcW w:w="1104" w:type="dxa"/>
          </w:tcPr>
          <w:p w14:paraId="06CB034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R-23774</w:t>
            </w:r>
          </w:p>
        </w:tc>
      </w:tr>
      <w:tr w:rsidR="00221467" w:rsidRPr="00FF3007" w14:paraId="685CEC5A" w14:textId="77777777" w:rsidTr="00221467">
        <w:tc>
          <w:tcPr>
            <w:tcW w:w="534" w:type="dxa"/>
          </w:tcPr>
          <w:p w14:paraId="3C082B8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13</w:t>
            </w:r>
          </w:p>
        </w:tc>
        <w:tc>
          <w:tcPr>
            <w:tcW w:w="1062" w:type="dxa"/>
          </w:tcPr>
          <w:p w14:paraId="207B1EF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R-20205</w:t>
            </w:r>
          </w:p>
        </w:tc>
        <w:tc>
          <w:tcPr>
            <w:tcW w:w="526" w:type="dxa"/>
          </w:tcPr>
          <w:p w14:paraId="2E60CDF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26</w:t>
            </w:r>
          </w:p>
        </w:tc>
        <w:tc>
          <w:tcPr>
            <w:tcW w:w="1070" w:type="dxa"/>
          </w:tcPr>
          <w:p w14:paraId="52C95DF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R-20826</w:t>
            </w:r>
          </w:p>
        </w:tc>
        <w:tc>
          <w:tcPr>
            <w:tcW w:w="483" w:type="dxa"/>
          </w:tcPr>
          <w:p w14:paraId="12265DD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39</w:t>
            </w:r>
          </w:p>
        </w:tc>
        <w:tc>
          <w:tcPr>
            <w:tcW w:w="1113" w:type="dxa"/>
          </w:tcPr>
          <w:p w14:paraId="64E9DE4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R-24656</w:t>
            </w:r>
          </w:p>
        </w:tc>
        <w:tc>
          <w:tcPr>
            <w:tcW w:w="483" w:type="dxa"/>
          </w:tcPr>
          <w:p w14:paraId="7B017BA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52</w:t>
            </w:r>
          </w:p>
        </w:tc>
        <w:tc>
          <w:tcPr>
            <w:tcW w:w="1113" w:type="dxa"/>
          </w:tcPr>
          <w:p w14:paraId="02F2579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R-25086</w:t>
            </w:r>
          </w:p>
        </w:tc>
        <w:tc>
          <w:tcPr>
            <w:tcW w:w="528" w:type="dxa"/>
          </w:tcPr>
          <w:p w14:paraId="261626A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65</w:t>
            </w:r>
          </w:p>
        </w:tc>
        <w:tc>
          <w:tcPr>
            <w:tcW w:w="1068" w:type="dxa"/>
          </w:tcPr>
          <w:p w14:paraId="3AD67BE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R-21136</w:t>
            </w:r>
          </w:p>
        </w:tc>
        <w:tc>
          <w:tcPr>
            <w:tcW w:w="492" w:type="dxa"/>
          </w:tcPr>
          <w:p w14:paraId="515B976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p>
        </w:tc>
        <w:tc>
          <w:tcPr>
            <w:tcW w:w="1104" w:type="dxa"/>
          </w:tcPr>
          <w:p w14:paraId="41CCC98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p>
        </w:tc>
      </w:tr>
    </w:tbl>
    <w:p w14:paraId="4FE4397F" w14:textId="27C45536" w:rsidR="00CA2EC1" w:rsidRPr="00CA2EC1" w:rsidRDefault="00CA2EC1" w:rsidP="008A429C">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2.3 Disease </w:t>
      </w:r>
      <w:r w:rsidR="00F43AB9" w:rsidRPr="00F43AB9">
        <w:rPr>
          <w:rFonts w:ascii="Times New Roman" w:hAnsi="Times New Roman" w:cs="Times New Roman"/>
          <w:b/>
          <w:sz w:val="24"/>
          <w:highlight w:val="yellow"/>
        </w:rPr>
        <w:t>S</w:t>
      </w:r>
      <w:r w:rsidRPr="00F43AB9">
        <w:rPr>
          <w:rFonts w:ascii="Times New Roman" w:hAnsi="Times New Roman" w:cs="Times New Roman"/>
          <w:b/>
          <w:sz w:val="24"/>
          <w:highlight w:val="yellow"/>
        </w:rPr>
        <w:t xml:space="preserve">creening </w:t>
      </w:r>
      <w:r w:rsidR="00F43AB9" w:rsidRPr="00F43AB9">
        <w:rPr>
          <w:rFonts w:ascii="Times New Roman" w:hAnsi="Times New Roman" w:cs="Times New Roman"/>
          <w:b/>
          <w:sz w:val="24"/>
          <w:highlight w:val="yellow"/>
        </w:rPr>
        <w:t>under Field conditions</w:t>
      </w:r>
    </w:p>
    <w:p w14:paraId="017EA032" w14:textId="722553A3" w:rsidR="00CA2EC1" w:rsidRPr="00CA2EC1" w:rsidRDefault="00CA2EC1" w:rsidP="00221467">
      <w:pPr>
        <w:spacing w:before="120" w:after="120" w:line="360" w:lineRule="auto"/>
        <w:jc w:val="both"/>
        <w:rPr>
          <w:rFonts w:ascii="Times New Roman" w:hAnsi="Times New Roman" w:cs="Times New Roman"/>
          <w:sz w:val="24"/>
        </w:rPr>
      </w:pPr>
      <w:r w:rsidRPr="00CA2EC1">
        <w:rPr>
          <w:rFonts w:ascii="Times New Roman" w:hAnsi="Times New Roman" w:cs="Times New Roman"/>
          <w:sz w:val="24"/>
        </w:rPr>
        <w:lastRenderedPageBreak/>
        <w:t xml:space="preserve">Field screening for blast disease </w:t>
      </w:r>
      <w:r w:rsidR="00F43AB9" w:rsidRPr="00F43AB9">
        <w:rPr>
          <w:rFonts w:ascii="Times New Roman" w:hAnsi="Times New Roman" w:cs="Times New Roman"/>
          <w:sz w:val="24"/>
          <w:highlight w:val="yellow"/>
        </w:rPr>
        <w:t>incidence</w:t>
      </w:r>
      <w:r w:rsidRPr="00CA2EC1">
        <w:rPr>
          <w:rFonts w:ascii="Times New Roman" w:hAnsi="Times New Roman" w:cs="Times New Roman"/>
          <w:sz w:val="24"/>
        </w:rPr>
        <w:t xml:space="preserve"> was conducted under natural epiphytotic conditions, following the protocol standardized by ICRISAT (Wilson et al.</w:t>
      </w:r>
      <w:r w:rsidR="008A429C">
        <w:rPr>
          <w:rFonts w:ascii="Times New Roman" w:hAnsi="Times New Roman" w:cs="Times New Roman"/>
          <w:sz w:val="24"/>
        </w:rPr>
        <w:t>,</w:t>
      </w:r>
      <w:r w:rsidRPr="00CA2EC1">
        <w:rPr>
          <w:rFonts w:ascii="Times New Roman" w:hAnsi="Times New Roman" w:cs="Times New Roman"/>
          <w:sz w:val="24"/>
        </w:rPr>
        <w:t xml:space="preserve"> 1989). Each genotype was sown in four central rows, while a highly susceptible check line was planted in the first row and every fifth row to serve as infector/indicator rows. To enhance disease pressure, seedlings were spray-inoculated at both pre-tillering and pre-flowering stages with an aqueous spore suspension until run-off. High humidity conditions (&gt;90% RH), essential for disease development, were maintained using sprinkler irrigation twice daily</w:t>
      </w:r>
      <w:r w:rsidR="008A429C">
        <w:rPr>
          <w:rFonts w:ascii="Times New Roman" w:hAnsi="Times New Roman" w:cs="Times New Roman"/>
          <w:sz w:val="24"/>
        </w:rPr>
        <w:t>-</w:t>
      </w:r>
      <w:r w:rsidRPr="00CA2EC1">
        <w:rPr>
          <w:rFonts w:ascii="Times New Roman" w:hAnsi="Times New Roman" w:cs="Times New Roman"/>
          <w:sz w:val="24"/>
        </w:rPr>
        <w:t>once in the morning (10:00–11:00 AM) and once in the late afternoon (5:00–6:00 PM)</w:t>
      </w:r>
      <w:r w:rsidR="003752EE">
        <w:rPr>
          <w:rFonts w:ascii="Times New Roman" w:hAnsi="Times New Roman" w:cs="Times New Roman"/>
          <w:sz w:val="24"/>
        </w:rPr>
        <w:t xml:space="preserve"> </w:t>
      </w:r>
      <w:r w:rsidRPr="00CA2EC1">
        <w:rPr>
          <w:rFonts w:ascii="Times New Roman" w:hAnsi="Times New Roman" w:cs="Times New Roman"/>
          <w:sz w:val="24"/>
        </w:rPr>
        <w:t xml:space="preserve">on non-rainy days. Disease severity was assessed at the hard-dough stage using a modified 1–9 progressive scale originally developed by the International Rice Research Institute for rice blast. Based on this scale, genotypes were categorized into different disease reaction classes (Table </w:t>
      </w:r>
      <w:r w:rsidR="00C13B2C">
        <w:rPr>
          <w:rFonts w:ascii="Times New Roman" w:hAnsi="Times New Roman" w:cs="Times New Roman"/>
          <w:sz w:val="24"/>
        </w:rPr>
        <w:t>2</w:t>
      </w:r>
      <w:r w:rsidRPr="00CA2EC1">
        <w:rPr>
          <w:rFonts w:ascii="Times New Roman" w:hAnsi="Times New Roman" w:cs="Times New Roman"/>
          <w:sz w:val="24"/>
        </w:rPr>
        <w:t>):</w:t>
      </w:r>
    </w:p>
    <w:p w14:paraId="71D45695" w14:textId="281F4E36" w:rsidR="00CA2EC1" w:rsidRPr="00CA2EC1" w:rsidRDefault="00CA2EC1" w:rsidP="00221467">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Table </w:t>
      </w:r>
      <w:r w:rsidR="009855C3">
        <w:rPr>
          <w:rFonts w:ascii="Times New Roman" w:hAnsi="Times New Roman" w:cs="Times New Roman"/>
          <w:b/>
          <w:sz w:val="24"/>
        </w:rPr>
        <w:t>2</w:t>
      </w:r>
      <w:r w:rsidR="001A0BB9">
        <w:rPr>
          <w:rFonts w:ascii="Times New Roman" w:hAnsi="Times New Roman" w:cs="Times New Roman"/>
          <w:b/>
          <w:sz w:val="24"/>
        </w:rPr>
        <w:t xml:space="preserve"> </w:t>
      </w:r>
      <w:r w:rsidR="009855C3">
        <w:rPr>
          <w:rFonts w:ascii="Times New Roman" w:hAnsi="Times New Roman" w:cs="Times New Roman"/>
          <w:b/>
          <w:sz w:val="24"/>
        </w:rPr>
        <w:t>Scale</w:t>
      </w:r>
      <w:r w:rsidR="002738F4">
        <w:rPr>
          <w:rFonts w:ascii="Times New Roman" w:hAnsi="Times New Roman" w:cs="Times New Roman"/>
          <w:b/>
          <w:sz w:val="24"/>
        </w:rPr>
        <w:t xml:space="preserve"> for </w:t>
      </w:r>
      <w:r w:rsidR="002738F4" w:rsidRPr="00CA2EC1">
        <w:rPr>
          <w:rFonts w:ascii="Times New Roman" w:hAnsi="Times New Roman" w:cs="Times New Roman"/>
          <w:b/>
          <w:sz w:val="24"/>
        </w:rPr>
        <w:t xml:space="preserve">scoring </w:t>
      </w:r>
      <w:r w:rsidR="009855C3">
        <w:rPr>
          <w:rFonts w:ascii="Times New Roman" w:hAnsi="Times New Roman" w:cs="Times New Roman"/>
          <w:b/>
          <w:sz w:val="24"/>
        </w:rPr>
        <w:t xml:space="preserve">of </w:t>
      </w:r>
      <w:r w:rsidR="009855C3" w:rsidRPr="00CA2EC1">
        <w:rPr>
          <w:rFonts w:ascii="Times New Roman" w:hAnsi="Times New Roman" w:cs="Times New Roman"/>
          <w:b/>
          <w:sz w:val="24"/>
        </w:rPr>
        <w:t>blast</w:t>
      </w:r>
      <w:r w:rsidRPr="00CA2EC1">
        <w:rPr>
          <w:rFonts w:ascii="Times New Roman" w:hAnsi="Times New Roman" w:cs="Times New Roman"/>
          <w:b/>
          <w:sz w:val="24"/>
        </w:rPr>
        <w:t xml:space="preserve"> disease of pearl millet </w:t>
      </w:r>
      <w:r w:rsidR="009855C3">
        <w:rPr>
          <w:rFonts w:ascii="Times New Roman" w:hAnsi="Times New Roman" w:cs="Times New Roman"/>
          <w:b/>
          <w:sz w:val="24"/>
        </w:rPr>
        <w:t>restorer lines</w:t>
      </w:r>
      <w:r w:rsidRPr="00CA2EC1">
        <w:rPr>
          <w:rFonts w:ascii="Times New Roman" w:hAnsi="Times New Roman" w:cs="Times New Roman"/>
          <w:b/>
          <w:sz w:val="24"/>
        </w:rPr>
        <w:t xml:space="preserve"> (Wilson et al.</w:t>
      </w:r>
      <w:r w:rsidR="00221467">
        <w:rPr>
          <w:rFonts w:ascii="Times New Roman" w:hAnsi="Times New Roman" w:cs="Times New Roman"/>
          <w:b/>
          <w:sz w:val="24"/>
        </w:rPr>
        <w:t>,</w:t>
      </w:r>
      <w:r w:rsidRPr="00CA2EC1">
        <w:rPr>
          <w:rFonts w:ascii="Times New Roman" w:hAnsi="Times New Roman" w:cs="Times New Roman"/>
          <w:b/>
          <w:sz w:val="24"/>
        </w:rPr>
        <w:t xml:space="preserve"> 1989)</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99"/>
        <w:gridCol w:w="6538"/>
        <w:gridCol w:w="1772"/>
      </w:tblGrid>
      <w:tr w:rsidR="00CA2EC1" w:rsidRPr="00CA2EC1" w14:paraId="60E3EE3D" w14:textId="77777777" w:rsidTr="000D12E8">
        <w:trPr>
          <w:trHeight w:val="501"/>
        </w:trPr>
        <w:tc>
          <w:tcPr>
            <w:tcW w:w="0" w:type="auto"/>
          </w:tcPr>
          <w:p w14:paraId="7A0A89B6" w14:textId="77777777" w:rsidR="000D12E8"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Rating</w:t>
            </w:r>
          </w:p>
          <w:p w14:paraId="015212F7"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scale</w:t>
            </w:r>
          </w:p>
        </w:tc>
        <w:tc>
          <w:tcPr>
            <w:tcW w:w="0" w:type="auto"/>
          </w:tcPr>
          <w:p w14:paraId="44AE4D58"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Symptomsandlesions</w:t>
            </w:r>
          </w:p>
        </w:tc>
        <w:tc>
          <w:tcPr>
            <w:tcW w:w="0" w:type="auto"/>
          </w:tcPr>
          <w:p w14:paraId="6DDA0AF9"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Diseasereaction</w:t>
            </w:r>
          </w:p>
        </w:tc>
      </w:tr>
      <w:tr w:rsidR="00CA2EC1" w:rsidRPr="00CA2EC1" w14:paraId="6B9DC6E6" w14:textId="77777777" w:rsidTr="000D12E8">
        <w:trPr>
          <w:trHeight w:val="528"/>
        </w:trPr>
        <w:tc>
          <w:tcPr>
            <w:tcW w:w="0" w:type="auto"/>
          </w:tcPr>
          <w:p w14:paraId="233776B3"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1</w:t>
            </w:r>
          </w:p>
        </w:tc>
        <w:tc>
          <w:tcPr>
            <w:tcW w:w="0" w:type="auto"/>
          </w:tcPr>
          <w:p w14:paraId="21D17105"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No</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lesion</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too</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small</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brown</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specks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pin</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head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size.</w:t>
            </w:r>
          </w:p>
        </w:tc>
        <w:tc>
          <w:tcPr>
            <w:tcW w:w="0" w:type="auto"/>
          </w:tcPr>
          <w:p w14:paraId="7AE984EF"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Highly</w:t>
            </w:r>
            <w:r w:rsidR="000D12E8">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resistant</w:t>
            </w:r>
          </w:p>
        </w:tc>
      </w:tr>
      <w:tr w:rsidR="00CA2EC1" w:rsidRPr="00CA2EC1" w14:paraId="5A9B9129" w14:textId="77777777" w:rsidTr="000D12E8">
        <w:trPr>
          <w:trHeight w:val="796"/>
        </w:trPr>
        <w:tc>
          <w:tcPr>
            <w:tcW w:w="0" w:type="auto"/>
          </w:tcPr>
          <w:p w14:paraId="1EE44BFC"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2-3</w:t>
            </w:r>
          </w:p>
        </w:tc>
        <w:tc>
          <w:tcPr>
            <w:tcW w:w="0" w:type="auto"/>
          </w:tcPr>
          <w:p w14:paraId="3743C1B6"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Large</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brown</w:t>
            </w:r>
            <w:r w:rsidR="00F01756">
              <w:rPr>
                <w:rFonts w:ascii="Times New Roman" w:eastAsia="Arial MT" w:hAnsi="Times New Roman" w:cs="Times New Roman"/>
                <w:sz w:val="24"/>
                <w:lang w:val="en-US"/>
              </w:rPr>
              <w:t xml:space="preserve"> specks</w:t>
            </w:r>
            <w:r w:rsidRPr="00CA2EC1">
              <w:rPr>
                <w:rFonts w:ascii="Times New Roman" w:eastAsia="Arial MT" w:hAnsi="Times New Roman" w:cs="Times New Roman"/>
                <w:sz w:val="24"/>
                <w:lang w:val="en-US"/>
              </w:rPr>
              <w:t>.</w:t>
            </w:r>
          </w:p>
          <w:p w14:paraId="3D6B41AD" w14:textId="77777777" w:rsidR="00CA2EC1" w:rsidRPr="00CA2EC1" w:rsidRDefault="00F01756"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Small, roundish</w:t>
            </w:r>
            <w:r>
              <w:rPr>
                <w:rFonts w:ascii="Times New Roman" w:eastAsia="Arial MT" w:hAnsi="Times New Roman" w:cs="Times New Roman"/>
                <w:sz w:val="24"/>
                <w:lang w:val="en-US"/>
              </w:rPr>
              <w:t xml:space="preserve"> </w:t>
            </w:r>
            <w:r w:rsidR="00CA2EC1" w:rsidRPr="00CA2EC1">
              <w:rPr>
                <w:rFonts w:ascii="Times New Roman" w:eastAsia="Arial MT" w:hAnsi="Times New Roman" w:cs="Times New Roman"/>
                <w:sz w:val="24"/>
                <w:lang w:val="en-US"/>
              </w:rPr>
              <w:t>to</w:t>
            </w:r>
            <w:r>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slightly</w:t>
            </w:r>
            <w:r>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elongated</w:t>
            </w:r>
            <w:r w:rsidR="00CA2EC1" w:rsidRPr="00CA2EC1">
              <w:rPr>
                <w:rFonts w:ascii="Times New Roman" w:eastAsia="Arial MT" w:hAnsi="Times New Roman" w:cs="Times New Roman"/>
                <w:sz w:val="24"/>
                <w:lang w:val="en-US"/>
              </w:rPr>
              <w:t>,</w:t>
            </w:r>
            <w:r>
              <w:rPr>
                <w:rFonts w:ascii="Times New Roman" w:eastAsia="Arial MT" w:hAnsi="Times New Roman" w:cs="Times New Roman"/>
                <w:sz w:val="24"/>
                <w:lang w:val="en-US"/>
              </w:rPr>
              <w:t xml:space="preserve"> </w:t>
            </w:r>
            <w:r w:rsidR="00CA2EC1" w:rsidRPr="00CA2EC1">
              <w:rPr>
                <w:rFonts w:ascii="Times New Roman" w:eastAsia="Arial MT" w:hAnsi="Times New Roman" w:cs="Times New Roman"/>
                <w:sz w:val="24"/>
                <w:lang w:val="en-US"/>
              </w:rPr>
              <w:t>necrotic</w:t>
            </w:r>
            <w:r>
              <w:rPr>
                <w:rFonts w:ascii="Times New Roman" w:eastAsia="Arial MT" w:hAnsi="Times New Roman" w:cs="Times New Roman"/>
                <w:sz w:val="24"/>
                <w:lang w:val="en-US"/>
              </w:rPr>
              <w:t xml:space="preserve"> </w:t>
            </w:r>
            <w:r w:rsidR="00CA2EC1" w:rsidRPr="00CA2EC1">
              <w:rPr>
                <w:rFonts w:ascii="Times New Roman" w:eastAsia="Arial MT" w:hAnsi="Times New Roman" w:cs="Times New Roman"/>
                <w:sz w:val="24"/>
                <w:lang w:val="en-US"/>
              </w:rPr>
              <w:t>grey lesion.</w:t>
            </w:r>
          </w:p>
          <w:p w14:paraId="56C36C87"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Spots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about1-2 mm</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in</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diameter</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with</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a</w:t>
            </w:r>
            <w:r w:rsidR="00F01756">
              <w:rPr>
                <w:rFonts w:ascii="Times New Roman" w:eastAsia="Arial MT" w:hAnsi="Times New Roman" w:cs="Times New Roman"/>
                <w:sz w:val="24"/>
                <w:lang w:val="en-US"/>
              </w:rPr>
              <w:t xml:space="preserve"> brown</w:t>
            </w:r>
            <w:r w:rsidR="00C13B2C">
              <w:rPr>
                <w:rFonts w:ascii="Times New Roman" w:eastAsia="Arial MT" w:hAnsi="Times New Roman" w:cs="Times New Roman"/>
                <w:sz w:val="24"/>
                <w:lang w:val="en-US"/>
              </w:rPr>
              <w:t xml:space="preserve">   margin.</w:t>
            </w:r>
          </w:p>
        </w:tc>
        <w:tc>
          <w:tcPr>
            <w:tcW w:w="0" w:type="auto"/>
          </w:tcPr>
          <w:p w14:paraId="2227595A"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Resistant</w:t>
            </w:r>
          </w:p>
        </w:tc>
      </w:tr>
      <w:tr w:rsidR="00CA2EC1" w:rsidRPr="00CA2EC1" w14:paraId="64F45FD8" w14:textId="77777777" w:rsidTr="000D12E8">
        <w:trPr>
          <w:trHeight w:val="1031"/>
        </w:trPr>
        <w:tc>
          <w:tcPr>
            <w:tcW w:w="0" w:type="auto"/>
          </w:tcPr>
          <w:p w14:paraId="1D1CA5F7"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4-5</w:t>
            </w:r>
          </w:p>
        </w:tc>
        <w:tc>
          <w:tcPr>
            <w:tcW w:w="0" w:type="auto"/>
          </w:tcPr>
          <w:p w14:paraId="6F17C6ED"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lesions, elliptical</w:t>
            </w:r>
            <w:r w:rsidRPr="00CA2EC1">
              <w:rPr>
                <w:rFonts w:ascii="Times New Roman" w:eastAsia="Arial MT" w:hAnsi="Times New Roman" w:cs="Times New Roman"/>
                <w:sz w:val="24"/>
                <w:lang w:val="en-US"/>
              </w:rPr>
              <w:t>,1-2cm</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long,</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 xml:space="preserve">usually confined to the area between main </w:t>
            </w:r>
            <w:r w:rsidR="00F01756" w:rsidRPr="00CA2EC1">
              <w:rPr>
                <w:rFonts w:ascii="Times New Roman" w:eastAsia="Arial MT" w:hAnsi="Times New Roman" w:cs="Times New Roman"/>
                <w:sz w:val="24"/>
                <w:lang w:val="en-US"/>
              </w:rPr>
              <w:t>veins, covering</w:t>
            </w:r>
            <w:r w:rsidRPr="00CA2EC1">
              <w:rPr>
                <w:rFonts w:ascii="Times New Roman" w:eastAsia="Arial MT" w:hAnsi="Times New Roman" w:cs="Times New Roman"/>
                <w:sz w:val="24"/>
                <w:lang w:val="en-US"/>
              </w:rPr>
              <w:t xml:space="preserve"> &lt;2%of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p>
          <w:p w14:paraId="7E3755E6"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 lesions cover &lt;10%</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p>
        </w:tc>
        <w:tc>
          <w:tcPr>
            <w:tcW w:w="0" w:type="auto"/>
          </w:tcPr>
          <w:p w14:paraId="2BE756A9"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Moderately</w:t>
            </w:r>
            <w:r w:rsidR="000D12E8">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resistant</w:t>
            </w:r>
          </w:p>
        </w:tc>
      </w:tr>
      <w:tr w:rsidR="00CA2EC1" w:rsidRPr="00CA2EC1" w14:paraId="19051E99" w14:textId="77777777" w:rsidTr="000D12E8">
        <w:trPr>
          <w:trHeight w:val="527"/>
        </w:trPr>
        <w:tc>
          <w:tcPr>
            <w:tcW w:w="0" w:type="auto"/>
          </w:tcPr>
          <w:p w14:paraId="0E0DC221"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6-7</w:t>
            </w:r>
          </w:p>
        </w:tc>
        <w:tc>
          <w:tcPr>
            <w:tcW w:w="0" w:type="auto"/>
          </w:tcPr>
          <w:p w14:paraId="40DD2B9A"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covering10-25%of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leaf</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area. Typical</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blasts</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cover</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26-50%</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 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p>
        </w:tc>
        <w:tc>
          <w:tcPr>
            <w:tcW w:w="0" w:type="auto"/>
          </w:tcPr>
          <w:p w14:paraId="7FDE94F3"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Susceptible</w:t>
            </w:r>
          </w:p>
        </w:tc>
      </w:tr>
      <w:tr w:rsidR="00CA2EC1" w:rsidRPr="00CA2EC1" w14:paraId="166293DD" w14:textId="77777777" w:rsidTr="000D12E8">
        <w:trPr>
          <w:trHeight w:val="774"/>
        </w:trPr>
        <w:tc>
          <w:tcPr>
            <w:tcW w:w="0" w:type="auto"/>
          </w:tcPr>
          <w:p w14:paraId="747391D8"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8-9</w:t>
            </w:r>
          </w:p>
        </w:tc>
        <w:tc>
          <w:tcPr>
            <w:tcW w:w="0" w:type="auto"/>
          </w:tcPr>
          <w:p w14:paraId="10AF0980"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lesions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cover</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51-75%</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 xml:space="preserve">leaf </w:t>
            </w:r>
            <w:r w:rsidR="00221467">
              <w:rPr>
                <w:rFonts w:ascii="Times New Roman" w:eastAsia="Arial MT" w:hAnsi="Times New Roman" w:cs="Times New Roman"/>
                <w:sz w:val="24"/>
                <w:lang w:val="en-US"/>
              </w:rPr>
              <w:t xml:space="preserve">area </w:t>
            </w:r>
            <w:r w:rsidRPr="00CA2EC1">
              <w:rPr>
                <w:rFonts w:ascii="Times New Roman" w:eastAsia="Arial MT" w:hAnsi="Times New Roman" w:cs="Times New Roman"/>
                <w:sz w:val="24"/>
                <w:lang w:val="en-US"/>
              </w:rPr>
              <w:t>and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many</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leaves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dead.</w:t>
            </w:r>
            <w:r w:rsidR="00F01756">
              <w:rPr>
                <w:rFonts w:ascii="Times New Roman" w:eastAsia="Arial MT" w:hAnsi="Times New Roman" w:cs="Times New Roman"/>
                <w:sz w:val="24"/>
                <w:lang w:val="en-US"/>
              </w:rPr>
              <w:t xml:space="preserve"> </w:t>
            </w:r>
          </w:p>
          <w:p w14:paraId="260C3B0F"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&gt;75%leaf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covered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with</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lesions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and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most</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leaves dead.</w:t>
            </w:r>
          </w:p>
        </w:tc>
        <w:tc>
          <w:tcPr>
            <w:tcW w:w="0" w:type="auto"/>
          </w:tcPr>
          <w:p w14:paraId="3E4273D5"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Highly</w:t>
            </w:r>
            <w:r w:rsidR="000D12E8">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Susceptible</w:t>
            </w:r>
          </w:p>
        </w:tc>
      </w:tr>
    </w:tbl>
    <w:p w14:paraId="5ECF44D3" w14:textId="77777777" w:rsidR="00CA2EC1" w:rsidRPr="00CA2EC1" w:rsidRDefault="00CA2EC1" w:rsidP="00C13B2C">
      <w:pPr>
        <w:widowControl w:val="0"/>
        <w:autoSpaceDE w:val="0"/>
        <w:autoSpaceDN w:val="0"/>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2.4 Molecular analysis </w:t>
      </w:r>
    </w:p>
    <w:p w14:paraId="50902DB1" w14:textId="1D069851" w:rsidR="00CA2EC1" w:rsidRPr="00CA2EC1" w:rsidRDefault="00CA2EC1" w:rsidP="00221467">
      <w:pPr>
        <w:widowControl w:val="0"/>
        <w:autoSpaceDE w:val="0"/>
        <w:autoSpaceDN w:val="0"/>
        <w:spacing w:before="120" w:after="120" w:line="360" w:lineRule="auto"/>
        <w:jc w:val="both"/>
        <w:rPr>
          <w:rFonts w:ascii="Times New Roman" w:hAnsi="Times New Roman" w:cs="Times New Roman"/>
          <w:sz w:val="24"/>
        </w:rPr>
      </w:pPr>
      <w:r w:rsidRPr="00CA2EC1">
        <w:rPr>
          <w:rFonts w:ascii="Times New Roman" w:hAnsi="Times New Roman" w:cs="Times New Roman"/>
          <w:sz w:val="24"/>
        </w:rPr>
        <w:t xml:space="preserve">A total of 20 gene-specific Simple Sequence Repeat (SSR) markers were employed for screening 77 pearl millet </w:t>
      </w:r>
      <w:r w:rsidR="00C13B2C">
        <w:rPr>
          <w:rFonts w:ascii="Times New Roman" w:hAnsi="Times New Roman" w:cs="Times New Roman"/>
          <w:sz w:val="24"/>
        </w:rPr>
        <w:t>restorer lines</w:t>
      </w:r>
      <w:r w:rsidRPr="00CA2EC1">
        <w:rPr>
          <w:rFonts w:ascii="Times New Roman" w:hAnsi="Times New Roman" w:cs="Times New Roman"/>
          <w:sz w:val="24"/>
        </w:rPr>
        <w:t xml:space="preserve"> for blast (Table </w:t>
      </w:r>
      <w:r w:rsidR="00C13B2C">
        <w:rPr>
          <w:rFonts w:ascii="Times New Roman" w:hAnsi="Times New Roman" w:cs="Times New Roman"/>
          <w:sz w:val="24"/>
        </w:rPr>
        <w:t>3</w:t>
      </w:r>
      <w:r w:rsidRPr="00CA2EC1">
        <w:rPr>
          <w:rFonts w:ascii="Times New Roman" w:hAnsi="Times New Roman" w:cs="Times New Roman"/>
          <w:sz w:val="24"/>
        </w:rPr>
        <w:t>). Genomic DNA was extracted from fresh, young leaves using the modified CTAB method (Thompson &amp; Murray, 1980)</w:t>
      </w:r>
      <w:r w:rsidR="00C13B2C">
        <w:rPr>
          <w:rFonts w:ascii="Times New Roman" w:hAnsi="Times New Roman" w:cs="Times New Roman"/>
          <w:sz w:val="24"/>
        </w:rPr>
        <w:t xml:space="preserve"> with minor modification as suggested by Tiwari et al. (2017)</w:t>
      </w:r>
      <w:r w:rsidRPr="00CA2EC1">
        <w:rPr>
          <w:rFonts w:ascii="Times New Roman" w:hAnsi="Times New Roman" w:cs="Times New Roman"/>
          <w:sz w:val="24"/>
        </w:rPr>
        <w:t xml:space="preserve">. DNA quality and quantity were assessed </w:t>
      </w:r>
      <w:r w:rsidRPr="00CA2EC1">
        <w:rPr>
          <w:rFonts w:ascii="Times New Roman" w:hAnsi="Times New Roman" w:cs="Times New Roman"/>
          <w:i/>
          <w:sz w:val="24"/>
        </w:rPr>
        <w:t>via</w:t>
      </w:r>
      <w:r w:rsidR="0032005E">
        <w:rPr>
          <w:rFonts w:ascii="Times New Roman" w:hAnsi="Times New Roman" w:cs="Times New Roman"/>
          <w:i/>
          <w:sz w:val="24"/>
        </w:rPr>
        <w:t xml:space="preserve"> </w:t>
      </w:r>
      <w:r w:rsidR="00221467" w:rsidRPr="00CA2EC1">
        <w:rPr>
          <w:rFonts w:ascii="Times New Roman" w:hAnsi="Times New Roman" w:cs="Times New Roman"/>
          <w:sz w:val="24"/>
        </w:rPr>
        <w:t>Nanodrop</w:t>
      </w:r>
      <w:r w:rsidRPr="00CA2EC1">
        <w:rPr>
          <w:rFonts w:ascii="Times New Roman" w:hAnsi="Times New Roman" w:cs="Times New Roman"/>
          <w:sz w:val="24"/>
        </w:rPr>
        <w:t xml:space="preserve"> spectrophotometry and 0.8% agarose gel electrophoresis. The DNA samples were diluted to a working concentration of 25 ng/µl using TE buffer or nuclease-free </w:t>
      </w:r>
      <w:r w:rsidRPr="00CA2EC1">
        <w:rPr>
          <w:rFonts w:ascii="Times New Roman" w:hAnsi="Times New Roman" w:cs="Times New Roman"/>
          <w:sz w:val="24"/>
        </w:rPr>
        <w:lastRenderedPageBreak/>
        <w:t>water. PCR amplification was performed in a 10 µl reaction volume containing 30 ng of template DNA, 10 pmol each of forward and reverse primers, 1X PCR buffer, 0.1 µl of Taq DNA polymerase, and 0.1 mM dNTPs. The thermal cycling conditions were optimized per primer annealing temperature. Amplified products were resolved on 3% agarose gels prepared in 1X TBE buffer, stained with ethidium bromide (10 mg/ml), and visualized under UV light using a gel documentation system</w:t>
      </w:r>
      <w:r w:rsidR="00C13B2C">
        <w:rPr>
          <w:rFonts w:ascii="Times New Roman" w:hAnsi="Times New Roman" w:cs="Times New Roman"/>
          <w:sz w:val="24"/>
        </w:rPr>
        <w:t xml:space="preserve"> (Syngene, USA)</w:t>
      </w:r>
      <w:r w:rsidRPr="00CA2EC1">
        <w:rPr>
          <w:rFonts w:ascii="Times New Roman" w:hAnsi="Times New Roman" w:cs="Times New Roman"/>
          <w:sz w:val="24"/>
        </w:rPr>
        <w:t>. A 100 bp DNA ladder was used as a molecular weight marker. Electrophoresis was carried out at 110</w:t>
      </w:r>
      <w:r w:rsidR="0032005E">
        <w:rPr>
          <w:rFonts w:ascii="Times New Roman" w:hAnsi="Times New Roman" w:cs="Times New Roman"/>
          <w:sz w:val="24"/>
        </w:rPr>
        <w:t xml:space="preserve"> </w:t>
      </w:r>
      <w:r w:rsidRPr="00CA2EC1">
        <w:rPr>
          <w:rFonts w:ascii="Times New Roman" w:hAnsi="Times New Roman" w:cs="Times New Roman"/>
          <w:sz w:val="24"/>
        </w:rPr>
        <w:t>V for 2 hours to ensure proper resolution of alleles.</w:t>
      </w:r>
    </w:p>
    <w:p w14:paraId="4635AD60" w14:textId="77777777" w:rsidR="003D75DD" w:rsidRPr="00CA2EC1" w:rsidRDefault="003D75DD" w:rsidP="003D75DD">
      <w:pPr>
        <w:widowControl w:val="0"/>
        <w:autoSpaceDE w:val="0"/>
        <w:autoSpaceDN w:val="0"/>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2.</w:t>
      </w:r>
      <w:r>
        <w:rPr>
          <w:rFonts w:ascii="Times New Roman" w:hAnsi="Times New Roman" w:cs="Times New Roman"/>
          <w:b/>
          <w:sz w:val="24"/>
        </w:rPr>
        <w:t>5</w:t>
      </w:r>
      <w:r w:rsidR="000D12E8">
        <w:rPr>
          <w:rFonts w:ascii="Times New Roman" w:hAnsi="Times New Roman" w:cs="Times New Roman"/>
          <w:b/>
          <w:sz w:val="24"/>
        </w:rPr>
        <w:t xml:space="preserve"> </w:t>
      </w:r>
      <w:r>
        <w:rPr>
          <w:rFonts w:ascii="Times New Roman" w:hAnsi="Times New Roman" w:cs="Times New Roman"/>
          <w:b/>
          <w:sz w:val="24"/>
        </w:rPr>
        <w:t>Statistical</w:t>
      </w:r>
      <w:r w:rsidRPr="00CA2EC1">
        <w:rPr>
          <w:rFonts w:ascii="Times New Roman" w:hAnsi="Times New Roman" w:cs="Times New Roman"/>
          <w:b/>
          <w:sz w:val="24"/>
        </w:rPr>
        <w:t xml:space="preserve"> analysis </w:t>
      </w:r>
    </w:p>
    <w:p w14:paraId="1449200F" w14:textId="4B477DF4" w:rsidR="003D75DD" w:rsidRPr="003D75DD" w:rsidRDefault="003D75DD" w:rsidP="003D75DD">
      <w:pPr>
        <w:widowControl w:val="0"/>
        <w:autoSpaceDE w:val="0"/>
        <w:autoSpaceDN w:val="0"/>
        <w:spacing w:before="120" w:after="120" w:line="360" w:lineRule="auto"/>
        <w:jc w:val="both"/>
        <w:rPr>
          <w:rFonts w:ascii="Times New Roman" w:hAnsi="Times New Roman" w:cs="Times New Roman"/>
          <w:sz w:val="24"/>
          <w:szCs w:val="24"/>
        </w:rPr>
      </w:pPr>
      <w:r w:rsidRPr="003D75DD">
        <w:rPr>
          <w:rFonts w:ascii="Times New Roman" w:hAnsi="Times New Roman" w:cs="Times New Roman"/>
          <w:sz w:val="24"/>
          <w:szCs w:val="24"/>
        </w:rPr>
        <w:t xml:space="preserve">The PCR products generated by SSR were investigated by scoring qualitatively for presence or absence of bands. Distance matrix was computed based on shared alleles. With the help of the power marker v3.25 programme </w:t>
      </w:r>
      <w:r w:rsidR="002F39AE">
        <w:rPr>
          <w:rFonts w:ascii="Times New Roman" w:hAnsi="Times New Roman" w:cs="Times New Roman"/>
          <w:sz w:val="24"/>
          <w:szCs w:val="24"/>
        </w:rPr>
        <w:t>(Liu &amp; Mouse, 2025)</w:t>
      </w:r>
      <w:r w:rsidRPr="003D75DD">
        <w:rPr>
          <w:rFonts w:ascii="Times New Roman" w:hAnsi="Times New Roman" w:cs="Times New Roman"/>
          <w:sz w:val="24"/>
          <w:szCs w:val="24"/>
        </w:rPr>
        <w:t xml:space="preserve">, the major allelic frequency, polymorphism information content and genetic distance-based clustering were carried out. The dendrogram </w:t>
      </w:r>
      <w:r w:rsidR="00F43AB9" w:rsidRPr="004911D8">
        <w:rPr>
          <w:rFonts w:ascii="Times New Roman" w:hAnsi="Times New Roman" w:cs="Times New Roman"/>
          <w:sz w:val="24"/>
          <w:szCs w:val="24"/>
          <w:highlight w:val="yellow"/>
        </w:rPr>
        <w:t>was constructed</w:t>
      </w:r>
      <w:r w:rsidR="00F43AB9">
        <w:rPr>
          <w:rFonts w:ascii="Times New Roman" w:hAnsi="Times New Roman" w:cs="Times New Roman"/>
          <w:sz w:val="24"/>
          <w:szCs w:val="24"/>
        </w:rPr>
        <w:t xml:space="preserve"> </w:t>
      </w:r>
      <w:r w:rsidRPr="003D75DD">
        <w:rPr>
          <w:rFonts w:ascii="Times New Roman" w:hAnsi="Times New Roman" w:cs="Times New Roman"/>
          <w:sz w:val="24"/>
          <w:szCs w:val="24"/>
        </w:rPr>
        <w:t xml:space="preserve">based on unweighted pair group method for arithmetic average (UPGMA). </w:t>
      </w:r>
    </w:p>
    <w:p w14:paraId="545F8D4E" w14:textId="42E0A6B3" w:rsidR="00CA2EC1" w:rsidRPr="00CA2EC1" w:rsidRDefault="00CA2EC1" w:rsidP="00221467">
      <w:pPr>
        <w:widowControl w:val="0"/>
        <w:autoSpaceDE w:val="0"/>
        <w:autoSpaceDN w:val="0"/>
        <w:spacing w:before="120" w:after="120" w:line="36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 xml:space="preserve">Table </w:t>
      </w:r>
      <w:r w:rsidR="002738F4">
        <w:rPr>
          <w:rFonts w:ascii="Times New Roman" w:eastAsia="Arial MT" w:hAnsi="Times New Roman" w:cs="Times New Roman"/>
          <w:b/>
          <w:sz w:val="24"/>
          <w:lang w:val="en-US"/>
        </w:rPr>
        <w:t xml:space="preserve">3 </w:t>
      </w:r>
      <w:r w:rsidRPr="00CA2EC1">
        <w:rPr>
          <w:rFonts w:ascii="Times New Roman" w:eastAsia="Arial MT" w:hAnsi="Times New Roman" w:cs="Times New Roman"/>
          <w:b/>
          <w:sz w:val="24"/>
          <w:lang w:val="en-US"/>
        </w:rPr>
        <w:t xml:space="preserve">Gene-specific Simple Sequence Repeat </w:t>
      </w:r>
      <w:r w:rsidRPr="00CA2EC1">
        <w:rPr>
          <w:rFonts w:ascii="Times New Roman" w:eastAsia="Arial MT" w:hAnsi="Times New Roman" w:cs="Times New Roman"/>
          <w:b/>
          <w:color w:val="000000"/>
          <w:sz w:val="24"/>
          <w:lang w:val="en-US"/>
        </w:rPr>
        <w:t>(SSRs</w:t>
      </w:r>
      <w:r w:rsidRPr="00CA2EC1">
        <w:rPr>
          <w:rFonts w:ascii="Times New Roman" w:eastAsia="Arial MT" w:hAnsi="Times New Roman" w:cs="Times New Roman"/>
          <w:b/>
          <w:i/>
          <w:color w:val="000000"/>
          <w:sz w:val="24"/>
          <w:lang w:val="en-US"/>
        </w:rPr>
        <w:t>)</w:t>
      </w:r>
      <w:r w:rsidRPr="00CA2EC1">
        <w:rPr>
          <w:rFonts w:ascii="Times New Roman" w:eastAsia="Arial MT" w:hAnsi="Times New Roman" w:cs="Times New Roman"/>
          <w:b/>
          <w:iCs/>
          <w:color w:val="000000"/>
          <w:sz w:val="24"/>
          <w:lang w:val="en-US"/>
        </w:rPr>
        <w:t xml:space="preserve"> molecular markers </w:t>
      </w:r>
      <w:r w:rsidRPr="00CA2EC1">
        <w:rPr>
          <w:rFonts w:ascii="Times New Roman" w:eastAsia="Arial MT" w:hAnsi="Times New Roman" w:cs="Times New Roman"/>
          <w:b/>
          <w:sz w:val="24"/>
          <w:lang w:val="en-US"/>
        </w:rPr>
        <w:t xml:space="preserve">employed to screen out the pearl millet </w:t>
      </w:r>
      <w:r w:rsidR="009855C3">
        <w:rPr>
          <w:rFonts w:ascii="Times New Roman" w:eastAsia="Arial MT" w:hAnsi="Times New Roman" w:cs="Times New Roman"/>
          <w:b/>
          <w:sz w:val="24"/>
          <w:lang w:val="en-US"/>
        </w:rPr>
        <w:t xml:space="preserve">restorer lines </w:t>
      </w:r>
      <w:r w:rsidRPr="00CA2EC1">
        <w:rPr>
          <w:rFonts w:ascii="Times New Roman" w:eastAsia="Arial MT" w:hAnsi="Times New Roman" w:cs="Times New Roman"/>
          <w:b/>
          <w:sz w:val="24"/>
          <w:lang w:val="en-US"/>
        </w:rPr>
        <w:t>against blast (</w:t>
      </w:r>
      <w:r w:rsidRPr="00CA2EC1">
        <w:rPr>
          <w:rFonts w:ascii="Times New Roman" w:eastAsia="Arial MT" w:hAnsi="Times New Roman" w:cs="Times New Roman"/>
          <w:b/>
          <w:spacing w:val="-1"/>
          <w:sz w:val="24"/>
          <w:lang w:val="en-US"/>
        </w:rPr>
        <w:t>Terensan</w:t>
      </w:r>
      <w:r w:rsidR="003B7C23">
        <w:rPr>
          <w:rFonts w:ascii="Times New Roman" w:eastAsia="Arial MT" w:hAnsi="Times New Roman" w:cs="Times New Roman"/>
          <w:b/>
          <w:spacing w:val="-1"/>
          <w:sz w:val="24"/>
          <w:lang w:val="en-US"/>
        </w:rPr>
        <w:t xml:space="preserve"> </w:t>
      </w:r>
      <w:r w:rsidRPr="00CA2EC1">
        <w:rPr>
          <w:rFonts w:ascii="Times New Roman" w:eastAsia="Arial MT" w:hAnsi="Times New Roman" w:cs="Times New Roman"/>
          <w:b/>
          <w:i/>
          <w:sz w:val="24"/>
          <w:lang w:val="en-US"/>
        </w:rPr>
        <w:t>et al.,</w:t>
      </w:r>
      <w:r w:rsidR="004911D8">
        <w:rPr>
          <w:rFonts w:ascii="Times New Roman" w:eastAsia="Arial MT" w:hAnsi="Times New Roman" w:cs="Times New Roman"/>
          <w:b/>
          <w:i/>
          <w:sz w:val="24"/>
          <w:lang w:val="en-US"/>
        </w:rPr>
        <w:t xml:space="preserve"> </w:t>
      </w:r>
      <w:r w:rsidRPr="00CA2EC1">
        <w:rPr>
          <w:rFonts w:ascii="Times New Roman" w:eastAsia="Arial MT" w:hAnsi="Times New Roman" w:cs="Times New Roman"/>
          <w:b/>
          <w:sz w:val="24"/>
          <w:lang w:val="en-US"/>
        </w:rPr>
        <w:t>2021)</w:t>
      </w:r>
    </w:p>
    <w:tbl>
      <w:tblPr>
        <w:tblStyle w:val="TableGrid"/>
        <w:tblW w:w="0" w:type="auto"/>
        <w:tblLook w:val="04A0" w:firstRow="1" w:lastRow="0" w:firstColumn="1" w:lastColumn="0" w:noHBand="0" w:noVBand="1"/>
      </w:tblPr>
      <w:tblGrid>
        <w:gridCol w:w="413"/>
        <w:gridCol w:w="1659"/>
        <w:gridCol w:w="3356"/>
        <w:gridCol w:w="3776"/>
      </w:tblGrid>
      <w:tr w:rsidR="00CA2EC1" w:rsidRPr="00CA2EC1" w14:paraId="5A6A4036" w14:textId="77777777" w:rsidTr="00F94BCA">
        <w:trPr>
          <w:trHeight w:val="589"/>
        </w:trPr>
        <w:tc>
          <w:tcPr>
            <w:tcW w:w="0" w:type="auto"/>
          </w:tcPr>
          <w:p w14:paraId="70BCC977" w14:textId="77777777" w:rsidR="00CA2EC1" w:rsidRPr="00F94BCA" w:rsidRDefault="00CA2EC1" w:rsidP="00CA2EC1">
            <w:pPr>
              <w:autoSpaceDE w:val="0"/>
              <w:autoSpaceDN w:val="0"/>
              <w:adjustRightInd w:val="0"/>
              <w:spacing w:line="276" w:lineRule="auto"/>
              <w:ind w:left="-142"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S. No</w:t>
            </w:r>
            <w:r w:rsidR="00F94BCA" w:rsidRPr="00F94BCA">
              <w:rPr>
                <w:rFonts w:ascii="Times New Roman" w:hAnsi="Times New Roman" w:cs="Times New Roman"/>
                <w:b/>
                <w:bCs/>
                <w:color w:val="000000"/>
                <w:sz w:val="18"/>
                <w:szCs w:val="18"/>
                <w:lang w:val="en-US"/>
              </w:rPr>
              <w:t>.</w:t>
            </w:r>
          </w:p>
        </w:tc>
        <w:tc>
          <w:tcPr>
            <w:tcW w:w="0" w:type="auto"/>
          </w:tcPr>
          <w:p w14:paraId="1589DC29" w14:textId="77777777" w:rsidR="00CA2EC1" w:rsidRPr="00F94BCA" w:rsidRDefault="00CA2EC1" w:rsidP="00CA2EC1">
            <w:pPr>
              <w:autoSpaceDE w:val="0"/>
              <w:autoSpaceDN w:val="0"/>
              <w:adjustRightInd w:val="0"/>
              <w:spacing w:line="276" w:lineRule="auto"/>
              <w:ind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Marker name (SSR)</w:t>
            </w:r>
          </w:p>
        </w:tc>
        <w:tc>
          <w:tcPr>
            <w:tcW w:w="0" w:type="auto"/>
          </w:tcPr>
          <w:p w14:paraId="64CFC32B" w14:textId="77777777" w:rsidR="00CA2EC1" w:rsidRPr="00F94BCA" w:rsidRDefault="00CA2EC1" w:rsidP="00CA2EC1">
            <w:pPr>
              <w:autoSpaceDE w:val="0"/>
              <w:autoSpaceDN w:val="0"/>
              <w:adjustRightInd w:val="0"/>
              <w:spacing w:line="276" w:lineRule="auto"/>
              <w:ind w:left="-142"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Forward sequence</w:t>
            </w:r>
          </w:p>
        </w:tc>
        <w:tc>
          <w:tcPr>
            <w:tcW w:w="0" w:type="auto"/>
          </w:tcPr>
          <w:p w14:paraId="117F4442" w14:textId="77777777" w:rsidR="00CA2EC1" w:rsidRPr="00F94BCA" w:rsidRDefault="00CA2EC1" w:rsidP="00CA2EC1">
            <w:pPr>
              <w:autoSpaceDE w:val="0"/>
              <w:autoSpaceDN w:val="0"/>
              <w:adjustRightInd w:val="0"/>
              <w:spacing w:line="276" w:lineRule="auto"/>
              <w:ind w:left="-142"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Reverse sequence</w:t>
            </w:r>
          </w:p>
        </w:tc>
      </w:tr>
      <w:tr w:rsidR="00CA2EC1" w:rsidRPr="00CA2EC1" w14:paraId="7219CB6D" w14:textId="77777777" w:rsidTr="00F94BCA">
        <w:trPr>
          <w:trHeight w:val="222"/>
        </w:trPr>
        <w:tc>
          <w:tcPr>
            <w:tcW w:w="0" w:type="auto"/>
          </w:tcPr>
          <w:p w14:paraId="392E4636"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w:t>
            </w:r>
          </w:p>
        </w:tc>
        <w:tc>
          <w:tcPr>
            <w:tcW w:w="0" w:type="auto"/>
          </w:tcPr>
          <w:p w14:paraId="3F48635A"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Xpsmp2001</w:t>
            </w:r>
          </w:p>
        </w:tc>
        <w:tc>
          <w:tcPr>
            <w:tcW w:w="0" w:type="auto"/>
          </w:tcPr>
          <w:p w14:paraId="5718567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CATGAAGCCAATTAGGTCTC</w:t>
            </w:r>
          </w:p>
        </w:tc>
        <w:tc>
          <w:tcPr>
            <w:tcW w:w="0" w:type="auto"/>
          </w:tcPr>
          <w:p w14:paraId="5BB9630D"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ACCATCTGACTTGTTCTTATCCCTCA</w:t>
            </w:r>
          </w:p>
        </w:tc>
      </w:tr>
      <w:tr w:rsidR="00CA2EC1" w:rsidRPr="00CA2EC1" w14:paraId="1BF182C6" w14:textId="77777777" w:rsidTr="00F94BCA">
        <w:trPr>
          <w:trHeight w:val="225"/>
        </w:trPr>
        <w:tc>
          <w:tcPr>
            <w:tcW w:w="0" w:type="auto"/>
          </w:tcPr>
          <w:p w14:paraId="629E0F67"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2</w:t>
            </w:r>
          </w:p>
        </w:tc>
        <w:tc>
          <w:tcPr>
            <w:tcW w:w="0" w:type="auto"/>
          </w:tcPr>
          <w:p w14:paraId="64C1D787"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Xpsmp2008</w:t>
            </w:r>
          </w:p>
        </w:tc>
        <w:tc>
          <w:tcPr>
            <w:tcW w:w="0" w:type="auto"/>
          </w:tcPr>
          <w:p w14:paraId="7B765292"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GATCATGTTGTCATGAATCACC</w:t>
            </w:r>
          </w:p>
        </w:tc>
        <w:tc>
          <w:tcPr>
            <w:tcW w:w="0" w:type="auto"/>
          </w:tcPr>
          <w:p w14:paraId="054AA6E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ACACTACACCTACATACGCTCC</w:t>
            </w:r>
          </w:p>
        </w:tc>
      </w:tr>
      <w:tr w:rsidR="00CA2EC1" w:rsidRPr="00CA2EC1" w14:paraId="2028E6B7" w14:textId="77777777" w:rsidTr="00F94BCA">
        <w:trPr>
          <w:trHeight w:val="243"/>
        </w:trPr>
        <w:tc>
          <w:tcPr>
            <w:tcW w:w="0" w:type="auto"/>
          </w:tcPr>
          <w:p w14:paraId="1B32A8C5"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3</w:t>
            </w:r>
          </w:p>
        </w:tc>
        <w:tc>
          <w:tcPr>
            <w:tcW w:w="0" w:type="auto"/>
          </w:tcPr>
          <w:p w14:paraId="018141F2"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Xpsmp2030</w:t>
            </w:r>
          </w:p>
        </w:tc>
        <w:tc>
          <w:tcPr>
            <w:tcW w:w="0" w:type="auto"/>
          </w:tcPr>
          <w:p w14:paraId="56CB931D"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ACCAGAGCTTGGAAATCAGCAC</w:t>
            </w:r>
          </w:p>
        </w:tc>
        <w:tc>
          <w:tcPr>
            <w:tcW w:w="0" w:type="auto"/>
          </w:tcPr>
          <w:p w14:paraId="5AD7B43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CATAATGCTTCAAATCTGCCCACACCAGA</w:t>
            </w:r>
          </w:p>
        </w:tc>
      </w:tr>
      <w:tr w:rsidR="00CA2EC1" w:rsidRPr="00CA2EC1" w14:paraId="4A877658" w14:textId="77777777" w:rsidTr="00F94BCA">
        <w:trPr>
          <w:trHeight w:val="249"/>
        </w:trPr>
        <w:tc>
          <w:tcPr>
            <w:tcW w:w="0" w:type="auto"/>
          </w:tcPr>
          <w:p w14:paraId="5C27BA51"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4</w:t>
            </w:r>
          </w:p>
        </w:tc>
        <w:tc>
          <w:tcPr>
            <w:tcW w:w="0" w:type="auto"/>
          </w:tcPr>
          <w:p w14:paraId="7B23AC55"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Xpsmp2043</w:t>
            </w:r>
          </w:p>
        </w:tc>
        <w:tc>
          <w:tcPr>
            <w:tcW w:w="0" w:type="auto"/>
          </w:tcPr>
          <w:p w14:paraId="2297433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TCATATTCTCCTGTCTAAAACGTC</w:t>
            </w:r>
          </w:p>
        </w:tc>
        <w:tc>
          <w:tcPr>
            <w:tcW w:w="0" w:type="auto"/>
          </w:tcPr>
          <w:p w14:paraId="1FF9BAFE"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ACAAATCGTACAAGTTCCACTCCAGA</w:t>
            </w:r>
          </w:p>
        </w:tc>
      </w:tr>
      <w:tr w:rsidR="00CA2EC1" w:rsidRPr="00CA2EC1" w14:paraId="4DE3080E" w14:textId="77777777" w:rsidTr="00F94BCA">
        <w:trPr>
          <w:trHeight w:val="123"/>
        </w:trPr>
        <w:tc>
          <w:tcPr>
            <w:tcW w:w="0" w:type="auto"/>
          </w:tcPr>
          <w:p w14:paraId="49D3E02A"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5</w:t>
            </w:r>
          </w:p>
        </w:tc>
        <w:tc>
          <w:tcPr>
            <w:tcW w:w="0" w:type="auto"/>
          </w:tcPr>
          <w:p w14:paraId="604B8F10"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Xpsmp2063</w:t>
            </w:r>
          </w:p>
        </w:tc>
        <w:tc>
          <w:tcPr>
            <w:tcW w:w="0" w:type="auto"/>
          </w:tcPr>
          <w:p w14:paraId="4DBC308E"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GAGCACATGAAATAGGAAG</w:t>
            </w:r>
          </w:p>
        </w:tc>
        <w:tc>
          <w:tcPr>
            <w:tcW w:w="0" w:type="auto"/>
          </w:tcPr>
          <w:p w14:paraId="479F85F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AAGGTAGTTATAGTTAGCTTGATC</w:t>
            </w:r>
          </w:p>
        </w:tc>
      </w:tr>
      <w:tr w:rsidR="00CA2EC1" w:rsidRPr="00CA2EC1" w14:paraId="2ACAF456" w14:textId="77777777" w:rsidTr="00F94BCA">
        <w:trPr>
          <w:trHeight w:val="127"/>
        </w:trPr>
        <w:tc>
          <w:tcPr>
            <w:tcW w:w="0" w:type="auto"/>
          </w:tcPr>
          <w:p w14:paraId="19B8EB30"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6</w:t>
            </w:r>
          </w:p>
        </w:tc>
        <w:tc>
          <w:tcPr>
            <w:tcW w:w="0" w:type="auto"/>
          </w:tcPr>
          <w:p w14:paraId="66234BB4"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Xpsmp2071</w:t>
            </w:r>
          </w:p>
        </w:tc>
        <w:tc>
          <w:tcPr>
            <w:tcW w:w="0" w:type="auto"/>
          </w:tcPr>
          <w:p w14:paraId="731C2C3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TTGCAGTCCCACGAATTATTTG</w:t>
            </w:r>
          </w:p>
        </w:tc>
        <w:tc>
          <w:tcPr>
            <w:tcW w:w="0" w:type="auto"/>
          </w:tcPr>
          <w:p w14:paraId="1AD9A63B" w14:textId="77777777" w:rsidR="00CA2EC1" w:rsidRPr="00F94BCA" w:rsidRDefault="00CA2EC1" w:rsidP="00CA2EC1">
            <w:pPr>
              <w:widowControl w:val="0"/>
              <w:tabs>
                <w:tab w:val="left" w:pos="1080"/>
              </w:tabs>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CTATGAATTTATAATCCTGATACT</w:t>
            </w:r>
          </w:p>
        </w:tc>
      </w:tr>
      <w:tr w:rsidR="00CA2EC1" w:rsidRPr="00CA2EC1" w14:paraId="0C038879" w14:textId="77777777" w:rsidTr="00F94BCA">
        <w:trPr>
          <w:trHeight w:val="131"/>
        </w:trPr>
        <w:tc>
          <w:tcPr>
            <w:tcW w:w="0" w:type="auto"/>
          </w:tcPr>
          <w:p w14:paraId="470C44FC"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7</w:t>
            </w:r>
          </w:p>
        </w:tc>
        <w:tc>
          <w:tcPr>
            <w:tcW w:w="0" w:type="auto"/>
          </w:tcPr>
          <w:p w14:paraId="3CBF44CC"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Xpsmp2076</w:t>
            </w:r>
          </w:p>
        </w:tc>
        <w:tc>
          <w:tcPr>
            <w:tcW w:w="0" w:type="auto"/>
          </w:tcPr>
          <w:p w14:paraId="10BF2A5E"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GGAATAGTATATTGGCAAAATGTG</w:t>
            </w:r>
          </w:p>
        </w:tc>
        <w:tc>
          <w:tcPr>
            <w:tcW w:w="0" w:type="auto"/>
          </w:tcPr>
          <w:p w14:paraId="10C90CF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ATACTACACCTGTAAGCATTGTC</w:t>
            </w:r>
          </w:p>
        </w:tc>
      </w:tr>
      <w:tr w:rsidR="00CA2EC1" w:rsidRPr="00CA2EC1" w14:paraId="37098195" w14:textId="77777777" w:rsidTr="00F94BCA">
        <w:trPr>
          <w:trHeight w:val="135"/>
        </w:trPr>
        <w:tc>
          <w:tcPr>
            <w:tcW w:w="0" w:type="auto"/>
          </w:tcPr>
          <w:p w14:paraId="7E973F87"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8</w:t>
            </w:r>
          </w:p>
        </w:tc>
        <w:tc>
          <w:tcPr>
            <w:tcW w:w="0" w:type="auto"/>
          </w:tcPr>
          <w:p w14:paraId="0B6D1961"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Xpsmp2267</w:t>
            </w:r>
          </w:p>
        </w:tc>
        <w:tc>
          <w:tcPr>
            <w:tcW w:w="0" w:type="auto"/>
          </w:tcPr>
          <w:p w14:paraId="7373511D"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GGAAGGCGTAGGGATCAATCTCAC</w:t>
            </w:r>
          </w:p>
        </w:tc>
        <w:tc>
          <w:tcPr>
            <w:tcW w:w="0" w:type="auto"/>
          </w:tcPr>
          <w:p w14:paraId="29FBAC30"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ATCCACCCGACGAAGGAAACGA</w:t>
            </w:r>
          </w:p>
        </w:tc>
      </w:tr>
      <w:tr w:rsidR="00CA2EC1" w:rsidRPr="00CA2EC1" w14:paraId="4EDEF124" w14:textId="77777777" w:rsidTr="00F94BCA">
        <w:trPr>
          <w:trHeight w:val="153"/>
        </w:trPr>
        <w:tc>
          <w:tcPr>
            <w:tcW w:w="0" w:type="auto"/>
          </w:tcPr>
          <w:p w14:paraId="02BD0A4C"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9</w:t>
            </w:r>
          </w:p>
        </w:tc>
        <w:tc>
          <w:tcPr>
            <w:tcW w:w="0" w:type="auto"/>
          </w:tcPr>
          <w:p w14:paraId="2940BEEE"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Xpsmp2090</w:t>
            </w:r>
          </w:p>
        </w:tc>
        <w:tc>
          <w:tcPr>
            <w:tcW w:w="0" w:type="auto"/>
          </w:tcPr>
          <w:p w14:paraId="33E98894"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AGCAGCCCAGTAATACCTCAGCTC</w:t>
            </w:r>
          </w:p>
        </w:tc>
        <w:tc>
          <w:tcPr>
            <w:tcW w:w="0" w:type="auto"/>
          </w:tcPr>
          <w:p w14:paraId="212977A0"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AGCCCTAGCGCACAACACAAACTC</w:t>
            </w:r>
          </w:p>
        </w:tc>
      </w:tr>
      <w:tr w:rsidR="00CA2EC1" w:rsidRPr="00CA2EC1" w14:paraId="04C5EEBB" w14:textId="77777777" w:rsidTr="00F94BCA">
        <w:trPr>
          <w:trHeight w:val="157"/>
        </w:trPr>
        <w:tc>
          <w:tcPr>
            <w:tcW w:w="0" w:type="auto"/>
          </w:tcPr>
          <w:p w14:paraId="59D5DEDF"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10</w:t>
            </w:r>
          </w:p>
        </w:tc>
        <w:tc>
          <w:tcPr>
            <w:tcW w:w="0" w:type="auto"/>
          </w:tcPr>
          <w:p w14:paraId="7CD40752"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Xpsmp2248</w:t>
            </w:r>
          </w:p>
        </w:tc>
        <w:tc>
          <w:tcPr>
            <w:tcW w:w="0" w:type="auto"/>
          </w:tcPr>
          <w:p w14:paraId="6D29CDB9"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TCTGTTTGTTTGGGTCAGGTCCTTC</w:t>
            </w:r>
          </w:p>
        </w:tc>
        <w:tc>
          <w:tcPr>
            <w:tcW w:w="0" w:type="auto"/>
          </w:tcPr>
          <w:p w14:paraId="77C612A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CGAATACGTATGGAGAACTGCGCATC</w:t>
            </w:r>
          </w:p>
        </w:tc>
      </w:tr>
      <w:tr w:rsidR="00CA2EC1" w:rsidRPr="00CA2EC1" w14:paraId="385BFD3B" w14:textId="77777777" w:rsidTr="00F94BCA">
        <w:trPr>
          <w:trHeight w:val="175"/>
        </w:trPr>
        <w:tc>
          <w:tcPr>
            <w:tcW w:w="0" w:type="auto"/>
          </w:tcPr>
          <w:p w14:paraId="3864249F"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11</w:t>
            </w:r>
          </w:p>
        </w:tc>
        <w:tc>
          <w:tcPr>
            <w:tcW w:w="0" w:type="auto"/>
          </w:tcPr>
          <w:p w14:paraId="74DDB370"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Xpsmp2237</w:t>
            </w:r>
          </w:p>
        </w:tc>
        <w:tc>
          <w:tcPr>
            <w:tcW w:w="0" w:type="auto"/>
          </w:tcPr>
          <w:p w14:paraId="7839BB0F"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TGGCCTTGGCCTTTCCACGCTT</w:t>
            </w:r>
          </w:p>
        </w:tc>
        <w:tc>
          <w:tcPr>
            <w:tcW w:w="0" w:type="auto"/>
          </w:tcPr>
          <w:p w14:paraId="59CA1387"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CAATCAGTCCGTAGTCCACACCCCA</w:t>
            </w:r>
          </w:p>
        </w:tc>
      </w:tr>
      <w:tr w:rsidR="00CA2EC1" w:rsidRPr="00CA2EC1" w14:paraId="444AD18C" w14:textId="77777777" w:rsidTr="00F94BCA">
        <w:trPr>
          <w:trHeight w:val="180"/>
        </w:trPr>
        <w:tc>
          <w:tcPr>
            <w:tcW w:w="0" w:type="auto"/>
          </w:tcPr>
          <w:p w14:paraId="3C0E9C72"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12</w:t>
            </w:r>
          </w:p>
        </w:tc>
        <w:tc>
          <w:tcPr>
            <w:tcW w:w="0" w:type="auto"/>
          </w:tcPr>
          <w:p w14:paraId="17949D5B"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Xpsmp2231</w:t>
            </w:r>
          </w:p>
        </w:tc>
        <w:tc>
          <w:tcPr>
            <w:tcW w:w="0" w:type="auto"/>
          </w:tcPr>
          <w:p w14:paraId="3B655AA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TTGCCTGAAGACGTGCAATCGTCC</w:t>
            </w:r>
          </w:p>
        </w:tc>
        <w:tc>
          <w:tcPr>
            <w:tcW w:w="0" w:type="auto"/>
          </w:tcPr>
          <w:p w14:paraId="3A5404D9"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AACGGACTTCTGCACTTAGCAGG</w:t>
            </w:r>
          </w:p>
        </w:tc>
      </w:tr>
      <w:tr w:rsidR="00CA2EC1" w:rsidRPr="00CA2EC1" w14:paraId="284162A5" w14:textId="77777777" w:rsidTr="00F94BCA">
        <w:trPr>
          <w:trHeight w:val="183"/>
        </w:trPr>
        <w:tc>
          <w:tcPr>
            <w:tcW w:w="0" w:type="auto"/>
          </w:tcPr>
          <w:p w14:paraId="0555C41A"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13</w:t>
            </w:r>
          </w:p>
        </w:tc>
        <w:tc>
          <w:tcPr>
            <w:tcW w:w="0" w:type="auto"/>
          </w:tcPr>
          <w:p w14:paraId="4650BD90"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Xpsmp2027</w:t>
            </w:r>
          </w:p>
        </w:tc>
        <w:tc>
          <w:tcPr>
            <w:tcW w:w="0" w:type="auto"/>
          </w:tcPr>
          <w:p w14:paraId="228505EC"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AGCAATCCGATAACAAGGAC</w:t>
            </w:r>
          </w:p>
        </w:tc>
        <w:tc>
          <w:tcPr>
            <w:tcW w:w="0" w:type="auto"/>
          </w:tcPr>
          <w:p w14:paraId="6440E29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AGCTTTGGAAAAGGTGATCC</w:t>
            </w:r>
          </w:p>
        </w:tc>
      </w:tr>
      <w:tr w:rsidR="00CA2EC1" w:rsidRPr="00CA2EC1" w14:paraId="11B12A2F" w14:textId="77777777" w:rsidTr="00F94BCA">
        <w:trPr>
          <w:trHeight w:val="202"/>
        </w:trPr>
        <w:tc>
          <w:tcPr>
            <w:tcW w:w="0" w:type="auto"/>
          </w:tcPr>
          <w:p w14:paraId="6F7218B9"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14</w:t>
            </w:r>
          </w:p>
        </w:tc>
        <w:tc>
          <w:tcPr>
            <w:tcW w:w="0" w:type="auto"/>
          </w:tcPr>
          <w:p w14:paraId="072B67AC"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Xpsmp2236</w:t>
            </w:r>
          </w:p>
        </w:tc>
        <w:tc>
          <w:tcPr>
            <w:tcW w:w="0" w:type="auto"/>
          </w:tcPr>
          <w:p w14:paraId="2734EBB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ATAAGTGGGACCCACATGCAGCAC</w:t>
            </w:r>
          </w:p>
        </w:tc>
        <w:tc>
          <w:tcPr>
            <w:tcW w:w="0" w:type="auto"/>
          </w:tcPr>
          <w:p w14:paraId="34433767"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CGAAAGACTAGCAAAATTGCGCCTTCTGT</w:t>
            </w:r>
          </w:p>
        </w:tc>
      </w:tr>
      <w:tr w:rsidR="00CA2EC1" w:rsidRPr="00CA2EC1" w14:paraId="2871AAAB" w14:textId="77777777" w:rsidTr="00F94BCA">
        <w:trPr>
          <w:trHeight w:val="205"/>
        </w:trPr>
        <w:tc>
          <w:tcPr>
            <w:tcW w:w="0" w:type="auto"/>
          </w:tcPr>
          <w:p w14:paraId="54AC16A7"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15</w:t>
            </w:r>
          </w:p>
        </w:tc>
        <w:tc>
          <w:tcPr>
            <w:tcW w:w="0" w:type="auto"/>
          </w:tcPr>
          <w:p w14:paraId="68EDECBE"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Xpsmp2261</w:t>
            </w:r>
          </w:p>
        </w:tc>
        <w:tc>
          <w:tcPr>
            <w:tcW w:w="0" w:type="auto"/>
          </w:tcPr>
          <w:p w14:paraId="0AA01A54"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AATGAAAATCCATCCCATTTCGCC</w:t>
            </w:r>
          </w:p>
        </w:tc>
        <w:tc>
          <w:tcPr>
            <w:tcW w:w="0" w:type="auto"/>
          </w:tcPr>
          <w:p w14:paraId="3B1ED22C"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CGAGGACGAGGAGGGCGATT</w:t>
            </w:r>
          </w:p>
        </w:tc>
      </w:tr>
      <w:tr w:rsidR="00CA2EC1" w:rsidRPr="00CA2EC1" w14:paraId="4D85F1C5" w14:textId="77777777" w:rsidTr="00F94BCA">
        <w:trPr>
          <w:trHeight w:val="68"/>
        </w:trPr>
        <w:tc>
          <w:tcPr>
            <w:tcW w:w="0" w:type="auto"/>
          </w:tcPr>
          <w:p w14:paraId="2BAD1CF1"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16</w:t>
            </w:r>
          </w:p>
        </w:tc>
        <w:tc>
          <w:tcPr>
            <w:tcW w:w="0" w:type="auto"/>
          </w:tcPr>
          <w:p w14:paraId="2B3C1395"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Xpsmp2263</w:t>
            </w:r>
          </w:p>
        </w:tc>
        <w:tc>
          <w:tcPr>
            <w:tcW w:w="0" w:type="auto"/>
          </w:tcPr>
          <w:p w14:paraId="3AC8004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AAAGTGAATACGATACAGGAGCTGA</w:t>
            </w:r>
          </w:p>
        </w:tc>
        <w:tc>
          <w:tcPr>
            <w:tcW w:w="0" w:type="auto"/>
          </w:tcPr>
          <w:p w14:paraId="25BFE37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GCATTTCAGCCGTTAAGTGAGACAA</w:t>
            </w:r>
          </w:p>
        </w:tc>
      </w:tr>
      <w:tr w:rsidR="00CA2EC1" w:rsidRPr="00CA2EC1" w14:paraId="31EBFEF9" w14:textId="77777777" w:rsidTr="00F94BCA">
        <w:trPr>
          <w:trHeight w:val="85"/>
        </w:trPr>
        <w:tc>
          <w:tcPr>
            <w:tcW w:w="0" w:type="auto"/>
          </w:tcPr>
          <w:p w14:paraId="2698EC7B"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17</w:t>
            </w:r>
          </w:p>
        </w:tc>
        <w:tc>
          <w:tcPr>
            <w:tcW w:w="0" w:type="auto"/>
          </w:tcPr>
          <w:p w14:paraId="53B50353"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Xpsmp2266</w:t>
            </w:r>
          </w:p>
        </w:tc>
        <w:tc>
          <w:tcPr>
            <w:tcW w:w="0" w:type="auto"/>
          </w:tcPr>
          <w:p w14:paraId="624D5C6B"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CAAGGATGGCTGAAGGGCTATG</w:t>
            </w:r>
          </w:p>
        </w:tc>
        <w:tc>
          <w:tcPr>
            <w:tcW w:w="0" w:type="auto"/>
          </w:tcPr>
          <w:p w14:paraId="4CDF69D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TTTCCAGCCCACACCAGTAATC</w:t>
            </w:r>
          </w:p>
        </w:tc>
      </w:tr>
      <w:tr w:rsidR="00CA2EC1" w:rsidRPr="00CA2EC1" w14:paraId="157B4FEF" w14:textId="77777777" w:rsidTr="00F94BCA">
        <w:trPr>
          <w:trHeight w:val="90"/>
        </w:trPr>
        <w:tc>
          <w:tcPr>
            <w:tcW w:w="0" w:type="auto"/>
          </w:tcPr>
          <w:p w14:paraId="45A17431"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18</w:t>
            </w:r>
          </w:p>
        </w:tc>
        <w:tc>
          <w:tcPr>
            <w:tcW w:w="0" w:type="auto"/>
          </w:tcPr>
          <w:p w14:paraId="5DF35E8E"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Xpsmp2273</w:t>
            </w:r>
          </w:p>
        </w:tc>
        <w:tc>
          <w:tcPr>
            <w:tcW w:w="0" w:type="auto"/>
          </w:tcPr>
          <w:p w14:paraId="5C7F56DC"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AACCCCACCAGTAAGTTGTGCTGC</w:t>
            </w:r>
          </w:p>
        </w:tc>
        <w:tc>
          <w:tcPr>
            <w:tcW w:w="0" w:type="auto"/>
          </w:tcPr>
          <w:p w14:paraId="1C3417A2"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GATGACGACAAGACCTTCTCTCC</w:t>
            </w:r>
          </w:p>
        </w:tc>
      </w:tr>
      <w:tr w:rsidR="00CA2EC1" w:rsidRPr="00CA2EC1" w14:paraId="4988D295" w14:textId="77777777" w:rsidTr="00F94BCA">
        <w:trPr>
          <w:trHeight w:val="93"/>
        </w:trPr>
        <w:tc>
          <w:tcPr>
            <w:tcW w:w="0" w:type="auto"/>
          </w:tcPr>
          <w:p w14:paraId="36B65280"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19</w:t>
            </w:r>
          </w:p>
        </w:tc>
        <w:tc>
          <w:tcPr>
            <w:tcW w:w="0" w:type="auto"/>
          </w:tcPr>
          <w:p w14:paraId="0B87C7B4"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Xpgird13</w:t>
            </w:r>
          </w:p>
        </w:tc>
        <w:tc>
          <w:tcPr>
            <w:tcW w:w="0" w:type="auto"/>
          </w:tcPr>
          <w:p w14:paraId="7304F7A4"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CAGCAGCGAGAAGTTTAGCA</w:t>
            </w:r>
          </w:p>
        </w:tc>
        <w:tc>
          <w:tcPr>
            <w:tcW w:w="0" w:type="auto"/>
          </w:tcPr>
          <w:p w14:paraId="209D31B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GCGTAGACGGCGTAGATGAT</w:t>
            </w:r>
          </w:p>
        </w:tc>
      </w:tr>
      <w:tr w:rsidR="00CA2EC1" w:rsidRPr="00CA2EC1" w14:paraId="360D40D4" w14:textId="77777777" w:rsidTr="00F94BCA">
        <w:trPr>
          <w:trHeight w:val="112"/>
        </w:trPr>
        <w:tc>
          <w:tcPr>
            <w:tcW w:w="0" w:type="auto"/>
          </w:tcPr>
          <w:p w14:paraId="21037233"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lastRenderedPageBreak/>
              <w:t>20</w:t>
            </w:r>
          </w:p>
        </w:tc>
        <w:tc>
          <w:tcPr>
            <w:tcW w:w="0" w:type="auto"/>
          </w:tcPr>
          <w:p w14:paraId="1C40E0BA"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Xpgird49</w:t>
            </w:r>
          </w:p>
        </w:tc>
        <w:tc>
          <w:tcPr>
            <w:tcW w:w="0" w:type="auto"/>
          </w:tcPr>
          <w:p w14:paraId="7FF9FD02"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AGCTCCTCGACGGAGAAAGT</w:t>
            </w:r>
          </w:p>
        </w:tc>
        <w:tc>
          <w:tcPr>
            <w:tcW w:w="0" w:type="auto"/>
          </w:tcPr>
          <w:p w14:paraId="346C33D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GACGGTGTCGACGAAGATG</w:t>
            </w:r>
          </w:p>
        </w:tc>
      </w:tr>
    </w:tbl>
    <w:p w14:paraId="357CE5AD" w14:textId="77777777" w:rsidR="00CA2EC1" w:rsidRPr="00CA2EC1" w:rsidRDefault="00CA2EC1" w:rsidP="00C13B2C">
      <w:pPr>
        <w:spacing w:before="240" w:after="120" w:line="360" w:lineRule="auto"/>
        <w:jc w:val="both"/>
        <w:rPr>
          <w:rFonts w:ascii="Times New Roman" w:hAnsi="Times New Roman" w:cs="Times New Roman"/>
          <w:b/>
          <w:sz w:val="24"/>
        </w:rPr>
      </w:pPr>
      <w:r w:rsidRPr="00CA2EC1">
        <w:rPr>
          <w:rFonts w:ascii="Times New Roman" w:hAnsi="Times New Roman" w:cs="Times New Roman"/>
          <w:b/>
          <w:sz w:val="24"/>
        </w:rPr>
        <w:t>3. Result</w:t>
      </w:r>
      <w:r w:rsidR="00C13B2C">
        <w:rPr>
          <w:rFonts w:ascii="Times New Roman" w:hAnsi="Times New Roman" w:cs="Times New Roman"/>
          <w:b/>
          <w:sz w:val="24"/>
        </w:rPr>
        <w:t>s</w:t>
      </w:r>
      <w:r w:rsidR="0032005E">
        <w:rPr>
          <w:rFonts w:ascii="Times New Roman" w:hAnsi="Times New Roman" w:cs="Times New Roman"/>
          <w:b/>
          <w:sz w:val="24"/>
        </w:rPr>
        <w:t xml:space="preserve"> </w:t>
      </w:r>
      <w:r w:rsidRPr="00CA2EC1">
        <w:rPr>
          <w:rFonts w:ascii="Times New Roman" w:hAnsi="Times New Roman" w:cs="Times New Roman"/>
          <w:b/>
          <w:sz w:val="24"/>
        </w:rPr>
        <w:t xml:space="preserve">&amp; Discussion </w:t>
      </w:r>
    </w:p>
    <w:p w14:paraId="1383DD77" w14:textId="77777777" w:rsidR="00CA2EC1" w:rsidRPr="00CA2EC1" w:rsidRDefault="00CA2EC1" w:rsidP="00C13B2C">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3.1 Field Evaluation </w:t>
      </w:r>
    </w:p>
    <w:p w14:paraId="44D3D9E0" w14:textId="77777777" w:rsidR="00CA2EC1" w:rsidRPr="00CA2EC1" w:rsidRDefault="00CA2EC1" w:rsidP="00F94BCA">
      <w:pPr>
        <w:spacing w:before="120" w:after="120" w:line="360" w:lineRule="auto"/>
        <w:jc w:val="both"/>
        <w:rPr>
          <w:rFonts w:ascii="Times New Roman" w:hAnsi="Times New Roman" w:cs="Times New Roman"/>
          <w:sz w:val="24"/>
        </w:rPr>
      </w:pPr>
      <w:r w:rsidRPr="00CA2EC1">
        <w:rPr>
          <w:rFonts w:ascii="Times New Roman" w:hAnsi="Times New Roman" w:cs="Times New Roman"/>
          <w:sz w:val="24"/>
        </w:rPr>
        <w:t xml:space="preserve">A total of 77 pearl millet </w:t>
      </w:r>
      <w:r w:rsidR="00C13B2C">
        <w:rPr>
          <w:rFonts w:ascii="Times New Roman" w:hAnsi="Times New Roman" w:cs="Times New Roman"/>
          <w:sz w:val="24"/>
        </w:rPr>
        <w:t>restorer lines</w:t>
      </w:r>
      <w:r w:rsidRPr="00CA2EC1">
        <w:rPr>
          <w:rFonts w:ascii="Times New Roman" w:hAnsi="Times New Roman" w:cs="Times New Roman"/>
          <w:sz w:val="24"/>
        </w:rPr>
        <w:t xml:space="preserve"> were evaluated under field conditions to assess their reaction to blast disease using a 1–9 rating scale. Based on disease severity, the genotypes were categorized into five distinct classes (Table </w:t>
      </w:r>
      <w:r w:rsidR="00C13B2C">
        <w:rPr>
          <w:rFonts w:ascii="Times New Roman" w:hAnsi="Times New Roman" w:cs="Times New Roman"/>
          <w:sz w:val="24"/>
        </w:rPr>
        <w:t>4;</w:t>
      </w:r>
      <w:r w:rsidR="00C13B2C" w:rsidRPr="00CA2EC1">
        <w:rPr>
          <w:rFonts w:ascii="Times New Roman" w:hAnsi="Times New Roman" w:cs="Times New Roman"/>
          <w:sz w:val="24"/>
        </w:rPr>
        <w:t xml:space="preserve"> Table</w:t>
      </w:r>
      <w:r w:rsidR="00C13B2C">
        <w:rPr>
          <w:rFonts w:ascii="Times New Roman" w:hAnsi="Times New Roman" w:cs="Times New Roman"/>
          <w:sz w:val="24"/>
        </w:rPr>
        <w:t>5;</w:t>
      </w:r>
      <w:r w:rsidRPr="00CA2EC1">
        <w:rPr>
          <w:rFonts w:ascii="Times New Roman" w:hAnsi="Times New Roman" w:cs="Times New Roman"/>
          <w:sz w:val="24"/>
        </w:rPr>
        <w:t xml:space="preserve"> Fig.1). Thirteen genotypes, including R-20876, R-23774, R-24665, R-20212, R-25511, R-20204, R-26607, R-20218, R-20002, R-22968, R-21355, R-21121 and R-20822, exhibited no or minimal symptoms and were classified as highly resistant. Genotypes categorized as highly resistant exhibited negligible or no disease symptoms, suggesting the presence of strong, stable resistance mechanisms that effectively hinder pathogen establishment and progression (Das et al., 2021; Kumar et al., 2021</w:t>
      </w:r>
      <w:r w:rsidR="00C13B2C">
        <w:rPr>
          <w:rFonts w:ascii="Times New Roman" w:hAnsi="Times New Roman" w:cs="Times New Roman"/>
          <w:sz w:val="24"/>
        </w:rPr>
        <w:t>; Parihar et al., 2022</w:t>
      </w:r>
      <w:r w:rsidR="00FC19A6">
        <w:rPr>
          <w:rFonts w:ascii="Times New Roman" w:hAnsi="Times New Roman" w:cs="Times New Roman"/>
          <w:sz w:val="24"/>
        </w:rPr>
        <w:t>; Parmar et al., 2022</w:t>
      </w:r>
      <w:r w:rsidRPr="00CA2EC1">
        <w:rPr>
          <w:rFonts w:ascii="Times New Roman" w:hAnsi="Times New Roman" w:cs="Times New Roman"/>
          <w:sz w:val="24"/>
        </w:rPr>
        <w:t>). These genotypes likely possess major resistance genes or effective gene combinations conferring broad-spectrum resistance, making them promising candidates for use in resistance breeding program</w:t>
      </w:r>
      <w:r w:rsidR="00FC19A6">
        <w:rPr>
          <w:rFonts w:ascii="Times New Roman" w:hAnsi="Times New Roman" w:cs="Times New Roman"/>
          <w:sz w:val="24"/>
        </w:rPr>
        <w:t>me</w:t>
      </w:r>
      <w:r w:rsidRPr="00CA2EC1">
        <w:rPr>
          <w:rFonts w:ascii="Times New Roman" w:hAnsi="Times New Roman" w:cs="Times New Roman"/>
          <w:sz w:val="24"/>
        </w:rPr>
        <w:t xml:space="preserve">s (Ning et al., 2020; Pedrozo et al., 2025). </w:t>
      </w:r>
    </w:p>
    <w:p w14:paraId="0E5A3055" w14:textId="77777777" w:rsidR="00CA2EC1" w:rsidRPr="00CA2EC1" w:rsidRDefault="00CA2EC1" w:rsidP="00F94BCA">
      <w:pPr>
        <w:spacing w:before="120" w:after="120" w:line="360" w:lineRule="auto"/>
        <w:ind w:firstLine="720"/>
        <w:jc w:val="both"/>
        <w:rPr>
          <w:rFonts w:ascii="Times New Roman" w:hAnsi="Times New Roman" w:cs="Times New Roman"/>
          <w:sz w:val="24"/>
        </w:rPr>
      </w:pPr>
      <w:r w:rsidRPr="00CA2EC1">
        <w:rPr>
          <w:rFonts w:ascii="Times New Roman" w:hAnsi="Times New Roman" w:cs="Times New Roman"/>
          <w:sz w:val="24"/>
        </w:rPr>
        <w:t xml:space="preserve">Thirteen genotypes such as R-20111, R-26462, R-24667, R-20057, R-20103, R-20443, R-21283, R-20012, R-24650, R-20115, R-21370, R-20113, and R-20108 were found to be resistant, showing limited lesion development. </w:t>
      </w:r>
      <w:r w:rsidR="00FC19A6">
        <w:rPr>
          <w:rFonts w:ascii="Times New Roman" w:hAnsi="Times New Roman" w:cs="Times New Roman"/>
          <w:sz w:val="24"/>
        </w:rPr>
        <w:t>While m</w:t>
      </w:r>
      <w:r w:rsidRPr="00CA2EC1">
        <w:rPr>
          <w:rFonts w:ascii="Times New Roman" w:hAnsi="Times New Roman" w:cs="Times New Roman"/>
          <w:sz w:val="24"/>
        </w:rPr>
        <w:t xml:space="preserve">oderate resistance was observed in nineteen genotypes, including R-23956, R-24654, R-25850, R-23906, R-25086, R-24655, R-21111, R-20706, R-20105, R-20079, R-26492, R-22768, R-20206, R-20205, R-20090, R-24657, R-21136, R-24659, and R-24658, which exhibited typical blast lesions covering less than 10% of the leaf area. Genotypes with resistant and moderately resistant reactions demonstrated reduced lesion development and limited disease spread, indicating partial or polygenic resistance. This form of resistance, often governed by quantitative trait loci (QTLs), tends to be more durable and stable across diverse environments. Such genotypes can play a pivotal role in pyramiding resistance genes to develop cultivars with long-lasting resistance (Fukuoka et al., 2015; </w:t>
      </w:r>
      <w:r w:rsidRPr="00CA2EC1">
        <w:rPr>
          <w:rFonts w:ascii="Times New Roman" w:eastAsia="Times New Roman" w:hAnsi="Times New Roman" w:cs="Times New Roman"/>
          <w:sz w:val="24"/>
          <w:szCs w:val="24"/>
          <w:lang w:eastAsia="en-IN"/>
        </w:rPr>
        <w:t>Pilet-Nayel</w:t>
      </w:r>
      <w:r w:rsidRPr="00CA2EC1">
        <w:rPr>
          <w:rFonts w:ascii="Times New Roman" w:hAnsi="Times New Roman" w:cs="Times New Roman"/>
          <w:sz w:val="24"/>
        </w:rPr>
        <w:t xml:space="preserve"> et al., 2017; Jiang et al., 2020; Ontoy et al., 2023). </w:t>
      </w:r>
    </w:p>
    <w:p w14:paraId="34FCEB12" w14:textId="7CB79B93" w:rsidR="00CA2EC1" w:rsidRPr="00CA2EC1" w:rsidRDefault="00CA2EC1" w:rsidP="00F94BCA">
      <w:pPr>
        <w:spacing w:before="120" w:after="120" w:line="360" w:lineRule="auto"/>
        <w:ind w:firstLine="720"/>
        <w:jc w:val="both"/>
        <w:rPr>
          <w:rFonts w:ascii="Times New Roman" w:hAnsi="Times New Roman" w:cs="Times New Roman"/>
          <w:sz w:val="24"/>
        </w:rPr>
      </w:pPr>
      <w:r w:rsidRPr="00CA2EC1">
        <w:rPr>
          <w:rFonts w:ascii="Times New Roman" w:hAnsi="Times New Roman" w:cs="Times New Roman"/>
          <w:sz w:val="24"/>
        </w:rPr>
        <w:t xml:space="preserve">Sixteen genotypes, </w:t>
      </w:r>
      <w:r w:rsidR="00FC19A6" w:rsidRPr="00FC19A6">
        <w:rPr>
          <w:rFonts w:ascii="Times New Roman" w:hAnsi="Times New Roman" w:cs="Times New Roman"/>
          <w:i/>
          <w:iCs/>
          <w:sz w:val="24"/>
        </w:rPr>
        <w:t>viz</w:t>
      </w:r>
      <w:r w:rsidR="00FC19A6">
        <w:rPr>
          <w:rFonts w:ascii="Times New Roman" w:hAnsi="Times New Roman" w:cs="Times New Roman"/>
          <w:sz w:val="24"/>
        </w:rPr>
        <w:t>.,</w:t>
      </w:r>
      <w:r w:rsidRPr="00CA2EC1">
        <w:rPr>
          <w:rFonts w:ascii="Times New Roman" w:hAnsi="Times New Roman" w:cs="Times New Roman"/>
          <w:sz w:val="24"/>
        </w:rPr>
        <w:t xml:space="preserve"> R-24663, R-25046, R-24653, R-20810, R-27738, R-25865, R-24666, R-20671, R-24651, R-22713, R-20871, R-20826, R-20208, R-24652, R-22013 and </w:t>
      </w:r>
      <w:r w:rsidRPr="00CA2EC1">
        <w:rPr>
          <w:rFonts w:ascii="Times New Roman" w:hAnsi="Times New Roman" w:cs="Times New Roman"/>
          <w:sz w:val="24"/>
        </w:rPr>
        <w:lastRenderedPageBreak/>
        <w:t xml:space="preserve">R-21930, were categorized as susceptible with moderate to severe lesion coverage (10–50% of leaf area). </w:t>
      </w:r>
      <w:r w:rsidR="00FC19A6">
        <w:rPr>
          <w:rFonts w:ascii="Times New Roman" w:hAnsi="Times New Roman" w:cs="Times New Roman"/>
          <w:sz w:val="24"/>
        </w:rPr>
        <w:t>While s</w:t>
      </w:r>
      <w:r w:rsidR="007341CF">
        <w:rPr>
          <w:rFonts w:ascii="Times New Roman" w:hAnsi="Times New Roman" w:cs="Times New Roman"/>
          <w:sz w:val="24"/>
        </w:rPr>
        <w:t>ixteen genotypes, namely</w:t>
      </w:r>
      <w:r w:rsidR="00FC19A6">
        <w:rPr>
          <w:rFonts w:ascii="Times New Roman" w:hAnsi="Times New Roman" w:cs="Times New Roman"/>
          <w:sz w:val="24"/>
        </w:rPr>
        <w:t>:</w:t>
      </w:r>
      <w:r w:rsidR="007341CF">
        <w:rPr>
          <w:rFonts w:ascii="Times New Roman" w:hAnsi="Times New Roman" w:cs="Times New Roman"/>
          <w:sz w:val="24"/>
        </w:rPr>
        <w:t xml:space="preserve"> </w:t>
      </w:r>
      <w:r w:rsidRPr="00CA2EC1">
        <w:rPr>
          <w:rFonts w:ascii="Times New Roman" w:hAnsi="Times New Roman" w:cs="Times New Roman"/>
          <w:sz w:val="24"/>
        </w:rPr>
        <w:t xml:space="preserve">R-23565, R-21970, R-20846, R-25910, R-20710, R-24610, R-24664, R-22908, R-26482, R-25056, R-24661, R-24656, R-24662, R-20444, R-22918, and R-20823, were found to be highly susceptible, exhibiting severe disease symptoms with more than 50% of the leaf area affected and widespread leaf necrosis. </w:t>
      </w:r>
    </w:p>
    <w:p w14:paraId="65D2E23C" w14:textId="77777777" w:rsidR="00CA2EC1" w:rsidRPr="00CA2EC1" w:rsidRDefault="00CA2EC1" w:rsidP="00F94BCA">
      <w:pPr>
        <w:spacing w:before="120" w:after="120" w:line="360" w:lineRule="auto"/>
        <w:ind w:firstLine="720"/>
        <w:jc w:val="both"/>
        <w:rPr>
          <w:rFonts w:ascii="Times New Roman" w:hAnsi="Times New Roman" w:cs="Times New Roman"/>
          <w:sz w:val="24"/>
        </w:rPr>
      </w:pPr>
      <w:r w:rsidRPr="00CA2EC1">
        <w:rPr>
          <w:rFonts w:ascii="Times New Roman" w:hAnsi="Times New Roman" w:cs="Times New Roman"/>
          <w:sz w:val="24"/>
        </w:rPr>
        <w:t>Susceptible and highly susceptible genotypes showed extensive blast symptoms, including widespread foliar lesions and necrosis, indicating either the absence of effective resistance genes or the breakdown of resistance under high inoculum pressure (</w:t>
      </w:r>
      <w:r w:rsidRPr="00CA2EC1">
        <w:rPr>
          <w:rFonts w:ascii="Times New Roman" w:eastAsia="Times New Roman" w:hAnsi="Times New Roman" w:cs="Times New Roman"/>
          <w:sz w:val="24"/>
          <w:szCs w:val="24"/>
          <w:lang w:eastAsia="en-IN"/>
        </w:rPr>
        <w:t>Devanna</w:t>
      </w:r>
      <w:r w:rsidRPr="00CA2EC1">
        <w:rPr>
          <w:rFonts w:ascii="Times New Roman" w:hAnsi="Times New Roman" w:cs="Times New Roman"/>
          <w:sz w:val="24"/>
        </w:rPr>
        <w:t xml:space="preserve"> et al., 2022; Jeevan et al., 2023; </w:t>
      </w:r>
      <w:r w:rsidRPr="00CA2EC1">
        <w:rPr>
          <w:rFonts w:ascii="Times New Roman" w:eastAsia="Times New Roman" w:hAnsi="Times New Roman" w:cs="Times New Roman"/>
          <w:sz w:val="24"/>
          <w:szCs w:val="24"/>
          <w:lang w:eastAsia="en-IN"/>
        </w:rPr>
        <w:t>Vasquez-Teuber et al., 2024</w:t>
      </w:r>
      <w:r w:rsidRPr="00CA2EC1">
        <w:rPr>
          <w:rFonts w:ascii="Times New Roman" w:hAnsi="Times New Roman" w:cs="Times New Roman"/>
          <w:sz w:val="24"/>
        </w:rPr>
        <w:t>). These genotypes are less desirable for cultivation in blast-prone areas but may still serve as useful checks or parental lines in studies focused on resistance gene discovery or functional validation (Hafees et al., 2021; Simon et al., 2023). Similar studies have</w:t>
      </w:r>
      <w:r w:rsidR="00FC19A6">
        <w:rPr>
          <w:rFonts w:ascii="Times New Roman" w:hAnsi="Times New Roman" w:cs="Times New Roman"/>
          <w:sz w:val="24"/>
        </w:rPr>
        <w:t xml:space="preserve"> also</w:t>
      </w:r>
      <w:r w:rsidRPr="00CA2EC1">
        <w:rPr>
          <w:rFonts w:ascii="Times New Roman" w:hAnsi="Times New Roman" w:cs="Times New Roman"/>
          <w:sz w:val="24"/>
        </w:rPr>
        <w:t xml:space="preserve"> been conducted by Verma et al. </w:t>
      </w:r>
      <w:r w:rsidR="00FC19A6">
        <w:rPr>
          <w:rFonts w:ascii="Times New Roman" w:hAnsi="Times New Roman" w:cs="Times New Roman"/>
          <w:sz w:val="24"/>
        </w:rPr>
        <w:t>(</w:t>
      </w:r>
      <w:r w:rsidRPr="00CA2EC1">
        <w:rPr>
          <w:rFonts w:ascii="Times New Roman" w:hAnsi="Times New Roman" w:cs="Times New Roman"/>
          <w:sz w:val="24"/>
        </w:rPr>
        <w:t>2021</w:t>
      </w:r>
      <w:r w:rsidR="00FC19A6">
        <w:rPr>
          <w:rFonts w:ascii="Times New Roman" w:hAnsi="Times New Roman" w:cs="Times New Roman"/>
          <w:sz w:val="24"/>
        </w:rPr>
        <w:t>)</w:t>
      </w:r>
      <w:r w:rsidRPr="00CA2EC1">
        <w:rPr>
          <w:rFonts w:ascii="Times New Roman" w:hAnsi="Times New Roman" w:cs="Times New Roman"/>
          <w:sz w:val="24"/>
        </w:rPr>
        <w:t xml:space="preserve">, Kumar et al. </w:t>
      </w:r>
      <w:r w:rsidR="00FC19A6">
        <w:rPr>
          <w:rFonts w:ascii="Times New Roman" w:hAnsi="Times New Roman" w:cs="Times New Roman"/>
          <w:sz w:val="24"/>
        </w:rPr>
        <w:t>(</w:t>
      </w:r>
      <w:r w:rsidRPr="00CA2EC1">
        <w:rPr>
          <w:rFonts w:ascii="Times New Roman" w:hAnsi="Times New Roman" w:cs="Times New Roman"/>
          <w:sz w:val="24"/>
        </w:rPr>
        <w:t>2022</w:t>
      </w:r>
      <w:r w:rsidR="00FC19A6">
        <w:rPr>
          <w:rFonts w:ascii="Times New Roman" w:hAnsi="Times New Roman" w:cs="Times New Roman"/>
          <w:sz w:val="24"/>
        </w:rPr>
        <w:t xml:space="preserve">) </w:t>
      </w:r>
      <w:r w:rsidRPr="00CA2EC1">
        <w:rPr>
          <w:rFonts w:ascii="Times New Roman" w:hAnsi="Times New Roman" w:cs="Times New Roman"/>
          <w:sz w:val="24"/>
        </w:rPr>
        <w:t xml:space="preserve">and </w:t>
      </w:r>
      <w:r w:rsidRPr="00CA2EC1">
        <w:rPr>
          <w:rFonts w:ascii="Times New Roman" w:eastAsia="Times New Roman" w:hAnsi="Times New Roman" w:cs="Times New Roman"/>
          <w:sz w:val="24"/>
          <w:szCs w:val="24"/>
          <w:lang w:eastAsia="en-IN"/>
        </w:rPr>
        <w:t>Moghariya</w:t>
      </w:r>
      <w:r w:rsidRPr="00CA2EC1">
        <w:rPr>
          <w:rFonts w:ascii="Times New Roman" w:hAnsi="Times New Roman" w:cs="Times New Roman"/>
          <w:sz w:val="24"/>
        </w:rPr>
        <w:t xml:space="preserve"> et al. </w:t>
      </w:r>
      <w:r w:rsidR="00FC19A6">
        <w:rPr>
          <w:rFonts w:ascii="Times New Roman" w:hAnsi="Times New Roman" w:cs="Times New Roman"/>
          <w:sz w:val="24"/>
        </w:rPr>
        <w:t>(</w:t>
      </w:r>
      <w:r w:rsidRPr="00CA2EC1">
        <w:rPr>
          <w:rFonts w:ascii="Times New Roman" w:hAnsi="Times New Roman" w:cs="Times New Roman"/>
          <w:sz w:val="24"/>
        </w:rPr>
        <w:t>2024</w:t>
      </w:r>
      <w:r w:rsidR="00FC19A6">
        <w:rPr>
          <w:rFonts w:ascii="Times New Roman" w:hAnsi="Times New Roman" w:cs="Times New Roman"/>
          <w:sz w:val="24"/>
        </w:rPr>
        <w:t>)</w:t>
      </w:r>
      <w:r w:rsidRPr="00CA2EC1">
        <w:rPr>
          <w:rFonts w:ascii="Times New Roman" w:hAnsi="Times New Roman" w:cs="Times New Roman"/>
          <w:sz w:val="24"/>
        </w:rPr>
        <w:t xml:space="preserve">. The observed variability in disease response among the genotypes underscores the importance of field-based screening for reliable identification of resistant lines. Moreover, integration of phenotypic screening with molecular characterization can enhance the precision and efficiency of resistance breeding strategies in pearl millet, ultimately contributing to the development of resilient cultivars for sustainable production in blast-endemic regions (Yadav &amp; Rai, 2013; </w:t>
      </w:r>
      <w:r w:rsidRPr="00CA2EC1">
        <w:rPr>
          <w:rFonts w:ascii="Times New Roman" w:eastAsia="Times New Roman" w:hAnsi="Times New Roman" w:cs="Times New Roman"/>
          <w:sz w:val="24"/>
          <w:szCs w:val="24"/>
          <w:lang w:eastAsia="en-IN"/>
        </w:rPr>
        <w:t>Bidyananda et al., 2024; Mishra et al., 2024; Singh et al., 2024</w:t>
      </w:r>
      <w:r w:rsidRPr="00CA2EC1">
        <w:rPr>
          <w:rFonts w:ascii="Times New Roman" w:hAnsi="Times New Roman" w:cs="Times New Roman"/>
          <w:sz w:val="24"/>
        </w:rPr>
        <w:t>).</w:t>
      </w:r>
    </w:p>
    <w:p w14:paraId="663E09B0" w14:textId="15BB684C" w:rsidR="00CA2EC1" w:rsidRPr="00CA2EC1" w:rsidRDefault="00CA2EC1" w:rsidP="00CA2EC1">
      <w:pPr>
        <w:spacing w:after="200" w:line="276" w:lineRule="auto"/>
        <w:rPr>
          <w:rFonts w:ascii="Times New Roman" w:hAnsi="Times New Roman" w:cs="Times New Roman"/>
          <w:b/>
          <w:color w:val="000000" w:themeColor="text1"/>
          <w:sz w:val="24"/>
          <w:lang w:val="en-US"/>
        </w:rPr>
      </w:pPr>
      <w:r w:rsidRPr="00CA2EC1">
        <w:rPr>
          <w:rFonts w:ascii="Times New Roman" w:hAnsi="Times New Roman" w:cs="Times New Roman"/>
          <w:b/>
          <w:color w:val="000000" w:themeColor="text1"/>
          <w:sz w:val="24"/>
          <w:lang w:val="en-US"/>
        </w:rPr>
        <w:t>Table</w:t>
      </w:r>
      <w:r w:rsidR="00354B3F">
        <w:rPr>
          <w:rFonts w:ascii="Times New Roman" w:hAnsi="Times New Roman" w:cs="Times New Roman"/>
          <w:b/>
          <w:color w:val="000000" w:themeColor="text1"/>
          <w:sz w:val="24"/>
          <w:lang w:val="en-US"/>
        </w:rPr>
        <w:t xml:space="preserve"> </w:t>
      </w:r>
      <w:r w:rsidR="002738F4">
        <w:rPr>
          <w:rFonts w:ascii="Times New Roman" w:hAnsi="Times New Roman" w:cs="Times New Roman"/>
          <w:b/>
          <w:color w:val="000000" w:themeColor="text1"/>
          <w:sz w:val="24"/>
          <w:lang w:val="en-US"/>
        </w:rPr>
        <w:t>4</w:t>
      </w:r>
      <w:r w:rsidR="007341CF">
        <w:rPr>
          <w:rFonts w:ascii="Times New Roman" w:hAnsi="Times New Roman" w:cs="Times New Roman"/>
          <w:b/>
          <w:color w:val="000000" w:themeColor="text1"/>
          <w:sz w:val="24"/>
          <w:lang w:val="en-US"/>
        </w:rPr>
        <w:t xml:space="preserve"> </w:t>
      </w:r>
      <w:r w:rsidR="00F94BCA">
        <w:rPr>
          <w:rFonts w:ascii="Times New Roman" w:hAnsi="Times New Roman" w:cs="Times New Roman"/>
          <w:b/>
          <w:color w:val="000000" w:themeColor="text1"/>
          <w:spacing w:val="-1"/>
          <w:sz w:val="24"/>
          <w:lang w:val="en-US"/>
        </w:rPr>
        <w:t>Categorization of pearl</w:t>
      </w:r>
      <w:r w:rsidR="007341CF">
        <w:rPr>
          <w:rFonts w:ascii="Times New Roman" w:hAnsi="Times New Roman" w:cs="Times New Roman"/>
          <w:b/>
          <w:color w:val="000000" w:themeColor="text1"/>
          <w:spacing w:val="-1"/>
          <w:sz w:val="24"/>
          <w:lang w:val="en-US"/>
        </w:rPr>
        <w:t xml:space="preserve"> </w:t>
      </w:r>
      <w:r w:rsidR="00F94BCA" w:rsidRPr="00CA2EC1">
        <w:rPr>
          <w:rFonts w:ascii="Times New Roman" w:hAnsi="Times New Roman" w:cs="Times New Roman"/>
          <w:b/>
          <w:color w:val="000000" w:themeColor="text1"/>
          <w:sz w:val="24"/>
          <w:lang w:val="en-US"/>
        </w:rPr>
        <w:t>millet</w:t>
      </w:r>
      <w:r w:rsidR="007341CF">
        <w:rPr>
          <w:rFonts w:ascii="Times New Roman" w:hAnsi="Times New Roman" w:cs="Times New Roman"/>
          <w:b/>
          <w:color w:val="000000" w:themeColor="text1"/>
          <w:sz w:val="24"/>
          <w:lang w:val="en-US"/>
        </w:rPr>
        <w:t xml:space="preserve"> </w:t>
      </w:r>
      <w:r w:rsidR="00F94BCA" w:rsidRPr="00CA2EC1">
        <w:rPr>
          <w:rFonts w:ascii="Times New Roman" w:hAnsi="Times New Roman" w:cs="Times New Roman"/>
          <w:b/>
          <w:color w:val="000000" w:themeColor="text1"/>
          <w:sz w:val="24"/>
          <w:lang w:val="en-US"/>
        </w:rPr>
        <w:t>ge</w:t>
      </w:r>
      <w:r w:rsidR="00F94BCA">
        <w:rPr>
          <w:rFonts w:ascii="Times New Roman" w:hAnsi="Times New Roman" w:cs="Times New Roman"/>
          <w:b/>
          <w:color w:val="000000" w:themeColor="text1"/>
          <w:sz w:val="24"/>
          <w:lang w:val="en-US"/>
        </w:rPr>
        <w:t xml:space="preserve">notypes based on </w:t>
      </w:r>
      <w:r w:rsidR="00F94BCA" w:rsidRPr="00CA2EC1">
        <w:rPr>
          <w:rFonts w:ascii="Times New Roman" w:hAnsi="Times New Roman" w:cs="Times New Roman"/>
          <w:b/>
          <w:color w:val="000000" w:themeColor="text1"/>
          <w:spacing w:val="-2"/>
          <w:sz w:val="24"/>
          <w:lang w:val="en-US"/>
        </w:rPr>
        <w:t>disease</w:t>
      </w:r>
      <w:r w:rsidR="007341CF">
        <w:rPr>
          <w:rFonts w:ascii="Times New Roman" w:hAnsi="Times New Roman" w:cs="Times New Roman"/>
          <w:b/>
          <w:color w:val="000000" w:themeColor="text1"/>
          <w:spacing w:val="-2"/>
          <w:sz w:val="24"/>
          <w:lang w:val="en-US"/>
        </w:rPr>
        <w:t xml:space="preserve"> </w:t>
      </w:r>
      <w:r w:rsidR="00F94BCA" w:rsidRPr="00CA2EC1">
        <w:rPr>
          <w:rFonts w:ascii="Times New Roman" w:hAnsi="Times New Roman" w:cs="Times New Roman"/>
          <w:b/>
          <w:color w:val="000000" w:themeColor="text1"/>
          <w:sz w:val="24"/>
          <w:lang w:val="en-US"/>
        </w:rPr>
        <w:t xml:space="preserve">scoring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4"/>
        <w:gridCol w:w="6560"/>
        <w:gridCol w:w="1559"/>
      </w:tblGrid>
      <w:tr w:rsidR="00CA2EC1" w:rsidRPr="00CA2EC1" w14:paraId="22B2F6F7" w14:textId="77777777" w:rsidTr="00F94BCA">
        <w:trPr>
          <w:trHeight w:val="551"/>
        </w:trPr>
        <w:tc>
          <w:tcPr>
            <w:tcW w:w="496" w:type="pct"/>
          </w:tcPr>
          <w:p w14:paraId="7506825F"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b/>
                <w:sz w:val="24"/>
                <w:szCs w:val="24"/>
                <w:lang w:val="en-US"/>
              </w:rPr>
            </w:pPr>
            <w:r w:rsidRPr="00CA2EC1">
              <w:rPr>
                <w:rFonts w:ascii="Times New Roman" w:eastAsia="Arial MT" w:hAnsi="Times New Roman" w:cs="Times New Roman"/>
                <w:b/>
                <w:sz w:val="24"/>
                <w:szCs w:val="24"/>
                <w:lang w:val="en-US"/>
              </w:rPr>
              <w:t xml:space="preserve">Rating Scale </w:t>
            </w:r>
          </w:p>
        </w:tc>
        <w:tc>
          <w:tcPr>
            <w:tcW w:w="3639" w:type="pct"/>
          </w:tcPr>
          <w:p w14:paraId="15C463C3" w14:textId="77777777" w:rsidR="00CA2EC1" w:rsidRPr="00CA2EC1" w:rsidRDefault="009855C3" w:rsidP="00FC19A6">
            <w:pPr>
              <w:widowControl w:val="0"/>
              <w:autoSpaceDE w:val="0"/>
              <w:autoSpaceDN w:val="0"/>
              <w:spacing w:after="0" w:line="240" w:lineRule="auto"/>
              <w:jc w:val="both"/>
              <w:rPr>
                <w:rFonts w:ascii="Times New Roman" w:eastAsia="Arial MT" w:hAnsi="Times New Roman" w:cs="Times New Roman"/>
                <w:b/>
                <w:sz w:val="24"/>
                <w:szCs w:val="24"/>
                <w:lang w:val="en-US"/>
              </w:rPr>
            </w:pPr>
            <w:r>
              <w:rPr>
                <w:rFonts w:ascii="Times New Roman" w:eastAsia="Arial MT" w:hAnsi="Times New Roman" w:cs="Times New Roman"/>
                <w:b/>
                <w:sz w:val="24"/>
                <w:szCs w:val="24"/>
                <w:lang w:val="en-US"/>
              </w:rPr>
              <w:t>Restorer</w:t>
            </w:r>
            <w:r w:rsidR="00CA2EC1" w:rsidRPr="00CA2EC1">
              <w:rPr>
                <w:rFonts w:ascii="Times New Roman" w:eastAsia="Arial MT" w:hAnsi="Times New Roman" w:cs="Times New Roman"/>
                <w:b/>
                <w:sz w:val="24"/>
                <w:szCs w:val="24"/>
                <w:lang w:val="en-US"/>
              </w:rPr>
              <w:t>lines</w:t>
            </w:r>
          </w:p>
        </w:tc>
        <w:tc>
          <w:tcPr>
            <w:tcW w:w="865" w:type="pct"/>
          </w:tcPr>
          <w:p w14:paraId="2A33DD06" w14:textId="77777777" w:rsidR="00CA2EC1" w:rsidRPr="00CA2EC1" w:rsidRDefault="00CA2EC1" w:rsidP="00FC19A6">
            <w:pPr>
              <w:widowControl w:val="0"/>
              <w:tabs>
                <w:tab w:val="left" w:pos="1755"/>
              </w:tabs>
              <w:autoSpaceDE w:val="0"/>
              <w:autoSpaceDN w:val="0"/>
              <w:spacing w:after="0" w:line="240" w:lineRule="auto"/>
              <w:jc w:val="both"/>
              <w:rPr>
                <w:rFonts w:ascii="Times New Roman" w:eastAsia="Arial MT" w:hAnsi="Times New Roman" w:cs="Times New Roman"/>
                <w:b/>
                <w:sz w:val="24"/>
                <w:szCs w:val="24"/>
                <w:lang w:val="en-US"/>
              </w:rPr>
            </w:pPr>
            <w:r w:rsidRPr="00CA2EC1">
              <w:rPr>
                <w:rFonts w:ascii="Times New Roman" w:eastAsia="Arial MT" w:hAnsi="Times New Roman" w:cs="Times New Roman"/>
                <w:b/>
                <w:sz w:val="24"/>
                <w:szCs w:val="24"/>
                <w:lang w:val="en-US"/>
              </w:rPr>
              <w:t xml:space="preserve">Reaction to </w:t>
            </w:r>
            <w:r w:rsidRPr="00CA2EC1">
              <w:rPr>
                <w:rFonts w:ascii="Times New Roman" w:eastAsia="Arial MT" w:hAnsi="Times New Roman" w:cs="Times New Roman"/>
                <w:b/>
                <w:spacing w:val="-1"/>
                <w:sz w:val="24"/>
                <w:szCs w:val="24"/>
                <w:lang w:val="en-US"/>
              </w:rPr>
              <w:t>blast</w:t>
            </w:r>
            <w:r w:rsidRPr="00CA2EC1">
              <w:rPr>
                <w:rFonts w:ascii="Times New Roman" w:eastAsia="Arial MT" w:hAnsi="Times New Roman" w:cs="Times New Roman"/>
                <w:b/>
                <w:sz w:val="24"/>
                <w:szCs w:val="24"/>
                <w:lang w:val="en-US"/>
              </w:rPr>
              <w:t xml:space="preserve"> disease</w:t>
            </w:r>
          </w:p>
        </w:tc>
      </w:tr>
      <w:tr w:rsidR="00CA2EC1" w:rsidRPr="00CA2EC1" w14:paraId="5AD4EEDA" w14:textId="77777777" w:rsidTr="00F94BCA">
        <w:trPr>
          <w:trHeight w:val="825"/>
        </w:trPr>
        <w:tc>
          <w:tcPr>
            <w:tcW w:w="496" w:type="pct"/>
          </w:tcPr>
          <w:p w14:paraId="46B915A8"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1</w:t>
            </w:r>
          </w:p>
        </w:tc>
        <w:tc>
          <w:tcPr>
            <w:tcW w:w="3639" w:type="pct"/>
          </w:tcPr>
          <w:p w14:paraId="4580A326"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R-20876, R-23774, R-24665, R-20212, R-25511, R-20204, R-26607, R-20218, R-20002, R-22968, R-21355, R-21121</w:t>
            </w:r>
            <w:r w:rsidR="00FC19A6">
              <w:rPr>
                <w:rFonts w:ascii="Times New Roman" w:eastAsia="Arial MT" w:hAnsi="Times New Roman" w:cs="Times New Roman"/>
                <w:sz w:val="24"/>
                <w:szCs w:val="24"/>
                <w:lang w:val="en-US"/>
              </w:rPr>
              <w:t xml:space="preserve"> and</w:t>
            </w:r>
            <w:r w:rsidRPr="00CA2EC1">
              <w:rPr>
                <w:rFonts w:ascii="Times New Roman" w:eastAsia="Arial MT" w:hAnsi="Times New Roman" w:cs="Times New Roman"/>
                <w:sz w:val="24"/>
                <w:szCs w:val="24"/>
                <w:lang w:val="en-US"/>
              </w:rPr>
              <w:t xml:space="preserve"> R-20822</w:t>
            </w:r>
          </w:p>
        </w:tc>
        <w:tc>
          <w:tcPr>
            <w:tcW w:w="865" w:type="pct"/>
          </w:tcPr>
          <w:p w14:paraId="72FFCFD4"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Highly</w:t>
            </w:r>
            <w:r w:rsidR="000D12E8">
              <w:rPr>
                <w:rFonts w:ascii="Times New Roman" w:eastAsia="Arial MT" w:hAnsi="Times New Roman" w:cs="Times New Roman"/>
                <w:sz w:val="24"/>
                <w:szCs w:val="24"/>
                <w:lang w:val="en-US"/>
              </w:rPr>
              <w:t xml:space="preserve"> </w:t>
            </w:r>
            <w:r w:rsidRPr="00CA2EC1">
              <w:rPr>
                <w:rFonts w:ascii="Times New Roman" w:eastAsia="Arial MT" w:hAnsi="Times New Roman" w:cs="Times New Roman"/>
                <w:sz w:val="24"/>
                <w:szCs w:val="24"/>
                <w:lang w:val="en-US"/>
              </w:rPr>
              <w:t>resistance</w:t>
            </w:r>
          </w:p>
        </w:tc>
      </w:tr>
      <w:tr w:rsidR="00CA2EC1" w:rsidRPr="00CA2EC1" w14:paraId="210F7839" w14:textId="77777777" w:rsidTr="00F94BCA">
        <w:trPr>
          <w:trHeight w:val="994"/>
        </w:trPr>
        <w:tc>
          <w:tcPr>
            <w:tcW w:w="496" w:type="pct"/>
          </w:tcPr>
          <w:p w14:paraId="35DBFE55"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2-3</w:t>
            </w:r>
          </w:p>
        </w:tc>
        <w:tc>
          <w:tcPr>
            <w:tcW w:w="3639" w:type="pct"/>
          </w:tcPr>
          <w:p w14:paraId="53B8D440"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p>
          <w:p w14:paraId="74B37F20" w14:textId="77777777" w:rsidR="00CA2EC1" w:rsidRPr="00CA2EC1" w:rsidRDefault="00CA2EC1" w:rsidP="00FC19A6">
            <w:pPr>
              <w:spacing w:after="0" w:line="240" w:lineRule="auto"/>
              <w:jc w:val="both"/>
              <w:rPr>
                <w:rFonts w:ascii="Times New Roman" w:hAnsi="Times New Roman" w:cs="Times New Roman"/>
                <w:sz w:val="24"/>
                <w:szCs w:val="24"/>
                <w:lang w:val="en-US"/>
              </w:rPr>
            </w:pPr>
            <w:r w:rsidRPr="00CA2EC1">
              <w:rPr>
                <w:rFonts w:ascii="Times New Roman" w:hAnsi="Times New Roman" w:cs="Times New Roman"/>
                <w:sz w:val="24"/>
                <w:szCs w:val="24"/>
                <w:lang w:val="en-US"/>
              </w:rPr>
              <w:t>R-20111, R-26462, R-24667, R-20057, R-20103, R-20443, R-21283, R-20012, R-24650, R-20115, R-21370, R-20113</w:t>
            </w:r>
            <w:r w:rsidR="00FC19A6">
              <w:rPr>
                <w:rFonts w:ascii="Times New Roman" w:hAnsi="Times New Roman" w:cs="Times New Roman"/>
                <w:sz w:val="24"/>
                <w:szCs w:val="24"/>
                <w:lang w:val="en-US"/>
              </w:rPr>
              <w:t xml:space="preserve"> and</w:t>
            </w:r>
            <w:r w:rsidRPr="00CA2EC1">
              <w:rPr>
                <w:rFonts w:ascii="Times New Roman" w:hAnsi="Times New Roman" w:cs="Times New Roman"/>
                <w:sz w:val="24"/>
                <w:szCs w:val="24"/>
                <w:lang w:val="en-US"/>
              </w:rPr>
              <w:t xml:space="preserve"> R-20108</w:t>
            </w:r>
          </w:p>
        </w:tc>
        <w:tc>
          <w:tcPr>
            <w:tcW w:w="865" w:type="pct"/>
          </w:tcPr>
          <w:p w14:paraId="2520F3B3"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b/>
                <w:sz w:val="24"/>
                <w:szCs w:val="24"/>
                <w:lang w:val="en-US"/>
              </w:rPr>
            </w:pPr>
          </w:p>
          <w:p w14:paraId="7C31E447"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Resistant</w:t>
            </w:r>
          </w:p>
        </w:tc>
      </w:tr>
      <w:tr w:rsidR="00CA2EC1" w:rsidRPr="00CA2EC1" w14:paraId="59180565" w14:textId="77777777" w:rsidTr="00F94BCA">
        <w:trPr>
          <w:trHeight w:val="983"/>
        </w:trPr>
        <w:tc>
          <w:tcPr>
            <w:tcW w:w="496" w:type="pct"/>
          </w:tcPr>
          <w:p w14:paraId="6983E311"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4-5</w:t>
            </w:r>
          </w:p>
        </w:tc>
        <w:tc>
          <w:tcPr>
            <w:tcW w:w="3639" w:type="pct"/>
          </w:tcPr>
          <w:p w14:paraId="03AB0482"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R-23956, R-24654, R-25850, R-23906, R-25086, R-24655, R-21111, R-20706, R-20105, R-20079, R-26492, R-22768, R-20206, R-20205, R-20090, R-24657, R-21136, R-24659</w:t>
            </w:r>
            <w:r w:rsidR="00FC19A6">
              <w:rPr>
                <w:rFonts w:ascii="Times New Roman" w:eastAsia="Arial MT" w:hAnsi="Times New Roman" w:cs="Times New Roman"/>
                <w:sz w:val="24"/>
                <w:szCs w:val="24"/>
                <w:lang w:val="en-US"/>
              </w:rPr>
              <w:t xml:space="preserve"> and </w:t>
            </w:r>
            <w:r w:rsidRPr="00CA2EC1">
              <w:rPr>
                <w:rFonts w:ascii="Times New Roman" w:eastAsia="Arial MT" w:hAnsi="Times New Roman" w:cs="Times New Roman"/>
                <w:sz w:val="24"/>
                <w:szCs w:val="24"/>
                <w:lang w:val="en-US"/>
              </w:rPr>
              <w:t xml:space="preserve">R-24658 </w:t>
            </w:r>
          </w:p>
        </w:tc>
        <w:tc>
          <w:tcPr>
            <w:tcW w:w="865" w:type="pct"/>
          </w:tcPr>
          <w:p w14:paraId="52D88FF8"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Moderate</w:t>
            </w:r>
            <w:r w:rsidR="000D12E8">
              <w:rPr>
                <w:rFonts w:ascii="Times New Roman" w:eastAsia="Arial MT" w:hAnsi="Times New Roman" w:cs="Times New Roman"/>
                <w:sz w:val="24"/>
                <w:szCs w:val="24"/>
                <w:lang w:val="en-US"/>
              </w:rPr>
              <w:t xml:space="preserve"> </w:t>
            </w:r>
            <w:r w:rsidRPr="00CA2EC1">
              <w:rPr>
                <w:rFonts w:ascii="Times New Roman" w:eastAsia="Arial MT" w:hAnsi="Times New Roman" w:cs="Times New Roman"/>
                <w:sz w:val="24"/>
                <w:szCs w:val="24"/>
                <w:lang w:val="en-US"/>
              </w:rPr>
              <w:t>resistance</w:t>
            </w:r>
          </w:p>
        </w:tc>
      </w:tr>
      <w:tr w:rsidR="00CA2EC1" w:rsidRPr="00CA2EC1" w14:paraId="3DE16F09" w14:textId="77777777" w:rsidTr="00F94BCA">
        <w:trPr>
          <w:trHeight w:val="964"/>
        </w:trPr>
        <w:tc>
          <w:tcPr>
            <w:tcW w:w="496" w:type="pct"/>
          </w:tcPr>
          <w:p w14:paraId="0993C78A"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lastRenderedPageBreak/>
              <w:t>6-7</w:t>
            </w:r>
          </w:p>
        </w:tc>
        <w:tc>
          <w:tcPr>
            <w:tcW w:w="3639" w:type="pct"/>
          </w:tcPr>
          <w:p w14:paraId="055AB66E" w14:textId="77777777" w:rsidR="00CA2EC1" w:rsidRPr="00CA2EC1" w:rsidRDefault="00CA2EC1" w:rsidP="00FC19A6">
            <w:pPr>
              <w:widowControl w:val="0"/>
              <w:tabs>
                <w:tab w:val="left" w:pos="24"/>
              </w:tabs>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R-24663, R-25046, R-24653, R-20810, R-27738, R-25865, R-24666, R-20671, R-24651, R-22713, R-20871, R-20826, R-20208, R-24652, R-22013</w:t>
            </w:r>
            <w:r w:rsidR="00FC19A6">
              <w:rPr>
                <w:rFonts w:ascii="Times New Roman" w:eastAsia="Arial MT" w:hAnsi="Times New Roman" w:cs="Times New Roman"/>
                <w:sz w:val="24"/>
                <w:szCs w:val="24"/>
                <w:lang w:val="en-US"/>
              </w:rPr>
              <w:t xml:space="preserve"> and</w:t>
            </w:r>
            <w:r w:rsidRPr="00CA2EC1">
              <w:rPr>
                <w:rFonts w:ascii="Times New Roman" w:eastAsia="Arial MT" w:hAnsi="Times New Roman" w:cs="Times New Roman"/>
                <w:sz w:val="24"/>
                <w:szCs w:val="24"/>
                <w:lang w:val="en-US"/>
              </w:rPr>
              <w:t xml:space="preserve"> R-21930 </w:t>
            </w:r>
          </w:p>
        </w:tc>
        <w:tc>
          <w:tcPr>
            <w:tcW w:w="865" w:type="pct"/>
          </w:tcPr>
          <w:p w14:paraId="04153D68"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Susceptible</w:t>
            </w:r>
          </w:p>
        </w:tc>
      </w:tr>
      <w:tr w:rsidR="00CA2EC1" w:rsidRPr="00CA2EC1" w14:paraId="5696F7B6" w14:textId="77777777" w:rsidTr="00F94BCA">
        <w:trPr>
          <w:trHeight w:val="712"/>
        </w:trPr>
        <w:tc>
          <w:tcPr>
            <w:tcW w:w="496" w:type="pct"/>
          </w:tcPr>
          <w:p w14:paraId="0C6D8536"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8-9</w:t>
            </w:r>
          </w:p>
        </w:tc>
        <w:tc>
          <w:tcPr>
            <w:tcW w:w="3639" w:type="pct"/>
          </w:tcPr>
          <w:p w14:paraId="609C3365" w14:textId="77777777" w:rsidR="00CA2EC1" w:rsidRPr="00CA2EC1" w:rsidRDefault="00CA2EC1" w:rsidP="00FC19A6">
            <w:pPr>
              <w:widowControl w:val="0"/>
              <w:tabs>
                <w:tab w:val="left" w:pos="4594"/>
              </w:tabs>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R-23565, R-21970, R-20846, R-25910, R-20710, R-24610, R-24664, R-22908, R-26482, R-25056, R-24661, R-24656, R-24662, R-20444, R-22918</w:t>
            </w:r>
            <w:r w:rsidR="00FC19A6">
              <w:rPr>
                <w:rFonts w:ascii="Times New Roman" w:eastAsia="Arial MT" w:hAnsi="Times New Roman" w:cs="Times New Roman"/>
                <w:sz w:val="24"/>
                <w:szCs w:val="24"/>
                <w:lang w:val="en-US"/>
              </w:rPr>
              <w:t xml:space="preserve"> and</w:t>
            </w:r>
            <w:r w:rsidRPr="00CA2EC1">
              <w:rPr>
                <w:rFonts w:ascii="Times New Roman" w:eastAsia="Arial MT" w:hAnsi="Times New Roman" w:cs="Times New Roman"/>
                <w:sz w:val="24"/>
                <w:szCs w:val="24"/>
                <w:lang w:val="en-US"/>
              </w:rPr>
              <w:t xml:space="preserve"> R-20823</w:t>
            </w:r>
            <w:r w:rsidRPr="00CA2EC1">
              <w:rPr>
                <w:rFonts w:ascii="Times New Roman" w:eastAsia="Arial MT" w:hAnsi="Times New Roman" w:cs="Times New Roman"/>
                <w:sz w:val="24"/>
                <w:szCs w:val="24"/>
                <w:lang w:val="en-US"/>
              </w:rPr>
              <w:tab/>
            </w:r>
          </w:p>
        </w:tc>
        <w:tc>
          <w:tcPr>
            <w:tcW w:w="865" w:type="pct"/>
          </w:tcPr>
          <w:p w14:paraId="636C8E2B"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Highly</w:t>
            </w:r>
            <w:r w:rsidR="000D12E8">
              <w:rPr>
                <w:rFonts w:ascii="Times New Roman" w:eastAsia="Arial MT" w:hAnsi="Times New Roman" w:cs="Times New Roman"/>
                <w:sz w:val="24"/>
                <w:szCs w:val="24"/>
                <w:lang w:val="en-US"/>
              </w:rPr>
              <w:t xml:space="preserve"> </w:t>
            </w:r>
            <w:r w:rsidRPr="00CA2EC1">
              <w:rPr>
                <w:rFonts w:ascii="Times New Roman" w:eastAsia="Arial MT" w:hAnsi="Times New Roman" w:cs="Times New Roman"/>
                <w:sz w:val="24"/>
                <w:szCs w:val="24"/>
                <w:lang w:val="en-US"/>
              </w:rPr>
              <w:t>susceptible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2EC1" w:rsidRPr="00CA2EC1" w14:paraId="170EDF47" w14:textId="77777777" w:rsidTr="009118FF">
        <w:tc>
          <w:tcPr>
            <w:tcW w:w="4508" w:type="dxa"/>
          </w:tcPr>
          <w:p w14:paraId="78A9F720"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eastAsia="en-IN"/>
              </w:rPr>
              <w:drawing>
                <wp:inline distT="0" distB="0" distL="0" distR="0" wp14:anchorId="314E9BD2" wp14:editId="2FBC83C2">
                  <wp:extent cx="2233506" cy="2421467"/>
                  <wp:effectExtent l="38100" t="38100" r="33655" b="36195"/>
                  <wp:docPr id="7" name="Picture 4" descr="RESISTA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STANT.jpeg"/>
                          <pic:cNvPicPr/>
                        </pic:nvPicPr>
                        <pic:blipFill>
                          <a:blip r:embed="rId7" cstate="print"/>
                          <a:srcRect l="12201" r="15887"/>
                          <a:stretch>
                            <a:fillRect/>
                          </a:stretch>
                        </pic:blipFill>
                        <pic:spPr>
                          <a:xfrm>
                            <a:off x="0" y="0"/>
                            <a:ext cx="2233506" cy="2421467"/>
                          </a:xfrm>
                          <a:prstGeom prst="rect">
                            <a:avLst/>
                          </a:prstGeom>
                          <a:ln w="38100">
                            <a:solidFill>
                              <a:sysClr val="windowText" lastClr="000000"/>
                            </a:solidFill>
                          </a:ln>
                        </pic:spPr>
                      </pic:pic>
                    </a:graphicData>
                  </a:graphic>
                </wp:inline>
              </w:drawing>
            </w:r>
          </w:p>
        </w:tc>
        <w:tc>
          <w:tcPr>
            <w:tcW w:w="4508" w:type="dxa"/>
          </w:tcPr>
          <w:p w14:paraId="2B7A8A0D"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eastAsia="en-IN"/>
              </w:rPr>
              <w:drawing>
                <wp:inline distT="0" distB="0" distL="0" distR="0" wp14:anchorId="6E17735A" wp14:editId="14B147A6">
                  <wp:extent cx="2266563" cy="2421255"/>
                  <wp:effectExtent l="38100" t="38100" r="38735" b="36195"/>
                  <wp:docPr id="8" name="Picture 7" descr="MODERATELY RESISTA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RATELY RESISTANT.jpeg"/>
                          <pic:cNvPicPr/>
                        </pic:nvPicPr>
                        <pic:blipFill>
                          <a:blip r:embed="rId8" cstate="print"/>
                          <a:stretch>
                            <a:fillRect/>
                          </a:stretch>
                        </pic:blipFill>
                        <pic:spPr>
                          <a:xfrm>
                            <a:off x="0" y="0"/>
                            <a:ext cx="2269229" cy="2424103"/>
                          </a:xfrm>
                          <a:prstGeom prst="rect">
                            <a:avLst/>
                          </a:prstGeom>
                          <a:ln w="38100">
                            <a:solidFill>
                              <a:sysClr val="windowText" lastClr="000000"/>
                            </a:solidFill>
                          </a:ln>
                        </pic:spPr>
                      </pic:pic>
                    </a:graphicData>
                  </a:graphic>
                </wp:inline>
              </w:drawing>
            </w:r>
          </w:p>
        </w:tc>
      </w:tr>
      <w:tr w:rsidR="00CA2EC1" w:rsidRPr="00CA2EC1" w14:paraId="33B87B0D" w14:textId="77777777" w:rsidTr="009118FF">
        <w:tc>
          <w:tcPr>
            <w:tcW w:w="4508" w:type="dxa"/>
          </w:tcPr>
          <w:p w14:paraId="3098765E"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Resistant</w:t>
            </w:r>
          </w:p>
        </w:tc>
        <w:tc>
          <w:tcPr>
            <w:tcW w:w="4508" w:type="dxa"/>
          </w:tcPr>
          <w:p w14:paraId="6401CA3D"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Moderately Resistant</w:t>
            </w:r>
          </w:p>
        </w:tc>
      </w:tr>
      <w:tr w:rsidR="00CA2EC1" w:rsidRPr="00CA2EC1" w14:paraId="2A6434CD" w14:textId="77777777" w:rsidTr="009118FF">
        <w:tc>
          <w:tcPr>
            <w:tcW w:w="4508" w:type="dxa"/>
          </w:tcPr>
          <w:p w14:paraId="475562FC"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eastAsia="en-IN"/>
              </w:rPr>
              <w:drawing>
                <wp:inline distT="0" distB="0" distL="0" distR="0" wp14:anchorId="701659D5" wp14:editId="248138DE">
                  <wp:extent cx="2165351" cy="2201334"/>
                  <wp:effectExtent l="38100" t="38100" r="44450" b="46990"/>
                  <wp:docPr id="9" name="Picture 8" descr="SUSCEPTIB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CEPTIBLE.jpeg"/>
                          <pic:cNvPicPr/>
                        </pic:nvPicPr>
                        <pic:blipFill>
                          <a:blip r:embed="rId9" cstate="print"/>
                          <a:stretch>
                            <a:fillRect/>
                          </a:stretch>
                        </pic:blipFill>
                        <pic:spPr>
                          <a:xfrm>
                            <a:off x="0" y="0"/>
                            <a:ext cx="2165352" cy="2201335"/>
                          </a:xfrm>
                          <a:prstGeom prst="rect">
                            <a:avLst/>
                          </a:prstGeom>
                          <a:ln w="38100">
                            <a:solidFill>
                              <a:sysClr val="windowText" lastClr="000000"/>
                            </a:solidFill>
                          </a:ln>
                        </pic:spPr>
                      </pic:pic>
                    </a:graphicData>
                  </a:graphic>
                </wp:inline>
              </w:drawing>
            </w:r>
          </w:p>
        </w:tc>
        <w:tc>
          <w:tcPr>
            <w:tcW w:w="4508" w:type="dxa"/>
          </w:tcPr>
          <w:p w14:paraId="31C33F68"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eastAsia="en-IN"/>
              </w:rPr>
              <w:drawing>
                <wp:inline distT="0" distB="0" distL="0" distR="0" wp14:anchorId="0C6F5320" wp14:editId="25D4A820">
                  <wp:extent cx="2139950" cy="2200300"/>
                  <wp:effectExtent l="38100" t="38100" r="31750" b="47625"/>
                  <wp:docPr id="10" name="Picture 9" descr="HOGHLY SUSCEPTIB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GHLY SUSCEPTIBLE.jpeg"/>
                          <pic:cNvPicPr/>
                        </pic:nvPicPr>
                        <pic:blipFill>
                          <a:blip r:embed="rId10" cstate="print"/>
                          <a:stretch>
                            <a:fillRect/>
                          </a:stretch>
                        </pic:blipFill>
                        <pic:spPr>
                          <a:xfrm>
                            <a:off x="0" y="0"/>
                            <a:ext cx="2141776" cy="2202177"/>
                          </a:xfrm>
                          <a:prstGeom prst="rect">
                            <a:avLst/>
                          </a:prstGeom>
                          <a:ln w="38100">
                            <a:solidFill>
                              <a:sysClr val="windowText" lastClr="000000"/>
                            </a:solidFill>
                          </a:ln>
                        </pic:spPr>
                      </pic:pic>
                    </a:graphicData>
                  </a:graphic>
                </wp:inline>
              </w:drawing>
            </w:r>
          </w:p>
        </w:tc>
      </w:tr>
      <w:tr w:rsidR="00CA2EC1" w:rsidRPr="00CA2EC1" w14:paraId="77176000" w14:textId="77777777" w:rsidTr="009118FF">
        <w:tc>
          <w:tcPr>
            <w:tcW w:w="4508" w:type="dxa"/>
          </w:tcPr>
          <w:p w14:paraId="614A62E7"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Susceptible</w:t>
            </w:r>
          </w:p>
        </w:tc>
        <w:tc>
          <w:tcPr>
            <w:tcW w:w="4508" w:type="dxa"/>
          </w:tcPr>
          <w:p w14:paraId="7DC12E3A"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Highly Susceptible</w:t>
            </w:r>
          </w:p>
        </w:tc>
      </w:tr>
      <w:tr w:rsidR="00CA2EC1" w:rsidRPr="00CA2EC1" w14:paraId="4104F142" w14:textId="77777777" w:rsidTr="009118FF">
        <w:tc>
          <w:tcPr>
            <w:tcW w:w="9016" w:type="dxa"/>
            <w:gridSpan w:val="2"/>
          </w:tcPr>
          <w:p w14:paraId="56CAE6CC" w14:textId="77777777" w:rsidR="00CA2EC1" w:rsidRPr="00CA2EC1" w:rsidRDefault="00CA2EC1" w:rsidP="00F94BCA">
            <w:pPr>
              <w:spacing w:before="120" w:after="120" w:line="360" w:lineRule="auto"/>
              <w:jc w:val="center"/>
              <w:rPr>
                <w:rFonts w:ascii="Times New Roman" w:hAnsi="Times New Roman" w:cs="Times New Roman"/>
                <w:b/>
                <w:sz w:val="24"/>
                <w:lang w:val="en-GB"/>
              </w:rPr>
            </w:pPr>
            <w:r w:rsidRPr="00CA2EC1">
              <w:rPr>
                <w:rFonts w:ascii="Times New Roman" w:hAnsi="Times New Roman" w:cs="Times New Roman"/>
                <w:b/>
                <w:sz w:val="24"/>
                <w:lang w:val="en-GB"/>
              </w:rPr>
              <w:t>Fig</w:t>
            </w:r>
            <w:r w:rsidR="00F94BCA">
              <w:rPr>
                <w:rFonts w:ascii="Times New Roman" w:hAnsi="Times New Roman" w:cs="Times New Roman"/>
                <w:b/>
                <w:sz w:val="24"/>
                <w:lang w:val="en-GB"/>
              </w:rPr>
              <w:t>.</w:t>
            </w:r>
            <w:r w:rsidRPr="00CA2EC1">
              <w:rPr>
                <w:rFonts w:ascii="Times New Roman" w:hAnsi="Times New Roman" w:cs="Times New Roman"/>
                <w:b/>
                <w:sz w:val="24"/>
                <w:lang w:val="en-GB"/>
              </w:rPr>
              <w:t xml:space="preserve">1: </w:t>
            </w:r>
            <w:r w:rsidR="00FC19A6" w:rsidRPr="00306F2C">
              <w:rPr>
                <w:rFonts w:ascii="Times New Roman" w:hAnsi="Times New Roman" w:cs="Times New Roman"/>
                <w:b/>
                <w:sz w:val="24"/>
                <w:szCs w:val="24"/>
              </w:rPr>
              <w:t xml:space="preserve">Severity symptoms of </w:t>
            </w:r>
            <w:r w:rsidR="00FC19A6">
              <w:rPr>
                <w:rFonts w:ascii="Times New Roman" w:hAnsi="Times New Roman" w:cs="Times New Roman"/>
                <w:b/>
                <w:sz w:val="24"/>
                <w:szCs w:val="24"/>
              </w:rPr>
              <w:t>blast</w:t>
            </w:r>
            <w:r w:rsidR="00FC19A6" w:rsidRPr="00306F2C">
              <w:rPr>
                <w:rFonts w:ascii="Times New Roman" w:hAnsi="Times New Roman" w:cs="Times New Roman"/>
                <w:b/>
                <w:sz w:val="24"/>
                <w:szCs w:val="24"/>
              </w:rPr>
              <w:t xml:space="preserve"> disease on </w:t>
            </w:r>
            <w:r w:rsidR="00FC19A6">
              <w:rPr>
                <w:rFonts w:ascii="Times New Roman" w:hAnsi="Times New Roman" w:cs="Times New Roman"/>
                <w:b/>
                <w:sz w:val="24"/>
                <w:szCs w:val="24"/>
              </w:rPr>
              <w:t xml:space="preserve">pearl millet </w:t>
            </w:r>
            <w:r w:rsidR="00FC19A6" w:rsidRPr="00306F2C">
              <w:rPr>
                <w:rFonts w:ascii="Times New Roman" w:hAnsi="Times New Roman" w:cs="Times New Roman"/>
                <w:b/>
                <w:sz w:val="24"/>
                <w:szCs w:val="24"/>
              </w:rPr>
              <w:t>leave</w:t>
            </w:r>
            <w:r w:rsidR="00FC19A6">
              <w:rPr>
                <w:rFonts w:ascii="Times New Roman" w:hAnsi="Times New Roman" w:cs="Times New Roman"/>
                <w:b/>
                <w:sz w:val="24"/>
                <w:szCs w:val="24"/>
              </w:rPr>
              <w:t>s</w:t>
            </w:r>
          </w:p>
        </w:tc>
      </w:tr>
    </w:tbl>
    <w:p w14:paraId="75A83FF3" w14:textId="3F67FD31" w:rsidR="00CA2EC1" w:rsidRPr="00CA2EC1" w:rsidRDefault="00CA2EC1" w:rsidP="00F94BCA">
      <w:pPr>
        <w:widowControl w:val="0"/>
        <w:autoSpaceDE w:val="0"/>
        <w:autoSpaceDN w:val="0"/>
        <w:spacing w:before="120" w:after="120" w:line="360" w:lineRule="auto"/>
        <w:jc w:val="both"/>
        <w:rPr>
          <w:rFonts w:ascii="Times New Roman" w:eastAsia="Arial MT" w:hAnsi="Times New Roman" w:cs="Times New Roman"/>
          <w:b/>
          <w:sz w:val="24"/>
          <w:szCs w:val="24"/>
          <w:lang w:val="en-US"/>
        </w:rPr>
      </w:pPr>
      <w:r w:rsidRPr="00CA2EC1">
        <w:rPr>
          <w:rFonts w:ascii="Times New Roman" w:eastAsia="Arial MT" w:hAnsi="Times New Roman" w:cs="Times New Roman"/>
          <w:b/>
          <w:sz w:val="24"/>
          <w:szCs w:val="24"/>
          <w:lang w:val="en-US"/>
        </w:rPr>
        <w:t xml:space="preserve">Table </w:t>
      </w:r>
      <w:r w:rsidR="002738F4">
        <w:rPr>
          <w:rFonts w:ascii="Times New Roman" w:eastAsia="Arial MT" w:hAnsi="Times New Roman" w:cs="Times New Roman"/>
          <w:b/>
          <w:sz w:val="24"/>
          <w:szCs w:val="24"/>
          <w:lang w:val="en-US"/>
        </w:rPr>
        <w:t>5</w:t>
      </w:r>
      <w:r w:rsidR="007341CF">
        <w:rPr>
          <w:rFonts w:ascii="Times New Roman" w:eastAsia="Arial MT" w:hAnsi="Times New Roman" w:cs="Times New Roman"/>
          <w:b/>
          <w:sz w:val="24"/>
          <w:szCs w:val="24"/>
          <w:lang w:val="en-US"/>
        </w:rPr>
        <w:t xml:space="preserve"> </w:t>
      </w:r>
      <w:r w:rsidR="00C668C0">
        <w:rPr>
          <w:rFonts w:ascii="Times New Roman" w:eastAsia="Arial MT" w:hAnsi="Times New Roman" w:cs="Times New Roman"/>
          <w:b/>
          <w:sz w:val="24"/>
          <w:szCs w:val="24"/>
          <w:lang w:val="en-US"/>
        </w:rPr>
        <w:t>C</w:t>
      </w:r>
      <w:r w:rsidRPr="00CA2EC1">
        <w:rPr>
          <w:rFonts w:ascii="Times New Roman" w:eastAsia="Arial MT" w:hAnsi="Times New Roman" w:cs="Times New Roman"/>
          <w:b/>
          <w:sz w:val="24"/>
          <w:szCs w:val="24"/>
          <w:lang w:val="en-US"/>
        </w:rPr>
        <w:t xml:space="preserve">lassification of pearl millet </w:t>
      </w:r>
      <w:r w:rsidR="009855C3">
        <w:rPr>
          <w:rFonts w:ascii="Times New Roman" w:eastAsia="Arial MT" w:hAnsi="Times New Roman" w:cs="Times New Roman"/>
          <w:b/>
          <w:sz w:val="24"/>
          <w:szCs w:val="24"/>
          <w:lang w:val="en-US"/>
        </w:rPr>
        <w:t>restorer lines</w:t>
      </w:r>
      <w:r w:rsidRPr="00CA2EC1">
        <w:rPr>
          <w:rFonts w:ascii="Times New Roman" w:eastAsia="Arial MT" w:hAnsi="Times New Roman" w:cs="Times New Roman"/>
          <w:b/>
          <w:sz w:val="24"/>
          <w:szCs w:val="24"/>
          <w:lang w:val="en-US"/>
        </w:rPr>
        <w:t xml:space="preserve"> against foliar </w:t>
      </w:r>
      <w:r w:rsidRPr="00CA2EC1">
        <w:rPr>
          <w:rFonts w:ascii="Times New Roman" w:eastAsia="Arial MT" w:hAnsi="Times New Roman" w:cs="Times New Roman"/>
          <w:b/>
          <w:spacing w:val="-4"/>
          <w:sz w:val="24"/>
          <w:szCs w:val="24"/>
          <w:lang w:val="en-US"/>
        </w:rPr>
        <w:t>blast</w:t>
      </w:r>
      <w:r w:rsidR="004911D8">
        <w:rPr>
          <w:rFonts w:ascii="Times New Roman" w:eastAsia="Arial MT" w:hAnsi="Times New Roman" w:cs="Times New Roman"/>
          <w:b/>
          <w:spacing w:val="-4"/>
          <w:sz w:val="24"/>
          <w:szCs w:val="24"/>
          <w:lang w:val="en-US"/>
        </w:rPr>
        <w:t xml:space="preserve"> </w:t>
      </w:r>
      <w:r w:rsidR="00C668C0">
        <w:rPr>
          <w:rFonts w:ascii="Times New Roman" w:eastAsia="Arial MT" w:hAnsi="Times New Roman" w:cs="Times New Roman"/>
          <w:b/>
          <w:sz w:val="24"/>
          <w:szCs w:val="24"/>
          <w:lang w:val="en-US"/>
        </w:rPr>
        <w:t>based on d</w:t>
      </w:r>
      <w:r w:rsidR="00C668C0" w:rsidRPr="00CA2EC1">
        <w:rPr>
          <w:rFonts w:ascii="Times New Roman" w:eastAsia="Arial MT" w:hAnsi="Times New Roman" w:cs="Times New Roman"/>
          <w:b/>
          <w:sz w:val="24"/>
          <w:szCs w:val="24"/>
          <w:lang w:val="en-US"/>
        </w:rPr>
        <w:t>isease severity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2"/>
        <w:gridCol w:w="1503"/>
        <w:gridCol w:w="1502"/>
        <w:gridCol w:w="1502"/>
        <w:gridCol w:w="1502"/>
        <w:gridCol w:w="1502"/>
      </w:tblGrid>
      <w:tr w:rsidR="00CA2EC1" w:rsidRPr="00CA2EC1" w14:paraId="15DFE05A" w14:textId="77777777" w:rsidTr="009118FF">
        <w:trPr>
          <w:trHeight w:val="263"/>
        </w:trPr>
        <w:tc>
          <w:tcPr>
            <w:tcW w:w="834" w:type="pct"/>
          </w:tcPr>
          <w:p w14:paraId="52AA3859" w14:textId="77777777" w:rsidR="00CA2EC1" w:rsidRPr="00CA2EC1" w:rsidRDefault="00CA2EC1" w:rsidP="00CA2EC1">
            <w:pPr>
              <w:widowControl w:val="0"/>
              <w:autoSpaceDE w:val="0"/>
              <w:autoSpaceDN w:val="0"/>
              <w:spacing w:after="0" w:line="244" w:lineRule="exact"/>
              <w:ind w:left="28" w:right="11"/>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Genotypes</w:t>
            </w:r>
          </w:p>
        </w:tc>
        <w:tc>
          <w:tcPr>
            <w:tcW w:w="834" w:type="pct"/>
          </w:tcPr>
          <w:p w14:paraId="67409DE6" w14:textId="77777777" w:rsidR="00CA2EC1" w:rsidRPr="00CA2EC1" w:rsidRDefault="00CA2EC1" w:rsidP="00CA2EC1">
            <w:pPr>
              <w:widowControl w:val="0"/>
              <w:autoSpaceDE w:val="0"/>
              <w:autoSpaceDN w:val="0"/>
              <w:spacing w:after="0" w:line="244" w:lineRule="exact"/>
              <w:ind w:left="28" w:right="8"/>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Category</w:t>
            </w:r>
          </w:p>
        </w:tc>
        <w:tc>
          <w:tcPr>
            <w:tcW w:w="833" w:type="pct"/>
          </w:tcPr>
          <w:p w14:paraId="34F66C27" w14:textId="77777777" w:rsidR="00CA2EC1" w:rsidRPr="00CA2EC1" w:rsidRDefault="00CA2EC1" w:rsidP="00CA2EC1">
            <w:pPr>
              <w:widowControl w:val="0"/>
              <w:autoSpaceDE w:val="0"/>
              <w:autoSpaceDN w:val="0"/>
              <w:spacing w:after="0" w:line="244" w:lineRule="exact"/>
              <w:ind w:left="24" w:right="5"/>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Genotypes</w:t>
            </w:r>
          </w:p>
        </w:tc>
        <w:tc>
          <w:tcPr>
            <w:tcW w:w="833" w:type="pct"/>
          </w:tcPr>
          <w:p w14:paraId="6C9FE7B6" w14:textId="77777777" w:rsidR="00CA2EC1" w:rsidRPr="00CA2EC1" w:rsidRDefault="00CA2EC1" w:rsidP="00CA2EC1">
            <w:pPr>
              <w:widowControl w:val="0"/>
              <w:autoSpaceDE w:val="0"/>
              <w:autoSpaceDN w:val="0"/>
              <w:spacing w:after="0" w:line="244" w:lineRule="exact"/>
              <w:ind w:left="24"/>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Category</w:t>
            </w:r>
          </w:p>
        </w:tc>
        <w:tc>
          <w:tcPr>
            <w:tcW w:w="833" w:type="pct"/>
          </w:tcPr>
          <w:p w14:paraId="4D891F43" w14:textId="77777777" w:rsidR="00CA2EC1" w:rsidRPr="00CA2EC1" w:rsidRDefault="00CA2EC1" w:rsidP="00CA2EC1">
            <w:pPr>
              <w:widowControl w:val="0"/>
              <w:autoSpaceDE w:val="0"/>
              <w:autoSpaceDN w:val="0"/>
              <w:spacing w:after="0" w:line="244" w:lineRule="exact"/>
              <w:ind w:left="24" w:right="1"/>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Genotypes</w:t>
            </w:r>
          </w:p>
        </w:tc>
        <w:tc>
          <w:tcPr>
            <w:tcW w:w="833" w:type="pct"/>
          </w:tcPr>
          <w:p w14:paraId="208127C8" w14:textId="77777777" w:rsidR="00CA2EC1" w:rsidRPr="00CA2EC1" w:rsidRDefault="00CA2EC1" w:rsidP="00CA2EC1">
            <w:pPr>
              <w:widowControl w:val="0"/>
              <w:autoSpaceDE w:val="0"/>
              <w:autoSpaceDN w:val="0"/>
              <w:spacing w:after="0" w:line="244" w:lineRule="exact"/>
              <w:ind w:left="28"/>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Category</w:t>
            </w:r>
          </w:p>
        </w:tc>
      </w:tr>
      <w:tr w:rsidR="00CA2EC1" w:rsidRPr="00CA2EC1" w14:paraId="4F84B6F0" w14:textId="77777777" w:rsidTr="009118FF">
        <w:trPr>
          <w:trHeight w:val="268"/>
        </w:trPr>
        <w:tc>
          <w:tcPr>
            <w:tcW w:w="834" w:type="pct"/>
          </w:tcPr>
          <w:p w14:paraId="48AE951E"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lastRenderedPageBreak/>
              <w:t>R-20002</w:t>
            </w:r>
          </w:p>
        </w:tc>
        <w:tc>
          <w:tcPr>
            <w:tcW w:w="834" w:type="pct"/>
          </w:tcPr>
          <w:p w14:paraId="6C9B711E"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224F8835"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R-23956</w:t>
            </w:r>
          </w:p>
        </w:tc>
        <w:tc>
          <w:tcPr>
            <w:tcW w:w="833" w:type="pct"/>
          </w:tcPr>
          <w:p w14:paraId="602919EA"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3D41CD9"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R-26492</w:t>
            </w:r>
          </w:p>
        </w:tc>
        <w:tc>
          <w:tcPr>
            <w:tcW w:w="833" w:type="pct"/>
          </w:tcPr>
          <w:p w14:paraId="1B636775" w14:textId="77777777" w:rsidR="00CA2EC1" w:rsidRPr="00CA2EC1" w:rsidRDefault="00CA2EC1" w:rsidP="00CA2EC1">
            <w:pPr>
              <w:widowControl w:val="0"/>
              <w:autoSpaceDE w:val="0"/>
              <w:autoSpaceDN w:val="0"/>
              <w:spacing w:after="0" w:line="248"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773085D1" w14:textId="77777777" w:rsidTr="009118FF">
        <w:trPr>
          <w:trHeight w:val="268"/>
        </w:trPr>
        <w:tc>
          <w:tcPr>
            <w:tcW w:w="834" w:type="pct"/>
          </w:tcPr>
          <w:p w14:paraId="316B014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R-20012</w:t>
            </w:r>
          </w:p>
        </w:tc>
        <w:tc>
          <w:tcPr>
            <w:tcW w:w="834" w:type="pct"/>
          </w:tcPr>
          <w:p w14:paraId="711E11A8"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299851B2"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R-23565</w:t>
            </w:r>
          </w:p>
        </w:tc>
        <w:tc>
          <w:tcPr>
            <w:tcW w:w="833" w:type="pct"/>
          </w:tcPr>
          <w:p w14:paraId="5382D049"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C7D6A51"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R-26607</w:t>
            </w:r>
          </w:p>
        </w:tc>
        <w:tc>
          <w:tcPr>
            <w:tcW w:w="833" w:type="pct"/>
          </w:tcPr>
          <w:p w14:paraId="5264918C"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063577C6" w14:textId="77777777" w:rsidTr="009118FF">
        <w:trPr>
          <w:trHeight w:val="268"/>
        </w:trPr>
        <w:tc>
          <w:tcPr>
            <w:tcW w:w="834" w:type="pct"/>
          </w:tcPr>
          <w:p w14:paraId="1B8A9A97"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R-20057</w:t>
            </w:r>
          </w:p>
        </w:tc>
        <w:tc>
          <w:tcPr>
            <w:tcW w:w="834" w:type="pct"/>
          </w:tcPr>
          <w:p w14:paraId="2F59497B"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0F64B71F"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R-24610</w:t>
            </w:r>
          </w:p>
        </w:tc>
        <w:tc>
          <w:tcPr>
            <w:tcW w:w="833" w:type="pct"/>
          </w:tcPr>
          <w:p w14:paraId="25D1E606"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00722BC8"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R-27738</w:t>
            </w:r>
          </w:p>
        </w:tc>
        <w:tc>
          <w:tcPr>
            <w:tcW w:w="833" w:type="pct"/>
          </w:tcPr>
          <w:p w14:paraId="37064297" w14:textId="77777777" w:rsidR="00CA2EC1" w:rsidRPr="00CA2EC1" w:rsidRDefault="00CA2EC1" w:rsidP="00CA2EC1">
            <w:pPr>
              <w:widowControl w:val="0"/>
              <w:autoSpaceDE w:val="0"/>
              <w:autoSpaceDN w:val="0"/>
              <w:spacing w:after="0" w:line="248"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4B3F3790" w14:textId="77777777" w:rsidTr="009118FF">
        <w:trPr>
          <w:trHeight w:val="268"/>
        </w:trPr>
        <w:tc>
          <w:tcPr>
            <w:tcW w:w="834" w:type="pct"/>
          </w:tcPr>
          <w:p w14:paraId="4C40887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R-20079</w:t>
            </w:r>
          </w:p>
        </w:tc>
        <w:tc>
          <w:tcPr>
            <w:tcW w:w="834" w:type="pct"/>
          </w:tcPr>
          <w:p w14:paraId="62C1585C"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E67B4AA"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R-24650</w:t>
            </w:r>
          </w:p>
        </w:tc>
        <w:tc>
          <w:tcPr>
            <w:tcW w:w="833" w:type="pct"/>
          </w:tcPr>
          <w:p w14:paraId="5B8A9F2B" w14:textId="77777777" w:rsidR="00CA2EC1" w:rsidRPr="00CA2EC1" w:rsidRDefault="00CA2EC1" w:rsidP="00CA2EC1">
            <w:pPr>
              <w:widowControl w:val="0"/>
              <w:autoSpaceDE w:val="0"/>
              <w:autoSpaceDN w:val="0"/>
              <w:spacing w:after="0" w:line="248" w:lineRule="exact"/>
              <w:ind w:left="24"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70092469"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R-20876</w:t>
            </w:r>
          </w:p>
        </w:tc>
        <w:tc>
          <w:tcPr>
            <w:tcW w:w="833" w:type="pct"/>
          </w:tcPr>
          <w:p w14:paraId="29C6D0A6"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56532883" w14:textId="77777777" w:rsidTr="009118FF">
        <w:trPr>
          <w:trHeight w:val="269"/>
        </w:trPr>
        <w:tc>
          <w:tcPr>
            <w:tcW w:w="834" w:type="pct"/>
          </w:tcPr>
          <w:p w14:paraId="53435F2F"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R-20090</w:t>
            </w:r>
          </w:p>
        </w:tc>
        <w:tc>
          <w:tcPr>
            <w:tcW w:w="834" w:type="pct"/>
          </w:tcPr>
          <w:p w14:paraId="5AA7800A" w14:textId="77777777" w:rsidR="00CA2EC1" w:rsidRPr="00CA2EC1" w:rsidRDefault="00CA2EC1" w:rsidP="00CA2EC1">
            <w:pPr>
              <w:widowControl w:val="0"/>
              <w:autoSpaceDE w:val="0"/>
              <w:autoSpaceDN w:val="0"/>
              <w:spacing w:after="0" w:line="249"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66E7E409" w14:textId="77777777" w:rsidR="00CA2EC1" w:rsidRPr="00CA2EC1" w:rsidRDefault="00CA2EC1" w:rsidP="00CA2EC1">
            <w:pPr>
              <w:widowControl w:val="0"/>
              <w:autoSpaceDE w:val="0"/>
              <w:autoSpaceDN w:val="0"/>
              <w:spacing w:after="0" w:line="249"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R-24651</w:t>
            </w:r>
          </w:p>
        </w:tc>
        <w:tc>
          <w:tcPr>
            <w:tcW w:w="833" w:type="pct"/>
          </w:tcPr>
          <w:p w14:paraId="69241664" w14:textId="77777777" w:rsidR="00CA2EC1" w:rsidRPr="00CA2EC1" w:rsidRDefault="00CA2EC1" w:rsidP="00CA2EC1">
            <w:pPr>
              <w:widowControl w:val="0"/>
              <w:autoSpaceDE w:val="0"/>
              <w:autoSpaceDN w:val="0"/>
              <w:spacing w:after="0" w:line="249"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287BF477" w14:textId="77777777" w:rsidR="00CA2EC1" w:rsidRPr="00CA2EC1" w:rsidRDefault="00CA2EC1" w:rsidP="00CA2EC1">
            <w:pPr>
              <w:widowControl w:val="0"/>
              <w:autoSpaceDE w:val="0"/>
              <w:autoSpaceDN w:val="0"/>
              <w:spacing w:after="0" w:line="249"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R-21111</w:t>
            </w:r>
          </w:p>
        </w:tc>
        <w:tc>
          <w:tcPr>
            <w:tcW w:w="833" w:type="pct"/>
          </w:tcPr>
          <w:p w14:paraId="365E2F8E" w14:textId="77777777" w:rsidR="00CA2EC1" w:rsidRPr="00CA2EC1" w:rsidRDefault="00CA2EC1" w:rsidP="00CA2EC1">
            <w:pPr>
              <w:widowControl w:val="0"/>
              <w:autoSpaceDE w:val="0"/>
              <w:autoSpaceDN w:val="0"/>
              <w:spacing w:after="0" w:line="249"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28B79672" w14:textId="77777777" w:rsidTr="009118FF">
        <w:trPr>
          <w:trHeight w:val="268"/>
        </w:trPr>
        <w:tc>
          <w:tcPr>
            <w:tcW w:w="834" w:type="pct"/>
          </w:tcPr>
          <w:p w14:paraId="4F45FFD5"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R-20103</w:t>
            </w:r>
          </w:p>
        </w:tc>
        <w:tc>
          <w:tcPr>
            <w:tcW w:w="834" w:type="pct"/>
          </w:tcPr>
          <w:p w14:paraId="4B746AD7"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4C33997D"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R-24652</w:t>
            </w:r>
          </w:p>
        </w:tc>
        <w:tc>
          <w:tcPr>
            <w:tcW w:w="833" w:type="pct"/>
          </w:tcPr>
          <w:p w14:paraId="72943303"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3A75FBCB"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R-21121</w:t>
            </w:r>
          </w:p>
        </w:tc>
        <w:tc>
          <w:tcPr>
            <w:tcW w:w="833" w:type="pct"/>
          </w:tcPr>
          <w:p w14:paraId="5B495E68"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34E7A642" w14:textId="77777777" w:rsidTr="009118FF">
        <w:trPr>
          <w:trHeight w:val="268"/>
        </w:trPr>
        <w:tc>
          <w:tcPr>
            <w:tcW w:w="834" w:type="pct"/>
          </w:tcPr>
          <w:p w14:paraId="2613650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R-20105</w:t>
            </w:r>
          </w:p>
        </w:tc>
        <w:tc>
          <w:tcPr>
            <w:tcW w:w="834" w:type="pct"/>
          </w:tcPr>
          <w:p w14:paraId="5116F683"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78FBD1EF"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R-24653</w:t>
            </w:r>
          </w:p>
        </w:tc>
        <w:tc>
          <w:tcPr>
            <w:tcW w:w="833" w:type="pct"/>
          </w:tcPr>
          <w:p w14:paraId="6FB1AF90"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0EA91D54"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R-21136</w:t>
            </w:r>
          </w:p>
        </w:tc>
        <w:tc>
          <w:tcPr>
            <w:tcW w:w="833" w:type="pct"/>
          </w:tcPr>
          <w:p w14:paraId="08D6D64B" w14:textId="77777777" w:rsidR="00CA2EC1" w:rsidRPr="00CA2EC1" w:rsidRDefault="00CA2EC1" w:rsidP="00CA2EC1">
            <w:pPr>
              <w:widowControl w:val="0"/>
              <w:autoSpaceDE w:val="0"/>
              <w:autoSpaceDN w:val="0"/>
              <w:spacing w:after="0" w:line="248"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0B714546" w14:textId="77777777" w:rsidTr="009118FF">
        <w:trPr>
          <w:trHeight w:val="268"/>
        </w:trPr>
        <w:tc>
          <w:tcPr>
            <w:tcW w:w="834" w:type="pct"/>
          </w:tcPr>
          <w:p w14:paraId="35E1EF7E"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R-20108</w:t>
            </w:r>
          </w:p>
        </w:tc>
        <w:tc>
          <w:tcPr>
            <w:tcW w:w="834" w:type="pct"/>
          </w:tcPr>
          <w:p w14:paraId="37AD937C"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18FFC64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R-24654</w:t>
            </w:r>
          </w:p>
        </w:tc>
        <w:tc>
          <w:tcPr>
            <w:tcW w:w="833" w:type="pct"/>
          </w:tcPr>
          <w:p w14:paraId="2767520A"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41C309D9"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R-21283</w:t>
            </w:r>
          </w:p>
        </w:tc>
        <w:tc>
          <w:tcPr>
            <w:tcW w:w="833" w:type="pct"/>
          </w:tcPr>
          <w:p w14:paraId="725D96DB" w14:textId="77777777" w:rsidR="00CA2EC1" w:rsidRPr="00CA2EC1" w:rsidRDefault="00CA2EC1" w:rsidP="00CA2EC1">
            <w:pPr>
              <w:widowControl w:val="0"/>
              <w:autoSpaceDE w:val="0"/>
              <w:autoSpaceDN w:val="0"/>
              <w:spacing w:after="0" w:line="248" w:lineRule="exact"/>
              <w:ind w:left="28"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r>
      <w:tr w:rsidR="00CA2EC1" w:rsidRPr="00CA2EC1" w14:paraId="50276486" w14:textId="77777777" w:rsidTr="009118FF">
        <w:trPr>
          <w:trHeight w:val="268"/>
        </w:trPr>
        <w:tc>
          <w:tcPr>
            <w:tcW w:w="834" w:type="pct"/>
          </w:tcPr>
          <w:p w14:paraId="137B4FB2"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R-20111</w:t>
            </w:r>
          </w:p>
        </w:tc>
        <w:tc>
          <w:tcPr>
            <w:tcW w:w="834" w:type="pct"/>
          </w:tcPr>
          <w:p w14:paraId="7CAD1B27"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17F7AFEA"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R-24655</w:t>
            </w:r>
          </w:p>
        </w:tc>
        <w:tc>
          <w:tcPr>
            <w:tcW w:w="833" w:type="pct"/>
          </w:tcPr>
          <w:p w14:paraId="14246A85"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541720DE"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R-21355</w:t>
            </w:r>
          </w:p>
        </w:tc>
        <w:tc>
          <w:tcPr>
            <w:tcW w:w="833" w:type="pct"/>
          </w:tcPr>
          <w:p w14:paraId="1654D977"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1C748076" w14:textId="77777777" w:rsidTr="009118FF">
        <w:trPr>
          <w:trHeight w:val="268"/>
        </w:trPr>
        <w:tc>
          <w:tcPr>
            <w:tcW w:w="834" w:type="pct"/>
          </w:tcPr>
          <w:p w14:paraId="12484EA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R-20113</w:t>
            </w:r>
          </w:p>
        </w:tc>
        <w:tc>
          <w:tcPr>
            <w:tcW w:w="834" w:type="pct"/>
          </w:tcPr>
          <w:p w14:paraId="7AFE6509"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0C76FA97"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R-24656</w:t>
            </w:r>
          </w:p>
        </w:tc>
        <w:tc>
          <w:tcPr>
            <w:tcW w:w="833" w:type="pct"/>
          </w:tcPr>
          <w:p w14:paraId="4B78311F"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D0149ED"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R-21370</w:t>
            </w:r>
          </w:p>
        </w:tc>
        <w:tc>
          <w:tcPr>
            <w:tcW w:w="833" w:type="pct"/>
          </w:tcPr>
          <w:p w14:paraId="157DF6DF" w14:textId="77777777" w:rsidR="00CA2EC1" w:rsidRPr="00CA2EC1" w:rsidRDefault="00CA2EC1" w:rsidP="00CA2EC1">
            <w:pPr>
              <w:widowControl w:val="0"/>
              <w:autoSpaceDE w:val="0"/>
              <w:autoSpaceDN w:val="0"/>
              <w:spacing w:after="0" w:line="248" w:lineRule="exact"/>
              <w:ind w:left="28"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r>
      <w:tr w:rsidR="00CA2EC1" w:rsidRPr="00CA2EC1" w14:paraId="6FA7C395" w14:textId="77777777" w:rsidTr="009118FF">
        <w:trPr>
          <w:trHeight w:val="268"/>
        </w:trPr>
        <w:tc>
          <w:tcPr>
            <w:tcW w:w="834" w:type="pct"/>
          </w:tcPr>
          <w:p w14:paraId="3C70F23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R-20115</w:t>
            </w:r>
          </w:p>
        </w:tc>
        <w:tc>
          <w:tcPr>
            <w:tcW w:w="834" w:type="pct"/>
          </w:tcPr>
          <w:p w14:paraId="54098039"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0B88ECCB"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R-24657</w:t>
            </w:r>
          </w:p>
        </w:tc>
        <w:tc>
          <w:tcPr>
            <w:tcW w:w="833" w:type="pct"/>
          </w:tcPr>
          <w:p w14:paraId="1EF0D24F"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17C0DAC5"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R-21930</w:t>
            </w:r>
          </w:p>
        </w:tc>
        <w:tc>
          <w:tcPr>
            <w:tcW w:w="833" w:type="pct"/>
          </w:tcPr>
          <w:p w14:paraId="5C9588A3" w14:textId="77777777" w:rsidR="00CA2EC1" w:rsidRPr="00CA2EC1" w:rsidRDefault="00CA2EC1" w:rsidP="00CA2EC1">
            <w:pPr>
              <w:widowControl w:val="0"/>
              <w:autoSpaceDE w:val="0"/>
              <w:autoSpaceDN w:val="0"/>
              <w:spacing w:after="0" w:line="248"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4BC45A60" w14:textId="77777777" w:rsidTr="009118FF">
        <w:trPr>
          <w:trHeight w:val="268"/>
        </w:trPr>
        <w:tc>
          <w:tcPr>
            <w:tcW w:w="834" w:type="pct"/>
          </w:tcPr>
          <w:p w14:paraId="12071A5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R-20204</w:t>
            </w:r>
          </w:p>
        </w:tc>
        <w:tc>
          <w:tcPr>
            <w:tcW w:w="834" w:type="pct"/>
          </w:tcPr>
          <w:p w14:paraId="3589AAE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7D6E6E6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R-24658</w:t>
            </w:r>
          </w:p>
        </w:tc>
        <w:tc>
          <w:tcPr>
            <w:tcW w:w="833" w:type="pct"/>
          </w:tcPr>
          <w:p w14:paraId="108F5E3C"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671EE967"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R-21970</w:t>
            </w:r>
          </w:p>
        </w:tc>
        <w:tc>
          <w:tcPr>
            <w:tcW w:w="833" w:type="pct"/>
          </w:tcPr>
          <w:p w14:paraId="27ED0ACE" w14:textId="77777777" w:rsidR="00CA2EC1" w:rsidRPr="00CA2EC1" w:rsidRDefault="00CA2EC1" w:rsidP="00CA2EC1">
            <w:pPr>
              <w:widowControl w:val="0"/>
              <w:autoSpaceDE w:val="0"/>
              <w:autoSpaceDN w:val="0"/>
              <w:spacing w:after="0" w:line="248" w:lineRule="exact"/>
              <w:ind w:left="28"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r>
      <w:tr w:rsidR="00CA2EC1" w:rsidRPr="00CA2EC1" w14:paraId="0BBAC535" w14:textId="77777777" w:rsidTr="009118FF">
        <w:trPr>
          <w:trHeight w:val="268"/>
        </w:trPr>
        <w:tc>
          <w:tcPr>
            <w:tcW w:w="834" w:type="pct"/>
          </w:tcPr>
          <w:p w14:paraId="46CBF10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R-20205</w:t>
            </w:r>
          </w:p>
        </w:tc>
        <w:tc>
          <w:tcPr>
            <w:tcW w:w="834" w:type="pct"/>
          </w:tcPr>
          <w:p w14:paraId="18EAD025"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033FE82C"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R-24659</w:t>
            </w:r>
          </w:p>
        </w:tc>
        <w:tc>
          <w:tcPr>
            <w:tcW w:w="833" w:type="pct"/>
          </w:tcPr>
          <w:p w14:paraId="45BA9376"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1B7E78B"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R-22013</w:t>
            </w:r>
          </w:p>
        </w:tc>
        <w:tc>
          <w:tcPr>
            <w:tcW w:w="833" w:type="pct"/>
          </w:tcPr>
          <w:p w14:paraId="273A8987" w14:textId="77777777" w:rsidR="00CA2EC1" w:rsidRPr="00CA2EC1" w:rsidRDefault="00CA2EC1" w:rsidP="00CA2EC1">
            <w:pPr>
              <w:widowControl w:val="0"/>
              <w:autoSpaceDE w:val="0"/>
              <w:autoSpaceDN w:val="0"/>
              <w:spacing w:after="0" w:line="248"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2F9A5C2B" w14:textId="77777777" w:rsidTr="009118FF">
        <w:trPr>
          <w:trHeight w:val="268"/>
        </w:trPr>
        <w:tc>
          <w:tcPr>
            <w:tcW w:w="834" w:type="pct"/>
          </w:tcPr>
          <w:p w14:paraId="172C2878"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R-20206</w:t>
            </w:r>
          </w:p>
        </w:tc>
        <w:tc>
          <w:tcPr>
            <w:tcW w:w="834" w:type="pct"/>
          </w:tcPr>
          <w:p w14:paraId="14194F80" w14:textId="77777777" w:rsidR="00CA2EC1" w:rsidRPr="00CA2EC1" w:rsidRDefault="00CA2EC1" w:rsidP="00CA2EC1">
            <w:pPr>
              <w:widowControl w:val="0"/>
              <w:autoSpaceDE w:val="0"/>
              <w:autoSpaceDN w:val="0"/>
              <w:spacing w:after="0" w:line="249"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A0B950D" w14:textId="77777777" w:rsidR="00CA2EC1" w:rsidRPr="00CA2EC1" w:rsidRDefault="00CA2EC1" w:rsidP="00CA2EC1">
            <w:pPr>
              <w:widowControl w:val="0"/>
              <w:autoSpaceDE w:val="0"/>
              <w:autoSpaceDN w:val="0"/>
              <w:spacing w:after="0" w:line="249"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R-24661</w:t>
            </w:r>
          </w:p>
        </w:tc>
        <w:tc>
          <w:tcPr>
            <w:tcW w:w="833" w:type="pct"/>
          </w:tcPr>
          <w:p w14:paraId="1961EC5E" w14:textId="77777777" w:rsidR="00CA2EC1" w:rsidRPr="00CA2EC1" w:rsidRDefault="00CA2EC1" w:rsidP="00CA2EC1">
            <w:pPr>
              <w:widowControl w:val="0"/>
              <w:autoSpaceDE w:val="0"/>
              <w:autoSpaceDN w:val="0"/>
              <w:spacing w:after="0" w:line="249"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CB5810D" w14:textId="77777777" w:rsidR="00CA2EC1" w:rsidRPr="00CA2EC1" w:rsidRDefault="00CA2EC1" w:rsidP="00CA2EC1">
            <w:pPr>
              <w:widowControl w:val="0"/>
              <w:autoSpaceDE w:val="0"/>
              <w:autoSpaceDN w:val="0"/>
              <w:spacing w:after="0" w:line="249"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R-22713</w:t>
            </w:r>
          </w:p>
        </w:tc>
        <w:tc>
          <w:tcPr>
            <w:tcW w:w="833" w:type="pct"/>
          </w:tcPr>
          <w:p w14:paraId="3A24C4B0" w14:textId="77777777" w:rsidR="00CA2EC1" w:rsidRPr="00CA2EC1" w:rsidRDefault="00CA2EC1" w:rsidP="00CA2EC1">
            <w:pPr>
              <w:widowControl w:val="0"/>
              <w:autoSpaceDE w:val="0"/>
              <w:autoSpaceDN w:val="0"/>
              <w:spacing w:after="0" w:line="249"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4497DACD" w14:textId="77777777" w:rsidTr="009118FF">
        <w:trPr>
          <w:trHeight w:val="270"/>
        </w:trPr>
        <w:tc>
          <w:tcPr>
            <w:tcW w:w="834" w:type="pct"/>
          </w:tcPr>
          <w:p w14:paraId="4FCEBB5B" w14:textId="77777777" w:rsidR="00CA2EC1" w:rsidRPr="00CA2EC1" w:rsidRDefault="00CA2EC1" w:rsidP="00CA2EC1">
            <w:pPr>
              <w:widowControl w:val="0"/>
              <w:autoSpaceDE w:val="0"/>
              <w:autoSpaceDN w:val="0"/>
              <w:spacing w:after="0" w:line="251"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R-20208</w:t>
            </w:r>
          </w:p>
        </w:tc>
        <w:tc>
          <w:tcPr>
            <w:tcW w:w="834" w:type="pct"/>
          </w:tcPr>
          <w:p w14:paraId="48F674D0" w14:textId="77777777" w:rsidR="00CA2EC1" w:rsidRPr="00CA2EC1" w:rsidRDefault="00CA2EC1" w:rsidP="00CA2EC1">
            <w:pPr>
              <w:widowControl w:val="0"/>
              <w:autoSpaceDE w:val="0"/>
              <w:autoSpaceDN w:val="0"/>
              <w:spacing w:after="0" w:line="251"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31EC38D7" w14:textId="77777777" w:rsidR="00CA2EC1" w:rsidRPr="00CA2EC1" w:rsidRDefault="00CA2EC1" w:rsidP="00CA2EC1">
            <w:pPr>
              <w:widowControl w:val="0"/>
              <w:autoSpaceDE w:val="0"/>
              <w:autoSpaceDN w:val="0"/>
              <w:spacing w:after="0" w:line="251"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R-24662</w:t>
            </w:r>
          </w:p>
        </w:tc>
        <w:tc>
          <w:tcPr>
            <w:tcW w:w="833" w:type="pct"/>
          </w:tcPr>
          <w:p w14:paraId="4E4D4B73" w14:textId="77777777" w:rsidR="00CA2EC1" w:rsidRPr="00CA2EC1" w:rsidRDefault="00CA2EC1" w:rsidP="00CA2EC1">
            <w:pPr>
              <w:widowControl w:val="0"/>
              <w:autoSpaceDE w:val="0"/>
              <w:autoSpaceDN w:val="0"/>
              <w:spacing w:after="0" w:line="251"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06544F3A" w14:textId="77777777" w:rsidR="00CA2EC1" w:rsidRPr="00CA2EC1" w:rsidRDefault="00CA2EC1" w:rsidP="00CA2EC1">
            <w:pPr>
              <w:widowControl w:val="0"/>
              <w:autoSpaceDE w:val="0"/>
              <w:autoSpaceDN w:val="0"/>
              <w:spacing w:after="0" w:line="251"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R-22768</w:t>
            </w:r>
          </w:p>
        </w:tc>
        <w:tc>
          <w:tcPr>
            <w:tcW w:w="833" w:type="pct"/>
          </w:tcPr>
          <w:p w14:paraId="6B700C61" w14:textId="77777777" w:rsidR="00CA2EC1" w:rsidRPr="00CA2EC1" w:rsidRDefault="00CA2EC1" w:rsidP="00CA2EC1">
            <w:pPr>
              <w:widowControl w:val="0"/>
              <w:autoSpaceDE w:val="0"/>
              <w:autoSpaceDN w:val="0"/>
              <w:spacing w:after="0" w:line="251"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0416B3C1" w14:textId="77777777" w:rsidTr="009118FF">
        <w:trPr>
          <w:trHeight w:val="268"/>
        </w:trPr>
        <w:tc>
          <w:tcPr>
            <w:tcW w:w="834" w:type="pct"/>
          </w:tcPr>
          <w:p w14:paraId="10B1C42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R-20212</w:t>
            </w:r>
          </w:p>
        </w:tc>
        <w:tc>
          <w:tcPr>
            <w:tcW w:w="834" w:type="pct"/>
          </w:tcPr>
          <w:p w14:paraId="0EBF42F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5A79EBE7"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R-24663</w:t>
            </w:r>
          </w:p>
        </w:tc>
        <w:tc>
          <w:tcPr>
            <w:tcW w:w="833" w:type="pct"/>
          </w:tcPr>
          <w:p w14:paraId="125BF0C3"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6C301545"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R-22908</w:t>
            </w:r>
          </w:p>
        </w:tc>
        <w:tc>
          <w:tcPr>
            <w:tcW w:w="833" w:type="pct"/>
          </w:tcPr>
          <w:p w14:paraId="0BACED42" w14:textId="77777777" w:rsidR="00CA2EC1" w:rsidRPr="00CA2EC1" w:rsidRDefault="00CA2EC1" w:rsidP="00CA2EC1">
            <w:pPr>
              <w:widowControl w:val="0"/>
              <w:autoSpaceDE w:val="0"/>
              <w:autoSpaceDN w:val="0"/>
              <w:spacing w:after="0" w:line="248" w:lineRule="exact"/>
              <w:ind w:left="28"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r>
      <w:tr w:rsidR="00CA2EC1" w:rsidRPr="00CA2EC1" w14:paraId="6B9302E8" w14:textId="77777777" w:rsidTr="009118FF">
        <w:trPr>
          <w:trHeight w:val="268"/>
        </w:trPr>
        <w:tc>
          <w:tcPr>
            <w:tcW w:w="834" w:type="pct"/>
          </w:tcPr>
          <w:p w14:paraId="75FA9E1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R-20218</w:t>
            </w:r>
          </w:p>
        </w:tc>
        <w:tc>
          <w:tcPr>
            <w:tcW w:w="834" w:type="pct"/>
          </w:tcPr>
          <w:p w14:paraId="2A90EF25"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153316D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R-24664</w:t>
            </w:r>
          </w:p>
        </w:tc>
        <w:tc>
          <w:tcPr>
            <w:tcW w:w="833" w:type="pct"/>
          </w:tcPr>
          <w:p w14:paraId="6400ED81"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12A46A2C"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R-22918</w:t>
            </w:r>
          </w:p>
        </w:tc>
        <w:tc>
          <w:tcPr>
            <w:tcW w:w="833" w:type="pct"/>
          </w:tcPr>
          <w:p w14:paraId="4889DA93" w14:textId="77777777" w:rsidR="00CA2EC1" w:rsidRPr="00CA2EC1" w:rsidRDefault="00CA2EC1" w:rsidP="00CA2EC1">
            <w:pPr>
              <w:widowControl w:val="0"/>
              <w:autoSpaceDE w:val="0"/>
              <w:autoSpaceDN w:val="0"/>
              <w:spacing w:after="0" w:line="248" w:lineRule="exact"/>
              <w:ind w:left="28"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r>
      <w:tr w:rsidR="00CA2EC1" w:rsidRPr="00CA2EC1" w14:paraId="2C57DEC6" w14:textId="77777777" w:rsidTr="009118FF">
        <w:trPr>
          <w:trHeight w:val="268"/>
        </w:trPr>
        <w:tc>
          <w:tcPr>
            <w:tcW w:w="834" w:type="pct"/>
          </w:tcPr>
          <w:p w14:paraId="01E35F64"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R-20443</w:t>
            </w:r>
          </w:p>
        </w:tc>
        <w:tc>
          <w:tcPr>
            <w:tcW w:w="834" w:type="pct"/>
          </w:tcPr>
          <w:p w14:paraId="0ACF4264"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4C32BF9C"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R-24665</w:t>
            </w:r>
          </w:p>
        </w:tc>
        <w:tc>
          <w:tcPr>
            <w:tcW w:w="833" w:type="pct"/>
          </w:tcPr>
          <w:p w14:paraId="51EDA6DE"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25277016"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R-22968</w:t>
            </w:r>
          </w:p>
        </w:tc>
        <w:tc>
          <w:tcPr>
            <w:tcW w:w="833" w:type="pct"/>
          </w:tcPr>
          <w:p w14:paraId="7503C2DF"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4B329CAF" w14:textId="77777777" w:rsidTr="009118FF">
        <w:trPr>
          <w:trHeight w:val="268"/>
        </w:trPr>
        <w:tc>
          <w:tcPr>
            <w:tcW w:w="834" w:type="pct"/>
          </w:tcPr>
          <w:p w14:paraId="420A0BD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R-20444</w:t>
            </w:r>
          </w:p>
        </w:tc>
        <w:tc>
          <w:tcPr>
            <w:tcW w:w="834" w:type="pct"/>
          </w:tcPr>
          <w:p w14:paraId="16756D55"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31F02621"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R-24666</w:t>
            </w:r>
          </w:p>
        </w:tc>
        <w:tc>
          <w:tcPr>
            <w:tcW w:w="833" w:type="pct"/>
          </w:tcPr>
          <w:p w14:paraId="64F38811"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6DB7EA56"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R-23774</w:t>
            </w:r>
          </w:p>
        </w:tc>
        <w:tc>
          <w:tcPr>
            <w:tcW w:w="833" w:type="pct"/>
          </w:tcPr>
          <w:p w14:paraId="43A5D03D"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1D890FDB" w14:textId="77777777" w:rsidTr="009118FF">
        <w:trPr>
          <w:trHeight w:val="268"/>
        </w:trPr>
        <w:tc>
          <w:tcPr>
            <w:tcW w:w="834" w:type="pct"/>
          </w:tcPr>
          <w:p w14:paraId="6FB1CE52"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R-20671</w:t>
            </w:r>
          </w:p>
        </w:tc>
        <w:tc>
          <w:tcPr>
            <w:tcW w:w="834" w:type="pct"/>
          </w:tcPr>
          <w:p w14:paraId="13451D72"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5D87696A"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R-24667</w:t>
            </w:r>
          </w:p>
        </w:tc>
        <w:tc>
          <w:tcPr>
            <w:tcW w:w="833" w:type="pct"/>
          </w:tcPr>
          <w:p w14:paraId="2EE400E5" w14:textId="77777777" w:rsidR="00CA2EC1" w:rsidRPr="00CA2EC1" w:rsidRDefault="00CA2EC1" w:rsidP="00CA2EC1">
            <w:pPr>
              <w:widowControl w:val="0"/>
              <w:autoSpaceDE w:val="0"/>
              <w:autoSpaceDN w:val="0"/>
              <w:spacing w:after="0" w:line="248" w:lineRule="exact"/>
              <w:ind w:left="24"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7C030E8E"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1C5254B9"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6070AC96" w14:textId="77777777" w:rsidTr="009118FF">
        <w:trPr>
          <w:trHeight w:val="268"/>
        </w:trPr>
        <w:tc>
          <w:tcPr>
            <w:tcW w:w="834" w:type="pct"/>
          </w:tcPr>
          <w:p w14:paraId="2E32057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R-20706</w:t>
            </w:r>
          </w:p>
        </w:tc>
        <w:tc>
          <w:tcPr>
            <w:tcW w:w="834" w:type="pct"/>
          </w:tcPr>
          <w:p w14:paraId="5007CBCB"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5621FB5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R-25046</w:t>
            </w:r>
          </w:p>
        </w:tc>
        <w:tc>
          <w:tcPr>
            <w:tcW w:w="833" w:type="pct"/>
          </w:tcPr>
          <w:p w14:paraId="70B53012"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72020418"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5263F9B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2A19A558" w14:textId="77777777" w:rsidTr="009118FF">
        <w:trPr>
          <w:trHeight w:val="268"/>
        </w:trPr>
        <w:tc>
          <w:tcPr>
            <w:tcW w:w="834" w:type="pct"/>
          </w:tcPr>
          <w:p w14:paraId="5D99EA08"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R-20710</w:t>
            </w:r>
          </w:p>
        </w:tc>
        <w:tc>
          <w:tcPr>
            <w:tcW w:w="834" w:type="pct"/>
          </w:tcPr>
          <w:p w14:paraId="74B41230"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3B2AC11C"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R-25056</w:t>
            </w:r>
          </w:p>
        </w:tc>
        <w:tc>
          <w:tcPr>
            <w:tcW w:w="833" w:type="pct"/>
          </w:tcPr>
          <w:p w14:paraId="723F2ACE"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7C5A26A8"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2989E4C2"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422130A0" w14:textId="77777777" w:rsidTr="009118FF">
        <w:trPr>
          <w:trHeight w:val="269"/>
        </w:trPr>
        <w:tc>
          <w:tcPr>
            <w:tcW w:w="834" w:type="pct"/>
          </w:tcPr>
          <w:p w14:paraId="34E8E3A8"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R-20810</w:t>
            </w:r>
          </w:p>
        </w:tc>
        <w:tc>
          <w:tcPr>
            <w:tcW w:w="834" w:type="pct"/>
          </w:tcPr>
          <w:p w14:paraId="657270D5"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725F7C2F" w14:textId="77777777" w:rsidR="00CA2EC1" w:rsidRPr="00CA2EC1" w:rsidRDefault="00CA2EC1" w:rsidP="00CA2EC1">
            <w:pPr>
              <w:widowControl w:val="0"/>
              <w:autoSpaceDE w:val="0"/>
              <w:autoSpaceDN w:val="0"/>
              <w:spacing w:after="0" w:line="249"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R-25086</w:t>
            </w:r>
          </w:p>
        </w:tc>
        <w:tc>
          <w:tcPr>
            <w:tcW w:w="833" w:type="pct"/>
          </w:tcPr>
          <w:p w14:paraId="542C0AFD" w14:textId="77777777" w:rsidR="00CA2EC1" w:rsidRPr="00CA2EC1" w:rsidRDefault="00CA2EC1" w:rsidP="00CA2EC1">
            <w:pPr>
              <w:widowControl w:val="0"/>
              <w:autoSpaceDE w:val="0"/>
              <w:autoSpaceDN w:val="0"/>
              <w:spacing w:after="0" w:line="249"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38AE65C0"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1582486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56F00380" w14:textId="77777777" w:rsidTr="009118FF">
        <w:trPr>
          <w:trHeight w:val="268"/>
        </w:trPr>
        <w:tc>
          <w:tcPr>
            <w:tcW w:w="834" w:type="pct"/>
          </w:tcPr>
          <w:p w14:paraId="0E53385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R-20822</w:t>
            </w:r>
          </w:p>
        </w:tc>
        <w:tc>
          <w:tcPr>
            <w:tcW w:w="834" w:type="pct"/>
          </w:tcPr>
          <w:p w14:paraId="29A5A07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520927C1"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R-25511</w:t>
            </w:r>
          </w:p>
        </w:tc>
        <w:tc>
          <w:tcPr>
            <w:tcW w:w="833" w:type="pct"/>
          </w:tcPr>
          <w:p w14:paraId="4446F7FF"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71A4C627"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5952C22C"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6143D628" w14:textId="77777777" w:rsidTr="009118FF">
        <w:trPr>
          <w:trHeight w:val="268"/>
        </w:trPr>
        <w:tc>
          <w:tcPr>
            <w:tcW w:w="834" w:type="pct"/>
          </w:tcPr>
          <w:p w14:paraId="50C32675"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R-20823</w:t>
            </w:r>
          </w:p>
        </w:tc>
        <w:tc>
          <w:tcPr>
            <w:tcW w:w="834" w:type="pct"/>
          </w:tcPr>
          <w:p w14:paraId="69A731FD"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4E35AECB"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R-25850</w:t>
            </w:r>
          </w:p>
        </w:tc>
        <w:tc>
          <w:tcPr>
            <w:tcW w:w="833" w:type="pct"/>
          </w:tcPr>
          <w:p w14:paraId="7C7F938F"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454CD1C8"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2F18B0D0"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2FB9992C" w14:textId="77777777" w:rsidTr="009118FF">
        <w:trPr>
          <w:trHeight w:val="268"/>
        </w:trPr>
        <w:tc>
          <w:tcPr>
            <w:tcW w:w="834" w:type="pct"/>
          </w:tcPr>
          <w:p w14:paraId="027B9806"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R-20826</w:t>
            </w:r>
          </w:p>
        </w:tc>
        <w:tc>
          <w:tcPr>
            <w:tcW w:w="834" w:type="pct"/>
          </w:tcPr>
          <w:p w14:paraId="5A83C956"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0CCFDA10"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R-25865</w:t>
            </w:r>
          </w:p>
        </w:tc>
        <w:tc>
          <w:tcPr>
            <w:tcW w:w="833" w:type="pct"/>
          </w:tcPr>
          <w:p w14:paraId="1CED5EEC"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595F45AC"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3700AB54"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3437D200" w14:textId="77777777" w:rsidTr="009118FF">
        <w:trPr>
          <w:trHeight w:val="268"/>
        </w:trPr>
        <w:tc>
          <w:tcPr>
            <w:tcW w:w="834" w:type="pct"/>
          </w:tcPr>
          <w:p w14:paraId="7E35F6C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R-20846</w:t>
            </w:r>
          </w:p>
        </w:tc>
        <w:tc>
          <w:tcPr>
            <w:tcW w:w="834" w:type="pct"/>
          </w:tcPr>
          <w:p w14:paraId="774979FF"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8DA2AF0"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R-25910</w:t>
            </w:r>
          </w:p>
        </w:tc>
        <w:tc>
          <w:tcPr>
            <w:tcW w:w="833" w:type="pct"/>
          </w:tcPr>
          <w:p w14:paraId="44AE2A67"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689D9CD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0197B643"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3DDBA9D2" w14:textId="77777777" w:rsidTr="009118FF">
        <w:trPr>
          <w:trHeight w:val="268"/>
        </w:trPr>
        <w:tc>
          <w:tcPr>
            <w:tcW w:w="834" w:type="pct"/>
          </w:tcPr>
          <w:p w14:paraId="5C80238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R-20871</w:t>
            </w:r>
          </w:p>
        </w:tc>
        <w:tc>
          <w:tcPr>
            <w:tcW w:w="834" w:type="pct"/>
          </w:tcPr>
          <w:p w14:paraId="3AE04CCC"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49EF003B"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R-26462</w:t>
            </w:r>
          </w:p>
        </w:tc>
        <w:tc>
          <w:tcPr>
            <w:tcW w:w="833" w:type="pct"/>
          </w:tcPr>
          <w:p w14:paraId="70E8B444" w14:textId="77777777" w:rsidR="00CA2EC1" w:rsidRPr="00CA2EC1" w:rsidRDefault="00CA2EC1" w:rsidP="00CA2EC1">
            <w:pPr>
              <w:widowControl w:val="0"/>
              <w:autoSpaceDE w:val="0"/>
              <w:autoSpaceDN w:val="0"/>
              <w:spacing w:after="0" w:line="248" w:lineRule="exact"/>
              <w:ind w:left="24"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2A5896EE"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23A2F69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0535FA2D" w14:textId="77777777" w:rsidTr="009118FF">
        <w:trPr>
          <w:trHeight w:val="270"/>
        </w:trPr>
        <w:tc>
          <w:tcPr>
            <w:tcW w:w="834" w:type="pct"/>
          </w:tcPr>
          <w:p w14:paraId="2F0EAD64" w14:textId="77777777" w:rsidR="00CA2EC1" w:rsidRPr="00CA2EC1" w:rsidRDefault="00CA2EC1" w:rsidP="00CA2EC1">
            <w:pPr>
              <w:widowControl w:val="0"/>
              <w:autoSpaceDE w:val="0"/>
              <w:autoSpaceDN w:val="0"/>
              <w:spacing w:after="0" w:line="251"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R-23906</w:t>
            </w:r>
          </w:p>
        </w:tc>
        <w:tc>
          <w:tcPr>
            <w:tcW w:w="834" w:type="pct"/>
          </w:tcPr>
          <w:p w14:paraId="611E8F79" w14:textId="77777777" w:rsidR="00CA2EC1" w:rsidRPr="00CA2EC1" w:rsidRDefault="00CA2EC1" w:rsidP="00CA2EC1">
            <w:pPr>
              <w:widowControl w:val="0"/>
              <w:autoSpaceDE w:val="0"/>
              <w:autoSpaceDN w:val="0"/>
              <w:spacing w:after="0" w:line="251"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6C72ECFF" w14:textId="77777777" w:rsidR="00CA2EC1" w:rsidRPr="00CA2EC1" w:rsidRDefault="00CA2EC1" w:rsidP="00CA2EC1">
            <w:pPr>
              <w:widowControl w:val="0"/>
              <w:autoSpaceDE w:val="0"/>
              <w:autoSpaceDN w:val="0"/>
              <w:spacing w:after="0" w:line="251"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R-26482</w:t>
            </w:r>
          </w:p>
        </w:tc>
        <w:tc>
          <w:tcPr>
            <w:tcW w:w="833" w:type="pct"/>
          </w:tcPr>
          <w:p w14:paraId="0FFADCE3" w14:textId="77777777" w:rsidR="00CA2EC1" w:rsidRPr="00CA2EC1" w:rsidRDefault="00CA2EC1" w:rsidP="00CA2EC1">
            <w:pPr>
              <w:widowControl w:val="0"/>
              <w:autoSpaceDE w:val="0"/>
              <w:autoSpaceDN w:val="0"/>
              <w:spacing w:after="0" w:line="251"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25F8B9D2"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51FD8075"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bl>
    <w:p w14:paraId="02CB3285" w14:textId="64B81AF8" w:rsidR="00CA2EC1" w:rsidRPr="00CA2EC1" w:rsidRDefault="00CA2EC1" w:rsidP="00F94BCA">
      <w:pPr>
        <w:spacing w:before="120" w:after="120" w:line="360" w:lineRule="auto"/>
        <w:jc w:val="both"/>
        <w:rPr>
          <w:rFonts w:ascii="Times New Roman" w:hAnsi="Times New Roman" w:cs="Times New Roman"/>
          <w:b/>
          <w:bCs/>
          <w:sz w:val="24"/>
          <w:lang w:val="en-US"/>
        </w:rPr>
      </w:pPr>
      <w:r w:rsidRPr="004911D8">
        <w:rPr>
          <w:rFonts w:ascii="Times New Roman" w:hAnsi="Times New Roman" w:cs="Times New Roman"/>
          <w:b/>
          <w:sz w:val="24"/>
          <w:highlight w:val="yellow"/>
          <w:lang w:val="en-US"/>
        </w:rPr>
        <w:t xml:space="preserve">3.2 </w:t>
      </w:r>
      <w:r w:rsidRPr="004911D8">
        <w:rPr>
          <w:rFonts w:ascii="Times New Roman" w:hAnsi="Times New Roman" w:cs="Times New Roman"/>
          <w:b/>
          <w:bCs/>
          <w:sz w:val="24"/>
          <w:highlight w:val="yellow"/>
          <w:lang w:val="en-US"/>
        </w:rPr>
        <w:t xml:space="preserve">Disease </w:t>
      </w:r>
      <w:r w:rsidR="004911D8" w:rsidRPr="004911D8">
        <w:rPr>
          <w:rFonts w:ascii="Times New Roman" w:hAnsi="Times New Roman" w:cs="Times New Roman"/>
          <w:b/>
          <w:bCs/>
          <w:sz w:val="24"/>
          <w:highlight w:val="yellow"/>
          <w:lang w:val="en-US"/>
        </w:rPr>
        <w:t>S</w:t>
      </w:r>
      <w:r w:rsidRPr="004911D8">
        <w:rPr>
          <w:rFonts w:ascii="Times New Roman" w:hAnsi="Times New Roman" w:cs="Times New Roman"/>
          <w:b/>
          <w:bCs/>
          <w:sz w:val="24"/>
          <w:highlight w:val="yellow"/>
          <w:lang w:val="en-US"/>
        </w:rPr>
        <w:t xml:space="preserve">creening </w:t>
      </w:r>
      <w:r w:rsidR="004911D8" w:rsidRPr="004911D8">
        <w:rPr>
          <w:rFonts w:ascii="Times New Roman" w:hAnsi="Times New Roman" w:cs="Times New Roman"/>
          <w:b/>
          <w:bCs/>
          <w:sz w:val="24"/>
          <w:highlight w:val="yellow"/>
          <w:lang w:val="en-US"/>
        </w:rPr>
        <w:t>E</w:t>
      </w:r>
      <w:r w:rsidR="00F94BCA" w:rsidRPr="004911D8">
        <w:rPr>
          <w:rFonts w:ascii="Times New Roman" w:hAnsi="Times New Roman" w:cs="Times New Roman"/>
          <w:b/>
          <w:bCs/>
          <w:sz w:val="24"/>
          <w:highlight w:val="yellow"/>
          <w:lang w:val="en-US"/>
        </w:rPr>
        <w:t>mploying</w:t>
      </w:r>
      <w:r w:rsidRPr="004911D8">
        <w:rPr>
          <w:rFonts w:ascii="Times New Roman" w:hAnsi="Times New Roman" w:cs="Times New Roman"/>
          <w:b/>
          <w:bCs/>
          <w:sz w:val="24"/>
          <w:highlight w:val="yellow"/>
          <w:lang w:val="en-US"/>
        </w:rPr>
        <w:t xml:space="preserve"> SSR</w:t>
      </w:r>
      <w:r w:rsidR="00F94BCA" w:rsidRPr="004911D8">
        <w:rPr>
          <w:rFonts w:ascii="Times New Roman" w:hAnsi="Times New Roman" w:cs="Times New Roman"/>
          <w:b/>
          <w:bCs/>
          <w:sz w:val="24"/>
          <w:highlight w:val="yellow"/>
          <w:lang w:val="en-US"/>
        </w:rPr>
        <w:t xml:space="preserve"> </w:t>
      </w:r>
      <w:r w:rsidR="004911D8" w:rsidRPr="004911D8">
        <w:rPr>
          <w:rFonts w:ascii="Times New Roman" w:hAnsi="Times New Roman" w:cs="Times New Roman"/>
          <w:b/>
          <w:bCs/>
          <w:sz w:val="24"/>
          <w:highlight w:val="yellow"/>
          <w:lang w:val="en-US"/>
        </w:rPr>
        <w:t>M</w:t>
      </w:r>
      <w:r w:rsidR="00F94BCA" w:rsidRPr="004911D8">
        <w:rPr>
          <w:rFonts w:ascii="Times New Roman" w:hAnsi="Times New Roman" w:cs="Times New Roman"/>
          <w:b/>
          <w:bCs/>
          <w:sz w:val="24"/>
          <w:highlight w:val="yellow"/>
          <w:lang w:val="en-US"/>
        </w:rPr>
        <w:t>olecular</w:t>
      </w:r>
      <w:r w:rsidRPr="004911D8">
        <w:rPr>
          <w:rFonts w:ascii="Times New Roman" w:hAnsi="Times New Roman" w:cs="Times New Roman"/>
          <w:b/>
          <w:bCs/>
          <w:sz w:val="24"/>
          <w:highlight w:val="yellow"/>
          <w:lang w:val="en-US"/>
        </w:rPr>
        <w:t xml:space="preserve"> </w:t>
      </w:r>
      <w:r w:rsidR="004911D8" w:rsidRPr="004911D8">
        <w:rPr>
          <w:rFonts w:ascii="Times New Roman" w:hAnsi="Times New Roman" w:cs="Times New Roman"/>
          <w:b/>
          <w:bCs/>
          <w:sz w:val="24"/>
          <w:highlight w:val="yellow"/>
          <w:lang w:val="en-US"/>
        </w:rPr>
        <w:t>M</w:t>
      </w:r>
      <w:r w:rsidRPr="004911D8">
        <w:rPr>
          <w:rFonts w:ascii="Times New Roman" w:hAnsi="Times New Roman" w:cs="Times New Roman"/>
          <w:b/>
          <w:bCs/>
          <w:sz w:val="24"/>
          <w:highlight w:val="yellow"/>
          <w:lang w:val="en-US"/>
        </w:rPr>
        <w:t>arkers</w:t>
      </w:r>
    </w:p>
    <w:p w14:paraId="485DC533" w14:textId="77777777" w:rsidR="00CA2EC1" w:rsidRPr="00CA2EC1" w:rsidRDefault="00CA2EC1" w:rsidP="00F94BCA">
      <w:pPr>
        <w:spacing w:before="120" w:after="120" w:line="360" w:lineRule="auto"/>
        <w:jc w:val="both"/>
        <w:rPr>
          <w:rFonts w:ascii="Times New Roman" w:hAnsi="Times New Roman" w:cs="Times New Roman"/>
          <w:sz w:val="24"/>
          <w:lang w:val="en-US"/>
        </w:rPr>
      </w:pPr>
      <w:r w:rsidRPr="00CA2EC1">
        <w:rPr>
          <w:rFonts w:ascii="Times New Roman" w:hAnsi="Times New Roman" w:cs="Times New Roman"/>
          <w:sz w:val="24"/>
          <w:lang w:val="en-US"/>
        </w:rPr>
        <w:t xml:space="preserve">A total of </w:t>
      </w:r>
      <w:r w:rsidR="00016B71">
        <w:rPr>
          <w:rFonts w:ascii="Times New Roman" w:hAnsi="Times New Roman" w:cs="Times New Roman"/>
          <w:sz w:val="24"/>
          <w:lang w:val="en-US"/>
        </w:rPr>
        <w:t>20</w:t>
      </w:r>
      <w:r w:rsidRPr="00CA2EC1">
        <w:rPr>
          <w:rFonts w:ascii="Times New Roman" w:hAnsi="Times New Roman" w:cs="Times New Roman"/>
          <w:sz w:val="24"/>
          <w:lang w:val="en-US"/>
        </w:rPr>
        <w:t xml:space="preserve"> allele-specific SSR markers were employed to assess genetic diversity among pearl millet genotypes</w:t>
      </w:r>
      <w:r w:rsidR="00016B71">
        <w:rPr>
          <w:rFonts w:ascii="Times New Roman" w:hAnsi="Times New Roman" w:cs="Times New Roman"/>
          <w:sz w:val="24"/>
          <w:lang w:val="en-US"/>
        </w:rPr>
        <w:t>. Only 5 SSR proved to be polymorphic</w:t>
      </w:r>
      <w:r w:rsidRPr="00CA2EC1">
        <w:rPr>
          <w:rFonts w:ascii="Times New Roman" w:hAnsi="Times New Roman" w:cs="Times New Roman"/>
          <w:sz w:val="24"/>
          <w:lang w:val="en-US"/>
        </w:rPr>
        <w:t xml:space="preserve"> (Table </w:t>
      </w:r>
      <w:r w:rsidR="00016B71">
        <w:rPr>
          <w:rFonts w:ascii="Times New Roman" w:hAnsi="Times New Roman" w:cs="Times New Roman"/>
          <w:sz w:val="24"/>
          <w:lang w:val="en-US"/>
        </w:rPr>
        <w:t>6;</w:t>
      </w:r>
      <w:r w:rsidRPr="00CA2EC1">
        <w:rPr>
          <w:rFonts w:ascii="Times New Roman" w:hAnsi="Times New Roman" w:cs="Times New Roman"/>
          <w:sz w:val="24"/>
          <w:lang w:val="en-US"/>
        </w:rPr>
        <w:t xml:space="preserve"> Fig. 2). The major allele frequency across the markers ranged </w:t>
      </w:r>
      <w:r w:rsidR="00016B71">
        <w:rPr>
          <w:rFonts w:ascii="Times New Roman" w:hAnsi="Times New Roman" w:cs="Times New Roman"/>
          <w:sz w:val="24"/>
          <w:lang w:val="en-US"/>
        </w:rPr>
        <w:t>between</w:t>
      </w:r>
      <w:r w:rsidRPr="00CA2EC1">
        <w:rPr>
          <w:rFonts w:ascii="Times New Roman" w:hAnsi="Times New Roman" w:cs="Times New Roman"/>
          <w:sz w:val="24"/>
          <w:lang w:val="en-US"/>
        </w:rPr>
        <w:t xml:space="preserve"> 0.402 to 0.571, with a mean value of 0.454, indicating moderate allele distribution among the genotypes. The number</w:t>
      </w:r>
      <w:r w:rsidR="00016B71">
        <w:rPr>
          <w:rFonts w:ascii="Times New Roman" w:hAnsi="Times New Roman" w:cs="Times New Roman"/>
          <w:sz w:val="24"/>
          <w:lang w:val="en-US"/>
        </w:rPr>
        <w:t>s</w:t>
      </w:r>
      <w:r w:rsidRPr="00CA2EC1">
        <w:rPr>
          <w:rFonts w:ascii="Times New Roman" w:hAnsi="Times New Roman" w:cs="Times New Roman"/>
          <w:sz w:val="24"/>
          <w:lang w:val="en-US"/>
        </w:rPr>
        <w:t xml:space="preserve"> of alleles per marker varied from 3 to 7, with an average of 4.2 alleles, suggesting a moderate level of polymorphism. Gene diversity, which reflects the probability that two randomly chosen alleles are different in the population, </w:t>
      </w:r>
      <w:r w:rsidR="00016B71">
        <w:rPr>
          <w:rFonts w:ascii="Times New Roman" w:hAnsi="Times New Roman" w:cs="Times New Roman"/>
          <w:sz w:val="24"/>
          <w:lang w:val="en-US"/>
        </w:rPr>
        <w:t>arrayedbetween</w:t>
      </w:r>
      <w:r w:rsidRPr="00CA2EC1">
        <w:rPr>
          <w:rFonts w:ascii="Times New Roman" w:hAnsi="Times New Roman" w:cs="Times New Roman"/>
          <w:sz w:val="24"/>
          <w:lang w:val="en-US"/>
        </w:rPr>
        <w:t xml:space="preserve"> 0.557 (Xpsmp 2267) to 0.701 (Xpgird 49), with a mean </w:t>
      </w:r>
      <w:r w:rsidR="00016B71">
        <w:rPr>
          <w:rFonts w:ascii="Times New Roman" w:hAnsi="Times New Roman" w:cs="Times New Roman"/>
          <w:sz w:val="24"/>
          <w:lang w:val="en-US"/>
        </w:rPr>
        <w:t>worth</w:t>
      </w:r>
      <w:r w:rsidRPr="00CA2EC1">
        <w:rPr>
          <w:rFonts w:ascii="Times New Roman" w:hAnsi="Times New Roman" w:cs="Times New Roman"/>
          <w:sz w:val="24"/>
          <w:lang w:val="en-US"/>
        </w:rPr>
        <w:t xml:space="preserve"> of 0.650. This indicates considerable genetic variability captured by the selected markers. The polymorphic information content </w:t>
      </w:r>
      <w:r w:rsidRPr="002F39AE">
        <w:rPr>
          <w:rFonts w:ascii="Times New Roman" w:hAnsi="Times New Roman" w:cs="Times New Roman"/>
          <w:sz w:val="24"/>
          <w:lang w:val="en-US"/>
        </w:rPr>
        <w:t xml:space="preserve">(PIC), an indicator of the informativeness of a marker, ranged from 0.479 to 0.646, with a mean PIC value of 0.586. </w:t>
      </w:r>
      <w:r w:rsidRPr="002F39AE">
        <w:rPr>
          <w:rFonts w:ascii="Times New Roman" w:hAnsi="Times New Roman" w:cs="Times New Roman"/>
          <w:sz w:val="24"/>
          <w:lang w:val="en-US"/>
        </w:rPr>
        <w:lastRenderedPageBreak/>
        <w:t>Among the markers, Xpgird 49 showed the highest gene diversity (0.701) and PIC (0.646), making it the most informative marker in this study</w:t>
      </w:r>
      <w:r w:rsidRPr="00CA2EC1">
        <w:rPr>
          <w:rFonts w:ascii="Times New Roman" w:hAnsi="Times New Roman" w:cs="Times New Roman"/>
          <w:color w:val="FF0000"/>
          <w:sz w:val="24"/>
          <w:lang w:val="en-US"/>
        </w:rPr>
        <w:t xml:space="preserve">. </w:t>
      </w:r>
      <w:r w:rsidRPr="00CA2EC1">
        <w:rPr>
          <w:rFonts w:ascii="Times New Roman" w:hAnsi="Times New Roman" w:cs="Times New Roman"/>
          <w:sz w:val="24"/>
          <w:lang w:val="en-US"/>
        </w:rPr>
        <w:t>These findings highlight the utility of SSR markers in evaluating genetic variability among pearl millet genotypes. The moderate to high levels of gene diversity and PIC values observed suggest</w:t>
      </w:r>
      <w:r w:rsidR="00016B71">
        <w:rPr>
          <w:rFonts w:ascii="Times New Roman" w:hAnsi="Times New Roman" w:cs="Times New Roman"/>
          <w:sz w:val="24"/>
          <w:lang w:val="en-US"/>
        </w:rPr>
        <w:t>ed</w:t>
      </w:r>
      <w:r w:rsidRPr="00CA2EC1">
        <w:rPr>
          <w:rFonts w:ascii="Times New Roman" w:hAnsi="Times New Roman" w:cs="Times New Roman"/>
          <w:sz w:val="24"/>
          <w:lang w:val="en-US"/>
        </w:rPr>
        <w:t xml:space="preserve"> that the selected markers are robust and informative (Das &amp; Baisakh, 2023; Jorben et al., 2024; Ambawat et al., 2025). The genetic variation uncovered through these markers can be utilized for identifying diverse parental lines, constructing genetic linkage maps, and performing marker-assisted selection (MAS) for desirable traits, such as disease resistance and stress tolerance (</w:t>
      </w:r>
      <w:r w:rsidRPr="00CA2EC1">
        <w:rPr>
          <w:rFonts w:ascii="Times New Roman" w:eastAsia="Times New Roman" w:hAnsi="Times New Roman" w:cs="Times New Roman"/>
          <w:sz w:val="24"/>
          <w:szCs w:val="24"/>
          <w:lang w:eastAsia="en-IN"/>
        </w:rPr>
        <w:t>Salgotra &amp; Stewart</w:t>
      </w:r>
      <w:r w:rsidRPr="00CA2EC1">
        <w:rPr>
          <w:rFonts w:ascii="Times New Roman" w:hAnsi="Times New Roman" w:cs="Times New Roman"/>
          <w:sz w:val="24"/>
          <w:lang w:val="en-US"/>
        </w:rPr>
        <w:t xml:space="preserve">, 2020; Hasan et al., 2021; Kushanov et al., 2021). The informative nature of markers makes them particularly valuable for future molecular breeding efforts in pearl millet (Yadav et al., 2021; </w:t>
      </w:r>
      <w:r w:rsidRPr="00CA2EC1">
        <w:rPr>
          <w:rFonts w:ascii="Times New Roman" w:eastAsia="Times New Roman" w:hAnsi="Times New Roman" w:cs="Times New Roman"/>
          <w:sz w:val="24"/>
          <w:szCs w:val="24"/>
          <w:lang w:eastAsia="en-IN"/>
        </w:rPr>
        <w:t>Srivastava et al., 2022; Gunguniya et al., 2023</w:t>
      </w:r>
      <w:r w:rsidRPr="00CA2EC1">
        <w:rPr>
          <w:rFonts w:ascii="Times New Roman" w:hAnsi="Times New Roman" w:cs="Times New Roman"/>
          <w:sz w:val="24"/>
          <w:lang w:val="en-US"/>
        </w:rPr>
        <w:t>). Similar studies have</w:t>
      </w:r>
      <w:r w:rsidR="00016B71">
        <w:rPr>
          <w:rFonts w:ascii="Times New Roman" w:hAnsi="Times New Roman" w:cs="Times New Roman"/>
          <w:sz w:val="24"/>
          <w:lang w:val="en-US"/>
        </w:rPr>
        <w:t xml:space="preserve"> also</w:t>
      </w:r>
      <w:r w:rsidRPr="00CA2EC1">
        <w:rPr>
          <w:rFonts w:ascii="Times New Roman" w:hAnsi="Times New Roman" w:cs="Times New Roman"/>
          <w:sz w:val="24"/>
          <w:lang w:val="en-US"/>
        </w:rPr>
        <w:t xml:space="preserve"> been reported by Verma et al. </w:t>
      </w:r>
      <w:r w:rsidR="00016B71">
        <w:rPr>
          <w:rFonts w:ascii="Times New Roman" w:hAnsi="Times New Roman" w:cs="Times New Roman"/>
          <w:sz w:val="24"/>
          <w:lang w:val="en-US"/>
        </w:rPr>
        <w:t>(</w:t>
      </w:r>
      <w:r w:rsidRPr="00CA2EC1">
        <w:rPr>
          <w:rFonts w:ascii="Times New Roman" w:hAnsi="Times New Roman" w:cs="Times New Roman"/>
          <w:sz w:val="24"/>
          <w:lang w:val="en-US"/>
        </w:rPr>
        <w:t>2021</w:t>
      </w:r>
      <w:r w:rsidR="00016B71">
        <w:rPr>
          <w:rFonts w:ascii="Times New Roman" w:hAnsi="Times New Roman" w:cs="Times New Roman"/>
          <w:sz w:val="24"/>
          <w:lang w:val="en-US"/>
        </w:rPr>
        <w:t>)</w:t>
      </w:r>
      <w:r w:rsidRPr="00CA2EC1">
        <w:rPr>
          <w:rFonts w:ascii="Times New Roman" w:hAnsi="Times New Roman" w:cs="Times New Roman"/>
          <w:sz w:val="24"/>
          <w:lang w:val="en-US"/>
        </w:rPr>
        <w:t xml:space="preserve">, Singh et al. </w:t>
      </w:r>
      <w:r w:rsidR="00016B71">
        <w:rPr>
          <w:rFonts w:ascii="Times New Roman" w:hAnsi="Times New Roman" w:cs="Times New Roman"/>
          <w:sz w:val="24"/>
          <w:lang w:val="en-US"/>
        </w:rPr>
        <w:t>(</w:t>
      </w:r>
      <w:r w:rsidRPr="00CA2EC1">
        <w:rPr>
          <w:rFonts w:ascii="Times New Roman" w:hAnsi="Times New Roman" w:cs="Times New Roman"/>
          <w:sz w:val="24"/>
          <w:lang w:val="en-US"/>
        </w:rPr>
        <w:t>2021b</w:t>
      </w:r>
      <w:r w:rsidR="00016B71">
        <w:rPr>
          <w:rFonts w:ascii="Times New Roman" w:hAnsi="Times New Roman" w:cs="Times New Roman"/>
          <w:sz w:val="24"/>
          <w:lang w:val="en-US"/>
        </w:rPr>
        <w:t>)</w:t>
      </w:r>
      <w:r w:rsidRPr="00CA2EC1">
        <w:rPr>
          <w:rFonts w:ascii="Times New Roman" w:hAnsi="Times New Roman" w:cs="Times New Roman"/>
          <w:sz w:val="24"/>
          <w:lang w:val="en-US"/>
        </w:rPr>
        <w:t xml:space="preserve">, Rajput et al. </w:t>
      </w:r>
      <w:r w:rsidR="00016B71">
        <w:rPr>
          <w:rFonts w:ascii="Times New Roman" w:hAnsi="Times New Roman" w:cs="Times New Roman"/>
          <w:sz w:val="24"/>
          <w:lang w:val="en-US"/>
        </w:rPr>
        <w:t>(</w:t>
      </w:r>
      <w:r w:rsidRPr="00CA2EC1">
        <w:rPr>
          <w:rFonts w:ascii="Times New Roman" w:hAnsi="Times New Roman" w:cs="Times New Roman"/>
          <w:sz w:val="24"/>
          <w:lang w:val="en-US"/>
        </w:rPr>
        <w:t>2023</w:t>
      </w:r>
      <w:r w:rsidR="00016B71">
        <w:rPr>
          <w:rFonts w:ascii="Times New Roman" w:hAnsi="Times New Roman" w:cs="Times New Roman"/>
          <w:sz w:val="24"/>
          <w:lang w:val="en-US"/>
        </w:rPr>
        <w:t>)</w:t>
      </w:r>
      <w:r w:rsidRPr="00CA2EC1">
        <w:rPr>
          <w:rFonts w:ascii="Times New Roman" w:hAnsi="Times New Roman" w:cs="Times New Roman"/>
          <w:sz w:val="24"/>
          <w:lang w:val="en-US"/>
        </w:rPr>
        <w:t xml:space="preserve"> and Parihar et al. </w:t>
      </w:r>
      <w:r w:rsidR="00016B71">
        <w:rPr>
          <w:rFonts w:ascii="Times New Roman" w:hAnsi="Times New Roman" w:cs="Times New Roman"/>
          <w:sz w:val="24"/>
          <w:lang w:val="en-US"/>
        </w:rPr>
        <w:t xml:space="preserve"> (</w:t>
      </w:r>
      <w:r w:rsidRPr="00CA2EC1">
        <w:rPr>
          <w:rFonts w:ascii="Times New Roman" w:hAnsi="Times New Roman" w:cs="Times New Roman"/>
          <w:sz w:val="24"/>
          <w:lang w:val="en-US"/>
        </w:rPr>
        <w:t>2023</w:t>
      </w:r>
      <w:r w:rsidR="00016B71">
        <w:rPr>
          <w:rFonts w:ascii="Times New Roman" w:hAnsi="Times New Roman" w:cs="Times New Roman"/>
          <w:sz w:val="24"/>
          <w:lang w:val="en-US"/>
        </w:rPr>
        <w:t>)</w:t>
      </w:r>
      <w:r w:rsidRPr="00CA2EC1">
        <w:rPr>
          <w:rFonts w:ascii="Times New Roman" w:hAnsi="Times New Roman" w:cs="Times New Roman"/>
          <w:sz w:val="24"/>
          <w:lang w:val="en-US"/>
        </w:rPr>
        <w:t>. Overall, the SSR markers used were effective in detecting genetic diversity among pearl millet genotypes, and the observed variability can be exploited in marker-assisted breeding program</w:t>
      </w:r>
      <w:r w:rsidR="003D75DD">
        <w:rPr>
          <w:rFonts w:ascii="Times New Roman" w:hAnsi="Times New Roman" w:cs="Times New Roman"/>
          <w:sz w:val="24"/>
          <w:lang w:val="en-US"/>
        </w:rPr>
        <w:t>me</w:t>
      </w:r>
      <w:r w:rsidRPr="00CA2EC1">
        <w:rPr>
          <w:rFonts w:ascii="Times New Roman" w:hAnsi="Times New Roman" w:cs="Times New Roman"/>
          <w:sz w:val="24"/>
          <w:lang w:val="en-US"/>
        </w:rPr>
        <w:t>s for trait improvement (Kapadia et al., 2014; Jorben et al., 2024; Kumar et al., 2024).</w:t>
      </w:r>
    </w:p>
    <w:p w14:paraId="506307CD" w14:textId="77777777" w:rsidR="003D75DD" w:rsidRPr="007844DE" w:rsidRDefault="002F39AE" w:rsidP="002F39AE">
      <w:pPr>
        <w:spacing w:before="120" w:after="120" w:line="360" w:lineRule="auto"/>
        <w:jc w:val="both"/>
        <w:rPr>
          <w:rFonts w:ascii="Times New Roman" w:hAnsi="Times New Roman" w:cs="Times New Roman"/>
          <w:b/>
          <w:bCs/>
          <w:sz w:val="24"/>
          <w:szCs w:val="24"/>
        </w:rPr>
      </w:pPr>
      <w:r w:rsidRPr="007844DE">
        <w:rPr>
          <w:rFonts w:ascii="Times New Roman" w:hAnsi="Times New Roman" w:cs="Times New Roman"/>
          <w:b/>
          <w:bCs/>
          <w:sz w:val="24"/>
          <w:szCs w:val="24"/>
        </w:rPr>
        <w:t xml:space="preserve">3.3 </w:t>
      </w:r>
      <w:r w:rsidR="003D75DD" w:rsidRPr="007844DE">
        <w:rPr>
          <w:rFonts w:ascii="Times New Roman" w:hAnsi="Times New Roman" w:cs="Times New Roman"/>
          <w:b/>
          <w:bCs/>
          <w:sz w:val="24"/>
          <w:szCs w:val="24"/>
        </w:rPr>
        <w:t xml:space="preserve">Phylogenetic cluster analysis </w:t>
      </w:r>
    </w:p>
    <w:p w14:paraId="64C0B504" w14:textId="46B53C5D" w:rsidR="002F39AE" w:rsidRPr="007341CF" w:rsidRDefault="003D75DD" w:rsidP="00F94BCA">
      <w:pPr>
        <w:spacing w:before="120" w:after="120" w:line="360" w:lineRule="auto"/>
        <w:jc w:val="both"/>
        <w:rPr>
          <w:rFonts w:ascii="Times New Roman" w:hAnsi="Times New Roman" w:cs="Times New Roman"/>
          <w:sz w:val="24"/>
          <w:szCs w:val="24"/>
          <w:lang w:val="en-US"/>
        </w:rPr>
      </w:pPr>
      <w:r w:rsidRPr="002211B8">
        <w:rPr>
          <w:rFonts w:ascii="Times New Roman" w:hAnsi="Times New Roman" w:cs="Times New Roman"/>
          <w:sz w:val="24"/>
          <w:szCs w:val="24"/>
        </w:rPr>
        <w:t xml:space="preserve">The genetic </w:t>
      </w:r>
      <w:r w:rsidR="00290A5E">
        <w:rPr>
          <w:rFonts w:ascii="Times New Roman" w:hAnsi="Times New Roman" w:cs="Times New Roman"/>
          <w:sz w:val="24"/>
          <w:szCs w:val="24"/>
        </w:rPr>
        <w:t>similarity among pearl millet genotypes was</w:t>
      </w:r>
      <w:r w:rsidRPr="002211B8">
        <w:rPr>
          <w:rFonts w:ascii="Times New Roman" w:hAnsi="Times New Roman" w:cs="Times New Roman"/>
          <w:sz w:val="24"/>
          <w:szCs w:val="24"/>
        </w:rPr>
        <w:t xml:space="preserve"> examined b</w:t>
      </w:r>
      <w:r w:rsidR="00290A5E">
        <w:rPr>
          <w:rFonts w:ascii="Times New Roman" w:hAnsi="Times New Roman" w:cs="Times New Roman"/>
          <w:sz w:val="24"/>
          <w:szCs w:val="24"/>
        </w:rPr>
        <w:t>ased on molecular investigation</w:t>
      </w:r>
      <w:r w:rsidRPr="002211B8">
        <w:rPr>
          <w:rFonts w:ascii="Times New Roman" w:hAnsi="Times New Roman" w:cs="Times New Roman"/>
          <w:sz w:val="24"/>
          <w:szCs w:val="24"/>
        </w:rPr>
        <w:t xml:space="preserve"> using UPGMA tree constructed with the application of power Marker v3.25 software (Fig</w:t>
      </w:r>
      <w:r w:rsidR="003752EE">
        <w:rPr>
          <w:rFonts w:ascii="Times New Roman" w:hAnsi="Times New Roman" w:cs="Times New Roman"/>
          <w:sz w:val="24"/>
          <w:szCs w:val="24"/>
        </w:rPr>
        <w:t>.</w:t>
      </w:r>
      <w:r w:rsidRPr="002211B8">
        <w:rPr>
          <w:rFonts w:ascii="Times New Roman" w:hAnsi="Times New Roman" w:cs="Times New Roman"/>
          <w:sz w:val="24"/>
          <w:szCs w:val="24"/>
        </w:rPr>
        <w:t xml:space="preserve"> </w:t>
      </w:r>
      <w:r w:rsidR="002F39AE" w:rsidRPr="002211B8">
        <w:rPr>
          <w:rFonts w:ascii="Times New Roman" w:hAnsi="Times New Roman" w:cs="Times New Roman"/>
          <w:sz w:val="24"/>
          <w:szCs w:val="24"/>
        </w:rPr>
        <w:t>3</w:t>
      </w:r>
      <w:r w:rsidRPr="002211B8">
        <w:rPr>
          <w:rFonts w:ascii="Times New Roman" w:hAnsi="Times New Roman" w:cs="Times New Roman"/>
          <w:sz w:val="24"/>
          <w:szCs w:val="24"/>
        </w:rPr>
        <w:t xml:space="preserve">). All the genotypes were divided into </w:t>
      </w:r>
      <w:r w:rsidR="00986490" w:rsidRPr="002211B8">
        <w:rPr>
          <w:rFonts w:ascii="Times New Roman" w:hAnsi="Times New Roman" w:cs="Times New Roman"/>
          <w:sz w:val="24"/>
          <w:szCs w:val="24"/>
        </w:rPr>
        <w:t>2</w:t>
      </w:r>
      <w:r w:rsidRPr="002211B8">
        <w:rPr>
          <w:rFonts w:ascii="Times New Roman" w:hAnsi="Times New Roman" w:cs="Times New Roman"/>
          <w:sz w:val="24"/>
          <w:szCs w:val="24"/>
        </w:rPr>
        <w:t xml:space="preserve"> </w:t>
      </w:r>
      <w:r w:rsidR="00986490" w:rsidRPr="002211B8">
        <w:rPr>
          <w:rFonts w:ascii="Times New Roman" w:hAnsi="Times New Roman" w:cs="Times New Roman"/>
          <w:sz w:val="24"/>
          <w:szCs w:val="24"/>
        </w:rPr>
        <w:t>main</w:t>
      </w:r>
      <w:r w:rsidRPr="002211B8">
        <w:rPr>
          <w:rFonts w:ascii="Times New Roman" w:hAnsi="Times New Roman" w:cs="Times New Roman"/>
          <w:sz w:val="24"/>
          <w:szCs w:val="24"/>
        </w:rPr>
        <w:t xml:space="preserve"> clusters</w:t>
      </w:r>
      <w:r w:rsidR="00986490" w:rsidRPr="002211B8">
        <w:rPr>
          <w:rFonts w:ascii="Times New Roman" w:hAnsi="Times New Roman" w:cs="Times New Roman"/>
          <w:sz w:val="24"/>
          <w:szCs w:val="24"/>
        </w:rPr>
        <w:t xml:space="preserve"> </w:t>
      </w:r>
      <w:r w:rsidR="00986490" w:rsidRPr="000D12E8">
        <w:rPr>
          <w:rFonts w:ascii="Times New Roman" w:hAnsi="Times New Roman" w:cs="Times New Roman"/>
          <w:i/>
          <w:iCs/>
          <w:sz w:val="24"/>
          <w:szCs w:val="24"/>
        </w:rPr>
        <w:t>i.e.</w:t>
      </w:r>
      <w:r w:rsidR="000D12E8" w:rsidRPr="000D12E8">
        <w:rPr>
          <w:rFonts w:ascii="Times New Roman" w:hAnsi="Times New Roman" w:cs="Times New Roman"/>
          <w:i/>
          <w:iCs/>
          <w:sz w:val="24"/>
          <w:szCs w:val="24"/>
        </w:rPr>
        <w:t>,</w:t>
      </w:r>
      <w:r w:rsidR="00986490" w:rsidRPr="002211B8">
        <w:rPr>
          <w:rFonts w:ascii="Times New Roman" w:hAnsi="Times New Roman" w:cs="Times New Roman"/>
          <w:sz w:val="24"/>
          <w:szCs w:val="24"/>
        </w:rPr>
        <w:t xml:space="preserve"> one major and one minor cluster. Minor cluster contained 21 genotypes while major cluster had 56 pearl millet genotypes.</w:t>
      </w:r>
      <w:r w:rsidRPr="002211B8">
        <w:rPr>
          <w:rFonts w:ascii="Times New Roman" w:hAnsi="Times New Roman" w:cs="Times New Roman"/>
          <w:sz w:val="24"/>
          <w:szCs w:val="24"/>
        </w:rPr>
        <w:t xml:space="preserve"> </w:t>
      </w:r>
      <w:r w:rsidR="00EF11DB" w:rsidRPr="002211B8">
        <w:rPr>
          <w:rFonts w:ascii="Times New Roman" w:hAnsi="Times New Roman" w:cs="Times New Roman"/>
          <w:sz w:val="24"/>
          <w:szCs w:val="24"/>
        </w:rPr>
        <w:t>Minor cluster was further divided into two sub clusters</w:t>
      </w:r>
      <w:r w:rsidR="009118FF" w:rsidRPr="002211B8">
        <w:rPr>
          <w:rFonts w:ascii="Times New Roman" w:hAnsi="Times New Roman" w:cs="Times New Roman"/>
          <w:sz w:val="24"/>
          <w:szCs w:val="24"/>
        </w:rPr>
        <w:t>. Major sub cluster had 17 genotypes namely</w:t>
      </w:r>
      <w:r w:rsidR="000D12E8">
        <w:rPr>
          <w:rFonts w:ascii="Times New Roman" w:hAnsi="Times New Roman" w:cs="Times New Roman"/>
          <w:sz w:val="24"/>
          <w:szCs w:val="24"/>
        </w:rPr>
        <w:t>:</w:t>
      </w:r>
      <w:r w:rsidR="009118FF" w:rsidRPr="002211B8">
        <w:rPr>
          <w:rFonts w:ascii="Times New Roman" w:hAnsi="Times New Roman" w:cs="Times New Roman"/>
          <w:sz w:val="24"/>
          <w:szCs w:val="24"/>
        </w:rPr>
        <w:t xml:space="preserve"> R-20002, R-20090, R-24655, R-20208, R-20710, R-20671, R-24653, R-24661, R-20111, R-20113, R-20871, R-22013, R-23565, </w:t>
      </w:r>
      <w:r w:rsidR="002211B8" w:rsidRPr="002211B8">
        <w:rPr>
          <w:rFonts w:ascii="Times New Roman" w:hAnsi="Times New Roman" w:cs="Times New Roman"/>
          <w:sz w:val="24"/>
          <w:szCs w:val="24"/>
        </w:rPr>
        <w:t>R-24610 and R-26482.  However,</w:t>
      </w:r>
      <w:r w:rsidR="009118FF" w:rsidRPr="002211B8">
        <w:rPr>
          <w:rFonts w:ascii="Times New Roman" w:hAnsi="Times New Roman" w:cs="Times New Roman"/>
          <w:sz w:val="24"/>
          <w:szCs w:val="24"/>
        </w:rPr>
        <w:t xml:space="preserve"> minor sub cluster had only four genotypes </w:t>
      </w:r>
      <w:r w:rsidR="000D12E8">
        <w:rPr>
          <w:rFonts w:ascii="Times New Roman" w:hAnsi="Times New Roman" w:cs="Times New Roman"/>
          <w:sz w:val="24"/>
          <w:szCs w:val="24"/>
        </w:rPr>
        <w:t>including</w:t>
      </w:r>
      <w:r w:rsidR="009118FF" w:rsidRPr="002211B8">
        <w:rPr>
          <w:rFonts w:ascii="Times New Roman" w:hAnsi="Times New Roman" w:cs="Times New Roman"/>
          <w:sz w:val="24"/>
          <w:szCs w:val="24"/>
        </w:rPr>
        <w:t xml:space="preserve"> R-21136, R-24662, R-21355 and R-24654. </w:t>
      </w:r>
      <w:r w:rsidR="002211B8" w:rsidRPr="002211B8">
        <w:rPr>
          <w:rFonts w:ascii="Times New Roman" w:hAnsi="Times New Roman" w:cs="Times New Roman"/>
          <w:sz w:val="24"/>
          <w:szCs w:val="24"/>
        </w:rPr>
        <w:t>The major cluster was further divided into two sub clusters. Minor sub cluster had only one genotype</w:t>
      </w:r>
      <w:r w:rsidR="000D12E8">
        <w:rPr>
          <w:rFonts w:ascii="Times New Roman" w:hAnsi="Times New Roman" w:cs="Times New Roman"/>
          <w:sz w:val="24"/>
          <w:szCs w:val="24"/>
        </w:rPr>
        <w:t xml:space="preserve"> </w:t>
      </w:r>
      <w:r w:rsidR="000D12E8" w:rsidRPr="000D12E8">
        <w:rPr>
          <w:rFonts w:ascii="Times New Roman" w:hAnsi="Times New Roman" w:cs="Times New Roman"/>
          <w:i/>
          <w:iCs/>
          <w:sz w:val="24"/>
          <w:szCs w:val="24"/>
        </w:rPr>
        <w:t>viz</w:t>
      </w:r>
      <w:r w:rsidR="000D12E8">
        <w:rPr>
          <w:rFonts w:ascii="Times New Roman" w:hAnsi="Times New Roman" w:cs="Times New Roman"/>
          <w:sz w:val="24"/>
          <w:szCs w:val="24"/>
        </w:rPr>
        <w:t xml:space="preserve">., </w:t>
      </w:r>
      <w:r w:rsidR="000D12E8" w:rsidRPr="002211B8">
        <w:rPr>
          <w:rFonts w:ascii="Times New Roman" w:hAnsi="Times New Roman" w:cs="Times New Roman"/>
          <w:sz w:val="24"/>
          <w:szCs w:val="24"/>
        </w:rPr>
        <w:t>R</w:t>
      </w:r>
      <w:r w:rsidR="002211B8" w:rsidRPr="002211B8">
        <w:rPr>
          <w:rFonts w:ascii="Times New Roman" w:hAnsi="Times New Roman" w:cs="Times New Roman"/>
          <w:sz w:val="24"/>
          <w:szCs w:val="24"/>
        </w:rPr>
        <w:t>-27738 and remaining 55 genotypes were grouped into major sub cluster. Separation of R-27738 indicates higher genetic diversity of this particular genotype from rest of the genotypes at DNA level. The major sub cluster was further divided into two groups. The major group had 51 genotypes and minor group had only two genotypes</w:t>
      </w:r>
      <w:r w:rsidR="00F372B6">
        <w:rPr>
          <w:rFonts w:ascii="Times New Roman" w:hAnsi="Times New Roman" w:cs="Times New Roman"/>
          <w:sz w:val="24"/>
          <w:szCs w:val="24"/>
        </w:rPr>
        <w:t xml:space="preserve"> </w:t>
      </w:r>
      <w:r w:rsidR="000D12E8">
        <w:rPr>
          <w:rFonts w:ascii="Times New Roman" w:hAnsi="Times New Roman" w:cs="Times New Roman"/>
          <w:sz w:val="24"/>
          <w:szCs w:val="24"/>
        </w:rPr>
        <w:t xml:space="preserve">including </w:t>
      </w:r>
      <w:r w:rsidR="00F372B6">
        <w:rPr>
          <w:rFonts w:ascii="Times New Roman" w:hAnsi="Times New Roman" w:cs="Times New Roman"/>
          <w:sz w:val="24"/>
          <w:szCs w:val="24"/>
        </w:rPr>
        <w:t>R-25850 and R-26607.</w:t>
      </w:r>
      <w:r w:rsidR="002211B8">
        <w:rPr>
          <w:rFonts w:ascii="Times New Roman" w:hAnsi="Times New Roman" w:cs="Times New Roman"/>
          <w:color w:val="EE0000"/>
          <w:sz w:val="24"/>
          <w:szCs w:val="24"/>
        </w:rPr>
        <w:t xml:space="preserve"> </w:t>
      </w:r>
      <w:r w:rsidR="00290A5E" w:rsidRPr="00290A5E">
        <w:rPr>
          <w:rFonts w:ascii="Times New Roman" w:hAnsi="Times New Roman" w:cs="Times New Roman"/>
          <w:sz w:val="24"/>
          <w:szCs w:val="24"/>
        </w:rPr>
        <w:t>Similar to the present investigation,</w:t>
      </w:r>
      <w:r w:rsidR="00290A5E">
        <w:rPr>
          <w:rFonts w:ascii="Times New Roman" w:hAnsi="Times New Roman" w:cs="Times New Roman"/>
          <w:color w:val="EE0000"/>
          <w:sz w:val="24"/>
          <w:szCs w:val="24"/>
        </w:rPr>
        <w:t xml:space="preserve"> </w:t>
      </w:r>
      <w:r w:rsidR="00290A5E" w:rsidRPr="00290A5E">
        <w:rPr>
          <w:rFonts w:ascii="Times New Roman" w:hAnsi="Times New Roman" w:cs="Times New Roman"/>
          <w:sz w:val="24"/>
          <w:szCs w:val="24"/>
          <w:lang w:val="en-US"/>
        </w:rPr>
        <w:t xml:space="preserve">Budak et al. (2003) </w:t>
      </w:r>
      <w:r w:rsidR="00290A5E">
        <w:rPr>
          <w:rFonts w:ascii="Times New Roman" w:hAnsi="Times New Roman" w:cs="Times New Roman"/>
          <w:sz w:val="24"/>
          <w:szCs w:val="24"/>
          <w:lang w:val="en-US"/>
        </w:rPr>
        <w:lastRenderedPageBreak/>
        <w:t>utiliz</w:t>
      </w:r>
      <w:r w:rsidR="00290A5E" w:rsidRPr="00290A5E">
        <w:rPr>
          <w:rFonts w:ascii="Times New Roman" w:hAnsi="Times New Roman" w:cs="Times New Roman"/>
          <w:sz w:val="24"/>
          <w:szCs w:val="24"/>
          <w:lang w:val="en-US"/>
        </w:rPr>
        <w:t>ed the pair group approach with arithmetic averages (UPGMA) to analy</w:t>
      </w:r>
      <w:r w:rsidR="00290A5E">
        <w:rPr>
          <w:rFonts w:ascii="Times New Roman" w:hAnsi="Times New Roman" w:cs="Times New Roman"/>
          <w:sz w:val="24"/>
          <w:szCs w:val="24"/>
          <w:lang w:val="en-US"/>
        </w:rPr>
        <w:t>z</w:t>
      </w:r>
      <w:r w:rsidR="00290A5E" w:rsidRPr="00290A5E">
        <w:rPr>
          <w:rFonts w:ascii="Times New Roman" w:hAnsi="Times New Roman" w:cs="Times New Roman"/>
          <w:sz w:val="24"/>
          <w:szCs w:val="24"/>
          <w:lang w:val="en-US"/>
        </w:rPr>
        <w:t xml:space="preserve">e the genetic diversity of 53 millet lines. The results showed that UPGMA could be used to easily distinguish between the millet germplasm lines, revealing two major and eight smaller clusters. In a study, Ambawat et al. (2020) used a cluster analysis based on SSR markers to classify the genotypes into nine clusters, with similarity coefficients ranging from 0.58 to 0.73. In the </w:t>
      </w:r>
      <w:r w:rsidR="00290A5E">
        <w:rPr>
          <w:rFonts w:ascii="Times New Roman" w:hAnsi="Times New Roman" w:cs="Times New Roman"/>
          <w:sz w:val="24"/>
          <w:szCs w:val="24"/>
          <w:lang w:val="en-US"/>
        </w:rPr>
        <w:t xml:space="preserve">study of </w:t>
      </w:r>
      <w:r w:rsidR="00290A5E" w:rsidRPr="00290A5E">
        <w:rPr>
          <w:rFonts w:ascii="Times New Roman" w:hAnsi="Times New Roman" w:cs="Times New Roman"/>
          <w:sz w:val="24"/>
          <w:szCs w:val="24"/>
          <w:lang w:val="en-US"/>
        </w:rPr>
        <w:t xml:space="preserve">Verma et al. (2021), the genotypes were separated into seven distinct clusters. </w:t>
      </w:r>
    </w:p>
    <w:p w14:paraId="4FED5064" w14:textId="77777777" w:rsidR="00290A5E" w:rsidRPr="00290A5E" w:rsidRDefault="00290A5E" w:rsidP="00290A5E">
      <w:pPr>
        <w:spacing w:before="120" w:after="120" w:line="360" w:lineRule="auto"/>
        <w:ind w:firstLine="720"/>
        <w:jc w:val="both"/>
        <w:rPr>
          <w:rFonts w:ascii="Times New Roman" w:hAnsi="Times New Roman" w:cs="Times New Roman"/>
          <w:sz w:val="24"/>
          <w:szCs w:val="24"/>
          <w:lang w:val="en-US"/>
        </w:rPr>
      </w:pPr>
      <w:r w:rsidRPr="00290A5E">
        <w:rPr>
          <w:rFonts w:ascii="Times New Roman" w:hAnsi="Times New Roman" w:cs="Times New Roman"/>
          <w:sz w:val="24"/>
          <w:szCs w:val="24"/>
          <w:lang w:val="en-US"/>
        </w:rPr>
        <w:t>Many agronomically important qualities are known to be caused by polygenic traits, which restrict breeding at the molecular level (Choudhary et al., 2021b). The limited success of molecular plant breeding of traits with genes with major effects can be attributed to a number of factors, including the inability to use a wider variety of crop genetic resources, linkage drag associated with larger chromosomal regions selection, and challenges using molecular markers with lower genome coverage. Therefore, theoretical and technological advancements are required to improve the breeding system. Crop breeding has been transformed since the beginning of time by the introduction of innovative molecular tools including genome editing, NGS, and high throughput phenomics.</w:t>
      </w:r>
    </w:p>
    <w:p w14:paraId="5E31F96C" w14:textId="77777777" w:rsidR="00CA2EC1" w:rsidRPr="00CA2EC1" w:rsidRDefault="00CA2EC1" w:rsidP="00F94BCA">
      <w:pPr>
        <w:spacing w:before="120" w:after="120" w:line="360" w:lineRule="auto"/>
        <w:jc w:val="both"/>
        <w:rPr>
          <w:rFonts w:ascii="Times New Roman" w:hAnsi="Times New Roman" w:cs="Times New Roman"/>
          <w:b/>
          <w:bCs/>
          <w:sz w:val="24"/>
          <w:lang w:val="en-US"/>
        </w:rPr>
      </w:pPr>
      <w:r w:rsidRPr="00CA2EC1">
        <w:rPr>
          <w:rFonts w:ascii="Times New Roman" w:hAnsi="Times New Roman" w:cs="Times New Roman"/>
          <w:b/>
          <w:sz w:val="24"/>
          <w:lang w:val="en-US"/>
        </w:rPr>
        <w:t xml:space="preserve">Table </w:t>
      </w:r>
      <w:r w:rsidR="002738F4">
        <w:rPr>
          <w:rFonts w:ascii="Times New Roman" w:hAnsi="Times New Roman" w:cs="Times New Roman"/>
          <w:b/>
          <w:sz w:val="24"/>
          <w:lang w:val="en-US"/>
        </w:rPr>
        <w:t>6</w:t>
      </w:r>
      <w:r w:rsidRPr="00CA2EC1">
        <w:rPr>
          <w:rFonts w:ascii="Times New Roman" w:hAnsi="Times New Roman" w:cs="Times New Roman"/>
          <w:b/>
          <w:bCs/>
          <w:sz w:val="24"/>
          <w:lang w:val="en-US"/>
        </w:rPr>
        <w:t xml:space="preserve"> Allele specific SSR markers presenting </w:t>
      </w:r>
      <w:r w:rsidR="000D12E8">
        <w:rPr>
          <w:rFonts w:ascii="Times New Roman" w:hAnsi="Times New Roman" w:cs="Times New Roman"/>
          <w:b/>
          <w:bCs/>
          <w:sz w:val="24"/>
          <w:lang w:val="en-US"/>
        </w:rPr>
        <w:t>m</w:t>
      </w:r>
      <w:r w:rsidRPr="00CA2EC1">
        <w:rPr>
          <w:rFonts w:ascii="Times New Roman" w:hAnsi="Times New Roman" w:cs="Times New Roman"/>
          <w:b/>
          <w:bCs/>
          <w:sz w:val="24"/>
          <w:lang w:val="en-US"/>
        </w:rPr>
        <w:t>ajor allele frequency, number</w:t>
      </w:r>
      <w:r w:rsidR="00F94BCA">
        <w:rPr>
          <w:rFonts w:ascii="Times New Roman" w:hAnsi="Times New Roman" w:cs="Times New Roman"/>
          <w:b/>
          <w:bCs/>
          <w:sz w:val="24"/>
          <w:lang w:val="en-US"/>
        </w:rPr>
        <w:t>s</w:t>
      </w:r>
      <w:r w:rsidRPr="00CA2EC1">
        <w:rPr>
          <w:rFonts w:ascii="Times New Roman" w:hAnsi="Times New Roman" w:cs="Times New Roman"/>
          <w:b/>
          <w:bCs/>
          <w:sz w:val="24"/>
          <w:lang w:val="en-US"/>
        </w:rPr>
        <w:t xml:space="preserve"> of alleles, gene diversity and Polymorphic Information Content (PIC)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92"/>
        <w:gridCol w:w="3151"/>
        <w:gridCol w:w="1139"/>
        <w:gridCol w:w="1967"/>
        <w:gridCol w:w="1164"/>
      </w:tblGrid>
      <w:tr w:rsidR="00CA2EC1" w:rsidRPr="00CA2EC1" w14:paraId="51E15A24" w14:textId="77777777" w:rsidTr="00F94BCA">
        <w:trPr>
          <w:trHeight w:val="20"/>
        </w:trPr>
        <w:tc>
          <w:tcPr>
            <w:tcW w:w="883" w:type="pct"/>
            <w:vAlign w:val="center"/>
          </w:tcPr>
          <w:p w14:paraId="3E3A900E"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Marker</w:t>
            </w:r>
          </w:p>
        </w:tc>
        <w:tc>
          <w:tcPr>
            <w:tcW w:w="1748" w:type="pct"/>
            <w:vAlign w:val="center"/>
          </w:tcPr>
          <w:p w14:paraId="67B55189"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Major Allele Frequency</w:t>
            </w:r>
          </w:p>
        </w:tc>
        <w:tc>
          <w:tcPr>
            <w:tcW w:w="632" w:type="pct"/>
            <w:vAlign w:val="center"/>
          </w:tcPr>
          <w:p w14:paraId="3205D68D"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AlleleNo</w:t>
            </w:r>
          </w:p>
        </w:tc>
        <w:tc>
          <w:tcPr>
            <w:tcW w:w="1091" w:type="pct"/>
            <w:vAlign w:val="center"/>
          </w:tcPr>
          <w:p w14:paraId="2504BAA3"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Gene Diversity</w:t>
            </w:r>
          </w:p>
        </w:tc>
        <w:tc>
          <w:tcPr>
            <w:tcW w:w="646" w:type="pct"/>
            <w:vAlign w:val="center"/>
          </w:tcPr>
          <w:p w14:paraId="4178C9C5"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color w:val="000000" w:themeColor="text1"/>
                <w:sz w:val="24"/>
                <w:lang w:val="de-DE"/>
              </w:rPr>
            </w:pPr>
            <w:r w:rsidRPr="00CA2EC1">
              <w:rPr>
                <w:rFonts w:ascii="Times New Roman" w:eastAsia="Calibri" w:hAnsi="Times New Roman" w:cs="Times New Roman"/>
                <w:b/>
                <w:color w:val="000000" w:themeColor="text1"/>
                <w:sz w:val="24"/>
                <w:lang w:val="de-DE"/>
              </w:rPr>
              <w:t>PIC</w:t>
            </w:r>
          </w:p>
        </w:tc>
      </w:tr>
      <w:tr w:rsidR="00CA2EC1" w:rsidRPr="00CA2EC1" w14:paraId="669DEB21" w14:textId="77777777" w:rsidTr="00F94BCA">
        <w:trPr>
          <w:trHeight w:val="20"/>
        </w:trPr>
        <w:tc>
          <w:tcPr>
            <w:tcW w:w="883" w:type="pct"/>
            <w:vAlign w:val="bottom"/>
          </w:tcPr>
          <w:p w14:paraId="4D4BED2C"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Xpsmp 2063</w:t>
            </w:r>
          </w:p>
        </w:tc>
        <w:tc>
          <w:tcPr>
            <w:tcW w:w="1748" w:type="pct"/>
            <w:vAlign w:val="bottom"/>
          </w:tcPr>
          <w:p w14:paraId="74D67F82"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0.454545</w:t>
            </w:r>
          </w:p>
        </w:tc>
        <w:tc>
          <w:tcPr>
            <w:tcW w:w="632" w:type="pct"/>
            <w:vAlign w:val="bottom"/>
          </w:tcPr>
          <w:p w14:paraId="63E685D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7</w:t>
            </w:r>
          </w:p>
        </w:tc>
        <w:tc>
          <w:tcPr>
            <w:tcW w:w="1091" w:type="pct"/>
            <w:vAlign w:val="bottom"/>
          </w:tcPr>
          <w:p w14:paraId="1DA9DE21"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0.660145</w:t>
            </w:r>
          </w:p>
        </w:tc>
        <w:tc>
          <w:tcPr>
            <w:tcW w:w="646" w:type="pct"/>
            <w:vAlign w:val="bottom"/>
          </w:tcPr>
          <w:p w14:paraId="18BB5AF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0.602488</w:t>
            </w:r>
          </w:p>
        </w:tc>
      </w:tr>
      <w:tr w:rsidR="00CA2EC1" w:rsidRPr="00CA2EC1" w14:paraId="29C3EA40" w14:textId="77777777" w:rsidTr="00F94BCA">
        <w:trPr>
          <w:trHeight w:val="20"/>
        </w:trPr>
        <w:tc>
          <w:tcPr>
            <w:tcW w:w="883" w:type="pct"/>
            <w:vAlign w:val="bottom"/>
          </w:tcPr>
          <w:p w14:paraId="535247AD"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Xpsmp 2267</w:t>
            </w:r>
          </w:p>
        </w:tc>
        <w:tc>
          <w:tcPr>
            <w:tcW w:w="1748" w:type="pct"/>
            <w:vAlign w:val="bottom"/>
          </w:tcPr>
          <w:p w14:paraId="169486E6"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0.571429</w:t>
            </w:r>
          </w:p>
        </w:tc>
        <w:tc>
          <w:tcPr>
            <w:tcW w:w="632" w:type="pct"/>
            <w:vAlign w:val="bottom"/>
          </w:tcPr>
          <w:p w14:paraId="5B07F13B"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3</w:t>
            </w:r>
          </w:p>
        </w:tc>
        <w:tc>
          <w:tcPr>
            <w:tcW w:w="1091" w:type="pct"/>
            <w:vAlign w:val="bottom"/>
          </w:tcPr>
          <w:p w14:paraId="5ABE4FCE"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0.557261</w:t>
            </w:r>
          </w:p>
        </w:tc>
        <w:tc>
          <w:tcPr>
            <w:tcW w:w="646" w:type="pct"/>
            <w:vAlign w:val="bottom"/>
          </w:tcPr>
          <w:p w14:paraId="520876D7"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0.479094</w:t>
            </w:r>
          </w:p>
        </w:tc>
      </w:tr>
      <w:tr w:rsidR="00CA2EC1" w:rsidRPr="00CA2EC1" w14:paraId="697B0B23" w14:textId="77777777" w:rsidTr="00F94BCA">
        <w:trPr>
          <w:trHeight w:val="20"/>
        </w:trPr>
        <w:tc>
          <w:tcPr>
            <w:tcW w:w="883" w:type="pct"/>
            <w:vAlign w:val="bottom"/>
          </w:tcPr>
          <w:p w14:paraId="5BFE726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Xpsmp 2027</w:t>
            </w:r>
          </w:p>
        </w:tc>
        <w:tc>
          <w:tcPr>
            <w:tcW w:w="1748" w:type="pct"/>
            <w:vAlign w:val="bottom"/>
          </w:tcPr>
          <w:p w14:paraId="4B782C31"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0.402597</w:t>
            </w:r>
          </w:p>
        </w:tc>
        <w:tc>
          <w:tcPr>
            <w:tcW w:w="632" w:type="pct"/>
            <w:vAlign w:val="bottom"/>
          </w:tcPr>
          <w:p w14:paraId="5C442BE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4</w:t>
            </w:r>
          </w:p>
        </w:tc>
        <w:tc>
          <w:tcPr>
            <w:tcW w:w="1091" w:type="pct"/>
            <w:vAlign w:val="bottom"/>
          </w:tcPr>
          <w:p w14:paraId="3E55A13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0.684432</w:t>
            </w:r>
          </w:p>
        </w:tc>
        <w:tc>
          <w:tcPr>
            <w:tcW w:w="646" w:type="pct"/>
            <w:vAlign w:val="bottom"/>
          </w:tcPr>
          <w:p w14:paraId="7616F327"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0.62671</w:t>
            </w:r>
          </w:p>
        </w:tc>
      </w:tr>
      <w:tr w:rsidR="00CA2EC1" w:rsidRPr="00CA2EC1" w14:paraId="7EA75A05" w14:textId="77777777" w:rsidTr="00F94BCA">
        <w:trPr>
          <w:trHeight w:val="20"/>
        </w:trPr>
        <w:tc>
          <w:tcPr>
            <w:tcW w:w="883" w:type="pct"/>
            <w:vAlign w:val="bottom"/>
          </w:tcPr>
          <w:p w14:paraId="3067342E"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Xpgird 13</w:t>
            </w:r>
          </w:p>
        </w:tc>
        <w:tc>
          <w:tcPr>
            <w:tcW w:w="1748" w:type="pct"/>
            <w:vAlign w:val="bottom"/>
          </w:tcPr>
          <w:p w14:paraId="024982DC"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0.441558</w:t>
            </w:r>
          </w:p>
        </w:tc>
        <w:tc>
          <w:tcPr>
            <w:tcW w:w="632" w:type="pct"/>
            <w:vAlign w:val="bottom"/>
          </w:tcPr>
          <w:p w14:paraId="592DE399"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3</w:t>
            </w:r>
          </w:p>
        </w:tc>
        <w:tc>
          <w:tcPr>
            <w:tcW w:w="1091" w:type="pct"/>
            <w:vAlign w:val="bottom"/>
          </w:tcPr>
          <w:p w14:paraId="50814ED5"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0.648339</w:t>
            </w:r>
          </w:p>
        </w:tc>
        <w:tc>
          <w:tcPr>
            <w:tcW w:w="646" w:type="pct"/>
            <w:vAlign w:val="bottom"/>
          </w:tcPr>
          <w:p w14:paraId="0BBA2197"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0.5752</w:t>
            </w:r>
          </w:p>
        </w:tc>
      </w:tr>
      <w:tr w:rsidR="00CA2EC1" w:rsidRPr="00CA2EC1" w14:paraId="4F5D1A68" w14:textId="77777777" w:rsidTr="00F94BCA">
        <w:trPr>
          <w:trHeight w:val="20"/>
        </w:trPr>
        <w:tc>
          <w:tcPr>
            <w:tcW w:w="883" w:type="pct"/>
            <w:vAlign w:val="bottom"/>
          </w:tcPr>
          <w:p w14:paraId="75356C8C"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Xpgird 49</w:t>
            </w:r>
          </w:p>
        </w:tc>
        <w:tc>
          <w:tcPr>
            <w:tcW w:w="1748" w:type="pct"/>
            <w:vAlign w:val="bottom"/>
          </w:tcPr>
          <w:p w14:paraId="1D922515"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0.402597</w:t>
            </w:r>
          </w:p>
        </w:tc>
        <w:tc>
          <w:tcPr>
            <w:tcW w:w="632" w:type="pct"/>
            <w:vAlign w:val="bottom"/>
          </w:tcPr>
          <w:p w14:paraId="0AA5519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4</w:t>
            </w:r>
          </w:p>
        </w:tc>
        <w:tc>
          <w:tcPr>
            <w:tcW w:w="1091" w:type="pct"/>
            <w:vAlign w:val="bottom"/>
          </w:tcPr>
          <w:p w14:paraId="0338328D"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0.700624</w:t>
            </w:r>
          </w:p>
        </w:tc>
        <w:tc>
          <w:tcPr>
            <w:tcW w:w="646" w:type="pct"/>
            <w:vAlign w:val="bottom"/>
          </w:tcPr>
          <w:p w14:paraId="1DF80824"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0.645856</w:t>
            </w:r>
          </w:p>
        </w:tc>
      </w:tr>
      <w:tr w:rsidR="00CA2EC1" w:rsidRPr="00CA2EC1" w14:paraId="1FBAA7AE" w14:textId="77777777" w:rsidTr="00F94BCA">
        <w:trPr>
          <w:trHeight w:val="20"/>
        </w:trPr>
        <w:tc>
          <w:tcPr>
            <w:tcW w:w="883" w:type="pct"/>
          </w:tcPr>
          <w:p w14:paraId="41CAE3A5"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Mean</w:t>
            </w:r>
          </w:p>
        </w:tc>
        <w:tc>
          <w:tcPr>
            <w:tcW w:w="1748" w:type="pct"/>
            <w:vAlign w:val="bottom"/>
          </w:tcPr>
          <w:p w14:paraId="1F8BFEF2"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0.454545</w:t>
            </w:r>
          </w:p>
        </w:tc>
        <w:tc>
          <w:tcPr>
            <w:tcW w:w="632" w:type="pct"/>
            <w:vAlign w:val="bottom"/>
          </w:tcPr>
          <w:p w14:paraId="58C040C3"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4.2</w:t>
            </w:r>
          </w:p>
        </w:tc>
        <w:tc>
          <w:tcPr>
            <w:tcW w:w="1091" w:type="pct"/>
            <w:vAlign w:val="bottom"/>
          </w:tcPr>
          <w:p w14:paraId="6281512E"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0.65016</w:t>
            </w:r>
          </w:p>
        </w:tc>
        <w:tc>
          <w:tcPr>
            <w:tcW w:w="646" w:type="pct"/>
            <w:vAlign w:val="bottom"/>
          </w:tcPr>
          <w:p w14:paraId="16143179"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0.58587</w:t>
            </w:r>
          </w:p>
        </w:tc>
      </w:tr>
    </w:tbl>
    <w:p w14:paraId="56BF84F1" w14:textId="77777777" w:rsidR="00CA2EC1" w:rsidRPr="00CA2EC1" w:rsidRDefault="00CA2EC1" w:rsidP="00CA2EC1">
      <w:pPr>
        <w:spacing w:line="360" w:lineRule="auto"/>
        <w:jc w:val="both"/>
        <w:rPr>
          <w:rFonts w:ascii="Times New Roman" w:hAnsi="Times New Roman" w:cs="Times New Roman"/>
          <w:b/>
          <w:sz w:val="24"/>
        </w:rPr>
      </w:pPr>
    </w:p>
    <w:tbl>
      <w:tblPr>
        <w:tblStyle w:val="TableGrid"/>
        <w:tblW w:w="11623" w:type="dxa"/>
        <w:tblInd w:w="-1281" w:type="dxa"/>
        <w:tblLook w:val="04A0" w:firstRow="1" w:lastRow="0" w:firstColumn="1" w:lastColumn="0" w:noHBand="0" w:noVBand="1"/>
      </w:tblPr>
      <w:tblGrid>
        <w:gridCol w:w="11623"/>
      </w:tblGrid>
      <w:tr w:rsidR="00CA2EC1" w:rsidRPr="00CA2EC1" w14:paraId="40140DF6" w14:textId="77777777" w:rsidTr="009118FF">
        <w:trPr>
          <w:trHeight w:val="3213"/>
        </w:trPr>
        <w:tc>
          <w:tcPr>
            <w:tcW w:w="11623" w:type="dxa"/>
          </w:tcPr>
          <w:p w14:paraId="0C5BFD60" w14:textId="77777777" w:rsidR="00CA2EC1" w:rsidRPr="00CA2EC1" w:rsidRDefault="00CA2EC1" w:rsidP="00CA2EC1">
            <w:pPr>
              <w:spacing w:line="360" w:lineRule="auto"/>
              <w:jc w:val="both"/>
              <w:rPr>
                <w:rFonts w:ascii="Times New Roman" w:hAnsi="Times New Roman" w:cs="Times New Roman"/>
                <w:b/>
                <w:sz w:val="24"/>
                <w:lang w:val="en-US"/>
              </w:rPr>
            </w:pPr>
            <w:r w:rsidRPr="00CA2EC1">
              <w:rPr>
                <w:rFonts w:ascii="Arial" w:hAnsi="Arial" w:cs="Arial"/>
                <w:noProof/>
                <w:lang w:eastAsia="en-IN"/>
              </w:rPr>
              <w:lastRenderedPageBreak/>
              <w:drawing>
                <wp:inline distT="0" distB="0" distL="0" distR="0" wp14:anchorId="6A42A1A0" wp14:editId="193F5457">
                  <wp:extent cx="7239403" cy="2647315"/>
                  <wp:effectExtent l="0" t="0" r="0" b="635"/>
                  <wp:docPr id="11" name="Picture 10" descr="MOLECULAR MARKER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CULAR MARKER 1.jpeg"/>
                          <pic:cNvPicPr/>
                        </pic:nvPicPr>
                        <pic:blipFill>
                          <a:blip r:embed="rId11" cstate="print"/>
                          <a:stretch>
                            <a:fillRect/>
                          </a:stretch>
                        </pic:blipFill>
                        <pic:spPr>
                          <a:xfrm>
                            <a:off x="0" y="0"/>
                            <a:ext cx="7427008" cy="2715919"/>
                          </a:xfrm>
                          <a:prstGeom prst="rect">
                            <a:avLst/>
                          </a:prstGeom>
                        </pic:spPr>
                      </pic:pic>
                    </a:graphicData>
                  </a:graphic>
                </wp:inline>
              </w:drawing>
            </w:r>
          </w:p>
        </w:tc>
      </w:tr>
      <w:tr w:rsidR="00CA2EC1" w:rsidRPr="00CA2EC1" w14:paraId="2ED62538" w14:textId="77777777" w:rsidTr="009118FF">
        <w:trPr>
          <w:trHeight w:val="409"/>
        </w:trPr>
        <w:tc>
          <w:tcPr>
            <w:tcW w:w="11623" w:type="dxa"/>
          </w:tcPr>
          <w:p w14:paraId="5C687826" w14:textId="77777777" w:rsidR="00CA2EC1" w:rsidRPr="00CA2EC1" w:rsidRDefault="00C668C0" w:rsidP="00CA2EC1">
            <w:pPr>
              <w:spacing w:line="360" w:lineRule="auto"/>
              <w:jc w:val="both"/>
              <w:rPr>
                <w:rFonts w:ascii="Times New Roman" w:hAnsi="Times New Roman" w:cs="Times New Roman"/>
                <w:b/>
                <w:sz w:val="24"/>
                <w:lang w:val="en-US"/>
              </w:rPr>
            </w:pPr>
            <w:r w:rsidRPr="00CA2EC1">
              <w:rPr>
                <w:rFonts w:ascii="Times New Roman" w:hAnsi="Times New Roman" w:cs="Times New Roman"/>
                <w:b/>
                <w:sz w:val="24"/>
                <w:lang w:val="en-GB"/>
              </w:rPr>
              <w:t>Fig</w:t>
            </w:r>
            <w:r>
              <w:rPr>
                <w:rFonts w:ascii="Times New Roman" w:hAnsi="Times New Roman" w:cs="Times New Roman"/>
                <w:b/>
                <w:sz w:val="24"/>
                <w:lang w:val="en-GB"/>
              </w:rPr>
              <w:t>.</w:t>
            </w:r>
            <w:r w:rsidRPr="00CA2EC1">
              <w:rPr>
                <w:rFonts w:ascii="Times New Roman" w:hAnsi="Times New Roman" w:cs="Times New Roman"/>
                <w:b/>
                <w:sz w:val="24"/>
                <w:lang w:val="en-GB"/>
              </w:rPr>
              <w:t xml:space="preserve"> 2: </w:t>
            </w:r>
            <w:r w:rsidRPr="00CA2EC1">
              <w:rPr>
                <w:rFonts w:ascii="Times New Roman" w:hAnsi="Times New Roman" w:cs="Times New Roman"/>
                <w:b/>
                <w:sz w:val="24"/>
                <w:lang w:val="en-US"/>
              </w:rPr>
              <w:t>Allelic</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variation</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using</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gene-based</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markers</w:t>
            </w:r>
            <w:r w:rsidRPr="00CA2EC1">
              <w:rPr>
                <w:rFonts w:ascii="Times New Roman" w:hAnsi="Times New Roman" w:cs="Times New Roman"/>
                <w:b/>
                <w:color w:val="000000"/>
                <w:sz w:val="24"/>
                <w:lang w:val="en-US"/>
              </w:rPr>
              <w:t xml:space="preserve"> Xpsmp 2063</w:t>
            </w:r>
            <w:r w:rsidR="000D12E8">
              <w:rPr>
                <w:rFonts w:ascii="Times New Roman" w:hAnsi="Times New Roman" w:cs="Times New Roman"/>
                <w:b/>
                <w:color w:val="000000"/>
                <w:sz w:val="24"/>
                <w:lang w:val="en-US"/>
              </w:rPr>
              <w:t xml:space="preserve"> </w:t>
            </w:r>
            <w:r w:rsidRPr="00CA2EC1">
              <w:rPr>
                <w:rFonts w:ascii="Times New Roman" w:hAnsi="Times New Roman" w:cs="Times New Roman"/>
                <w:b/>
                <w:sz w:val="24"/>
                <w:lang w:val="en-US"/>
              </w:rPr>
              <w:t>show</w:t>
            </w:r>
            <w:r>
              <w:rPr>
                <w:rFonts w:ascii="Times New Roman" w:hAnsi="Times New Roman" w:cs="Times New Roman"/>
                <w:b/>
                <w:sz w:val="24"/>
                <w:lang w:val="en-US"/>
              </w:rPr>
              <w:t>ing</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polymorphism</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among pearl millet</w:t>
            </w:r>
            <w:r w:rsidR="000D12E8">
              <w:rPr>
                <w:rFonts w:ascii="Times New Roman" w:hAnsi="Times New Roman" w:cs="Times New Roman"/>
                <w:b/>
                <w:sz w:val="24"/>
                <w:lang w:val="en-US"/>
              </w:rPr>
              <w:t xml:space="preserve"> </w:t>
            </w:r>
            <w:r w:rsidR="009855C3">
              <w:rPr>
                <w:rFonts w:ascii="Times New Roman" w:hAnsi="Times New Roman" w:cs="Times New Roman"/>
                <w:b/>
                <w:sz w:val="24"/>
                <w:lang w:val="en-US"/>
              </w:rPr>
              <w:t>restorer lines</w:t>
            </w:r>
          </w:p>
        </w:tc>
      </w:tr>
    </w:tbl>
    <w:p w14:paraId="685E9FE5" w14:textId="77777777" w:rsidR="00C668C0" w:rsidRDefault="00C668C0" w:rsidP="00C668C0">
      <w:pPr>
        <w:autoSpaceDE w:val="0"/>
        <w:autoSpaceDN w:val="0"/>
        <w:adjustRightInd w:val="0"/>
        <w:spacing w:line="276" w:lineRule="auto"/>
        <w:jc w:val="both"/>
        <w:rPr>
          <w:rFonts w:ascii="Arial" w:hAnsi="Arial" w:cs="Arial"/>
          <w:b/>
          <w:lang w:val="en-US" w:bidi="hi-IN"/>
        </w:rPr>
      </w:pPr>
      <w:r w:rsidRPr="00C73F5C">
        <w:rPr>
          <w:rFonts w:ascii="Arial" w:hAnsi="Arial" w:cs="Arial"/>
          <w:b/>
          <w:noProof/>
          <w:lang w:eastAsia="en-IN"/>
        </w:rPr>
        <w:drawing>
          <wp:inline distT="0" distB="0" distL="0" distR="0" wp14:anchorId="2D933F96" wp14:editId="04FB16E4">
            <wp:extent cx="5162550" cy="468983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srcRect r="20493" b="18109"/>
                    <a:stretch>
                      <a:fillRect/>
                    </a:stretch>
                  </pic:blipFill>
                  <pic:spPr>
                    <a:xfrm>
                      <a:off x="0" y="0"/>
                      <a:ext cx="5158663" cy="4686301"/>
                    </a:xfrm>
                    <a:prstGeom prst="rect">
                      <a:avLst/>
                    </a:prstGeom>
                    <a:noFill/>
                    <a:ln w="9525">
                      <a:noFill/>
                    </a:ln>
                  </pic:spPr>
                </pic:pic>
              </a:graphicData>
            </a:graphic>
          </wp:inline>
        </w:drawing>
      </w:r>
    </w:p>
    <w:p w14:paraId="11290A22" w14:textId="77777777" w:rsidR="00C668C0" w:rsidRDefault="00C668C0" w:rsidP="00C668C0">
      <w:pPr>
        <w:autoSpaceDE w:val="0"/>
        <w:autoSpaceDN w:val="0"/>
        <w:adjustRightInd w:val="0"/>
        <w:spacing w:before="120" w:after="120" w:line="360" w:lineRule="auto"/>
        <w:jc w:val="both"/>
        <w:rPr>
          <w:rFonts w:ascii="Times New Roman" w:hAnsi="Times New Roman" w:cs="Times New Roman"/>
          <w:b/>
          <w:sz w:val="24"/>
          <w:szCs w:val="24"/>
          <w:lang w:val="en-US" w:bidi="hi-IN"/>
        </w:rPr>
      </w:pPr>
      <w:r w:rsidRPr="00C668C0">
        <w:rPr>
          <w:rFonts w:ascii="Times New Roman" w:hAnsi="Times New Roman" w:cs="Times New Roman"/>
          <w:b/>
          <w:sz w:val="24"/>
          <w:szCs w:val="24"/>
          <w:lang w:val="en-US" w:bidi="hi-IN"/>
        </w:rPr>
        <w:lastRenderedPageBreak/>
        <w:t xml:space="preserve">Fig. 3: Dendrogram of 77 pearl millet </w:t>
      </w:r>
      <w:r w:rsidR="009855C3">
        <w:rPr>
          <w:rFonts w:ascii="Times New Roman" w:hAnsi="Times New Roman" w:cs="Times New Roman"/>
          <w:b/>
          <w:sz w:val="24"/>
          <w:szCs w:val="24"/>
          <w:lang w:val="en-US" w:bidi="hi-IN"/>
        </w:rPr>
        <w:t>restorer lines</w:t>
      </w:r>
      <w:r w:rsidRPr="00C668C0">
        <w:rPr>
          <w:rFonts w:ascii="Times New Roman" w:hAnsi="Times New Roman" w:cs="Times New Roman"/>
          <w:b/>
          <w:sz w:val="24"/>
          <w:szCs w:val="24"/>
          <w:lang w:val="en-US" w:bidi="hi-IN"/>
        </w:rPr>
        <w:t xml:space="preserve"> based on banding pattern analysis of gene based SSR markers using MEGA 6.0 software</w:t>
      </w:r>
    </w:p>
    <w:p w14:paraId="6E766A14" w14:textId="77777777" w:rsidR="00CA2EC1" w:rsidRPr="00CA2EC1" w:rsidRDefault="00CA2EC1" w:rsidP="00C668C0">
      <w:pPr>
        <w:autoSpaceDE w:val="0"/>
        <w:autoSpaceDN w:val="0"/>
        <w:adjustRightInd w:val="0"/>
        <w:spacing w:before="24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Conclusion </w:t>
      </w:r>
    </w:p>
    <w:p w14:paraId="4FD07627" w14:textId="77777777" w:rsidR="00CA2EC1" w:rsidRPr="002F39AE" w:rsidRDefault="00CA2EC1" w:rsidP="00C96F61">
      <w:pPr>
        <w:spacing w:before="120" w:after="120" w:line="360" w:lineRule="auto"/>
        <w:jc w:val="both"/>
        <w:rPr>
          <w:rFonts w:ascii="Times New Roman" w:hAnsi="Times New Roman" w:cs="Times New Roman"/>
          <w:sz w:val="24"/>
        </w:rPr>
      </w:pPr>
      <w:r w:rsidRPr="002F39AE">
        <w:rPr>
          <w:rFonts w:ascii="Times New Roman" w:hAnsi="Times New Roman" w:cs="Times New Roman"/>
          <w:sz w:val="24"/>
        </w:rPr>
        <w:t xml:space="preserve">The present investigation successfully identified significant variability among 77 pearl millet </w:t>
      </w:r>
      <w:r w:rsidR="000D12E8">
        <w:rPr>
          <w:rFonts w:ascii="Times New Roman" w:hAnsi="Times New Roman" w:cs="Times New Roman"/>
          <w:sz w:val="24"/>
        </w:rPr>
        <w:t>restorer lines</w:t>
      </w:r>
      <w:r w:rsidRPr="002F39AE">
        <w:rPr>
          <w:rFonts w:ascii="Times New Roman" w:hAnsi="Times New Roman" w:cs="Times New Roman"/>
          <w:sz w:val="24"/>
        </w:rPr>
        <w:t xml:space="preserve"> in their response to blast disease under natural field conditions. A subset of genotypes displayed high to moderate levels of resistance, indicating their potential as valuable sources of resistance for future breeding efforts. Molecular characterization using gene-based SSR markers further revealed moderate to high genetic diversity, with markers such as Xpgird 49 prov</w:t>
      </w:r>
      <w:r w:rsidR="00016B71">
        <w:rPr>
          <w:rFonts w:ascii="Times New Roman" w:hAnsi="Times New Roman" w:cs="Times New Roman"/>
          <w:sz w:val="24"/>
        </w:rPr>
        <w:t>ed</w:t>
      </w:r>
      <w:r w:rsidRPr="002F39AE">
        <w:rPr>
          <w:rFonts w:ascii="Times New Roman" w:hAnsi="Times New Roman" w:cs="Times New Roman"/>
          <w:sz w:val="24"/>
        </w:rPr>
        <w:t xml:space="preserve"> highly informative. The integration of phenotypic screening with molecular marker analysis not only validated the resistance levels but also provided insights into the underlying genetic diversity among the </w:t>
      </w:r>
      <w:r w:rsidR="00016B71">
        <w:rPr>
          <w:rFonts w:ascii="Times New Roman" w:hAnsi="Times New Roman" w:cs="Times New Roman"/>
          <w:sz w:val="24"/>
        </w:rPr>
        <w:t>restorer</w:t>
      </w:r>
      <w:r w:rsidRPr="002F39AE">
        <w:rPr>
          <w:rFonts w:ascii="Times New Roman" w:hAnsi="Times New Roman" w:cs="Times New Roman"/>
          <w:sz w:val="24"/>
        </w:rPr>
        <w:t xml:space="preserve"> lines. These findings can be effectively utilized in marker-assisted selection (MAS) and resistance breeding program</w:t>
      </w:r>
      <w:r w:rsidR="00016B71">
        <w:rPr>
          <w:rFonts w:ascii="Times New Roman" w:hAnsi="Times New Roman" w:cs="Times New Roman"/>
          <w:sz w:val="24"/>
        </w:rPr>
        <w:t>me</w:t>
      </w:r>
      <w:r w:rsidRPr="002F39AE">
        <w:rPr>
          <w:rFonts w:ascii="Times New Roman" w:hAnsi="Times New Roman" w:cs="Times New Roman"/>
          <w:sz w:val="24"/>
        </w:rPr>
        <w:t xml:space="preserve"> aimed </w:t>
      </w:r>
      <w:r w:rsidR="00016B71">
        <w:rPr>
          <w:rFonts w:ascii="Times New Roman" w:hAnsi="Times New Roman" w:cs="Times New Roman"/>
          <w:sz w:val="24"/>
        </w:rPr>
        <w:t>to</w:t>
      </w:r>
      <w:r w:rsidRPr="002F39AE">
        <w:rPr>
          <w:rFonts w:ascii="Times New Roman" w:hAnsi="Times New Roman" w:cs="Times New Roman"/>
          <w:sz w:val="24"/>
        </w:rPr>
        <w:t xml:space="preserve"> develop durable, high-yielding, and blast-resistant pearl millet cultivars. This approach </w:t>
      </w:r>
      <w:r w:rsidR="000D12E8">
        <w:rPr>
          <w:rFonts w:ascii="Times New Roman" w:hAnsi="Times New Roman" w:cs="Times New Roman"/>
          <w:sz w:val="24"/>
        </w:rPr>
        <w:t>may</w:t>
      </w:r>
      <w:r w:rsidRPr="002F39AE">
        <w:rPr>
          <w:rFonts w:ascii="Times New Roman" w:hAnsi="Times New Roman" w:cs="Times New Roman"/>
          <w:sz w:val="24"/>
        </w:rPr>
        <w:t xml:space="preserve"> contribute to improving crop productivity and resilience, especially in blast-endemic and climate-stressed </w:t>
      </w:r>
      <w:r w:rsidR="00016B71">
        <w:rPr>
          <w:rFonts w:ascii="Times New Roman" w:hAnsi="Times New Roman" w:cs="Times New Roman"/>
          <w:sz w:val="24"/>
        </w:rPr>
        <w:t>areas</w:t>
      </w:r>
      <w:r w:rsidRPr="002F39AE">
        <w:rPr>
          <w:rFonts w:ascii="Times New Roman" w:hAnsi="Times New Roman" w:cs="Times New Roman"/>
          <w:sz w:val="24"/>
        </w:rPr>
        <w:t>.</w:t>
      </w:r>
    </w:p>
    <w:p w14:paraId="0B519DCC" w14:textId="77777777" w:rsidR="00CA2EC1" w:rsidRPr="00CA2EC1" w:rsidRDefault="00CA2EC1" w:rsidP="00C96F61">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Disclaimer (Artificial Intelligence)</w:t>
      </w:r>
    </w:p>
    <w:p w14:paraId="2611C2AD" w14:textId="0542164C" w:rsidR="008528AE" w:rsidRPr="007341CF" w:rsidRDefault="00CA2EC1" w:rsidP="007341CF">
      <w:pPr>
        <w:spacing w:before="120" w:after="120" w:line="360" w:lineRule="auto"/>
        <w:jc w:val="both"/>
        <w:rPr>
          <w:rFonts w:ascii="Times New Roman" w:hAnsi="Times New Roman" w:cs="Times New Roman"/>
          <w:sz w:val="24"/>
        </w:rPr>
      </w:pPr>
      <w:r w:rsidRPr="00CA2EC1">
        <w:rPr>
          <w:rFonts w:ascii="Times New Roman" w:hAnsi="Times New Roman" w:cs="Times New Roman"/>
          <w:sz w:val="24"/>
        </w:rPr>
        <w:t>Author</w:t>
      </w:r>
      <w:r w:rsidR="000D12E8">
        <w:rPr>
          <w:rFonts w:ascii="Times New Roman" w:hAnsi="Times New Roman" w:cs="Times New Roman"/>
          <w:sz w:val="24"/>
        </w:rPr>
        <w:t xml:space="preserve"> </w:t>
      </w:r>
      <w:r w:rsidRPr="00CA2EC1">
        <w:rPr>
          <w:rFonts w:ascii="Times New Roman" w:hAnsi="Times New Roman" w:cs="Times New Roman"/>
          <w:sz w:val="24"/>
        </w:rPr>
        <w:t xml:space="preserve">(s) hereby </w:t>
      </w:r>
      <w:r w:rsidR="00D308A8" w:rsidRPr="00CA2EC1">
        <w:rPr>
          <w:rFonts w:ascii="Times New Roman" w:hAnsi="Times New Roman" w:cs="Times New Roman"/>
          <w:sz w:val="24"/>
        </w:rPr>
        <w:t>declares</w:t>
      </w:r>
      <w:r w:rsidRPr="00CA2EC1">
        <w:rPr>
          <w:rFonts w:ascii="Times New Roman" w:hAnsi="Times New Roman" w:cs="Times New Roman"/>
          <w:sz w:val="24"/>
        </w:rPr>
        <w:t xml:space="preserve"> that No generative AI technologies such as Large Language Models (ChatGPT, COPILOT, etc.) and text-to-image generators have been used during the writing or editing of this manuscript.</w:t>
      </w:r>
    </w:p>
    <w:p w14:paraId="23B67A3A" w14:textId="62AD1BD6" w:rsidR="002A648B" w:rsidRPr="00CA2EC1" w:rsidRDefault="002A648B" w:rsidP="002A648B">
      <w:pPr>
        <w:spacing w:line="360" w:lineRule="auto"/>
        <w:jc w:val="both"/>
        <w:rPr>
          <w:rFonts w:ascii="Times New Roman" w:hAnsi="Times New Roman" w:cs="Times New Roman"/>
          <w:b/>
          <w:sz w:val="24"/>
        </w:rPr>
      </w:pPr>
      <w:r w:rsidRPr="00CA2EC1">
        <w:rPr>
          <w:rFonts w:ascii="Times New Roman" w:hAnsi="Times New Roman" w:cs="Times New Roman"/>
          <w:b/>
          <w:sz w:val="24"/>
        </w:rPr>
        <w:t xml:space="preserve">References </w:t>
      </w:r>
    </w:p>
    <w:p w14:paraId="2A7BD5B8"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Adhikari, S., Joshi, S. M., Athoni, B. K., Patil, P. </w:t>
      </w:r>
      <w:r w:rsidR="000D12E8" w:rsidRPr="002754E9">
        <w:rPr>
          <w:rFonts w:ascii="Times New Roman" w:eastAsia="Times New Roman" w:hAnsi="Times New Roman" w:cs="Times New Roman"/>
          <w:sz w:val="24"/>
          <w:szCs w:val="24"/>
          <w:lang w:eastAsia="en-IN"/>
        </w:rPr>
        <w:t>V</w:t>
      </w:r>
      <w:r w:rsidRPr="002754E9">
        <w:rPr>
          <w:rFonts w:ascii="Times New Roman" w:eastAsia="Times New Roman" w:hAnsi="Times New Roman" w:cs="Times New Roman"/>
          <w:sz w:val="24"/>
          <w:szCs w:val="24"/>
          <w:lang w:eastAsia="en-IN"/>
        </w:rPr>
        <w:t xml:space="preserve">., &amp;Jogaiah, S. (2020). Elucidation of genetic relatedness of </w:t>
      </w:r>
      <w:r w:rsidRPr="002754E9">
        <w:rPr>
          <w:rFonts w:ascii="Times New Roman" w:eastAsia="Times New Roman" w:hAnsi="Times New Roman" w:cs="Times New Roman"/>
          <w:i/>
          <w:iCs/>
          <w:sz w:val="24"/>
          <w:szCs w:val="24"/>
          <w:lang w:eastAsia="en-IN"/>
        </w:rPr>
        <w:t>Magnaporthe grisea</w:t>
      </w:r>
      <w:r w:rsidRPr="002754E9">
        <w:rPr>
          <w:rFonts w:ascii="Times New Roman" w:eastAsia="Times New Roman" w:hAnsi="Times New Roman" w:cs="Times New Roman"/>
          <w:sz w:val="24"/>
          <w:szCs w:val="24"/>
          <w:lang w:eastAsia="en-IN"/>
        </w:rPr>
        <w:t xml:space="preserve">, an incitent of pearl millet blast disease by molecular markers associated with virulence of host differential cultivars. </w:t>
      </w:r>
      <w:r w:rsidRPr="002754E9">
        <w:rPr>
          <w:rFonts w:ascii="Times New Roman" w:eastAsia="Times New Roman" w:hAnsi="Times New Roman" w:cs="Times New Roman"/>
          <w:i/>
          <w:iCs/>
          <w:sz w:val="24"/>
          <w:szCs w:val="24"/>
          <w:lang w:eastAsia="en-IN"/>
        </w:rPr>
        <w:t>Microbial Pathogenesis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149</w:t>
      </w:r>
      <w:r w:rsidRPr="002754E9">
        <w:rPr>
          <w:rFonts w:ascii="Times New Roman" w:eastAsia="Times New Roman" w:hAnsi="Times New Roman" w:cs="Times New Roman"/>
          <w:sz w:val="24"/>
          <w:szCs w:val="24"/>
          <w:lang w:eastAsia="en-IN"/>
        </w:rPr>
        <w:t xml:space="preserve">, 104533. </w:t>
      </w:r>
      <w:hyperlink r:id="rId13" w:history="1">
        <w:r w:rsidRPr="002754E9">
          <w:rPr>
            <w:rFonts w:ascii="Times New Roman" w:eastAsia="Times New Roman" w:hAnsi="Times New Roman" w:cs="Times New Roman"/>
            <w:sz w:val="24"/>
            <w:szCs w:val="24"/>
            <w:u w:val="single"/>
            <w:lang w:eastAsia="en-IN"/>
          </w:rPr>
          <w:t>https://doi.org/10.1016/j.micpath.2020.104533</w:t>
        </w:r>
      </w:hyperlink>
    </w:p>
    <w:p w14:paraId="6BC2B4BB" w14:textId="77777777" w:rsidR="002A648B" w:rsidRPr="00E776F8"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proofErr w:type="spellStart"/>
      <w:r w:rsidRPr="00E776F8">
        <w:rPr>
          <w:rFonts w:ascii="Times New Roman" w:hAnsi="Times New Roman" w:cs="Times New Roman"/>
          <w:sz w:val="24"/>
          <w:szCs w:val="24"/>
        </w:rPr>
        <w:t>Ambawat</w:t>
      </w:r>
      <w:proofErr w:type="spellEnd"/>
      <w:r w:rsidRPr="00E776F8">
        <w:rPr>
          <w:rFonts w:ascii="Times New Roman" w:hAnsi="Times New Roman" w:cs="Times New Roman"/>
          <w:sz w:val="24"/>
          <w:szCs w:val="24"/>
        </w:rPr>
        <w:t>, S., Satyavathi, C. T., Meena, R., Khandelwal, V. &amp; Meena, R. C. (2020). Molecular characterization, and genetic diversity analysis of released hybrids and varieties of pearl millet [</w:t>
      </w:r>
      <w:r w:rsidRPr="00E776F8">
        <w:rPr>
          <w:rFonts w:ascii="Times New Roman" w:hAnsi="Times New Roman" w:cs="Times New Roman"/>
          <w:i/>
          <w:iCs/>
          <w:sz w:val="24"/>
          <w:szCs w:val="24"/>
        </w:rPr>
        <w:t>Pennisetum glaucum</w:t>
      </w:r>
      <w:r w:rsidRPr="00E776F8">
        <w:rPr>
          <w:rFonts w:ascii="Times New Roman" w:hAnsi="Times New Roman" w:cs="Times New Roman"/>
          <w:sz w:val="24"/>
          <w:szCs w:val="24"/>
        </w:rPr>
        <w:t xml:space="preserve"> (L.) R. Br.]. </w:t>
      </w:r>
      <w:r w:rsidRPr="00E776F8">
        <w:rPr>
          <w:rFonts w:ascii="Times New Roman" w:hAnsi="Times New Roman" w:cs="Times New Roman"/>
          <w:i/>
          <w:iCs/>
          <w:sz w:val="24"/>
          <w:szCs w:val="24"/>
        </w:rPr>
        <w:t>Curr. J. Appl. Sci. Technol</w:t>
      </w:r>
      <w:r w:rsidRPr="00E776F8">
        <w:rPr>
          <w:rFonts w:ascii="Times New Roman" w:hAnsi="Times New Roman" w:cs="Times New Roman"/>
          <w:sz w:val="24"/>
          <w:szCs w:val="24"/>
        </w:rPr>
        <w:t xml:space="preserve">., </w:t>
      </w:r>
      <w:r w:rsidRPr="00E776F8">
        <w:rPr>
          <w:rFonts w:ascii="Times New Roman" w:hAnsi="Times New Roman" w:cs="Times New Roman"/>
          <w:i/>
          <w:iCs/>
          <w:sz w:val="24"/>
          <w:szCs w:val="24"/>
        </w:rPr>
        <w:t>39</w:t>
      </w:r>
      <w:r w:rsidRPr="00E776F8">
        <w:rPr>
          <w:rFonts w:ascii="Times New Roman" w:hAnsi="Times New Roman" w:cs="Times New Roman"/>
          <w:sz w:val="24"/>
          <w:szCs w:val="24"/>
        </w:rPr>
        <w:t xml:space="preserve"> (31): 92-104. </w:t>
      </w:r>
    </w:p>
    <w:p w14:paraId="279C4F5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lastRenderedPageBreak/>
        <w:t>Ambawat</w:t>
      </w:r>
      <w:proofErr w:type="spellEnd"/>
      <w:r w:rsidRPr="002754E9">
        <w:rPr>
          <w:rFonts w:ascii="Times New Roman" w:eastAsia="Times New Roman" w:hAnsi="Times New Roman" w:cs="Times New Roman"/>
          <w:sz w:val="24"/>
          <w:szCs w:val="24"/>
          <w:lang w:eastAsia="en-IN"/>
        </w:rPr>
        <w:t>, S., Satyavathi, C. T., Khandelwal, V., Meena, R., Singh, S., Kumar, M., &amp; Bishnoi, J. (2025). Genetic diversity analysis and molecular characterization of pearl millet [</w:t>
      </w:r>
      <w:r w:rsidRPr="002754E9">
        <w:rPr>
          <w:rFonts w:ascii="Times New Roman" w:eastAsia="Times New Roman" w:hAnsi="Times New Roman" w:cs="Times New Roman"/>
          <w:i/>
          <w:sz w:val="24"/>
          <w:szCs w:val="24"/>
          <w:lang w:eastAsia="en-IN"/>
        </w:rPr>
        <w:t>Pennisetum glaucum</w:t>
      </w:r>
      <w:r w:rsidRPr="002754E9">
        <w:rPr>
          <w:rFonts w:ascii="Times New Roman" w:eastAsia="Times New Roman" w:hAnsi="Times New Roman" w:cs="Times New Roman"/>
          <w:sz w:val="24"/>
          <w:szCs w:val="24"/>
          <w:lang w:eastAsia="en-IN"/>
        </w:rPr>
        <w:t xml:space="preserve"> (L.) R. Br.] hybrids/ varieties. </w:t>
      </w:r>
      <w:r w:rsidRPr="002754E9">
        <w:rPr>
          <w:rFonts w:ascii="Times New Roman" w:eastAsia="Times New Roman" w:hAnsi="Times New Roman" w:cs="Times New Roman"/>
          <w:i/>
          <w:iCs/>
          <w:sz w:val="24"/>
          <w:szCs w:val="24"/>
          <w:lang w:eastAsia="en-IN"/>
        </w:rPr>
        <w:t>Journal of Advances in Biology &amp; Biotechnology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28</w:t>
      </w:r>
      <w:r w:rsidRPr="002754E9">
        <w:rPr>
          <w:rFonts w:ascii="Times New Roman" w:eastAsia="Times New Roman" w:hAnsi="Times New Roman" w:cs="Times New Roman"/>
          <w:sz w:val="24"/>
          <w:szCs w:val="24"/>
          <w:lang w:eastAsia="en-IN"/>
        </w:rPr>
        <w:t xml:space="preserve">(2), 824–840. </w:t>
      </w:r>
      <w:hyperlink r:id="rId14" w:history="1">
        <w:r w:rsidRPr="002754E9">
          <w:rPr>
            <w:rFonts w:ascii="Times New Roman" w:eastAsia="Times New Roman" w:hAnsi="Times New Roman" w:cs="Times New Roman"/>
            <w:sz w:val="24"/>
            <w:szCs w:val="24"/>
            <w:u w:val="single"/>
            <w:lang w:eastAsia="en-IN"/>
          </w:rPr>
          <w:t>https://doi.org/10.9734/jabb/2025/v28i22043</w:t>
        </w:r>
      </w:hyperlink>
    </w:p>
    <w:p w14:paraId="329B80C3"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Andargie, M., Abera, M., Alemu, T., &amp; Bekele, B. (2025). The potential of bacterial </w:t>
      </w:r>
      <w:proofErr w:type="spellStart"/>
      <w:r w:rsidRPr="002754E9">
        <w:rPr>
          <w:rFonts w:ascii="Times New Roman" w:eastAsia="Times New Roman" w:hAnsi="Times New Roman" w:cs="Times New Roman"/>
          <w:sz w:val="24"/>
          <w:szCs w:val="24"/>
          <w:lang w:eastAsia="en-IN"/>
        </w:rPr>
        <w:t>biocontrols</w:t>
      </w:r>
      <w:proofErr w:type="spellEnd"/>
      <w:r w:rsidRPr="002754E9">
        <w:rPr>
          <w:rFonts w:ascii="Times New Roman" w:eastAsia="Times New Roman" w:hAnsi="Times New Roman" w:cs="Times New Roman"/>
          <w:sz w:val="24"/>
          <w:szCs w:val="24"/>
          <w:lang w:eastAsia="en-IN"/>
        </w:rPr>
        <w:t xml:space="preserve"> in managing finger millet blast disease and promoting growth: A review. </w:t>
      </w:r>
      <w:r w:rsidRPr="002754E9">
        <w:rPr>
          <w:rFonts w:ascii="Times New Roman" w:eastAsia="Times New Roman" w:hAnsi="Times New Roman" w:cs="Times New Roman"/>
          <w:i/>
          <w:iCs/>
          <w:sz w:val="24"/>
          <w:szCs w:val="24"/>
          <w:lang w:eastAsia="en-IN"/>
        </w:rPr>
        <w:t>The Microbe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7</w:t>
      </w:r>
      <w:r w:rsidRPr="002754E9">
        <w:rPr>
          <w:rFonts w:ascii="Times New Roman" w:eastAsia="Times New Roman" w:hAnsi="Times New Roman" w:cs="Times New Roman"/>
          <w:sz w:val="24"/>
          <w:szCs w:val="24"/>
          <w:lang w:eastAsia="en-IN"/>
        </w:rPr>
        <w:t xml:space="preserve">, 100372. </w:t>
      </w:r>
      <w:hyperlink r:id="rId15" w:history="1">
        <w:r w:rsidRPr="002754E9">
          <w:rPr>
            <w:rFonts w:ascii="Times New Roman" w:eastAsia="Times New Roman" w:hAnsi="Times New Roman" w:cs="Times New Roman"/>
            <w:sz w:val="24"/>
            <w:szCs w:val="24"/>
            <w:u w:val="single"/>
            <w:lang w:eastAsia="en-IN"/>
          </w:rPr>
          <w:t>https://doi.org/10.1016/j.microb.2025.100372</w:t>
        </w:r>
      </w:hyperlink>
    </w:p>
    <w:p w14:paraId="12A7845F"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Bhattarai, G., Shi, A., Kandel, D. R., Solís-Gracia, N., da Silva, J. A., &amp; Avila, C. A. (2021). Genome-wide simple sequence repeats (SSR) markers discovered from whole-genome sequence comparisons of multiple spinach accessions. </w:t>
      </w:r>
      <w:r w:rsidRPr="002754E9">
        <w:rPr>
          <w:rFonts w:ascii="Times New Roman" w:eastAsia="Times New Roman" w:hAnsi="Times New Roman" w:cs="Times New Roman"/>
          <w:i/>
          <w:iCs/>
          <w:sz w:val="24"/>
          <w:szCs w:val="24"/>
          <w:lang w:eastAsia="en-IN"/>
        </w:rPr>
        <w:t>Scientific Reports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11</w:t>
      </w:r>
      <w:r w:rsidRPr="002754E9">
        <w:rPr>
          <w:rFonts w:ascii="Times New Roman" w:eastAsia="Times New Roman" w:hAnsi="Times New Roman" w:cs="Times New Roman"/>
          <w:sz w:val="24"/>
          <w:szCs w:val="24"/>
          <w:lang w:eastAsia="en-IN"/>
        </w:rPr>
        <w:t xml:space="preserve">(1), 9999. </w:t>
      </w:r>
      <w:hyperlink r:id="rId16" w:history="1">
        <w:r w:rsidRPr="002754E9">
          <w:rPr>
            <w:rFonts w:ascii="Times New Roman" w:eastAsia="Times New Roman" w:hAnsi="Times New Roman" w:cs="Times New Roman"/>
            <w:sz w:val="24"/>
            <w:szCs w:val="24"/>
            <w:u w:val="single"/>
            <w:lang w:eastAsia="en-IN"/>
          </w:rPr>
          <w:t>https://doi.org/10.1038/s41598-021-89473-0</w:t>
        </w:r>
      </w:hyperlink>
    </w:p>
    <w:p w14:paraId="3F8DE796"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Bidyananda</w:t>
      </w:r>
      <w:proofErr w:type="spellEnd"/>
      <w:r w:rsidRPr="002754E9">
        <w:rPr>
          <w:rFonts w:ascii="Times New Roman" w:eastAsia="Times New Roman" w:hAnsi="Times New Roman" w:cs="Times New Roman"/>
          <w:sz w:val="24"/>
          <w:szCs w:val="24"/>
          <w:lang w:eastAsia="en-IN"/>
        </w:rPr>
        <w:t xml:space="preserve">, N., Jamir, I., Nowakowska, K., </w:t>
      </w:r>
      <w:proofErr w:type="spellStart"/>
      <w:r w:rsidRPr="002754E9">
        <w:rPr>
          <w:rFonts w:ascii="Times New Roman" w:eastAsia="Times New Roman" w:hAnsi="Times New Roman" w:cs="Times New Roman"/>
          <w:sz w:val="24"/>
          <w:szCs w:val="24"/>
          <w:lang w:eastAsia="en-IN"/>
        </w:rPr>
        <w:t>Varte</w:t>
      </w:r>
      <w:proofErr w:type="spellEnd"/>
      <w:r w:rsidRPr="002754E9">
        <w:rPr>
          <w:rFonts w:ascii="Times New Roman" w:eastAsia="Times New Roman" w:hAnsi="Times New Roman" w:cs="Times New Roman"/>
          <w:sz w:val="24"/>
          <w:szCs w:val="24"/>
          <w:lang w:eastAsia="en-IN"/>
        </w:rPr>
        <w:t xml:space="preserve">, V., </w:t>
      </w:r>
      <w:proofErr w:type="spellStart"/>
      <w:r w:rsidRPr="002754E9">
        <w:rPr>
          <w:rFonts w:ascii="Times New Roman" w:eastAsia="Times New Roman" w:hAnsi="Times New Roman" w:cs="Times New Roman"/>
          <w:sz w:val="24"/>
          <w:szCs w:val="24"/>
          <w:lang w:eastAsia="en-IN"/>
        </w:rPr>
        <w:t>Vendrame</w:t>
      </w:r>
      <w:proofErr w:type="spellEnd"/>
      <w:r w:rsidRPr="002754E9">
        <w:rPr>
          <w:rFonts w:ascii="Times New Roman" w:eastAsia="Times New Roman" w:hAnsi="Times New Roman" w:cs="Times New Roman"/>
          <w:sz w:val="24"/>
          <w:szCs w:val="24"/>
          <w:lang w:eastAsia="en-IN"/>
        </w:rPr>
        <w:t>, W. A., Devi, R. S., &amp;</w:t>
      </w:r>
      <w:proofErr w:type="spellStart"/>
      <w:r w:rsidRPr="002754E9">
        <w:rPr>
          <w:rFonts w:ascii="Times New Roman" w:eastAsia="Times New Roman" w:hAnsi="Times New Roman" w:cs="Times New Roman"/>
          <w:sz w:val="24"/>
          <w:szCs w:val="24"/>
          <w:lang w:eastAsia="en-IN"/>
        </w:rPr>
        <w:t>Nongdam</w:t>
      </w:r>
      <w:proofErr w:type="spellEnd"/>
      <w:r w:rsidRPr="002754E9">
        <w:rPr>
          <w:rFonts w:ascii="Times New Roman" w:eastAsia="Times New Roman" w:hAnsi="Times New Roman" w:cs="Times New Roman"/>
          <w:sz w:val="24"/>
          <w:szCs w:val="24"/>
          <w:lang w:eastAsia="en-IN"/>
        </w:rPr>
        <w:t xml:space="preserve">, P. (2024). Plant genetic diversity studies: insights from DNA marker analysis. </w:t>
      </w:r>
      <w:r w:rsidRPr="002754E9">
        <w:rPr>
          <w:rFonts w:ascii="Times New Roman" w:eastAsia="Times New Roman" w:hAnsi="Times New Roman" w:cs="Times New Roman"/>
          <w:i/>
          <w:iCs/>
          <w:sz w:val="24"/>
          <w:szCs w:val="24"/>
          <w:lang w:eastAsia="en-IN"/>
        </w:rPr>
        <w:t>International Journal of Plant Biology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15</w:t>
      </w:r>
      <w:r w:rsidRPr="002754E9">
        <w:rPr>
          <w:rFonts w:ascii="Times New Roman" w:eastAsia="Times New Roman" w:hAnsi="Times New Roman" w:cs="Times New Roman"/>
          <w:sz w:val="24"/>
          <w:szCs w:val="24"/>
          <w:lang w:eastAsia="en-IN"/>
        </w:rPr>
        <w:t xml:space="preserve">(3), 607–640. </w:t>
      </w:r>
      <w:hyperlink r:id="rId17" w:history="1">
        <w:r w:rsidRPr="002754E9">
          <w:rPr>
            <w:rFonts w:ascii="Times New Roman" w:eastAsia="Times New Roman" w:hAnsi="Times New Roman" w:cs="Times New Roman"/>
            <w:sz w:val="24"/>
            <w:szCs w:val="24"/>
            <w:u w:val="single"/>
            <w:lang w:eastAsia="en-IN"/>
          </w:rPr>
          <w:t>https://doi.org/10.3390/ijpb15030046</w:t>
        </w:r>
      </w:hyperlink>
    </w:p>
    <w:p w14:paraId="41FA2C60" w14:textId="77777777" w:rsidR="002A648B" w:rsidRPr="00E776F8"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E776F8">
        <w:rPr>
          <w:rFonts w:ascii="Times New Roman" w:hAnsi="Times New Roman" w:cs="Times New Roman"/>
          <w:sz w:val="24"/>
          <w:szCs w:val="24"/>
        </w:rPr>
        <w:t>Budak, H., Pedraza, F., Cregan, P. B., Baenziger, P. S. &amp;</w:t>
      </w:r>
      <w:proofErr w:type="spellStart"/>
      <w:r w:rsidRPr="00E776F8">
        <w:rPr>
          <w:rFonts w:ascii="Times New Roman" w:hAnsi="Times New Roman" w:cs="Times New Roman"/>
          <w:sz w:val="24"/>
          <w:szCs w:val="24"/>
        </w:rPr>
        <w:t>Dweikat</w:t>
      </w:r>
      <w:proofErr w:type="spellEnd"/>
      <w:r w:rsidRPr="00E776F8">
        <w:rPr>
          <w:rFonts w:ascii="Times New Roman" w:hAnsi="Times New Roman" w:cs="Times New Roman"/>
          <w:sz w:val="24"/>
          <w:szCs w:val="24"/>
        </w:rPr>
        <w:t xml:space="preserve">, I. (2003). Development and utilization of SSRs to estimate the degree of genetic relationships in a collection of pearl millet germplasm. </w:t>
      </w:r>
      <w:r w:rsidRPr="00E776F8">
        <w:rPr>
          <w:rFonts w:ascii="Times New Roman" w:hAnsi="Times New Roman" w:cs="Times New Roman"/>
          <w:i/>
          <w:iCs/>
          <w:sz w:val="24"/>
          <w:szCs w:val="24"/>
        </w:rPr>
        <w:t>Crop Sci</w:t>
      </w:r>
      <w:r w:rsidRPr="00E776F8">
        <w:rPr>
          <w:rFonts w:ascii="Times New Roman" w:hAnsi="Times New Roman" w:cs="Times New Roman"/>
          <w:sz w:val="24"/>
          <w:szCs w:val="24"/>
        </w:rPr>
        <w:t xml:space="preserve">., </w:t>
      </w:r>
      <w:r w:rsidRPr="00E776F8">
        <w:rPr>
          <w:rFonts w:ascii="Times New Roman" w:hAnsi="Times New Roman" w:cs="Times New Roman"/>
          <w:i/>
          <w:iCs/>
          <w:sz w:val="24"/>
          <w:szCs w:val="24"/>
        </w:rPr>
        <w:t>43</w:t>
      </w:r>
      <w:r w:rsidRPr="00E776F8">
        <w:rPr>
          <w:rFonts w:ascii="Times New Roman" w:hAnsi="Times New Roman" w:cs="Times New Roman"/>
          <w:sz w:val="24"/>
          <w:szCs w:val="24"/>
        </w:rPr>
        <w:t xml:space="preserve">(6): 2284. </w:t>
      </w:r>
    </w:p>
    <w:p w14:paraId="35853245"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Choudhary, M.L., Tripathi, M.K., Gupta, N., Tiwari, S., Tripathi, N., Parihar, P. &amp; Pandya, R.K. (2021a). Screening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germplasm lines against drought tolerance based on biochemical traits. </w:t>
      </w:r>
      <w:r w:rsidRPr="002754E9">
        <w:rPr>
          <w:rFonts w:ascii="Times New Roman" w:hAnsi="Times New Roman" w:cs="Times New Roman"/>
          <w:i/>
          <w:iCs/>
          <w:sz w:val="24"/>
          <w:szCs w:val="24"/>
        </w:rPr>
        <w:t>Current Journal of Applied Science&amp; Technology</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40</w:t>
      </w:r>
      <w:r w:rsidRPr="002754E9">
        <w:rPr>
          <w:rFonts w:ascii="Times New Roman" w:hAnsi="Times New Roman" w:cs="Times New Roman"/>
          <w:sz w:val="24"/>
          <w:szCs w:val="24"/>
        </w:rPr>
        <w:t>(23):1-12.</w:t>
      </w:r>
    </w:p>
    <w:p w14:paraId="51E66146"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bookmarkStart w:id="0" w:name="_Hlk202115740"/>
      <w:r w:rsidRPr="002754E9">
        <w:rPr>
          <w:rFonts w:ascii="Times New Roman" w:hAnsi="Times New Roman" w:cs="Times New Roman"/>
          <w:sz w:val="24"/>
          <w:szCs w:val="24"/>
        </w:rPr>
        <w:t>Choudhary</w:t>
      </w:r>
      <w:bookmarkEnd w:id="0"/>
      <w:r w:rsidRPr="002754E9">
        <w:rPr>
          <w:rFonts w:ascii="Times New Roman" w:hAnsi="Times New Roman" w:cs="Times New Roman"/>
          <w:sz w:val="24"/>
          <w:szCs w:val="24"/>
        </w:rPr>
        <w:t>, M. L., Tripathi, M.K., Tiwari, S., Pandya, R. K., Gupta, N., Tripathi, N. &amp; Parihar, P. (2021b). Screening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germplasm lines for drought tolerance based on morpho-physiological traits and SSR markers. </w:t>
      </w:r>
      <w:r w:rsidRPr="002754E9">
        <w:rPr>
          <w:rFonts w:ascii="Times New Roman" w:hAnsi="Times New Roman" w:cs="Times New Roman"/>
          <w:i/>
          <w:iCs/>
          <w:sz w:val="24"/>
          <w:szCs w:val="24"/>
        </w:rPr>
        <w:t>Current Journal of Applied Science and Technology</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40</w:t>
      </w:r>
      <w:r w:rsidRPr="002754E9">
        <w:rPr>
          <w:rFonts w:ascii="Times New Roman" w:hAnsi="Times New Roman" w:cs="Times New Roman"/>
          <w:sz w:val="24"/>
          <w:szCs w:val="24"/>
        </w:rPr>
        <w:t xml:space="preserve">:46-63. Available: </w:t>
      </w:r>
      <w:hyperlink r:id="rId18" w:history="1">
        <w:r w:rsidRPr="002754E9">
          <w:rPr>
            <w:rStyle w:val="Hyperlink"/>
            <w:rFonts w:ascii="Times New Roman" w:hAnsi="Times New Roman" w:cs="Times New Roman"/>
            <w:color w:val="auto"/>
            <w:sz w:val="24"/>
            <w:szCs w:val="24"/>
          </w:rPr>
          <w:t>https://doi.org/10.9734/cjast/2021/v40i531303</w:t>
        </w:r>
      </w:hyperlink>
      <w:r w:rsidRPr="002754E9">
        <w:rPr>
          <w:rFonts w:ascii="Times New Roman" w:hAnsi="Times New Roman" w:cs="Times New Roman"/>
          <w:sz w:val="24"/>
          <w:szCs w:val="24"/>
        </w:rPr>
        <w:t xml:space="preserve">. </w:t>
      </w:r>
    </w:p>
    <w:p w14:paraId="0E2E9CF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Chauhan, J., Prathibha, M., Singh, P., </w:t>
      </w:r>
      <w:proofErr w:type="spellStart"/>
      <w:r w:rsidRPr="002754E9">
        <w:rPr>
          <w:rFonts w:ascii="Times New Roman" w:eastAsia="Times New Roman" w:hAnsi="Times New Roman" w:cs="Times New Roman"/>
          <w:sz w:val="24"/>
          <w:szCs w:val="24"/>
          <w:lang w:eastAsia="en-IN"/>
        </w:rPr>
        <w:t>Choyal</w:t>
      </w:r>
      <w:proofErr w:type="spellEnd"/>
      <w:r w:rsidRPr="002754E9">
        <w:rPr>
          <w:rFonts w:ascii="Times New Roman" w:eastAsia="Times New Roman" w:hAnsi="Times New Roman" w:cs="Times New Roman"/>
          <w:sz w:val="24"/>
          <w:szCs w:val="24"/>
          <w:lang w:eastAsia="en-IN"/>
        </w:rPr>
        <w:t xml:space="preserve">, P., Mishra, U. N., Saha, D., Kumar, R., Anuragi, H., Pandey, S., Bose, B., Mehta, B., Dey, P., Dwivedi, K. K., Gupta, N. K., &amp; Singhal, R. K. (2023). Plant photosynthesis under abiotic stresses: Damages, adaptive, </w:t>
      </w:r>
      <w:r w:rsidRPr="002754E9">
        <w:rPr>
          <w:rFonts w:ascii="Times New Roman" w:eastAsia="Times New Roman" w:hAnsi="Times New Roman" w:cs="Times New Roman"/>
          <w:sz w:val="24"/>
          <w:szCs w:val="24"/>
          <w:lang w:eastAsia="en-IN"/>
        </w:rPr>
        <w:lastRenderedPageBreak/>
        <w:t xml:space="preserve">and signalling mechanisms. </w:t>
      </w:r>
      <w:r w:rsidRPr="002754E9">
        <w:rPr>
          <w:rFonts w:ascii="Times New Roman" w:eastAsia="Times New Roman" w:hAnsi="Times New Roman" w:cs="Times New Roman"/>
          <w:i/>
          <w:iCs/>
          <w:sz w:val="24"/>
          <w:szCs w:val="24"/>
          <w:lang w:eastAsia="en-IN"/>
        </w:rPr>
        <w:t>Plant Stress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10</w:t>
      </w:r>
      <w:r w:rsidRPr="002754E9">
        <w:rPr>
          <w:rFonts w:ascii="Times New Roman" w:eastAsia="Times New Roman" w:hAnsi="Times New Roman" w:cs="Times New Roman"/>
          <w:sz w:val="24"/>
          <w:szCs w:val="24"/>
          <w:lang w:eastAsia="en-IN"/>
        </w:rPr>
        <w:t xml:space="preserve">, 100296. </w:t>
      </w:r>
      <w:hyperlink r:id="rId19" w:history="1">
        <w:r w:rsidRPr="002754E9">
          <w:rPr>
            <w:rFonts w:ascii="Times New Roman" w:eastAsia="Times New Roman" w:hAnsi="Times New Roman" w:cs="Times New Roman"/>
            <w:sz w:val="24"/>
            <w:szCs w:val="24"/>
            <w:u w:val="single"/>
            <w:lang w:eastAsia="en-IN"/>
          </w:rPr>
          <w:t>https://doi.org/10.1016/j.stress.2023.100296</w:t>
        </w:r>
      </w:hyperlink>
    </w:p>
    <w:p w14:paraId="2D485DBD"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Das, I. K., </w:t>
      </w:r>
      <w:proofErr w:type="spellStart"/>
      <w:r w:rsidRPr="002754E9">
        <w:rPr>
          <w:rFonts w:ascii="Times New Roman" w:eastAsia="Times New Roman" w:hAnsi="Times New Roman" w:cs="Times New Roman"/>
          <w:sz w:val="24"/>
          <w:szCs w:val="24"/>
          <w:lang w:eastAsia="en-IN"/>
        </w:rPr>
        <w:t>Palanna</w:t>
      </w:r>
      <w:proofErr w:type="spellEnd"/>
      <w:r w:rsidRPr="002754E9">
        <w:rPr>
          <w:rFonts w:ascii="Times New Roman" w:eastAsia="Times New Roman" w:hAnsi="Times New Roman" w:cs="Times New Roman"/>
          <w:sz w:val="24"/>
          <w:szCs w:val="24"/>
          <w:lang w:eastAsia="en-IN"/>
        </w:rPr>
        <w:t xml:space="preserve">, K. B., Patro, T. S. S. K., Ganapathy, K. N., </w:t>
      </w:r>
      <w:proofErr w:type="spellStart"/>
      <w:r w:rsidRPr="002754E9">
        <w:rPr>
          <w:rFonts w:ascii="Times New Roman" w:eastAsia="Times New Roman" w:hAnsi="Times New Roman" w:cs="Times New Roman"/>
          <w:sz w:val="24"/>
          <w:szCs w:val="24"/>
          <w:lang w:eastAsia="en-IN"/>
        </w:rPr>
        <w:t>Kannababu</w:t>
      </w:r>
      <w:proofErr w:type="spellEnd"/>
      <w:r w:rsidRPr="002754E9">
        <w:rPr>
          <w:rFonts w:ascii="Times New Roman" w:eastAsia="Times New Roman" w:hAnsi="Times New Roman" w:cs="Times New Roman"/>
          <w:sz w:val="24"/>
          <w:szCs w:val="24"/>
          <w:lang w:eastAsia="en-IN"/>
        </w:rPr>
        <w:t>, N., Kumar, S., &amp;</w:t>
      </w:r>
      <w:proofErr w:type="spellStart"/>
      <w:r w:rsidRPr="002754E9">
        <w:rPr>
          <w:rFonts w:ascii="Times New Roman" w:eastAsia="Times New Roman" w:hAnsi="Times New Roman" w:cs="Times New Roman"/>
          <w:sz w:val="24"/>
          <w:szCs w:val="24"/>
          <w:lang w:eastAsia="en-IN"/>
        </w:rPr>
        <w:t>Tonapi</w:t>
      </w:r>
      <w:proofErr w:type="spellEnd"/>
      <w:r w:rsidRPr="002754E9">
        <w:rPr>
          <w:rFonts w:ascii="Times New Roman" w:eastAsia="Times New Roman" w:hAnsi="Times New Roman" w:cs="Times New Roman"/>
          <w:sz w:val="24"/>
          <w:szCs w:val="24"/>
          <w:lang w:eastAsia="en-IN"/>
        </w:rPr>
        <w:t xml:space="preserve">, V. A. (2021). A multilocational evaluation of blast resistance in a diverse panel of finger millet in India. </w:t>
      </w:r>
      <w:r w:rsidRPr="002754E9">
        <w:rPr>
          <w:rFonts w:ascii="Times New Roman" w:eastAsia="Times New Roman" w:hAnsi="Times New Roman" w:cs="Times New Roman"/>
          <w:i/>
          <w:iCs/>
          <w:sz w:val="24"/>
          <w:szCs w:val="24"/>
          <w:lang w:eastAsia="en-IN"/>
        </w:rPr>
        <w:t>Crop Protection</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139</w:t>
      </w:r>
      <w:r w:rsidRPr="002754E9">
        <w:rPr>
          <w:rFonts w:ascii="Times New Roman" w:eastAsia="Times New Roman" w:hAnsi="Times New Roman" w:cs="Times New Roman"/>
          <w:sz w:val="24"/>
          <w:szCs w:val="24"/>
          <w:lang w:eastAsia="en-IN"/>
        </w:rPr>
        <w:t xml:space="preserve">, 105401. </w:t>
      </w:r>
      <w:hyperlink r:id="rId20" w:history="1">
        <w:r w:rsidRPr="002754E9">
          <w:rPr>
            <w:rFonts w:ascii="Times New Roman" w:eastAsia="Times New Roman" w:hAnsi="Times New Roman" w:cs="Times New Roman"/>
            <w:sz w:val="24"/>
            <w:szCs w:val="24"/>
            <w:u w:val="single"/>
            <w:lang w:eastAsia="en-IN"/>
          </w:rPr>
          <w:t>https://doi.org/10.1016/j.cropro.2020.105401</w:t>
        </w:r>
      </w:hyperlink>
    </w:p>
    <w:p w14:paraId="4C40E35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Das, T. R., &amp; Baisakh, B. (2023). SSR-marker assisted evaluation of genetic diversity in </w:t>
      </w:r>
      <w:proofErr w:type="spellStart"/>
      <w:r w:rsidRPr="002754E9">
        <w:rPr>
          <w:rFonts w:ascii="Times New Roman" w:eastAsia="Times New Roman" w:hAnsi="Times New Roman" w:cs="Times New Roman"/>
          <w:sz w:val="24"/>
          <w:szCs w:val="24"/>
          <w:lang w:eastAsia="en-IN"/>
        </w:rPr>
        <w:t>greengram</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sz w:val="24"/>
          <w:szCs w:val="24"/>
          <w:lang w:eastAsia="en-IN"/>
        </w:rPr>
        <w:t>Vigna radiata</w:t>
      </w:r>
      <w:r w:rsidRPr="002754E9">
        <w:rPr>
          <w:rFonts w:ascii="Times New Roman" w:eastAsia="Times New Roman" w:hAnsi="Times New Roman" w:cs="Times New Roman"/>
          <w:sz w:val="24"/>
          <w:szCs w:val="24"/>
          <w:lang w:eastAsia="en-IN"/>
        </w:rPr>
        <w:t xml:space="preserve"> (L.) </w:t>
      </w:r>
      <w:proofErr w:type="spellStart"/>
      <w:r w:rsidRPr="002754E9">
        <w:rPr>
          <w:rFonts w:ascii="Times New Roman" w:eastAsia="Times New Roman" w:hAnsi="Times New Roman" w:cs="Times New Roman"/>
          <w:sz w:val="24"/>
          <w:szCs w:val="24"/>
          <w:lang w:eastAsia="en-IN"/>
        </w:rPr>
        <w:t>Wilcezk</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Legume Research - An International Journal</w:t>
      </w:r>
      <w:r w:rsidRPr="002754E9">
        <w:rPr>
          <w:rFonts w:ascii="Times New Roman" w:eastAsia="Times New Roman" w:hAnsi="Times New Roman" w:cs="Times New Roman"/>
          <w:sz w:val="24"/>
          <w:szCs w:val="24"/>
          <w:lang w:eastAsia="en-IN"/>
        </w:rPr>
        <w:t xml:space="preserve">. </w:t>
      </w:r>
      <w:hyperlink r:id="rId21" w:history="1">
        <w:r w:rsidRPr="002754E9">
          <w:rPr>
            <w:rFonts w:ascii="Times New Roman" w:eastAsia="Times New Roman" w:hAnsi="Times New Roman" w:cs="Times New Roman"/>
            <w:sz w:val="24"/>
            <w:szCs w:val="24"/>
            <w:u w:val="single"/>
            <w:lang w:eastAsia="en-IN"/>
          </w:rPr>
          <w:t>https://doi.org/10.18805/LR-5151</w:t>
        </w:r>
      </w:hyperlink>
    </w:p>
    <w:p w14:paraId="705F607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Devanna, B. N., Jain, P., Solanke, A. U., Das, A., Thakur, S., Singh, P. K., Kumari, M., Dubey, H., Jaswal, R., Pawar, D., Kapoor, R., Singh, J., Arora, K., Saklani, B. K., AnilKumar, C., Maganti, S. M., Sonah, H., Deshmukh, R., </w:t>
      </w:r>
      <w:proofErr w:type="spellStart"/>
      <w:r w:rsidRPr="002754E9">
        <w:rPr>
          <w:rFonts w:ascii="Times New Roman" w:eastAsia="Times New Roman" w:hAnsi="Times New Roman" w:cs="Times New Roman"/>
          <w:sz w:val="24"/>
          <w:szCs w:val="24"/>
          <w:lang w:eastAsia="en-IN"/>
        </w:rPr>
        <w:t>Rathour</w:t>
      </w:r>
      <w:proofErr w:type="spellEnd"/>
      <w:r w:rsidRPr="002754E9">
        <w:rPr>
          <w:rFonts w:ascii="Times New Roman" w:eastAsia="Times New Roman" w:hAnsi="Times New Roman" w:cs="Times New Roman"/>
          <w:sz w:val="24"/>
          <w:szCs w:val="24"/>
          <w:lang w:eastAsia="en-IN"/>
        </w:rPr>
        <w:t>, R., &amp; Sharma, T. R. (2022). Understanding the dynamics of blast resistance in rice-</w:t>
      </w:r>
      <w:r w:rsidRPr="002754E9">
        <w:rPr>
          <w:rFonts w:ascii="Times New Roman" w:eastAsia="Times New Roman" w:hAnsi="Times New Roman" w:cs="Times New Roman"/>
          <w:i/>
          <w:sz w:val="24"/>
          <w:szCs w:val="24"/>
          <w:lang w:eastAsia="en-IN"/>
        </w:rPr>
        <w:t xml:space="preserve">Magnaporthe oryzae </w:t>
      </w:r>
      <w:r w:rsidRPr="002754E9">
        <w:rPr>
          <w:rFonts w:ascii="Times New Roman" w:eastAsia="Times New Roman" w:hAnsi="Times New Roman" w:cs="Times New Roman"/>
          <w:sz w:val="24"/>
          <w:szCs w:val="24"/>
          <w:lang w:eastAsia="en-IN"/>
        </w:rPr>
        <w:t xml:space="preserve">interactions. </w:t>
      </w:r>
      <w:r w:rsidRPr="002754E9">
        <w:rPr>
          <w:rFonts w:ascii="Times New Roman" w:eastAsia="Times New Roman" w:hAnsi="Times New Roman" w:cs="Times New Roman"/>
          <w:i/>
          <w:iCs/>
          <w:sz w:val="24"/>
          <w:szCs w:val="24"/>
          <w:lang w:eastAsia="en-IN"/>
        </w:rPr>
        <w:t>Journal of Fungi</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8</w:t>
      </w:r>
      <w:r w:rsidRPr="002754E9">
        <w:rPr>
          <w:rFonts w:ascii="Times New Roman" w:eastAsia="Times New Roman" w:hAnsi="Times New Roman" w:cs="Times New Roman"/>
          <w:sz w:val="24"/>
          <w:szCs w:val="24"/>
          <w:lang w:eastAsia="en-IN"/>
        </w:rPr>
        <w:t xml:space="preserve">(6), 584. </w:t>
      </w:r>
      <w:hyperlink r:id="rId22" w:history="1">
        <w:r w:rsidRPr="002754E9">
          <w:rPr>
            <w:rFonts w:ascii="Times New Roman" w:eastAsia="Times New Roman" w:hAnsi="Times New Roman" w:cs="Times New Roman"/>
            <w:sz w:val="24"/>
            <w:szCs w:val="24"/>
            <w:u w:val="single"/>
            <w:lang w:eastAsia="en-IN"/>
          </w:rPr>
          <w:t>https://doi.org/10.3390/jof8060584</w:t>
        </w:r>
      </w:hyperlink>
    </w:p>
    <w:p w14:paraId="1604B4D6"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Fukuoka, S., Saka, N., Mizukami, Y., Koga, H., Yamanouchi, U., Yoshioka, Y., Hayashi, N., </w:t>
      </w:r>
      <w:proofErr w:type="spellStart"/>
      <w:r w:rsidRPr="002754E9">
        <w:rPr>
          <w:rFonts w:ascii="Times New Roman" w:eastAsia="Times New Roman" w:hAnsi="Times New Roman" w:cs="Times New Roman"/>
          <w:sz w:val="24"/>
          <w:szCs w:val="24"/>
          <w:lang w:eastAsia="en-IN"/>
        </w:rPr>
        <w:t>Ebana</w:t>
      </w:r>
      <w:proofErr w:type="spellEnd"/>
      <w:r w:rsidRPr="002754E9">
        <w:rPr>
          <w:rFonts w:ascii="Times New Roman" w:eastAsia="Times New Roman" w:hAnsi="Times New Roman" w:cs="Times New Roman"/>
          <w:sz w:val="24"/>
          <w:szCs w:val="24"/>
          <w:lang w:eastAsia="en-IN"/>
        </w:rPr>
        <w:t xml:space="preserve">, K., </w:t>
      </w:r>
      <w:proofErr w:type="spellStart"/>
      <w:r w:rsidRPr="002754E9">
        <w:rPr>
          <w:rFonts w:ascii="Times New Roman" w:eastAsia="Times New Roman" w:hAnsi="Times New Roman" w:cs="Times New Roman"/>
          <w:sz w:val="24"/>
          <w:szCs w:val="24"/>
          <w:lang w:eastAsia="en-IN"/>
        </w:rPr>
        <w:t>Mizobuchi</w:t>
      </w:r>
      <w:proofErr w:type="spellEnd"/>
      <w:r w:rsidRPr="002754E9">
        <w:rPr>
          <w:rFonts w:ascii="Times New Roman" w:eastAsia="Times New Roman" w:hAnsi="Times New Roman" w:cs="Times New Roman"/>
          <w:sz w:val="24"/>
          <w:szCs w:val="24"/>
          <w:lang w:eastAsia="en-IN"/>
        </w:rPr>
        <w:t xml:space="preserve">, R., &amp; Yano, M. (2015). Gene pyramiding enhances durable blast disease resistance in rice. </w:t>
      </w:r>
      <w:r w:rsidRPr="002754E9">
        <w:rPr>
          <w:rFonts w:ascii="Times New Roman" w:eastAsia="Times New Roman" w:hAnsi="Times New Roman" w:cs="Times New Roman"/>
          <w:i/>
          <w:iCs/>
          <w:sz w:val="24"/>
          <w:szCs w:val="24"/>
          <w:lang w:eastAsia="en-IN"/>
        </w:rPr>
        <w:t>Scientific Reports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w:t>
      </w:r>
      <w:r w:rsidRPr="002754E9">
        <w:rPr>
          <w:rFonts w:ascii="Times New Roman" w:eastAsia="Times New Roman" w:hAnsi="Times New Roman" w:cs="Times New Roman"/>
          <w:sz w:val="24"/>
          <w:szCs w:val="24"/>
          <w:lang w:eastAsia="en-IN"/>
        </w:rPr>
        <w:t xml:space="preserve">(1), 7773. </w:t>
      </w:r>
      <w:hyperlink r:id="rId23" w:history="1">
        <w:r w:rsidRPr="002754E9">
          <w:rPr>
            <w:rFonts w:ascii="Times New Roman" w:eastAsia="Times New Roman" w:hAnsi="Times New Roman" w:cs="Times New Roman"/>
            <w:sz w:val="24"/>
            <w:szCs w:val="24"/>
            <w:u w:val="single"/>
            <w:lang w:eastAsia="en-IN"/>
          </w:rPr>
          <w:t>https://doi.org/10.1038/srep07773</w:t>
        </w:r>
      </w:hyperlink>
    </w:p>
    <w:p w14:paraId="4D9A361B"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Garin, V., Choudhary, S., Murugesan, T., </w:t>
      </w:r>
      <w:proofErr w:type="spellStart"/>
      <w:r w:rsidRPr="002754E9">
        <w:rPr>
          <w:rFonts w:ascii="Times New Roman" w:eastAsia="Times New Roman" w:hAnsi="Times New Roman" w:cs="Times New Roman"/>
          <w:sz w:val="24"/>
          <w:szCs w:val="24"/>
          <w:lang w:eastAsia="en-IN"/>
        </w:rPr>
        <w:t>Kaliamoorthy</w:t>
      </w:r>
      <w:proofErr w:type="spellEnd"/>
      <w:r w:rsidRPr="002754E9">
        <w:rPr>
          <w:rFonts w:ascii="Times New Roman" w:eastAsia="Times New Roman" w:hAnsi="Times New Roman" w:cs="Times New Roman"/>
          <w:sz w:val="24"/>
          <w:szCs w:val="24"/>
          <w:lang w:eastAsia="en-IN"/>
        </w:rPr>
        <w:t xml:space="preserve">, S., </w:t>
      </w:r>
      <w:proofErr w:type="spellStart"/>
      <w:r w:rsidRPr="002754E9">
        <w:rPr>
          <w:rFonts w:ascii="Times New Roman" w:eastAsia="Times New Roman" w:hAnsi="Times New Roman" w:cs="Times New Roman"/>
          <w:sz w:val="24"/>
          <w:szCs w:val="24"/>
          <w:lang w:eastAsia="en-IN"/>
        </w:rPr>
        <w:t>Diancumba</w:t>
      </w:r>
      <w:proofErr w:type="spellEnd"/>
      <w:r w:rsidRPr="002754E9">
        <w:rPr>
          <w:rFonts w:ascii="Times New Roman" w:eastAsia="Times New Roman" w:hAnsi="Times New Roman" w:cs="Times New Roman"/>
          <w:sz w:val="24"/>
          <w:szCs w:val="24"/>
          <w:lang w:eastAsia="en-IN"/>
        </w:rPr>
        <w:t xml:space="preserve">, M., </w:t>
      </w:r>
      <w:proofErr w:type="spellStart"/>
      <w:r w:rsidRPr="002754E9">
        <w:rPr>
          <w:rFonts w:ascii="Times New Roman" w:eastAsia="Times New Roman" w:hAnsi="Times New Roman" w:cs="Times New Roman"/>
          <w:sz w:val="24"/>
          <w:szCs w:val="24"/>
          <w:lang w:eastAsia="en-IN"/>
        </w:rPr>
        <w:t>Hajjarpoor</w:t>
      </w:r>
      <w:proofErr w:type="spellEnd"/>
      <w:r w:rsidRPr="002754E9">
        <w:rPr>
          <w:rFonts w:ascii="Times New Roman" w:eastAsia="Times New Roman" w:hAnsi="Times New Roman" w:cs="Times New Roman"/>
          <w:sz w:val="24"/>
          <w:szCs w:val="24"/>
          <w:lang w:eastAsia="en-IN"/>
        </w:rPr>
        <w:t>, A., Chellapilla, T. S., Gupta, S. K., &amp;</w:t>
      </w:r>
      <w:proofErr w:type="spellStart"/>
      <w:r w:rsidRPr="002754E9">
        <w:rPr>
          <w:rFonts w:ascii="Times New Roman" w:eastAsia="Times New Roman" w:hAnsi="Times New Roman" w:cs="Times New Roman"/>
          <w:sz w:val="24"/>
          <w:szCs w:val="24"/>
          <w:lang w:eastAsia="en-IN"/>
        </w:rPr>
        <w:t>Kholovà</w:t>
      </w:r>
      <w:proofErr w:type="spellEnd"/>
      <w:r w:rsidRPr="002754E9">
        <w:rPr>
          <w:rFonts w:ascii="Times New Roman" w:eastAsia="Times New Roman" w:hAnsi="Times New Roman" w:cs="Times New Roman"/>
          <w:sz w:val="24"/>
          <w:szCs w:val="24"/>
          <w:lang w:eastAsia="en-IN"/>
        </w:rPr>
        <w:t xml:space="preserve">, J. (2023). Characterization of the pearl millet cultivation environments in India: status and perspectives enabled by expanded data analytics and digital tools. </w:t>
      </w:r>
      <w:r w:rsidRPr="002754E9">
        <w:rPr>
          <w:rFonts w:ascii="Times New Roman" w:eastAsia="Times New Roman" w:hAnsi="Times New Roman" w:cs="Times New Roman"/>
          <w:i/>
          <w:iCs/>
          <w:sz w:val="24"/>
          <w:szCs w:val="24"/>
          <w:lang w:eastAsia="en-IN"/>
        </w:rPr>
        <w:t>Agronomy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(6), 1607. </w:t>
      </w:r>
      <w:hyperlink r:id="rId24" w:history="1">
        <w:r w:rsidRPr="002754E9">
          <w:rPr>
            <w:rFonts w:ascii="Times New Roman" w:eastAsia="Times New Roman" w:hAnsi="Times New Roman" w:cs="Times New Roman"/>
            <w:sz w:val="24"/>
            <w:szCs w:val="24"/>
            <w:u w:val="single"/>
            <w:lang w:eastAsia="en-IN"/>
          </w:rPr>
          <w:t>https://doi.org/10.3390/agronomy13061607</w:t>
        </w:r>
      </w:hyperlink>
    </w:p>
    <w:p w14:paraId="301A84C6"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Goswami, S., Asrani, P., </w:t>
      </w:r>
      <w:proofErr w:type="spellStart"/>
      <w:r w:rsidRPr="002754E9">
        <w:rPr>
          <w:rFonts w:ascii="Times New Roman" w:eastAsia="Times New Roman" w:hAnsi="Times New Roman" w:cs="Times New Roman"/>
          <w:sz w:val="24"/>
          <w:szCs w:val="24"/>
          <w:lang w:eastAsia="en-IN"/>
        </w:rPr>
        <w:t>Ansheef</w:t>
      </w:r>
      <w:proofErr w:type="spellEnd"/>
      <w:r w:rsidRPr="002754E9">
        <w:rPr>
          <w:rFonts w:ascii="Times New Roman" w:eastAsia="Times New Roman" w:hAnsi="Times New Roman" w:cs="Times New Roman"/>
          <w:sz w:val="24"/>
          <w:szCs w:val="24"/>
          <w:lang w:eastAsia="en-IN"/>
        </w:rPr>
        <w:t xml:space="preserve"> Ali, T. P., Kumar, R. D., Vinutha, T., Veda, K., Kumari, S., Sachdev, A., Singh, S. P., Satyavathi, C. T., Kumar, R. R., &amp; Praveen, S. (2020). Rancidity matrix: Development of biochemical indicators for analysing the keeping quality of pearl millet flour. </w:t>
      </w:r>
      <w:r w:rsidRPr="002754E9">
        <w:rPr>
          <w:rFonts w:ascii="Times New Roman" w:eastAsia="Times New Roman" w:hAnsi="Times New Roman" w:cs="Times New Roman"/>
          <w:i/>
          <w:iCs/>
          <w:sz w:val="24"/>
          <w:szCs w:val="24"/>
          <w:lang w:eastAsia="en-IN"/>
        </w:rPr>
        <w:t>Food Analytical Methods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(11), 2147–2164. </w:t>
      </w:r>
      <w:hyperlink r:id="rId25" w:history="1">
        <w:r w:rsidRPr="002754E9">
          <w:rPr>
            <w:rFonts w:ascii="Times New Roman" w:eastAsia="Times New Roman" w:hAnsi="Times New Roman" w:cs="Times New Roman"/>
            <w:sz w:val="24"/>
            <w:szCs w:val="24"/>
            <w:u w:val="single"/>
            <w:lang w:eastAsia="en-IN"/>
          </w:rPr>
          <w:t>https://doi.org/10.1007/s12161-020-01831-2</w:t>
        </w:r>
      </w:hyperlink>
    </w:p>
    <w:p w14:paraId="0464670A"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Gunguniya</w:t>
      </w:r>
      <w:proofErr w:type="spellEnd"/>
      <w:r w:rsidRPr="002754E9">
        <w:rPr>
          <w:rFonts w:ascii="Times New Roman" w:eastAsia="Times New Roman" w:hAnsi="Times New Roman" w:cs="Times New Roman"/>
          <w:sz w:val="24"/>
          <w:szCs w:val="24"/>
          <w:lang w:eastAsia="en-IN"/>
        </w:rPr>
        <w:t xml:space="preserve">, D. F., Kumar, S., Patel, M. P., </w:t>
      </w:r>
      <w:proofErr w:type="spellStart"/>
      <w:r w:rsidRPr="002754E9">
        <w:rPr>
          <w:rFonts w:ascii="Times New Roman" w:eastAsia="Times New Roman" w:hAnsi="Times New Roman" w:cs="Times New Roman"/>
          <w:sz w:val="24"/>
          <w:szCs w:val="24"/>
          <w:lang w:eastAsia="en-IN"/>
        </w:rPr>
        <w:t>Sakure</w:t>
      </w:r>
      <w:proofErr w:type="spellEnd"/>
      <w:r w:rsidRPr="002754E9">
        <w:rPr>
          <w:rFonts w:ascii="Times New Roman" w:eastAsia="Times New Roman" w:hAnsi="Times New Roman" w:cs="Times New Roman"/>
          <w:sz w:val="24"/>
          <w:szCs w:val="24"/>
          <w:lang w:eastAsia="en-IN"/>
        </w:rPr>
        <w:t xml:space="preserve">, A. A., Patel, R., Kumar, D., &amp; Khandelwal, V. (2023). Morpho-biochemical characterization and molecular marker </w:t>
      </w:r>
      <w:r w:rsidRPr="002754E9">
        <w:rPr>
          <w:rFonts w:ascii="Times New Roman" w:eastAsia="Times New Roman" w:hAnsi="Times New Roman" w:cs="Times New Roman"/>
          <w:sz w:val="24"/>
          <w:szCs w:val="24"/>
          <w:lang w:eastAsia="en-IN"/>
        </w:rPr>
        <w:lastRenderedPageBreak/>
        <w:t>based genetic diversity of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R. Br.). </w:t>
      </w:r>
      <w:proofErr w:type="spellStart"/>
      <w:r w:rsidRPr="002754E9">
        <w:rPr>
          <w:rFonts w:ascii="Times New Roman" w:eastAsia="Times New Roman" w:hAnsi="Times New Roman" w:cs="Times New Roman"/>
          <w:i/>
          <w:iCs/>
          <w:sz w:val="24"/>
          <w:szCs w:val="24"/>
          <w:lang w:eastAsia="en-IN"/>
        </w:rPr>
        <w:t>PeerJ</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11</w:t>
      </w:r>
      <w:r w:rsidRPr="002754E9">
        <w:rPr>
          <w:rFonts w:ascii="Times New Roman" w:eastAsia="Times New Roman" w:hAnsi="Times New Roman" w:cs="Times New Roman"/>
          <w:sz w:val="24"/>
          <w:szCs w:val="24"/>
          <w:lang w:eastAsia="en-IN"/>
        </w:rPr>
        <w:t xml:space="preserve">, e15403. </w:t>
      </w:r>
      <w:hyperlink r:id="rId26" w:history="1">
        <w:r w:rsidRPr="002754E9">
          <w:rPr>
            <w:rFonts w:ascii="Times New Roman" w:eastAsia="Times New Roman" w:hAnsi="Times New Roman" w:cs="Times New Roman"/>
            <w:sz w:val="24"/>
            <w:szCs w:val="24"/>
            <w:u w:val="single"/>
            <w:lang w:eastAsia="en-IN"/>
          </w:rPr>
          <w:t>https://doi.org/10.7717/peerj.15403</w:t>
        </w:r>
      </w:hyperlink>
    </w:p>
    <w:p w14:paraId="1AD1AC93"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Hafeez, A. N., Arora, S., Ghosh, S., Gilbert, D., Bowden, R. L., &amp; Wulff, B. B. H. (2021). Creation and judicious application of a wheat resistance gene atlas. </w:t>
      </w:r>
      <w:r w:rsidRPr="002754E9">
        <w:rPr>
          <w:rFonts w:ascii="Times New Roman" w:eastAsia="Times New Roman" w:hAnsi="Times New Roman" w:cs="Times New Roman"/>
          <w:i/>
          <w:iCs/>
          <w:sz w:val="24"/>
          <w:szCs w:val="24"/>
          <w:lang w:eastAsia="en-IN"/>
        </w:rPr>
        <w:t>Molecular Plant</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(7), 1053–1070. </w:t>
      </w:r>
      <w:hyperlink r:id="rId27" w:history="1">
        <w:r w:rsidRPr="002754E9">
          <w:rPr>
            <w:rFonts w:ascii="Times New Roman" w:eastAsia="Times New Roman" w:hAnsi="Times New Roman" w:cs="Times New Roman"/>
            <w:sz w:val="24"/>
            <w:szCs w:val="24"/>
            <w:u w:val="single"/>
            <w:lang w:eastAsia="en-IN"/>
          </w:rPr>
          <w:t>https://doi.org/10.1016/j.molp.2021.05.014</w:t>
        </w:r>
      </w:hyperlink>
    </w:p>
    <w:p w14:paraId="78D630E1"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shd w:val="clear" w:color="auto" w:fill="FFFFFF"/>
        </w:rPr>
        <w:t>Khandelwal, V., Reddy, S., Satyavathi, C. T., Gupta, P., Jain, S., Mungra, K., Tripathi, M., Yadav, D., Solanki, R., &amp;</w:t>
      </w:r>
      <w:proofErr w:type="spellStart"/>
      <w:r w:rsidRPr="002754E9">
        <w:rPr>
          <w:rFonts w:ascii="Times New Roman" w:hAnsi="Times New Roman" w:cs="Times New Roman"/>
          <w:sz w:val="24"/>
          <w:szCs w:val="24"/>
          <w:shd w:val="clear" w:color="auto" w:fill="FFFFFF"/>
        </w:rPr>
        <w:t>Patroti</w:t>
      </w:r>
      <w:proofErr w:type="spellEnd"/>
      <w:r w:rsidRPr="002754E9">
        <w:rPr>
          <w:rFonts w:ascii="Times New Roman" w:hAnsi="Times New Roman" w:cs="Times New Roman"/>
          <w:sz w:val="24"/>
          <w:szCs w:val="24"/>
          <w:shd w:val="clear" w:color="auto" w:fill="FFFFFF"/>
        </w:rPr>
        <w:t>, P. (2024). Identification of stable cultivars of pearl millet (</w:t>
      </w:r>
      <w:r w:rsidRPr="002754E9">
        <w:rPr>
          <w:rFonts w:ascii="Times New Roman" w:hAnsi="Times New Roman" w:cs="Times New Roman"/>
          <w:i/>
          <w:iCs/>
          <w:sz w:val="24"/>
          <w:szCs w:val="24"/>
          <w:shd w:val="clear" w:color="auto" w:fill="FFFFFF"/>
        </w:rPr>
        <w:t>Pennisetum glaucum</w:t>
      </w:r>
      <w:r w:rsidRPr="002754E9">
        <w:rPr>
          <w:rFonts w:ascii="Times New Roman" w:hAnsi="Times New Roman" w:cs="Times New Roman"/>
          <w:sz w:val="24"/>
          <w:szCs w:val="24"/>
          <w:shd w:val="clear" w:color="auto" w:fill="FFFFFF"/>
        </w:rPr>
        <w:t xml:space="preserve"> (L.) R. Br.) based on GGE biplot and MTSI index. </w:t>
      </w:r>
      <w:r w:rsidRPr="002754E9">
        <w:rPr>
          <w:rFonts w:ascii="Times New Roman" w:hAnsi="Times New Roman" w:cs="Times New Roman"/>
          <w:i/>
          <w:iCs/>
          <w:sz w:val="24"/>
          <w:szCs w:val="24"/>
          <w:shd w:val="clear" w:color="auto" w:fill="FFFFFF"/>
        </w:rPr>
        <w:t>Indian Journal of Genetics &amp; Plant Breeding</w:t>
      </w:r>
      <w:r w:rsidRPr="002754E9">
        <w:rPr>
          <w:rFonts w:ascii="Times New Roman" w:hAnsi="Times New Roman" w:cs="Times New Roman"/>
          <w:sz w:val="24"/>
          <w:szCs w:val="24"/>
          <w:shd w:val="clear" w:color="auto" w:fill="FFFFFF"/>
        </w:rPr>
        <w:t>, </w:t>
      </w:r>
      <w:r w:rsidRPr="002754E9">
        <w:rPr>
          <w:rFonts w:ascii="Times New Roman" w:hAnsi="Times New Roman" w:cs="Times New Roman"/>
          <w:i/>
          <w:iCs/>
          <w:sz w:val="24"/>
          <w:szCs w:val="24"/>
          <w:shd w:val="clear" w:color="auto" w:fill="FFFFFF"/>
        </w:rPr>
        <w:t>84</w:t>
      </w:r>
      <w:r w:rsidRPr="002754E9">
        <w:rPr>
          <w:rFonts w:ascii="Times New Roman" w:hAnsi="Times New Roman" w:cs="Times New Roman"/>
          <w:sz w:val="24"/>
          <w:szCs w:val="24"/>
          <w:shd w:val="clear" w:color="auto" w:fill="FFFFFF"/>
        </w:rPr>
        <w:t xml:space="preserve">(04), 668–678. </w:t>
      </w:r>
      <w:hyperlink r:id="rId28" w:history="1">
        <w:r w:rsidRPr="002754E9">
          <w:rPr>
            <w:rStyle w:val="Hyperlink"/>
            <w:rFonts w:ascii="Times New Roman" w:hAnsi="Times New Roman" w:cs="Times New Roman"/>
            <w:color w:val="auto"/>
            <w:sz w:val="24"/>
            <w:szCs w:val="24"/>
            <w:shd w:val="clear" w:color="auto" w:fill="FFFFFF"/>
          </w:rPr>
          <w:t>https://doi.org/10.31742/ISGPB.84.4.18</w:t>
        </w:r>
      </w:hyperlink>
    </w:p>
    <w:p w14:paraId="4C1E31C1"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Islam, M. T., Gupta, D. R., Hossain, A., Roy, K. K., He, X., Kabir, M. R., Singh, P. K., Khan, Md. A. R., Rahman, M., &amp; Wang, G.-L. (2020). Wheat blast: a new threat to food security. </w:t>
      </w:r>
      <w:r w:rsidRPr="002754E9">
        <w:rPr>
          <w:rFonts w:ascii="Times New Roman" w:eastAsia="Times New Roman" w:hAnsi="Times New Roman" w:cs="Times New Roman"/>
          <w:i/>
          <w:iCs/>
          <w:sz w:val="24"/>
          <w:szCs w:val="24"/>
          <w:lang w:eastAsia="en-IN"/>
        </w:rPr>
        <w:t>Phytopathology Research</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w:t>
      </w:r>
      <w:r w:rsidRPr="002754E9">
        <w:rPr>
          <w:rFonts w:ascii="Times New Roman" w:eastAsia="Times New Roman" w:hAnsi="Times New Roman" w:cs="Times New Roman"/>
          <w:sz w:val="24"/>
          <w:szCs w:val="24"/>
          <w:lang w:eastAsia="en-IN"/>
        </w:rPr>
        <w:t xml:space="preserve">(1), 28. </w:t>
      </w:r>
      <w:hyperlink r:id="rId29" w:history="1">
        <w:r w:rsidRPr="002754E9">
          <w:rPr>
            <w:rFonts w:ascii="Times New Roman" w:eastAsia="Times New Roman" w:hAnsi="Times New Roman" w:cs="Times New Roman"/>
            <w:sz w:val="24"/>
            <w:szCs w:val="24"/>
            <w:u w:val="single"/>
            <w:lang w:eastAsia="en-IN"/>
          </w:rPr>
          <w:t>https://doi.org/10.1186/s42483-020-00067-6</w:t>
        </w:r>
      </w:hyperlink>
    </w:p>
    <w:p w14:paraId="3D67A96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Jeevan, B., </w:t>
      </w:r>
      <w:proofErr w:type="spellStart"/>
      <w:r w:rsidRPr="002754E9">
        <w:rPr>
          <w:rFonts w:ascii="Times New Roman" w:eastAsia="Times New Roman" w:hAnsi="Times New Roman" w:cs="Times New Roman"/>
          <w:sz w:val="24"/>
          <w:szCs w:val="24"/>
          <w:lang w:eastAsia="en-IN"/>
        </w:rPr>
        <w:t>Hosahatti</w:t>
      </w:r>
      <w:proofErr w:type="spellEnd"/>
      <w:r w:rsidRPr="002754E9">
        <w:rPr>
          <w:rFonts w:ascii="Times New Roman" w:eastAsia="Times New Roman" w:hAnsi="Times New Roman" w:cs="Times New Roman"/>
          <w:sz w:val="24"/>
          <w:szCs w:val="24"/>
          <w:lang w:eastAsia="en-IN"/>
        </w:rPr>
        <w:t xml:space="preserve">, R., Koti, P. S., Devappa, V. H., </w:t>
      </w:r>
      <w:proofErr w:type="spellStart"/>
      <w:r w:rsidRPr="002754E9">
        <w:rPr>
          <w:rFonts w:ascii="Times New Roman" w:eastAsia="Times New Roman" w:hAnsi="Times New Roman" w:cs="Times New Roman"/>
          <w:sz w:val="24"/>
          <w:szCs w:val="24"/>
          <w:lang w:eastAsia="en-IN"/>
        </w:rPr>
        <w:t>Ngangkham</w:t>
      </w:r>
      <w:proofErr w:type="spellEnd"/>
      <w:r w:rsidRPr="002754E9">
        <w:rPr>
          <w:rFonts w:ascii="Times New Roman" w:eastAsia="Times New Roman" w:hAnsi="Times New Roman" w:cs="Times New Roman"/>
          <w:sz w:val="24"/>
          <w:szCs w:val="24"/>
          <w:lang w:eastAsia="en-IN"/>
        </w:rPr>
        <w:t xml:space="preserve">, U., Devanna, P., Yadav, M. K., Mishra, K. K., Aditya, J. P., </w:t>
      </w:r>
      <w:proofErr w:type="spellStart"/>
      <w:r w:rsidRPr="002754E9">
        <w:rPr>
          <w:rFonts w:ascii="Times New Roman" w:eastAsia="Times New Roman" w:hAnsi="Times New Roman" w:cs="Times New Roman"/>
          <w:sz w:val="24"/>
          <w:szCs w:val="24"/>
          <w:lang w:eastAsia="en-IN"/>
        </w:rPr>
        <w:t>Boraiah</w:t>
      </w:r>
      <w:proofErr w:type="spellEnd"/>
      <w:r w:rsidRPr="002754E9">
        <w:rPr>
          <w:rFonts w:ascii="Times New Roman" w:eastAsia="Times New Roman" w:hAnsi="Times New Roman" w:cs="Times New Roman"/>
          <w:sz w:val="24"/>
          <w:szCs w:val="24"/>
          <w:lang w:eastAsia="en-IN"/>
        </w:rPr>
        <w:t>, P. K., Gaber, A., &amp; Hossain, A. (2023). Phenotypic and genotypic screening of fifty-two rice (</w:t>
      </w:r>
      <w:r w:rsidRPr="002754E9">
        <w:rPr>
          <w:rFonts w:ascii="Times New Roman" w:eastAsia="Times New Roman" w:hAnsi="Times New Roman" w:cs="Times New Roman"/>
          <w:i/>
          <w:iCs/>
          <w:sz w:val="24"/>
          <w:szCs w:val="24"/>
          <w:lang w:eastAsia="en-IN"/>
        </w:rPr>
        <w:t>Oryza sativa</w:t>
      </w:r>
      <w:r w:rsidRPr="002754E9">
        <w:rPr>
          <w:rFonts w:ascii="Times New Roman" w:eastAsia="Times New Roman" w:hAnsi="Times New Roman" w:cs="Times New Roman"/>
          <w:sz w:val="24"/>
          <w:szCs w:val="24"/>
          <w:lang w:eastAsia="en-IN"/>
        </w:rPr>
        <w:t xml:space="preserve"> L.) genotypes for desirable cultivars against blast disease. </w:t>
      </w:r>
      <w:r w:rsidRPr="002754E9">
        <w:rPr>
          <w:rFonts w:ascii="Times New Roman" w:eastAsia="Times New Roman" w:hAnsi="Times New Roman" w:cs="Times New Roman"/>
          <w:i/>
          <w:iCs/>
          <w:sz w:val="24"/>
          <w:szCs w:val="24"/>
          <w:lang w:eastAsia="en-IN"/>
        </w:rPr>
        <w:t>PLOS ONE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18</w:t>
      </w:r>
      <w:r w:rsidRPr="002754E9">
        <w:rPr>
          <w:rFonts w:ascii="Times New Roman" w:eastAsia="Times New Roman" w:hAnsi="Times New Roman" w:cs="Times New Roman"/>
          <w:sz w:val="24"/>
          <w:szCs w:val="24"/>
          <w:lang w:eastAsia="en-IN"/>
        </w:rPr>
        <w:t xml:space="preserve">(3), e0280762. </w:t>
      </w:r>
      <w:hyperlink r:id="rId30" w:history="1">
        <w:r w:rsidRPr="002754E9">
          <w:rPr>
            <w:rFonts w:ascii="Times New Roman" w:eastAsia="Times New Roman" w:hAnsi="Times New Roman" w:cs="Times New Roman"/>
            <w:sz w:val="24"/>
            <w:szCs w:val="24"/>
            <w:u w:val="single"/>
            <w:lang w:eastAsia="en-IN"/>
          </w:rPr>
          <w:t>https://doi.org/10.1371/journal.pone.0280762</w:t>
        </w:r>
      </w:hyperlink>
    </w:p>
    <w:p w14:paraId="4CDBC584"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Jiang, H., Feng, Y., Qiu, L., Gao, G., Zhang, Q., &amp; He, Y. (2020). Identification of blast resistance QTLs based on two advanced backcross populations in rice. </w:t>
      </w:r>
      <w:r w:rsidRPr="002754E9">
        <w:rPr>
          <w:rFonts w:ascii="Times New Roman" w:eastAsia="Times New Roman" w:hAnsi="Times New Roman" w:cs="Times New Roman"/>
          <w:i/>
          <w:iCs/>
          <w:sz w:val="24"/>
          <w:szCs w:val="24"/>
          <w:lang w:eastAsia="en-IN"/>
        </w:rPr>
        <w:t>Rice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(1), 31. </w:t>
      </w:r>
      <w:hyperlink r:id="rId31" w:history="1">
        <w:r w:rsidRPr="002754E9">
          <w:rPr>
            <w:rFonts w:ascii="Times New Roman" w:eastAsia="Times New Roman" w:hAnsi="Times New Roman" w:cs="Times New Roman"/>
            <w:sz w:val="24"/>
            <w:szCs w:val="24"/>
            <w:u w:val="single"/>
            <w:lang w:eastAsia="en-IN"/>
          </w:rPr>
          <w:t>https://doi.org/10.1186/s12284-020-00392-6</w:t>
        </w:r>
      </w:hyperlink>
    </w:p>
    <w:p w14:paraId="263529A7"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Jorben, J., Singh, A. M., Satyavathi, C. T., Singhal, T., &amp; Singh, S. P. (2024). SSR Markers based diversity analysis in elite genotypes of pearl millet. </w:t>
      </w:r>
      <w:r w:rsidRPr="002754E9">
        <w:rPr>
          <w:rFonts w:ascii="Times New Roman" w:eastAsia="Times New Roman" w:hAnsi="Times New Roman" w:cs="Times New Roman"/>
          <w:i/>
          <w:sz w:val="24"/>
          <w:szCs w:val="24"/>
          <w:lang w:eastAsia="en-IN"/>
        </w:rPr>
        <w:t>Indian Journal of Plant Genetic Resources</w:t>
      </w:r>
      <w:r w:rsidRPr="002754E9">
        <w:rPr>
          <w:rFonts w:ascii="Times New Roman" w:eastAsia="Times New Roman" w:hAnsi="Times New Roman" w:cs="Times New Roman"/>
          <w:sz w:val="24"/>
          <w:szCs w:val="24"/>
          <w:lang w:eastAsia="en-IN"/>
        </w:rPr>
        <w:t xml:space="preserve">, 37(01), 39-46. DOI: 10.61949/0976-1926. 2024.v37i01.05 </w:t>
      </w:r>
    </w:p>
    <w:p w14:paraId="608BB732"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Kapadia, V. N., </w:t>
      </w:r>
      <w:proofErr w:type="spellStart"/>
      <w:r w:rsidRPr="002754E9">
        <w:rPr>
          <w:rFonts w:ascii="Times New Roman" w:eastAsia="Times New Roman" w:hAnsi="Times New Roman" w:cs="Times New Roman"/>
          <w:sz w:val="24"/>
          <w:szCs w:val="24"/>
          <w:lang w:eastAsia="en-IN"/>
        </w:rPr>
        <w:t>Bhalala</w:t>
      </w:r>
      <w:proofErr w:type="spellEnd"/>
      <w:r w:rsidRPr="002754E9">
        <w:rPr>
          <w:rFonts w:ascii="Times New Roman" w:eastAsia="Times New Roman" w:hAnsi="Times New Roman" w:cs="Times New Roman"/>
          <w:sz w:val="24"/>
          <w:szCs w:val="24"/>
          <w:lang w:eastAsia="en-IN"/>
        </w:rPr>
        <w:t xml:space="preserve">, K. C., </w:t>
      </w:r>
      <w:proofErr w:type="spellStart"/>
      <w:r w:rsidRPr="002754E9">
        <w:rPr>
          <w:rFonts w:ascii="Times New Roman" w:eastAsia="Times New Roman" w:hAnsi="Times New Roman" w:cs="Times New Roman"/>
          <w:sz w:val="24"/>
          <w:szCs w:val="24"/>
          <w:lang w:eastAsia="en-IN"/>
        </w:rPr>
        <w:t>Raiyani</w:t>
      </w:r>
      <w:proofErr w:type="spellEnd"/>
      <w:r w:rsidRPr="002754E9">
        <w:rPr>
          <w:rFonts w:ascii="Times New Roman" w:eastAsia="Times New Roman" w:hAnsi="Times New Roman" w:cs="Times New Roman"/>
          <w:sz w:val="24"/>
          <w:szCs w:val="24"/>
          <w:lang w:eastAsia="en-IN"/>
        </w:rPr>
        <w:t xml:space="preserve">, A. M., &amp; Saiyad, M. R. (2016). Genetic diversity analysis of elite forage pearl millet </w:t>
      </w:r>
      <w:proofErr w:type="spellStart"/>
      <w:r w:rsidRPr="002754E9">
        <w:rPr>
          <w:rFonts w:ascii="Times New Roman" w:eastAsia="Times New Roman" w:hAnsi="Times New Roman" w:cs="Times New Roman"/>
          <w:sz w:val="24"/>
          <w:szCs w:val="24"/>
          <w:lang w:eastAsia="en-IN"/>
        </w:rPr>
        <w:t>millet</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sz w:val="24"/>
          <w:szCs w:val="24"/>
          <w:lang w:eastAsia="en-IN"/>
        </w:rPr>
        <w:t>Pennisetum glaucum</w:t>
      </w:r>
      <w:r w:rsidRPr="002754E9">
        <w:rPr>
          <w:rFonts w:ascii="Times New Roman" w:eastAsia="Times New Roman" w:hAnsi="Times New Roman" w:cs="Times New Roman"/>
          <w:sz w:val="24"/>
          <w:szCs w:val="24"/>
          <w:lang w:eastAsia="en-IN"/>
        </w:rPr>
        <w:t xml:space="preserve"> (L.) R Br.] inbred lines using SSR markers. </w:t>
      </w:r>
      <w:r w:rsidRPr="002754E9">
        <w:rPr>
          <w:rFonts w:ascii="Times New Roman" w:eastAsia="Times New Roman" w:hAnsi="Times New Roman" w:cs="Times New Roman"/>
          <w:i/>
          <w:iCs/>
          <w:sz w:val="24"/>
          <w:szCs w:val="24"/>
          <w:lang w:eastAsia="en-IN"/>
        </w:rPr>
        <w:t>Advances in Life Sciences</w:t>
      </w:r>
      <w:r w:rsidRPr="002754E9">
        <w:rPr>
          <w:rFonts w:ascii="Times New Roman" w:eastAsia="Times New Roman" w:hAnsi="Times New Roman" w:cs="Times New Roman"/>
          <w:sz w:val="24"/>
          <w:szCs w:val="24"/>
          <w:lang w:eastAsia="en-IN"/>
        </w:rPr>
        <w:t>, </w:t>
      </w:r>
      <w:r w:rsidRPr="002754E9">
        <w:rPr>
          <w:rFonts w:ascii="Times New Roman" w:eastAsia="Times New Roman" w:hAnsi="Times New Roman" w:cs="Times New Roman"/>
          <w:i/>
          <w:iCs/>
          <w:sz w:val="24"/>
          <w:szCs w:val="24"/>
          <w:lang w:eastAsia="en-IN"/>
        </w:rPr>
        <w:t>5</w:t>
      </w:r>
      <w:r w:rsidRPr="002754E9">
        <w:rPr>
          <w:rFonts w:ascii="Times New Roman" w:eastAsia="Times New Roman" w:hAnsi="Times New Roman" w:cs="Times New Roman"/>
          <w:sz w:val="24"/>
          <w:szCs w:val="24"/>
          <w:lang w:eastAsia="en-IN"/>
        </w:rPr>
        <w:t>(1), 119-125.</w:t>
      </w:r>
    </w:p>
    <w:p w14:paraId="6AFFD699"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Karthik, T. R., Sudha, B., </w:t>
      </w:r>
      <w:proofErr w:type="spellStart"/>
      <w:r w:rsidRPr="002754E9">
        <w:rPr>
          <w:rFonts w:ascii="Times New Roman" w:eastAsia="Times New Roman" w:hAnsi="Times New Roman" w:cs="Times New Roman"/>
          <w:sz w:val="24"/>
          <w:szCs w:val="24"/>
          <w:lang w:eastAsia="en-IN"/>
        </w:rPr>
        <w:t>Simhi</w:t>
      </w:r>
      <w:proofErr w:type="spellEnd"/>
      <w:r w:rsidRPr="002754E9">
        <w:rPr>
          <w:rFonts w:ascii="Times New Roman" w:eastAsia="Times New Roman" w:hAnsi="Times New Roman" w:cs="Times New Roman"/>
          <w:sz w:val="24"/>
          <w:szCs w:val="24"/>
          <w:lang w:eastAsia="en-IN"/>
        </w:rPr>
        <w:t xml:space="preserve"> Samyukta, S. M., Reddy, D. K., Vinodhini, S. M., &amp; Pavithra, G. (2024). Pearl millet (</w:t>
      </w:r>
      <w:r w:rsidRPr="002754E9">
        <w:rPr>
          <w:rFonts w:ascii="Times New Roman" w:eastAsia="Times New Roman" w:hAnsi="Times New Roman" w:cs="Times New Roman"/>
          <w:i/>
          <w:sz w:val="24"/>
          <w:szCs w:val="24"/>
          <w:lang w:eastAsia="en-IN"/>
        </w:rPr>
        <w:t>Pennisetum glaucum</w:t>
      </w:r>
      <w:r w:rsidRPr="002754E9">
        <w:rPr>
          <w:rFonts w:ascii="Times New Roman" w:eastAsia="Times New Roman" w:hAnsi="Times New Roman" w:cs="Times New Roman"/>
          <w:sz w:val="24"/>
          <w:szCs w:val="24"/>
          <w:lang w:eastAsia="en-IN"/>
        </w:rPr>
        <w:t xml:space="preserve">): A climate resilient and nutritionally significant crop for global food security. </w:t>
      </w:r>
      <w:r w:rsidRPr="002754E9">
        <w:rPr>
          <w:rFonts w:ascii="Times New Roman" w:eastAsia="Times New Roman" w:hAnsi="Times New Roman" w:cs="Times New Roman"/>
          <w:i/>
          <w:iCs/>
          <w:sz w:val="24"/>
          <w:szCs w:val="24"/>
          <w:lang w:eastAsia="en-IN"/>
        </w:rPr>
        <w:t xml:space="preserve">International Journal of </w:t>
      </w:r>
      <w:r w:rsidRPr="002754E9">
        <w:rPr>
          <w:rFonts w:ascii="Times New Roman" w:eastAsia="Times New Roman" w:hAnsi="Times New Roman" w:cs="Times New Roman"/>
          <w:i/>
          <w:iCs/>
          <w:sz w:val="24"/>
          <w:szCs w:val="24"/>
          <w:lang w:eastAsia="en-IN"/>
        </w:rPr>
        <w:lastRenderedPageBreak/>
        <w:t>Environment and Climate Change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(10), 381–393. </w:t>
      </w:r>
      <w:hyperlink r:id="rId32" w:history="1">
        <w:r w:rsidRPr="002754E9">
          <w:rPr>
            <w:rFonts w:ascii="Times New Roman" w:eastAsia="Times New Roman" w:hAnsi="Times New Roman" w:cs="Times New Roman"/>
            <w:sz w:val="24"/>
            <w:szCs w:val="24"/>
            <w:u w:val="single"/>
            <w:lang w:eastAsia="en-IN"/>
          </w:rPr>
          <w:t>https://doi.org/10.9734/ijecc/2024/v14i104493</w:t>
        </w:r>
      </w:hyperlink>
    </w:p>
    <w:p w14:paraId="73D898D3"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Kumar, M., Ram, D., Khandelwal, V., Choudhary, A., Saran, M. K., &amp; Yadav, A. L. (2022). Screening of different pearl millet (</w:t>
      </w:r>
      <w:r w:rsidRPr="002754E9">
        <w:rPr>
          <w:rFonts w:ascii="Times New Roman" w:eastAsia="Times New Roman" w:hAnsi="Times New Roman" w:cs="Times New Roman"/>
          <w:i/>
          <w:sz w:val="24"/>
          <w:szCs w:val="24"/>
          <w:lang w:eastAsia="en-IN"/>
        </w:rPr>
        <w:t>Pennisetum glaucum</w:t>
      </w:r>
      <w:r w:rsidRPr="002754E9">
        <w:rPr>
          <w:rFonts w:ascii="Times New Roman" w:eastAsia="Times New Roman" w:hAnsi="Times New Roman" w:cs="Times New Roman"/>
          <w:sz w:val="24"/>
          <w:szCs w:val="24"/>
          <w:lang w:eastAsia="en-IN"/>
        </w:rPr>
        <w:t xml:space="preserve">) genotype against blast disease of pearl millet caused by </w:t>
      </w:r>
      <w:proofErr w:type="spellStart"/>
      <w:r w:rsidRPr="002754E9">
        <w:rPr>
          <w:rFonts w:ascii="Times New Roman" w:eastAsia="Times New Roman" w:hAnsi="Times New Roman" w:cs="Times New Roman"/>
          <w:i/>
          <w:sz w:val="24"/>
          <w:szCs w:val="24"/>
          <w:lang w:eastAsia="en-IN"/>
        </w:rPr>
        <w:t>Pyricularia</w:t>
      </w:r>
      <w:proofErr w:type="spellEnd"/>
      <w:r w:rsidRPr="002754E9">
        <w:rPr>
          <w:rFonts w:ascii="Times New Roman" w:eastAsia="Times New Roman" w:hAnsi="Times New Roman" w:cs="Times New Roman"/>
          <w:i/>
          <w:sz w:val="24"/>
          <w:szCs w:val="24"/>
          <w:lang w:eastAsia="en-IN"/>
        </w:rPr>
        <w:t xml:space="preserve"> grisea</w:t>
      </w:r>
      <w:r w:rsidRPr="002754E9">
        <w:rPr>
          <w:rFonts w:ascii="Times New Roman" w:eastAsia="Times New Roman" w:hAnsi="Times New Roman" w:cs="Times New Roman"/>
          <w:sz w:val="24"/>
          <w:szCs w:val="24"/>
          <w:lang w:eastAsia="en-IN"/>
        </w:rPr>
        <w:t xml:space="preserve"> (Cooke) </w:t>
      </w:r>
      <w:proofErr w:type="spellStart"/>
      <w:r w:rsidRPr="002754E9">
        <w:rPr>
          <w:rFonts w:ascii="Times New Roman" w:eastAsia="Times New Roman" w:hAnsi="Times New Roman" w:cs="Times New Roman"/>
          <w:sz w:val="24"/>
          <w:szCs w:val="24"/>
          <w:lang w:eastAsia="en-IN"/>
        </w:rPr>
        <w:t>Sacc</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Crop Research</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57</w:t>
      </w:r>
      <w:r w:rsidRPr="002754E9">
        <w:rPr>
          <w:rFonts w:ascii="Times New Roman" w:eastAsia="Times New Roman" w:hAnsi="Times New Roman" w:cs="Times New Roman"/>
          <w:sz w:val="24"/>
          <w:szCs w:val="24"/>
          <w:lang w:eastAsia="en-IN"/>
        </w:rPr>
        <w:t xml:space="preserve">(5 &amp; 6)). </w:t>
      </w:r>
      <w:hyperlink r:id="rId33" w:history="1">
        <w:r w:rsidRPr="002754E9">
          <w:rPr>
            <w:rFonts w:ascii="Times New Roman" w:eastAsia="Times New Roman" w:hAnsi="Times New Roman" w:cs="Times New Roman"/>
            <w:sz w:val="24"/>
            <w:szCs w:val="24"/>
            <w:u w:val="single"/>
            <w:lang w:eastAsia="en-IN"/>
          </w:rPr>
          <w:t>https://doi.org/10.31830/2454-1761.2022.CR-893</w:t>
        </w:r>
      </w:hyperlink>
    </w:p>
    <w:p w14:paraId="576BD08F"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Kumar, S., Singh, S., Kumar, R., &amp; Gupta, D. (2024). The genomic SSR millets database (GSMDB): enhancing genetic resources for sustainable agriculture. </w:t>
      </w:r>
      <w:r w:rsidRPr="002754E9">
        <w:rPr>
          <w:rFonts w:ascii="Times New Roman" w:eastAsia="Times New Roman" w:hAnsi="Times New Roman" w:cs="Times New Roman"/>
          <w:i/>
          <w:iCs/>
          <w:sz w:val="24"/>
          <w:szCs w:val="24"/>
          <w:lang w:eastAsia="en-IN"/>
        </w:rPr>
        <w:t>Database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2024</w:t>
      </w:r>
      <w:r w:rsidRPr="002754E9">
        <w:rPr>
          <w:rFonts w:ascii="Times New Roman" w:eastAsia="Times New Roman" w:hAnsi="Times New Roman" w:cs="Times New Roman"/>
          <w:sz w:val="24"/>
          <w:szCs w:val="24"/>
          <w:lang w:eastAsia="en-IN"/>
        </w:rPr>
        <w:t xml:space="preserve">. </w:t>
      </w:r>
      <w:hyperlink r:id="rId34" w:history="1">
        <w:r w:rsidRPr="002754E9">
          <w:rPr>
            <w:rFonts w:ascii="Times New Roman" w:eastAsia="Times New Roman" w:hAnsi="Times New Roman" w:cs="Times New Roman"/>
            <w:sz w:val="24"/>
            <w:szCs w:val="24"/>
            <w:u w:val="single"/>
            <w:lang w:eastAsia="en-IN"/>
          </w:rPr>
          <w:t>https://doi.org/10.1093/database/baae114</w:t>
        </w:r>
      </w:hyperlink>
    </w:p>
    <w:p w14:paraId="5E2CEC2B"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Kumar, V., Jain, P., Venkadesan, S., </w:t>
      </w:r>
      <w:proofErr w:type="spellStart"/>
      <w:r w:rsidRPr="002754E9">
        <w:rPr>
          <w:rFonts w:ascii="Times New Roman" w:eastAsia="Times New Roman" w:hAnsi="Times New Roman" w:cs="Times New Roman"/>
          <w:sz w:val="24"/>
          <w:szCs w:val="24"/>
          <w:lang w:eastAsia="en-IN"/>
        </w:rPr>
        <w:t>Karkute</w:t>
      </w:r>
      <w:proofErr w:type="spellEnd"/>
      <w:r w:rsidRPr="002754E9">
        <w:rPr>
          <w:rFonts w:ascii="Times New Roman" w:eastAsia="Times New Roman" w:hAnsi="Times New Roman" w:cs="Times New Roman"/>
          <w:sz w:val="24"/>
          <w:szCs w:val="24"/>
          <w:lang w:eastAsia="en-IN"/>
        </w:rPr>
        <w:t>, S. G., Bhati, J., Abdin, M. Z., Sevanthi, A. M., Mishra, D. C., Chaturvedi, K. K., Rai, A., Sharma, T. R., &amp; Solanke, A. U. (2021). Understanding rice-</w:t>
      </w:r>
      <w:r w:rsidRPr="002754E9">
        <w:rPr>
          <w:rFonts w:ascii="Times New Roman" w:eastAsia="Times New Roman" w:hAnsi="Times New Roman" w:cs="Times New Roman"/>
          <w:i/>
          <w:sz w:val="24"/>
          <w:szCs w:val="24"/>
          <w:lang w:eastAsia="en-IN"/>
        </w:rPr>
        <w:t>Magnaporthe Oryzae</w:t>
      </w:r>
      <w:r w:rsidRPr="002754E9">
        <w:rPr>
          <w:rFonts w:ascii="Times New Roman" w:eastAsia="Times New Roman" w:hAnsi="Times New Roman" w:cs="Times New Roman"/>
          <w:sz w:val="24"/>
          <w:szCs w:val="24"/>
          <w:lang w:eastAsia="en-IN"/>
        </w:rPr>
        <w:t xml:space="preserve"> interaction in resistant and susceptible cultivars of rice under panicle blast infection using a time-course transcriptome analysis. </w:t>
      </w:r>
      <w:r w:rsidRPr="002754E9">
        <w:rPr>
          <w:rFonts w:ascii="Times New Roman" w:eastAsia="Times New Roman" w:hAnsi="Times New Roman" w:cs="Times New Roman"/>
          <w:i/>
          <w:iCs/>
          <w:sz w:val="24"/>
          <w:szCs w:val="24"/>
          <w:lang w:eastAsia="en-IN"/>
        </w:rPr>
        <w:t>Genes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(2), 301. </w:t>
      </w:r>
      <w:hyperlink r:id="rId35" w:history="1">
        <w:r w:rsidRPr="002754E9">
          <w:rPr>
            <w:rFonts w:ascii="Times New Roman" w:eastAsia="Times New Roman" w:hAnsi="Times New Roman" w:cs="Times New Roman"/>
            <w:sz w:val="24"/>
            <w:szCs w:val="24"/>
            <w:u w:val="single"/>
            <w:lang w:eastAsia="en-IN"/>
          </w:rPr>
          <w:t>https://doi.org/10.3390/genes12020301</w:t>
        </w:r>
      </w:hyperlink>
    </w:p>
    <w:p w14:paraId="7C6D0EE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Kushanov, F. N., </w:t>
      </w:r>
      <w:proofErr w:type="spellStart"/>
      <w:r w:rsidRPr="002754E9">
        <w:rPr>
          <w:rFonts w:ascii="Times New Roman" w:eastAsia="Times New Roman" w:hAnsi="Times New Roman" w:cs="Times New Roman"/>
          <w:sz w:val="24"/>
          <w:szCs w:val="24"/>
          <w:lang w:eastAsia="en-IN"/>
        </w:rPr>
        <w:t>Turaev</w:t>
      </w:r>
      <w:proofErr w:type="spellEnd"/>
      <w:r w:rsidRPr="002754E9">
        <w:rPr>
          <w:rFonts w:ascii="Times New Roman" w:eastAsia="Times New Roman" w:hAnsi="Times New Roman" w:cs="Times New Roman"/>
          <w:sz w:val="24"/>
          <w:szCs w:val="24"/>
          <w:lang w:eastAsia="en-IN"/>
        </w:rPr>
        <w:t xml:space="preserve">, O. S., Ernazarova, D. K., </w:t>
      </w:r>
      <w:proofErr w:type="spellStart"/>
      <w:r w:rsidRPr="002754E9">
        <w:rPr>
          <w:rFonts w:ascii="Times New Roman" w:eastAsia="Times New Roman" w:hAnsi="Times New Roman" w:cs="Times New Roman"/>
          <w:sz w:val="24"/>
          <w:szCs w:val="24"/>
          <w:lang w:eastAsia="en-IN"/>
        </w:rPr>
        <w:t>Gapparov</w:t>
      </w:r>
      <w:proofErr w:type="spellEnd"/>
      <w:r w:rsidRPr="002754E9">
        <w:rPr>
          <w:rFonts w:ascii="Times New Roman" w:eastAsia="Times New Roman" w:hAnsi="Times New Roman" w:cs="Times New Roman"/>
          <w:sz w:val="24"/>
          <w:szCs w:val="24"/>
          <w:lang w:eastAsia="en-IN"/>
        </w:rPr>
        <w:t xml:space="preserve">, B. M., </w:t>
      </w:r>
      <w:proofErr w:type="spellStart"/>
      <w:r w:rsidRPr="002754E9">
        <w:rPr>
          <w:rFonts w:ascii="Times New Roman" w:eastAsia="Times New Roman" w:hAnsi="Times New Roman" w:cs="Times New Roman"/>
          <w:sz w:val="24"/>
          <w:szCs w:val="24"/>
          <w:lang w:eastAsia="en-IN"/>
        </w:rPr>
        <w:t>Oripova</w:t>
      </w:r>
      <w:proofErr w:type="spellEnd"/>
      <w:r w:rsidRPr="002754E9">
        <w:rPr>
          <w:rFonts w:ascii="Times New Roman" w:eastAsia="Times New Roman" w:hAnsi="Times New Roman" w:cs="Times New Roman"/>
          <w:sz w:val="24"/>
          <w:szCs w:val="24"/>
          <w:lang w:eastAsia="en-IN"/>
        </w:rPr>
        <w:t xml:space="preserve">, B. B., </w:t>
      </w:r>
      <w:proofErr w:type="spellStart"/>
      <w:r w:rsidRPr="002754E9">
        <w:rPr>
          <w:rFonts w:ascii="Times New Roman" w:eastAsia="Times New Roman" w:hAnsi="Times New Roman" w:cs="Times New Roman"/>
          <w:sz w:val="24"/>
          <w:szCs w:val="24"/>
          <w:lang w:eastAsia="en-IN"/>
        </w:rPr>
        <w:t>Kudratova</w:t>
      </w:r>
      <w:proofErr w:type="spellEnd"/>
      <w:r w:rsidRPr="002754E9">
        <w:rPr>
          <w:rFonts w:ascii="Times New Roman" w:eastAsia="Times New Roman" w:hAnsi="Times New Roman" w:cs="Times New Roman"/>
          <w:sz w:val="24"/>
          <w:szCs w:val="24"/>
          <w:lang w:eastAsia="en-IN"/>
        </w:rPr>
        <w:t xml:space="preserve">, M. K., </w:t>
      </w:r>
      <w:proofErr w:type="spellStart"/>
      <w:r w:rsidRPr="002754E9">
        <w:rPr>
          <w:rFonts w:ascii="Times New Roman" w:eastAsia="Times New Roman" w:hAnsi="Times New Roman" w:cs="Times New Roman"/>
          <w:sz w:val="24"/>
          <w:szCs w:val="24"/>
          <w:lang w:eastAsia="en-IN"/>
        </w:rPr>
        <w:t>Rafieva</w:t>
      </w:r>
      <w:proofErr w:type="spellEnd"/>
      <w:r w:rsidRPr="002754E9">
        <w:rPr>
          <w:rFonts w:ascii="Times New Roman" w:eastAsia="Times New Roman" w:hAnsi="Times New Roman" w:cs="Times New Roman"/>
          <w:sz w:val="24"/>
          <w:szCs w:val="24"/>
          <w:lang w:eastAsia="en-IN"/>
        </w:rPr>
        <w:t xml:space="preserve">, F. U., Khalikov, K. K., </w:t>
      </w:r>
      <w:proofErr w:type="spellStart"/>
      <w:r w:rsidRPr="002754E9">
        <w:rPr>
          <w:rFonts w:ascii="Times New Roman" w:eastAsia="Times New Roman" w:hAnsi="Times New Roman" w:cs="Times New Roman"/>
          <w:sz w:val="24"/>
          <w:szCs w:val="24"/>
          <w:lang w:eastAsia="en-IN"/>
        </w:rPr>
        <w:t>Erjigitov</w:t>
      </w:r>
      <w:proofErr w:type="spellEnd"/>
      <w:r w:rsidRPr="002754E9">
        <w:rPr>
          <w:rFonts w:ascii="Times New Roman" w:eastAsia="Times New Roman" w:hAnsi="Times New Roman" w:cs="Times New Roman"/>
          <w:sz w:val="24"/>
          <w:szCs w:val="24"/>
          <w:lang w:eastAsia="en-IN"/>
        </w:rPr>
        <w:t xml:space="preserve">, D. Sh., </w:t>
      </w:r>
      <w:proofErr w:type="spellStart"/>
      <w:r w:rsidRPr="002754E9">
        <w:rPr>
          <w:rFonts w:ascii="Times New Roman" w:eastAsia="Times New Roman" w:hAnsi="Times New Roman" w:cs="Times New Roman"/>
          <w:sz w:val="24"/>
          <w:szCs w:val="24"/>
          <w:lang w:eastAsia="en-IN"/>
        </w:rPr>
        <w:t>Khidirov</w:t>
      </w:r>
      <w:proofErr w:type="spellEnd"/>
      <w:r w:rsidRPr="002754E9">
        <w:rPr>
          <w:rFonts w:ascii="Times New Roman" w:eastAsia="Times New Roman" w:hAnsi="Times New Roman" w:cs="Times New Roman"/>
          <w:sz w:val="24"/>
          <w:szCs w:val="24"/>
          <w:lang w:eastAsia="en-IN"/>
        </w:rPr>
        <w:t xml:space="preserve">, M. T., </w:t>
      </w:r>
      <w:proofErr w:type="spellStart"/>
      <w:r w:rsidRPr="002754E9">
        <w:rPr>
          <w:rFonts w:ascii="Times New Roman" w:eastAsia="Times New Roman" w:hAnsi="Times New Roman" w:cs="Times New Roman"/>
          <w:sz w:val="24"/>
          <w:szCs w:val="24"/>
          <w:lang w:eastAsia="en-IN"/>
        </w:rPr>
        <w:t>Kholova</w:t>
      </w:r>
      <w:proofErr w:type="spellEnd"/>
      <w:r w:rsidRPr="002754E9">
        <w:rPr>
          <w:rFonts w:ascii="Times New Roman" w:eastAsia="Times New Roman" w:hAnsi="Times New Roman" w:cs="Times New Roman"/>
          <w:sz w:val="24"/>
          <w:szCs w:val="24"/>
          <w:lang w:eastAsia="en-IN"/>
        </w:rPr>
        <w:t xml:space="preserve">, M. D., </w:t>
      </w:r>
      <w:proofErr w:type="spellStart"/>
      <w:r w:rsidRPr="002754E9">
        <w:rPr>
          <w:rFonts w:ascii="Times New Roman" w:eastAsia="Times New Roman" w:hAnsi="Times New Roman" w:cs="Times New Roman"/>
          <w:sz w:val="24"/>
          <w:szCs w:val="24"/>
          <w:lang w:eastAsia="en-IN"/>
        </w:rPr>
        <w:t>Khusenov</w:t>
      </w:r>
      <w:proofErr w:type="spellEnd"/>
      <w:r w:rsidRPr="002754E9">
        <w:rPr>
          <w:rFonts w:ascii="Times New Roman" w:eastAsia="Times New Roman" w:hAnsi="Times New Roman" w:cs="Times New Roman"/>
          <w:sz w:val="24"/>
          <w:szCs w:val="24"/>
          <w:lang w:eastAsia="en-IN"/>
        </w:rPr>
        <w:t xml:space="preserve">, N. N., </w:t>
      </w:r>
      <w:proofErr w:type="spellStart"/>
      <w:r w:rsidRPr="002754E9">
        <w:rPr>
          <w:rFonts w:ascii="Times New Roman" w:eastAsia="Times New Roman" w:hAnsi="Times New Roman" w:cs="Times New Roman"/>
          <w:sz w:val="24"/>
          <w:szCs w:val="24"/>
          <w:lang w:eastAsia="en-IN"/>
        </w:rPr>
        <w:t>Amanboyeva</w:t>
      </w:r>
      <w:proofErr w:type="spellEnd"/>
      <w:r w:rsidRPr="002754E9">
        <w:rPr>
          <w:rFonts w:ascii="Times New Roman" w:eastAsia="Times New Roman" w:hAnsi="Times New Roman" w:cs="Times New Roman"/>
          <w:sz w:val="24"/>
          <w:szCs w:val="24"/>
          <w:lang w:eastAsia="en-IN"/>
        </w:rPr>
        <w:t>, R. S., Saha, S., Yu, J. Z., &amp;</w:t>
      </w:r>
      <w:proofErr w:type="spellStart"/>
      <w:r w:rsidRPr="002754E9">
        <w:rPr>
          <w:rFonts w:ascii="Times New Roman" w:eastAsia="Times New Roman" w:hAnsi="Times New Roman" w:cs="Times New Roman"/>
          <w:sz w:val="24"/>
          <w:szCs w:val="24"/>
          <w:lang w:eastAsia="en-IN"/>
        </w:rPr>
        <w:t>Abdurakhmonov</w:t>
      </w:r>
      <w:proofErr w:type="spellEnd"/>
      <w:r w:rsidRPr="002754E9">
        <w:rPr>
          <w:rFonts w:ascii="Times New Roman" w:eastAsia="Times New Roman" w:hAnsi="Times New Roman" w:cs="Times New Roman"/>
          <w:sz w:val="24"/>
          <w:szCs w:val="24"/>
          <w:lang w:eastAsia="en-IN"/>
        </w:rPr>
        <w:t>, I. Y. (2021). Genetic diversity, QTL mapping, and marker-assisted selection technology in cotton (</w:t>
      </w:r>
      <w:r w:rsidRPr="002754E9">
        <w:rPr>
          <w:rFonts w:ascii="Times New Roman" w:eastAsia="Times New Roman" w:hAnsi="Times New Roman" w:cs="Times New Roman"/>
          <w:i/>
          <w:sz w:val="24"/>
          <w:szCs w:val="24"/>
          <w:lang w:eastAsia="en-IN"/>
        </w:rPr>
        <w:t>Gossypium</w:t>
      </w:r>
      <w:r w:rsidRPr="002754E9">
        <w:rPr>
          <w:rFonts w:ascii="Times New Roman" w:eastAsia="Times New Roman" w:hAnsi="Times New Roman" w:cs="Times New Roman"/>
          <w:sz w:val="24"/>
          <w:szCs w:val="24"/>
          <w:lang w:eastAsia="en-IN"/>
        </w:rPr>
        <w:t xml:space="preserve"> spp.).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 </w:t>
      </w:r>
      <w:hyperlink r:id="rId36" w:history="1">
        <w:r w:rsidRPr="002754E9">
          <w:rPr>
            <w:rFonts w:ascii="Times New Roman" w:eastAsia="Times New Roman" w:hAnsi="Times New Roman" w:cs="Times New Roman"/>
            <w:sz w:val="24"/>
            <w:szCs w:val="24"/>
            <w:u w:val="single"/>
            <w:lang w:eastAsia="en-IN"/>
          </w:rPr>
          <w:t>https://doi.org/10.3389/fpls.2021.779386</w:t>
        </w:r>
      </w:hyperlink>
    </w:p>
    <w:p w14:paraId="7EE09EBB" w14:textId="77777777" w:rsidR="002A648B" w:rsidRPr="002754E9" w:rsidRDefault="002A648B" w:rsidP="002A648B">
      <w:pPr>
        <w:numPr>
          <w:ilvl w:val="0"/>
          <w:numId w:val="9"/>
        </w:numPr>
        <w:spacing w:before="120" w:after="120" w:line="360" w:lineRule="auto"/>
        <w:ind w:left="357" w:hanging="357"/>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rPr>
        <w:t xml:space="preserve">Liu, K. and Muse, S. (2005). Power marker: New genetic data analysis software, Version 27. </w:t>
      </w:r>
    </w:p>
    <w:p w14:paraId="0A3679C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Liu, M., Bi, Y., Duan, W., Sun, D., Hao, D., Kong, W., &amp; Guo, H. (2025). Genome-wide development of SSR markers in </w:t>
      </w:r>
      <w:r w:rsidRPr="002754E9">
        <w:rPr>
          <w:rFonts w:ascii="Times New Roman" w:eastAsia="Times New Roman" w:hAnsi="Times New Roman" w:cs="Times New Roman"/>
          <w:i/>
          <w:iCs/>
          <w:sz w:val="24"/>
          <w:szCs w:val="24"/>
          <w:lang w:eastAsia="en-IN"/>
        </w:rPr>
        <w:t>Zoysia japonica</w:t>
      </w:r>
      <w:r w:rsidRPr="002754E9">
        <w:rPr>
          <w:rFonts w:ascii="Times New Roman" w:eastAsia="Times New Roman" w:hAnsi="Times New Roman" w:cs="Times New Roman"/>
          <w:sz w:val="24"/>
          <w:szCs w:val="24"/>
          <w:lang w:eastAsia="en-IN"/>
        </w:rPr>
        <w:t xml:space="preserve"> and their application for DNA fingerprinting-based variety discrimination. </w:t>
      </w:r>
      <w:r w:rsidRPr="002754E9">
        <w:rPr>
          <w:rFonts w:ascii="Times New Roman" w:eastAsia="Times New Roman" w:hAnsi="Times New Roman" w:cs="Times New Roman"/>
          <w:i/>
          <w:iCs/>
          <w:sz w:val="24"/>
          <w:szCs w:val="24"/>
          <w:lang w:eastAsia="en-IN"/>
        </w:rPr>
        <w:t xml:space="preserve">Scientia </w:t>
      </w:r>
      <w:proofErr w:type="spellStart"/>
      <w:r w:rsidRPr="002754E9">
        <w:rPr>
          <w:rFonts w:ascii="Times New Roman" w:eastAsia="Times New Roman" w:hAnsi="Times New Roman" w:cs="Times New Roman"/>
          <w:i/>
          <w:iCs/>
          <w:sz w:val="24"/>
          <w:szCs w:val="24"/>
          <w:lang w:eastAsia="en-IN"/>
        </w:rPr>
        <w:t>Horticulturae</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345</w:t>
      </w:r>
      <w:r w:rsidRPr="002754E9">
        <w:rPr>
          <w:rFonts w:ascii="Times New Roman" w:eastAsia="Times New Roman" w:hAnsi="Times New Roman" w:cs="Times New Roman"/>
          <w:sz w:val="24"/>
          <w:szCs w:val="24"/>
          <w:lang w:eastAsia="en-IN"/>
        </w:rPr>
        <w:t xml:space="preserve">, 114153. </w:t>
      </w:r>
      <w:hyperlink r:id="rId37" w:history="1">
        <w:r w:rsidRPr="002754E9">
          <w:rPr>
            <w:rFonts w:ascii="Times New Roman" w:eastAsia="Times New Roman" w:hAnsi="Times New Roman" w:cs="Times New Roman"/>
            <w:sz w:val="24"/>
            <w:szCs w:val="24"/>
            <w:u w:val="single"/>
            <w:lang w:eastAsia="en-IN"/>
          </w:rPr>
          <w:t>https://doi.org/10.1016/j.scienta.2025.114153</w:t>
        </w:r>
      </w:hyperlink>
    </w:p>
    <w:p w14:paraId="66EA74EC"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Makwana, K., Tiwari, S., Tripathi, M. K., Sharma, A. K., Pandya, R. K., &amp; Singh, A. K. (2022). Morphological characterization and DNA fingerprinting of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germplasms. </w:t>
      </w:r>
      <w:r w:rsidRPr="002754E9">
        <w:rPr>
          <w:rFonts w:ascii="Times New Roman" w:eastAsia="Times New Roman" w:hAnsi="Times New Roman" w:cs="Times New Roman"/>
          <w:i/>
          <w:iCs/>
          <w:sz w:val="24"/>
          <w:szCs w:val="24"/>
          <w:lang w:eastAsia="en-IN"/>
        </w:rPr>
        <w:t>Range Management and Agroforestry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42</w:t>
      </w:r>
      <w:r w:rsidRPr="002754E9">
        <w:rPr>
          <w:rFonts w:ascii="Times New Roman" w:eastAsia="Times New Roman" w:hAnsi="Times New Roman" w:cs="Times New Roman"/>
          <w:sz w:val="24"/>
          <w:szCs w:val="24"/>
          <w:lang w:eastAsia="en-IN"/>
        </w:rPr>
        <w:t xml:space="preserve">(2), 205–211. Retrieved from </w:t>
      </w:r>
      <w:hyperlink r:id="rId38" w:history="1">
        <w:r w:rsidRPr="002754E9">
          <w:rPr>
            <w:rFonts w:ascii="Times New Roman" w:eastAsia="Times New Roman" w:hAnsi="Times New Roman" w:cs="Times New Roman"/>
            <w:sz w:val="24"/>
            <w:szCs w:val="24"/>
            <w:u w:val="single"/>
            <w:lang w:eastAsia="en-IN"/>
          </w:rPr>
          <w:t>https://publications.rmsi.in/index.php/rma/article/view/539</w:t>
        </w:r>
      </w:hyperlink>
    </w:p>
    <w:p w14:paraId="4B947353"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rPr>
        <w:lastRenderedPageBreak/>
        <w:t xml:space="preserve">Makwana, K., Tiwari S., Tripathi, M.K., &amp; Patel V. (2023). Selection of blast resistant lines from diverse germplasm set of foxtail millet. </w:t>
      </w:r>
      <w:r w:rsidRPr="002754E9">
        <w:rPr>
          <w:rFonts w:ascii="Times New Roman" w:hAnsi="Times New Roman" w:cs="Times New Roman"/>
          <w:i/>
          <w:iCs/>
          <w:sz w:val="24"/>
          <w:szCs w:val="24"/>
        </w:rPr>
        <w:t>Biological Forum</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15</w:t>
      </w:r>
      <w:r w:rsidRPr="002754E9">
        <w:rPr>
          <w:rFonts w:ascii="Times New Roman" w:hAnsi="Times New Roman" w:cs="Times New Roman"/>
          <w:sz w:val="24"/>
          <w:szCs w:val="24"/>
        </w:rPr>
        <w:t>(1): 01-06</w:t>
      </w:r>
    </w:p>
    <w:p w14:paraId="19191F15"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Mbinda</w:t>
      </w:r>
      <w:proofErr w:type="spellEnd"/>
      <w:r w:rsidRPr="002754E9">
        <w:rPr>
          <w:rFonts w:ascii="Times New Roman" w:eastAsia="Times New Roman" w:hAnsi="Times New Roman" w:cs="Times New Roman"/>
          <w:sz w:val="24"/>
          <w:szCs w:val="24"/>
          <w:lang w:eastAsia="en-IN"/>
        </w:rPr>
        <w:t xml:space="preserve">, W., &amp; Masaki, H. (2021). Breeding strategies and challenges in the improvement of blast disease resistance in finger millet. A current review.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11</w:t>
      </w:r>
      <w:r w:rsidRPr="002754E9">
        <w:rPr>
          <w:rFonts w:ascii="Times New Roman" w:eastAsia="Times New Roman" w:hAnsi="Times New Roman" w:cs="Times New Roman"/>
          <w:sz w:val="24"/>
          <w:szCs w:val="24"/>
          <w:lang w:eastAsia="en-IN"/>
        </w:rPr>
        <w:t xml:space="preserve">. </w:t>
      </w:r>
      <w:hyperlink r:id="rId39" w:history="1">
        <w:r w:rsidRPr="002754E9">
          <w:rPr>
            <w:rFonts w:ascii="Times New Roman" w:eastAsia="Times New Roman" w:hAnsi="Times New Roman" w:cs="Times New Roman"/>
            <w:sz w:val="24"/>
            <w:szCs w:val="24"/>
            <w:u w:val="single"/>
            <w:lang w:eastAsia="en-IN"/>
          </w:rPr>
          <w:t>https://doi.org/10.3389/fpls.2020.602882</w:t>
        </w:r>
      </w:hyperlink>
    </w:p>
    <w:p w14:paraId="73CA19A1"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McLaughlin, M. S., Roy, M., Abbasi, P. A., Carisse, O., Yurgel, S. N., &amp; Ali, S. (2023). Why do we need alternative methods for fungal disease management in plants? </w:t>
      </w:r>
      <w:r w:rsidRPr="002754E9">
        <w:rPr>
          <w:rFonts w:ascii="Times New Roman" w:eastAsia="Times New Roman" w:hAnsi="Times New Roman" w:cs="Times New Roman"/>
          <w:i/>
          <w:iCs/>
          <w:sz w:val="24"/>
          <w:szCs w:val="24"/>
          <w:lang w:eastAsia="en-IN"/>
        </w:rPr>
        <w:t>Plants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(22), 3822. </w:t>
      </w:r>
      <w:hyperlink r:id="rId40" w:history="1">
        <w:r w:rsidRPr="002754E9">
          <w:rPr>
            <w:rFonts w:ascii="Times New Roman" w:eastAsia="Times New Roman" w:hAnsi="Times New Roman" w:cs="Times New Roman"/>
            <w:sz w:val="24"/>
            <w:szCs w:val="24"/>
            <w:u w:val="single"/>
            <w:lang w:eastAsia="en-IN"/>
          </w:rPr>
          <w:t>https://doi.org/10.3390/plants12223822</w:t>
        </w:r>
      </w:hyperlink>
    </w:p>
    <w:p w14:paraId="2B462DC0" w14:textId="77777777" w:rsidR="004B480F" w:rsidRPr="0043401B" w:rsidRDefault="004B480F" w:rsidP="004B480F">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 xml:space="preserve">Mishra N, Tripathi MK, Tiwari S, Tripathi N, Trivedi HK. (2020). Morphological and molecular screening of soybean genotypes against yellow mosaic virus disease. </w:t>
      </w:r>
      <w:r w:rsidRPr="0043401B">
        <w:rPr>
          <w:rFonts w:ascii="Times New Roman" w:eastAsia="Times New Roman" w:hAnsi="Times New Roman" w:cs="Times New Roman"/>
          <w:i/>
          <w:iCs/>
          <w:sz w:val="24"/>
          <w:szCs w:val="24"/>
          <w:lang w:eastAsia="en-IN"/>
        </w:rPr>
        <w:t>Legume Research</w:t>
      </w:r>
      <w:r w:rsidRPr="0043401B">
        <w:rPr>
          <w:rFonts w:ascii="Times New Roman" w:eastAsia="Times New Roman" w:hAnsi="Times New Roman" w:cs="Times New Roman"/>
          <w:sz w:val="24"/>
          <w:szCs w:val="24"/>
          <w:lang w:eastAsia="en-IN"/>
        </w:rPr>
        <w:t xml:space="preserve">. </w:t>
      </w:r>
      <w:hyperlink r:id="rId41" w:history="1">
        <w:r w:rsidRPr="0043401B">
          <w:rPr>
            <w:rStyle w:val="Hyperlink"/>
            <w:rFonts w:ascii="Times New Roman" w:eastAsia="Times New Roman" w:hAnsi="Times New Roman" w:cs="Times New Roman"/>
            <w:sz w:val="24"/>
            <w:szCs w:val="24"/>
            <w:lang w:eastAsia="en-IN"/>
          </w:rPr>
          <w:t>https://doi.org/10.18805/LR-4240</w:t>
        </w:r>
      </w:hyperlink>
    </w:p>
    <w:p w14:paraId="3E55E6C2"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Mishra, N., Tripathi, M.K., Tiwari, S., Tripathi, N., Gupta, N., Sharma, A. &amp; Solanki, R.S. (2021). Evaluation of diversity among soybean genotypes </w:t>
      </w:r>
      <w:r w:rsidRPr="002754E9">
        <w:rPr>
          <w:rFonts w:ascii="Times New Roman" w:hAnsi="Times New Roman" w:cs="Times New Roman"/>
          <w:i/>
          <w:iCs/>
          <w:sz w:val="24"/>
          <w:szCs w:val="24"/>
        </w:rPr>
        <w:t xml:space="preserve">via </w:t>
      </w:r>
      <w:r w:rsidRPr="002754E9">
        <w:rPr>
          <w:rFonts w:ascii="Times New Roman" w:hAnsi="Times New Roman" w:cs="Times New Roman"/>
          <w:sz w:val="24"/>
          <w:szCs w:val="24"/>
        </w:rPr>
        <w:t xml:space="preserve">yield attributing traits and SSR molecular markers. </w:t>
      </w:r>
      <w:r w:rsidRPr="002754E9">
        <w:rPr>
          <w:rFonts w:ascii="Times New Roman" w:hAnsi="Times New Roman" w:cs="Times New Roman"/>
          <w:i/>
          <w:iCs/>
          <w:sz w:val="24"/>
          <w:szCs w:val="24"/>
        </w:rPr>
        <w:t>Current Journal of Applied Science &amp; Technology</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40</w:t>
      </w:r>
      <w:r w:rsidRPr="002754E9">
        <w:rPr>
          <w:rFonts w:ascii="Times New Roman" w:hAnsi="Times New Roman" w:cs="Times New Roman"/>
          <w:sz w:val="24"/>
          <w:szCs w:val="24"/>
        </w:rPr>
        <w:t xml:space="preserve">(21):9-24. </w:t>
      </w:r>
    </w:p>
    <w:p w14:paraId="0082695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Mishra, R., Tripathi, M. K., Shrivastava, M. K., &amp;</w:t>
      </w:r>
      <w:proofErr w:type="spellStart"/>
      <w:r w:rsidRPr="002754E9">
        <w:rPr>
          <w:rFonts w:ascii="Times New Roman" w:eastAsia="Times New Roman" w:hAnsi="Times New Roman" w:cs="Times New Roman"/>
          <w:sz w:val="24"/>
          <w:szCs w:val="24"/>
          <w:lang w:eastAsia="en-IN"/>
        </w:rPr>
        <w:t>Amrate</w:t>
      </w:r>
      <w:proofErr w:type="spellEnd"/>
      <w:r w:rsidRPr="002754E9">
        <w:rPr>
          <w:rFonts w:ascii="Times New Roman" w:eastAsia="Times New Roman" w:hAnsi="Times New Roman" w:cs="Times New Roman"/>
          <w:sz w:val="24"/>
          <w:szCs w:val="24"/>
          <w:lang w:eastAsia="en-IN"/>
        </w:rPr>
        <w:t xml:space="preserve">, P. K. (2024). Genetic diversity in crop improvement: A cornerstone for sustainable agriculture and global food security. In M. K. Tripathi &amp; N. Tripathi (Eds.), </w:t>
      </w:r>
      <w:r w:rsidRPr="002754E9">
        <w:rPr>
          <w:rFonts w:ascii="Times New Roman" w:eastAsia="Times New Roman" w:hAnsi="Times New Roman" w:cs="Times New Roman"/>
          <w:i/>
          <w:iCs/>
          <w:sz w:val="24"/>
          <w:szCs w:val="24"/>
          <w:lang w:eastAsia="en-IN"/>
        </w:rPr>
        <w:t>Advances in Plant Biotechnology</w:t>
      </w:r>
      <w:r w:rsidRPr="002754E9">
        <w:rPr>
          <w:rFonts w:ascii="Times New Roman" w:eastAsia="Times New Roman" w:hAnsi="Times New Roman" w:cs="Times New Roman"/>
          <w:sz w:val="24"/>
          <w:szCs w:val="24"/>
          <w:lang w:eastAsia="en-IN"/>
        </w:rPr>
        <w:t xml:space="preserve"> (Vol. 1, pp. 1–21). </w:t>
      </w:r>
      <w:proofErr w:type="spellStart"/>
      <w:r w:rsidRPr="002754E9">
        <w:rPr>
          <w:rFonts w:ascii="Times New Roman" w:eastAsia="Times New Roman" w:hAnsi="Times New Roman" w:cs="Times New Roman"/>
          <w:sz w:val="24"/>
          <w:szCs w:val="24"/>
          <w:lang w:eastAsia="en-IN"/>
        </w:rPr>
        <w:t>Cornous</w:t>
      </w:r>
      <w:proofErr w:type="spellEnd"/>
      <w:r w:rsidRPr="002754E9">
        <w:rPr>
          <w:rFonts w:ascii="Times New Roman" w:eastAsia="Times New Roman" w:hAnsi="Times New Roman" w:cs="Times New Roman"/>
          <w:sz w:val="24"/>
          <w:szCs w:val="24"/>
          <w:lang w:eastAsia="en-IN"/>
        </w:rPr>
        <w:t xml:space="preserve"> Publications LLP. </w:t>
      </w:r>
      <w:hyperlink r:id="rId42" w:history="1">
        <w:r w:rsidRPr="002754E9">
          <w:rPr>
            <w:rFonts w:ascii="Times New Roman" w:eastAsia="Times New Roman" w:hAnsi="Times New Roman" w:cs="Times New Roman"/>
            <w:sz w:val="24"/>
            <w:szCs w:val="24"/>
            <w:u w:val="single"/>
            <w:lang w:eastAsia="en-IN"/>
          </w:rPr>
          <w:t>https://doi.org/https://doi.org/10.37446/volbook032024/1-21</w:t>
        </w:r>
      </w:hyperlink>
    </w:p>
    <w:p w14:paraId="260EC475"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Moghariya, A. A., Parmar, S. K., Chaudhari, R. J., </w:t>
      </w:r>
      <w:proofErr w:type="spellStart"/>
      <w:r w:rsidRPr="002754E9">
        <w:rPr>
          <w:rFonts w:ascii="Times New Roman" w:eastAsia="Times New Roman" w:hAnsi="Times New Roman" w:cs="Times New Roman"/>
          <w:sz w:val="24"/>
          <w:szCs w:val="24"/>
          <w:lang w:eastAsia="en-IN"/>
        </w:rPr>
        <w:t>Patoliya</w:t>
      </w:r>
      <w:proofErr w:type="spellEnd"/>
      <w:r w:rsidRPr="002754E9">
        <w:rPr>
          <w:rFonts w:ascii="Times New Roman" w:eastAsia="Times New Roman" w:hAnsi="Times New Roman" w:cs="Times New Roman"/>
          <w:sz w:val="24"/>
          <w:szCs w:val="24"/>
          <w:lang w:eastAsia="en-IN"/>
        </w:rPr>
        <w:t xml:space="preserve">, B. V., Mungra, K. D., Patel, J. K., &amp; Bhatiya, B. D. (2024). Screening of pearl millet hybrids, parents and their performance in hybrids against blast disease under field conditions. </w:t>
      </w:r>
      <w:r w:rsidRPr="002754E9">
        <w:rPr>
          <w:rFonts w:ascii="Times New Roman" w:eastAsia="Times New Roman" w:hAnsi="Times New Roman" w:cs="Times New Roman"/>
          <w:i/>
          <w:iCs/>
          <w:sz w:val="24"/>
          <w:szCs w:val="24"/>
          <w:lang w:eastAsia="en-IN"/>
        </w:rPr>
        <w:t>Asian Research Journal of Agriculture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17</w:t>
      </w:r>
      <w:r w:rsidRPr="002754E9">
        <w:rPr>
          <w:rFonts w:ascii="Times New Roman" w:eastAsia="Times New Roman" w:hAnsi="Times New Roman" w:cs="Times New Roman"/>
          <w:sz w:val="24"/>
          <w:szCs w:val="24"/>
          <w:lang w:eastAsia="en-IN"/>
        </w:rPr>
        <w:t xml:space="preserve">(4), 1100–1106. </w:t>
      </w:r>
      <w:hyperlink r:id="rId43" w:history="1">
        <w:r w:rsidRPr="002754E9">
          <w:rPr>
            <w:rFonts w:ascii="Times New Roman" w:eastAsia="Times New Roman" w:hAnsi="Times New Roman" w:cs="Times New Roman"/>
            <w:sz w:val="24"/>
            <w:szCs w:val="24"/>
            <w:u w:val="single"/>
            <w:lang w:eastAsia="en-IN"/>
          </w:rPr>
          <w:t>https://doi.org/10.9734/arja/2024/v17i4624</w:t>
        </w:r>
      </w:hyperlink>
    </w:p>
    <w:p w14:paraId="1F937E4B"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Nadeem, M. A., Nawaz, M. A., Shahid, M. Q., Doğan, Y., </w:t>
      </w:r>
      <w:proofErr w:type="spellStart"/>
      <w:r w:rsidRPr="002754E9">
        <w:rPr>
          <w:rFonts w:ascii="Times New Roman" w:eastAsia="Times New Roman" w:hAnsi="Times New Roman" w:cs="Times New Roman"/>
          <w:sz w:val="24"/>
          <w:szCs w:val="24"/>
          <w:lang w:eastAsia="en-IN"/>
        </w:rPr>
        <w:t>Comertpay</w:t>
      </w:r>
      <w:proofErr w:type="spellEnd"/>
      <w:r w:rsidRPr="002754E9">
        <w:rPr>
          <w:rFonts w:ascii="Times New Roman" w:eastAsia="Times New Roman" w:hAnsi="Times New Roman" w:cs="Times New Roman"/>
          <w:sz w:val="24"/>
          <w:szCs w:val="24"/>
          <w:lang w:eastAsia="en-IN"/>
        </w:rPr>
        <w:t xml:space="preserve">, G., Yıldız, M., Hatipoğlu, R., Ahmad, F., Alsaleh, A., </w:t>
      </w:r>
      <w:proofErr w:type="spellStart"/>
      <w:r w:rsidRPr="002754E9">
        <w:rPr>
          <w:rFonts w:ascii="Times New Roman" w:eastAsia="Times New Roman" w:hAnsi="Times New Roman" w:cs="Times New Roman"/>
          <w:sz w:val="24"/>
          <w:szCs w:val="24"/>
          <w:lang w:eastAsia="en-IN"/>
        </w:rPr>
        <w:t>Labhane</w:t>
      </w:r>
      <w:proofErr w:type="spellEnd"/>
      <w:r w:rsidRPr="002754E9">
        <w:rPr>
          <w:rFonts w:ascii="Times New Roman" w:eastAsia="Times New Roman" w:hAnsi="Times New Roman" w:cs="Times New Roman"/>
          <w:sz w:val="24"/>
          <w:szCs w:val="24"/>
          <w:lang w:eastAsia="en-IN"/>
        </w:rPr>
        <w:t xml:space="preserve">, N., Özkan, H., Chung, G., &amp; Baloch, F. S. (2018). DNA molecular markers in plant breeding: current status and recent advancements in genomic selection and genome editing. </w:t>
      </w:r>
      <w:r w:rsidRPr="002754E9">
        <w:rPr>
          <w:rFonts w:ascii="Times New Roman" w:eastAsia="Times New Roman" w:hAnsi="Times New Roman" w:cs="Times New Roman"/>
          <w:i/>
          <w:iCs/>
          <w:sz w:val="24"/>
          <w:szCs w:val="24"/>
          <w:lang w:eastAsia="en-IN"/>
        </w:rPr>
        <w:t>Biotechnology &amp; Biotechnological Equipment</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32</w:t>
      </w:r>
      <w:r w:rsidRPr="002754E9">
        <w:rPr>
          <w:rFonts w:ascii="Times New Roman" w:eastAsia="Times New Roman" w:hAnsi="Times New Roman" w:cs="Times New Roman"/>
          <w:sz w:val="24"/>
          <w:szCs w:val="24"/>
          <w:lang w:eastAsia="en-IN"/>
        </w:rPr>
        <w:t xml:space="preserve">(2), 261–285. </w:t>
      </w:r>
      <w:hyperlink r:id="rId44" w:history="1">
        <w:r w:rsidRPr="002754E9">
          <w:rPr>
            <w:rFonts w:ascii="Times New Roman" w:eastAsia="Times New Roman" w:hAnsi="Times New Roman" w:cs="Times New Roman"/>
            <w:sz w:val="24"/>
            <w:szCs w:val="24"/>
            <w:u w:val="single"/>
            <w:lang w:eastAsia="en-IN"/>
          </w:rPr>
          <w:t>https://doi.org/10.1080/13102818.2017.1400401</w:t>
        </w:r>
      </w:hyperlink>
    </w:p>
    <w:p w14:paraId="7860D4A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lastRenderedPageBreak/>
        <w:t xml:space="preserve">Ning, X., </w:t>
      </w:r>
      <w:proofErr w:type="spellStart"/>
      <w:r w:rsidRPr="002754E9">
        <w:rPr>
          <w:rFonts w:ascii="Times New Roman" w:eastAsia="Times New Roman" w:hAnsi="Times New Roman" w:cs="Times New Roman"/>
          <w:sz w:val="24"/>
          <w:szCs w:val="24"/>
          <w:lang w:eastAsia="en-IN"/>
        </w:rPr>
        <w:t>Yunyu</w:t>
      </w:r>
      <w:proofErr w:type="spellEnd"/>
      <w:r w:rsidRPr="002754E9">
        <w:rPr>
          <w:rFonts w:ascii="Times New Roman" w:eastAsia="Times New Roman" w:hAnsi="Times New Roman" w:cs="Times New Roman"/>
          <w:sz w:val="24"/>
          <w:szCs w:val="24"/>
          <w:lang w:eastAsia="en-IN"/>
        </w:rPr>
        <w:t>, W., &amp;</w:t>
      </w:r>
      <w:proofErr w:type="spellStart"/>
      <w:r w:rsidRPr="002754E9">
        <w:rPr>
          <w:rFonts w:ascii="Times New Roman" w:eastAsia="Times New Roman" w:hAnsi="Times New Roman" w:cs="Times New Roman"/>
          <w:sz w:val="24"/>
          <w:szCs w:val="24"/>
          <w:lang w:eastAsia="en-IN"/>
        </w:rPr>
        <w:t>Aihong</w:t>
      </w:r>
      <w:proofErr w:type="spellEnd"/>
      <w:r w:rsidRPr="002754E9">
        <w:rPr>
          <w:rFonts w:ascii="Times New Roman" w:eastAsia="Times New Roman" w:hAnsi="Times New Roman" w:cs="Times New Roman"/>
          <w:sz w:val="24"/>
          <w:szCs w:val="24"/>
          <w:lang w:eastAsia="en-IN"/>
        </w:rPr>
        <w:t xml:space="preserve">, L. (2020). Strategy for use of rice blast resistance genes in rice molecular breeding. </w:t>
      </w:r>
      <w:r w:rsidRPr="002754E9">
        <w:rPr>
          <w:rFonts w:ascii="Times New Roman" w:eastAsia="Times New Roman" w:hAnsi="Times New Roman" w:cs="Times New Roman"/>
          <w:i/>
          <w:iCs/>
          <w:sz w:val="24"/>
          <w:szCs w:val="24"/>
          <w:lang w:eastAsia="en-IN"/>
        </w:rPr>
        <w:t>Rice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27</w:t>
      </w:r>
      <w:r w:rsidRPr="002754E9">
        <w:rPr>
          <w:rFonts w:ascii="Times New Roman" w:eastAsia="Times New Roman" w:hAnsi="Times New Roman" w:cs="Times New Roman"/>
          <w:sz w:val="24"/>
          <w:szCs w:val="24"/>
          <w:lang w:eastAsia="en-IN"/>
        </w:rPr>
        <w:t xml:space="preserve">(4), 263–277. </w:t>
      </w:r>
      <w:hyperlink r:id="rId45" w:history="1">
        <w:r w:rsidRPr="002754E9">
          <w:rPr>
            <w:rFonts w:ascii="Times New Roman" w:eastAsia="Times New Roman" w:hAnsi="Times New Roman" w:cs="Times New Roman"/>
            <w:sz w:val="24"/>
            <w:szCs w:val="24"/>
            <w:u w:val="single"/>
            <w:lang w:eastAsia="en-IN"/>
          </w:rPr>
          <w:t>https://doi.org/10.1016/j.rsci.2020.05.003</w:t>
        </w:r>
      </w:hyperlink>
    </w:p>
    <w:p w14:paraId="35CB053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Ojha, I., Kamaluddin, Sharma, V., Tariq, Mohd., Jain, M., Negi, H. S., Kumar, M., Singh, S. K., Kumar, N., Kushwaha, V. K., Kaushik, P., &amp; Dave, K. (2024). Identification of blast resistant finger millet (</w:t>
      </w:r>
      <w:r w:rsidRPr="002754E9">
        <w:rPr>
          <w:rFonts w:ascii="Times New Roman" w:eastAsia="Times New Roman" w:hAnsi="Times New Roman" w:cs="Times New Roman"/>
          <w:i/>
          <w:sz w:val="24"/>
          <w:szCs w:val="24"/>
          <w:lang w:eastAsia="en-IN"/>
        </w:rPr>
        <w:t>Eleusine coracana</w:t>
      </w:r>
      <w:r w:rsidRPr="002754E9">
        <w:rPr>
          <w:rFonts w:ascii="Times New Roman" w:eastAsia="Times New Roman" w:hAnsi="Times New Roman" w:cs="Times New Roman"/>
          <w:sz w:val="24"/>
          <w:szCs w:val="24"/>
          <w:lang w:eastAsia="en-IN"/>
        </w:rPr>
        <w:t xml:space="preserve"> L.) genotype through phenotypic screening and molecular profiling. </w:t>
      </w:r>
      <w:r w:rsidRPr="002754E9">
        <w:rPr>
          <w:rFonts w:ascii="Times New Roman" w:eastAsia="Times New Roman" w:hAnsi="Times New Roman" w:cs="Times New Roman"/>
          <w:i/>
          <w:iCs/>
          <w:sz w:val="24"/>
          <w:szCs w:val="24"/>
          <w:lang w:eastAsia="en-IN"/>
        </w:rPr>
        <w:t>Scientific Reports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(1), 32080. </w:t>
      </w:r>
      <w:hyperlink r:id="rId46" w:history="1">
        <w:r w:rsidRPr="002754E9">
          <w:rPr>
            <w:rFonts w:ascii="Times New Roman" w:eastAsia="Times New Roman" w:hAnsi="Times New Roman" w:cs="Times New Roman"/>
            <w:sz w:val="24"/>
            <w:szCs w:val="24"/>
            <w:u w:val="single"/>
            <w:lang w:eastAsia="en-IN"/>
          </w:rPr>
          <w:t>https://doi.org/10.1038/s41598-024-83797-3</w:t>
        </w:r>
      </w:hyperlink>
    </w:p>
    <w:p w14:paraId="4893D87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Ontoy, J. C., Shrestha, B., Karki, H. S., </w:t>
      </w:r>
      <w:proofErr w:type="spellStart"/>
      <w:r w:rsidRPr="002754E9">
        <w:rPr>
          <w:rFonts w:ascii="Times New Roman" w:eastAsia="Times New Roman" w:hAnsi="Times New Roman" w:cs="Times New Roman"/>
          <w:sz w:val="24"/>
          <w:szCs w:val="24"/>
          <w:lang w:eastAsia="en-IN"/>
        </w:rPr>
        <w:t>Barphagha</w:t>
      </w:r>
      <w:proofErr w:type="spellEnd"/>
      <w:r w:rsidRPr="002754E9">
        <w:rPr>
          <w:rFonts w:ascii="Times New Roman" w:eastAsia="Times New Roman" w:hAnsi="Times New Roman" w:cs="Times New Roman"/>
          <w:sz w:val="24"/>
          <w:szCs w:val="24"/>
          <w:lang w:eastAsia="en-IN"/>
        </w:rPr>
        <w:t>, I., Angira, B., Famoso, A., &amp; Ham, J. H. (2023). Genetic characterization of the partial disease resistance of rice to bacterial panicle blight and sheath blight by combined QTL linkage and QTL-</w:t>
      </w:r>
      <w:proofErr w:type="spellStart"/>
      <w:r w:rsidRPr="002754E9">
        <w:rPr>
          <w:rFonts w:ascii="Times New Roman" w:eastAsia="Times New Roman" w:hAnsi="Times New Roman" w:cs="Times New Roman"/>
          <w:sz w:val="24"/>
          <w:szCs w:val="24"/>
          <w:lang w:eastAsia="en-IN"/>
        </w:rPr>
        <w:t>seq</w:t>
      </w:r>
      <w:proofErr w:type="spellEnd"/>
      <w:r w:rsidRPr="002754E9">
        <w:rPr>
          <w:rFonts w:ascii="Times New Roman" w:eastAsia="Times New Roman" w:hAnsi="Times New Roman" w:cs="Times New Roman"/>
          <w:sz w:val="24"/>
          <w:szCs w:val="24"/>
          <w:lang w:eastAsia="en-IN"/>
        </w:rPr>
        <w:t xml:space="preserve"> analysis. </w:t>
      </w:r>
      <w:r w:rsidRPr="002754E9">
        <w:rPr>
          <w:rFonts w:ascii="Times New Roman" w:eastAsia="Times New Roman" w:hAnsi="Times New Roman" w:cs="Times New Roman"/>
          <w:i/>
          <w:iCs/>
          <w:sz w:val="24"/>
          <w:szCs w:val="24"/>
          <w:lang w:eastAsia="en-IN"/>
        </w:rPr>
        <w:t>Plants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(3), 559. </w:t>
      </w:r>
      <w:hyperlink r:id="rId47" w:history="1">
        <w:r w:rsidRPr="002754E9">
          <w:rPr>
            <w:rFonts w:ascii="Times New Roman" w:eastAsia="Times New Roman" w:hAnsi="Times New Roman" w:cs="Times New Roman"/>
            <w:sz w:val="24"/>
            <w:szCs w:val="24"/>
            <w:u w:val="single"/>
            <w:lang w:eastAsia="en-IN"/>
          </w:rPr>
          <w:t>https://doi.org/10.3390/plants12030559</w:t>
        </w:r>
      </w:hyperlink>
    </w:p>
    <w:p w14:paraId="6AE4EE27"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Parihar, P., Singh, P., Pandya, R. K., Tiwari, S. &amp; Tripathi, M. K. (2022). Screening of pearl millet promising hybrids and varieties against blast (</w:t>
      </w:r>
      <w:r w:rsidRPr="002754E9">
        <w:rPr>
          <w:rFonts w:ascii="Times New Roman" w:hAnsi="Times New Roman" w:cs="Times New Roman"/>
          <w:i/>
          <w:iCs/>
          <w:sz w:val="24"/>
          <w:szCs w:val="24"/>
        </w:rPr>
        <w:t>Pyricularia grisea</w:t>
      </w:r>
      <w:r w:rsidRPr="002754E9">
        <w:rPr>
          <w:rFonts w:ascii="Times New Roman" w:hAnsi="Times New Roman" w:cs="Times New Roman"/>
          <w:sz w:val="24"/>
          <w:szCs w:val="24"/>
        </w:rPr>
        <w:t xml:space="preserve">) by disease indexing. </w:t>
      </w:r>
      <w:r w:rsidRPr="002754E9">
        <w:rPr>
          <w:rFonts w:ascii="Times New Roman" w:hAnsi="Times New Roman" w:cs="Times New Roman"/>
          <w:i/>
          <w:iCs/>
          <w:sz w:val="24"/>
          <w:szCs w:val="24"/>
        </w:rPr>
        <w:t>The Pharma Innovation</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11</w:t>
      </w:r>
      <w:r w:rsidRPr="002754E9">
        <w:rPr>
          <w:rFonts w:ascii="Times New Roman" w:hAnsi="Times New Roman" w:cs="Times New Roman"/>
          <w:sz w:val="24"/>
          <w:szCs w:val="24"/>
        </w:rPr>
        <w:t xml:space="preserve">(6): 664-667. </w:t>
      </w:r>
    </w:p>
    <w:p w14:paraId="6B913797"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shd w:val="clear" w:color="auto" w:fill="FFFFFF"/>
        </w:rPr>
        <w:t xml:space="preserve">Parihar, P., Pandya, R.K. Singh, P., Tiwari, S., Tripathi, M.K., Tripathi, N. Satyavathi, C. T. (2023). Elucidation of molecular variability among isolates </w:t>
      </w:r>
      <w:r w:rsidRPr="002754E9">
        <w:rPr>
          <w:rFonts w:ascii="Times New Roman" w:hAnsi="Times New Roman" w:cs="Times New Roman"/>
          <w:i/>
          <w:iCs/>
          <w:sz w:val="24"/>
          <w:szCs w:val="24"/>
          <w:shd w:val="clear" w:color="auto" w:fill="FFFFFF"/>
        </w:rPr>
        <w:t>Pyricularia grisea</w:t>
      </w:r>
      <w:r w:rsidRPr="002754E9">
        <w:rPr>
          <w:rFonts w:ascii="Times New Roman" w:hAnsi="Times New Roman" w:cs="Times New Roman"/>
          <w:sz w:val="24"/>
          <w:szCs w:val="24"/>
          <w:shd w:val="clear" w:color="auto" w:fill="FFFFFF"/>
        </w:rPr>
        <w:t xml:space="preserve"> causing blast disease in forage pearl millet. </w:t>
      </w:r>
      <w:r w:rsidRPr="002754E9">
        <w:rPr>
          <w:rFonts w:ascii="Times New Roman" w:hAnsi="Times New Roman" w:cs="Times New Roman"/>
          <w:i/>
          <w:iCs/>
          <w:sz w:val="24"/>
          <w:szCs w:val="24"/>
          <w:shd w:val="clear" w:color="auto" w:fill="FFFFFF"/>
        </w:rPr>
        <w:t>Range Management &amp;Agroforestry</w:t>
      </w:r>
      <w:r w:rsidRPr="002754E9">
        <w:rPr>
          <w:rFonts w:ascii="Times New Roman" w:hAnsi="Times New Roman" w:cs="Times New Roman"/>
          <w:sz w:val="24"/>
          <w:szCs w:val="24"/>
          <w:shd w:val="clear" w:color="auto" w:fill="FFFFFF"/>
        </w:rPr>
        <w:t xml:space="preserve">, </w:t>
      </w:r>
      <w:r w:rsidRPr="002754E9">
        <w:rPr>
          <w:rFonts w:ascii="Times New Roman" w:hAnsi="Times New Roman" w:cs="Times New Roman"/>
          <w:i/>
          <w:iCs/>
          <w:sz w:val="24"/>
          <w:szCs w:val="24"/>
          <w:shd w:val="clear" w:color="auto" w:fill="FFFFFF"/>
        </w:rPr>
        <w:t>44</w:t>
      </w:r>
      <w:r w:rsidRPr="002754E9">
        <w:rPr>
          <w:rFonts w:ascii="Times New Roman" w:hAnsi="Times New Roman" w:cs="Times New Roman"/>
          <w:sz w:val="24"/>
          <w:szCs w:val="24"/>
          <w:shd w:val="clear" w:color="auto" w:fill="FFFFFF"/>
        </w:rPr>
        <w:t>(2): 278-287.</w:t>
      </w:r>
    </w:p>
    <w:p w14:paraId="3D0E8B93"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Parmar A., Tripathi, M.K., Tiwari, S., Tripathi, N., Parihar, P. &amp; Pandya. R.K. (2022). Characterization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genotypes against </w:t>
      </w:r>
      <w:proofErr w:type="spellStart"/>
      <w:r w:rsidRPr="002754E9">
        <w:rPr>
          <w:rFonts w:ascii="Times New Roman" w:hAnsi="Times New Roman" w:cs="Times New Roman"/>
          <w:sz w:val="24"/>
          <w:szCs w:val="24"/>
        </w:rPr>
        <w:t>downey</w:t>
      </w:r>
      <w:proofErr w:type="spellEnd"/>
      <w:r w:rsidRPr="002754E9">
        <w:rPr>
          <w:rFonts w:ascii="Times New Roman" w:hAnsi="Times New Roman" w:cs="Times New Roman"/>
          <w:sz w:val="24"/>
          <w:szCs w:val="24"/>
        </w:rPr>
        <w:t xml:space="preserve"> mildew disease employing disease indexing and ISSR markers. </w:t>
      </w:r>
      <w:r w:rsidRPr="002754E9">
        <w:rPr>
          <w:rFonts w:ascii="Times New Roman" w:hAnsi="Times New Roman" w:cs="Times New Roman"/>
          <w:i/>
          <w:iCs/>
          <w:sz w:val="24"/>
          <w:szCs w:val="24"/>
        </w:rPr>
        <w:t>Octa J. Biosci. 10</w:t>
      </w:r>
      <w:r w:rsidRPr="002754E9">
        <w:rPr>
          <w:rFonts w:ascii="Times New Roman" w:hAnsi="Times New Roman" w:cs="Times New Roman"/>
          <w:sz w:val="24"/>
          <w:szCs w:val="24"/>
        </w:rPr>
        <w:t xml:space="preserve"> (2):134-142.</w:t>
      </w:r>
    </w:p>
    <w:p w14:paraId="720D59A5" w14:textId="77777777" w:rsidR="002A648B" w:rsidRPr="002754E9" w:rsidRDefault="002A648B" w:rsidP="002A648B">
      <w:pPr>
        <w:pStyle w:val="ListParagraph"/>
        <w:numPr>
          <w:ilvl w:val="0"/>
          <w:numId w:val="9"/>
        </w:numPr>
        <w:tabs>
          <w:tab w:val="left" w:pos="284"/>
          <w:tab w:val="left" w:pos="426"/>
          <w:tab w:val="left" w:pos="709"/>
        </w:tabs>
        <w:spacing w:before="120" w:after="120" w:line="360" w:lineRule="auto"/>
        <w:jc w:val="both"/>
        <w:rPr>
          <w:rFonts w:ascii="Times New Roman" w:hAnsi="Times New Roman" w:cs="Times New Roman"/>
          <w:sz w:val="24"/>
          <w:szCs w:val="24"/>
          <w:lang w:eastAsia="en-IN"/>
        </w:rPr>
      </w:pPr>
      <w:r w:rsidRPr="002754E9">
        <w:rPr>
          <w:rFonts w:ascii="Times New Roman" w:hAnsi="Times New Roman" w:cs="Times New Roman"/>
          <w:sz w:val="24"/>
          <w:szCs w:val="24"/>
        </w:rPr>
        <w:t>Patel, V., Tripathi, M.K., Shrivastava, R.K., Tiwari, S., Chauhan, S., Pandya, R.K., Makwana, K., Tripathi, N. &amp; Satyavathi, C.T. (2023a). Genetic analysis for fertility restoration for the a1and a4 cytoplasmic genetic male sterility system in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w:t>
      </w:r>
      <w:r w:rsidRPr="002754E9">
        <w:rPr>
          <w:rFonts w:ascii="Times New Roman" w:hAnsi="Times New Roman" w:cs="Times New Roman"/>
          <w:i/>
          <w:sz w:val="24"/>
          <w:szCs w:val="24"/>
        </w:rPr>
        <w:t>Scientist</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2</w:t>
      </w:r>
      <w:r w:rsidRPr="002754E9">
        <w:rPr>
          <w:rFonts w:ascii="Times New Roman" w:hAnsi="Times New Roman" w:cs="Times New Roman"/>
          <w:sz w:val="24"/>
          <w:szCs w:val="24"/>
        </w:rPr>
        <w:t>(2):</w:t>
      </w:r>
      <w:r w:rsidRPr="002754E9">
        <w:rPr>
          <w:rFonts w:ascii="Times New Roman" w:hAnsi="Times New Roman" w:cs="Times New Roman"/>
          <w:sz w:val="24"/>
          <w:szCs w:val="24"/>
          <w:lang w:eastAsia="en-IN"/>
        </w:rPr>
        <w:t xml:space="preserve"> 95-105</w:t>
      </w:r>
      <w:bookmarkStart w:id="1" w:name="_Hlk129119193"/>
      <w:r w:rsidRPr="002754E9">
        <w:rPr>
          <w:rFonts w:ascii="Times New Roman" w:hAnsi="Times New Roman" w:cs="Times New Roman"/>
          <w:sz w:val="24"/>
          <w:szCs w:val="24"/>
          <w:lang w:eastAsia="en-IN"/>
        </w:rPr>
        <w:t>.</w:t>
      </w:r>
      <w:bookmarkEnd w:id="1"/>
    </w:p>
    <w:p w14:paraId="05350794" w14:textId="77777777" w:rsidR="002A648B" w:rsidRPr="002754E9" w:rsidRDefault="002A648B" w:rsidP="002A648B">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2754E9">
        <w:rPr>
          <w:rFonts w:ascii="Times New Roman" w:eastAsia="Calibri" w:hAnsi="Times New Roman" w:cs="Times New Roman"/>
          <w:sz w:val="24"/>
          <w:szCs w:val="24"/>
          <w:shd w:val="clear" w:color="auto" w:fill="FFFFFF"/>
        </w:rPr>
        <w:t xml:space="preserve">Patel, V., Tripathi, M.K., Shrivastava, R.K., Tiwari, S., Chauhan, S., Tripathi, N., Pandya, R.K., Parihar, P., Khandelwal, V., &amp; Satyavathi, C.T. (2023b). </w:t>
      </w:r>
      <w:r w:rsidRPr="002754E9">
        <w:rPr>
          <w:rFonts w:ascii="Times New Roman" w:eastAsia="Calibri" w:hAnsi="Times New Roman" w:cs="Times New Roman"/>
          <w:spacing w:val="10"/>
          <w:sz w:val="24"/>
          <w:szCs w:val="24"/>
          <w:shd w:val="clear" w:color="auto" w:fill="FFFFFF"/>
        </w:rPr>
        <w:t xml:space="preserve">Detection of true hybrids in pearl millet cross combinations by employing SSR molecular </w:t>
      </w:r>
      <w:proofErr w:type="gramStart"/>
      <w:r w:rsidRPr="002754E9">
        <w:rPr>
          <w:rFonts w:ascii="Times New Roman" w:eastAsia="Calibri" w:hAnsi="Times New Roman" w:cs="Times New Roman"/>
          <w:spacing w:val="10"/>
          <w:sz w:val="24"/>
          <w:szCs w:val="24"/>
          <w:shd w:val="clear" w:color="auto" w:fill="FFFFFF"/>
        </w:rPr>
        <w:t>markers.</w:t>
      </w:r>
      <w:r w:rsidRPr="002754E9">
        <w:rPr>
          <w:rFonts w:ascii="Times New Roman" w:eastAsia="Calibri" w:hAnsi="Times New Roman" w:cs="Times New Roman"/>
          <w:i/>
          <w:iCs/>
          <w:sz w:val="24"/>
          <w:szCs w:val="24"/>
          <w:shd w:val="clear" w:color="auto" w:fill="FFFFFF"/>
        </w:rPr>
        <w:t>International</w:t>
      </w:r>
      <w:proofErr w:type="gramEnd"/>
      <w:r w:rsidRPr="002754E9">
        <w:rPr>
          <w:rFonts w:ascii="Times New Roman" w:eastAsia="Calibri" w:hAnsi="Times New Roman" w:cs="Times New Roman"/>
          <w:i/>
          <w:iCs/>
          <w:sz w:val="24"/>
          <w:szCs w:val="24"/>
          <w:shd w:val="clear" w:color="auto" w:fill="FFFFFF"/>
        </w:rPr>
        <w:t xml:space="preserve"> Journal of Environment and Climate Change,13</w:t>
      </w:r>
      <w:r w:rsidRPr="002754E9">
        <w:rPr>
          <w:rFonts w:ascii="Times New Roman" w:eastAsia="Calibri" w:hAnsi="Times New Roman" w:cs="Times New Roman"/>
          <w:sz w:val="24"/>
          <w:szCs w:val="24"/>
          <w:shd w:val="clear" w:color="auto" w:fill="FFFFFF"/>
        </w:rPr>
        <w:t xml:space="preserve"> (10): 2366-2377.</w:t>
      </w:r>
    </w:p>
    <w:p w14:paraId="5E707D53"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lastRenderedPageBreak/>
        <w:t>Patel, V., Tripathi, M.K., Chauhan, S., &amp; Tripathi, N. (2024a). Fertility restoration for the A</w:t>
      </w:r>
      <w:r w:rsidRPr="002754E9">
        <w:rPr>
          <w:rFonts w:ascii="Times New Roman" w:hAnsi="Times New Roman" w:cs="Times New Roman"/>
          <w:sz w:val="24"/>
          <w:szCs w:val="24"/>
          <w:vertAlign w:val="subscript"/>
        </w:rPr>
        <w:t>1</w:t>
      </w:r>
      <w:r w:rsidRPr="002754E9">
        <w:rPr>
          <w:rFonts w:ascii="Times New Roman" w:hAnsi="Times New Roman" w:cs="Times New Roman"/>
          <w:sz w:val="24"/>
          <w:szCs w:val="24"/>
        </w:rPr>
        <w:t xml:space="preserve"> and A</w:t>
      </w:r>
      <w:r w:rsidRPr="002754E9">
        <w:rPr>
          <w:rFonts w:ascii="Times New Roman" w:hAnsi="Times New Roman" w:cs="Times New Roman"/>
          <w:sz w:val="24"/>
          <w:szCs w:val="24"/>
          <w:vertAlign w:val="subscript"/>
        </w:rPr>
        <w:t xml:space="preserve">4 </w:t>
      </w:r>
      <w:r w:rsidRPr="002754E9">
        <w:rPr>
          <w:rFonts w:ascii="Times New Roman" w:hAnsi="Times New Roman" w:cs="Times New Roman"/>
          <w:sz w:val="24"/>
          <w:szCs w:val="24"/>
        </w:rPr>
        <w:t xml:space="preserve">cytoplasmic genetic male sterility system in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Genetic analysis. In Book Advances in Agricultural Biotechnology, Volume 11pp 69-87.</w:t>
      </w:r>
    </w:p>
    <w:p w14:paraId="1C84BAB6"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Patel, P., Tripathi, M. K., Chauhan, S., &amp; Tripathi, N. (2024b). Identification of exact hybrids in pearl millet cross combinations using microsatellites. In Book Advances in Biotechnology &amp; Bioscience, Volume 17, 83-103.</w:t>
      </w:r>
    </w:p>
    <w:p w14:paraId="2AFB9EA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Pedrozo, R., </w:t>
      </w:r>
      <w:proofErr w:type="spellStart"/>
      <w:r w:rsidRPr="002754E9">
        <w:rPr>
          <w:rFonts w:ascii="Times New Roman" w:eastAsia="Times New Roman" w:hAnsi="Times New Roman" w:cs="Times New Roman"/>
          <w:sz w:val="24"/>
          <w:szCs w:val="24"/>
          <w:lang w:eastAsia="en-IN"/>
        </w:rPr>
        <w:t>Osakina</w:t>
      </w:r>
      <w:proofErr w:type="spellEnd"/>
      <w:r w:rsidRPr="002754E9">
        <w:rPr>
          <w:rFonts w:ascii="Times New Roman" w:eastAsia="Times New Roman" w:hAnsi="Times New Roman" w:cs="Times New Roman"/>
          <w:sz w:val="24"/>
          <w:szCs w:val="24"/>
          <w:lang w:eastAsia="en-IN"/>
        </w:rPr>
        <w:t xml:space="preserve">, A., Huang, Y., Nicolli, C. P., Wang, L., &amp; Jia, Y. (2025). Status on genetic resistance to rice blast disease in the post-genomic era. </w:t>
      </w:r>
      <w:r w:rsidRPr="002754E9">
        <w:rPr>
          <w:rFonts w:ascii="Times New Roman" w:eastAsia="Times New Roman" w:hAnsi="Times New Roman" w:cs="Times New Roman"/>
          <w:i/>
          <w:iCs/>
          <w:sz w:val="24"/>
          <w:szCs w:val="24"/>
          <w:lang w:eastAsia="en-IN"/>
        </w:rPr>
        <w:t>Plants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(5), 807. </w:t>
      </w:r>
      <w:hyperlink r:id="rId48" w:history="1">
        <w:r w:rsidRPr="002754E9">
          <w:rPr>
            <w:rFonts w:ascii="Times New Roman" w:eastAsia="Times New Roman" w:hAnsi="Times New Roman" w:cs="Times New Roman"/>
            <w:sz w:val="24"/>
            <w:szCs w:val="24"/>
            <w:u w:val="single"/>
            <w:lang w:eastAsia="en-IN"/>
          </w:rPr>
          <w:t>https://doi.org/10.3390/plants14050807</w:t>
        </w:r>
      </w:hyperlink>
    </w:p>
    <w:p w14:paraId="1201370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Pilet-Nayel, M.-L., Moury, B., </w:t>
      </w:r>
      <w:proofErr w:type="spellStart"/>
      <w:r w:rsidRPr="002754E9">
        <w:rPr>
          <w:rFonts w:ascii="Times New Roman" w:eastAsia="Times New Roman" w:hAnsi="Times New Roman" w:cs="Times New Roman"/>
          <w:sz w:val="24"/>
          <w:szCs w:val="24"/>
          <w:lang w:eastAsia="en-IN"/>
        </w:rPr>
        <w:t>Caffier</w:t>
      </w:r>
      <w:proofErr w:type="spellEnd"/>
      <w:r w:rsidRPr="002754E9">
        <w:rPr>
          <w:rFonts w:ascii="Times New Roman" w:eastAsia="Times New Roman" w:hAnsi="Times New Roman" w:cs="Times New Roman"/>
          <w:sz w:val="24"/>
          <w:szCs w:val="24"/>
          <w:lang w:eastAsia="en-IN"/>
        </w:rPr>
        <w:t xml:space="preserve">, V., </w:t>
      </w:r>
      <w:proofErr w:type="spellStart"/>
      <w:r w:rsidRPr="002754E9">
        <w:rPr>
          <w:rFonts w:ascii="Times New Roman" w:eastAsia="Times New Roman" w:hAnsi="Times New Roman" w:cs="Times New Roman"/>
          <w:sz w:val="24"/>
          <w:szCs w:val="24"/>
          <w:lang w:eastAsia="en-IN"/>
        </w:rPr>
        <w:t>Montarry</w:t>
      </w:r>
      <w:proofErr w:type="spellEnd"/>
      <w:r w:rsidRPr="002754E9">
        <w:rPr>
          <w:rFonts w:ascii="Times New Roman" w:eastAsia="Times New Roman" w:hAnsi="Times New Roman" w:cs="Times New Roman"/>
          <w:sz w:val="24"/>
          <w:szCs w:val="24"/>
          <w:lang w:eastAsia="en-IN"/>
        </w:rPr>
        <w:t xml:space="preserve">, J., </w:t>
      </w:r>
      <w:proofErr w:type="spellStart"/>
      <w:r w:rsidRPr="002754E9">
        <w:rPr>
          <w:rFonts w:ascii="Times New Roman" w:eastAsia="Times New Roman" w:hAnsi="Times New Roman" w:cs="Times New Roman"/>
          <w:sz w:val="24"/>
          <w:szCs w:val="24"/>
          <w:lang w:eastAsia="en-IN"/>
        </w:rPr>
        <w:t>Kerlan</w:t>
      </w:r>
      <w:proofErr w:type="spellEnd"/>
      <w:r w:rsidRPr="002754E9">
        <w:rPr>
          <w:rFonts w:ascii="Times New Roman" w:eastAsia="Times New Roman" w:hAnsi="Times New Roman" w:cs="Times New Roman"/>
          <w:sz w:val="24"/>
          <w:szCs w:val="24"/>
          <w:lang w:eastAsia="en-IN"/>
        </w:rPr>
        <w:t>, M.-C., Fournet, S., Durel, C.-E., &amp;</w:t>
      </w:r>
      <w:proofErr w:type="spellStart"/>
      <w:r w:rsidRPr="002754E9">
        <w:rPr>
          <w:rFonts w:ascii="Times New Roman" w:eastAsia="Times New Roman" w:hAnsi="Times New Roman" w:cs="Times New Roman"/>
          <w:sz w:val="24"/>
          <w:szCs w:val="24"/>
          <w:lang w:eastAsia="en-IN"/>
        </w:rPr>
        <w:t>Delourme</w:t>
      </w:r>
      <w:proofErr w:type="spellEnd"/>
      <w:r w:rsidRPr="002754E9">
        <w:rPr>
          <w:rFonts w:ascii="Times New Roman" w:eastAsia="Times New Roman" w:hAnsi="Times New Roman" w:cs="Times New Roman"/>
          <w:sz w:val="24"/>
          <w:szCs w:val="24"/>
          <w:lang w:eastAsia="en-IN"/>
        </w:rPr>
        <w:t xml:space="preserve">, R. (2017). Quantitative resistance to plant pathogens in pyramiding strategies for durable crop protection.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8</w:t>
      </w:r>
      <w:r w:rsidRPr="002754E9">
        <w:rPr>
          <w:rFonts w:ascii="Times New Roman" w:eastAsia="Times New Roman" w:hAnsi="Times New Roman" w:cs="Times New Roman"/>
          <w:sz w:val="24"/>
          <w:szCs w:val="24"/>
          <w:lang w:eastAsia="en-IN"/>
        </w:rPr>
        <w:t xml:space="preserve">. </w:t>
      </w:r>
      <w:hyperlink r:id="rId49" w:history="1">
        <w:r w:rsidRPr="002754E9">
          <w:rPr>
            <w:rFonts w:ascii="Times New Roman" w:eastAsia="Times New Roman" w:hAnsi="Times New Roman" w:cs="Times New Roman"/>
            <w:sz w:val="24"/>
            <w:szCs w:val="24"/>
            <w:u w:val="single"/>
            <w:lang w:eastAsia="en-IN"/>
          </w:rPr>
          <w:t>https://doi.org/10.3389/fpls.2017.01838</w:t>
        </w:r>
      </w:hyperlink>
    </w:p>
    <w:p w14:paraId="53A96F72"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Poonacha, T. T., Sai Bhavana, C. H., </w:t>
      </w:r>
      <w:proofErr w:type="spellStart"/>
      <w:r w:rsidRPr="002754E9">
        <w:rPr>
          <w:rFonts w:ascii="Times New Roman" w:eastAsia="Times New Roman" w:hAnsi="Times New Roman" w:cs="Times New Roman"/>
          <w:sz w:val="24"/>
          <w:szCs w:val="24"/>
          <w:lang w:eastAsia="en-IN"/>
        </w:rPr>
        <w:t>Farooqkhan</w:t>
      </w:r>
      <w:proofErr w:type="spellEnd"/>
      <w:r w:rsidRPr="002754E9">
        <w:rPr>
          <w:rFonts w:ascii="Times New Roman" w:eastAsia="Times New Roman" w:hAnsi="Times New Roman" w:cs="Times New Roman"/>
          <w:sz w:val="24"/>
          <w:szCs w:val="24"/>
          <w:lang w:eastAsia="en-IN"/>
        </w:rPr>
        <w:t xml:space="preserve">, Ramesh, G. V., </w:t>
      </w:r>
      <w:proofErr w:type="spellStart"/>
      <w:r w:rsidRPr="002754E9">
        <w:rPr>
          <w:rFonts w:ascii="Times New Roman" w:eastAsia="Times New Roman" w:hAnsi="Times New Roman" w:cs="Times New Roman"/>
          <w:sz w:val="24"/>
          <w:szCs w:val="24"/>
          <w:lang w:eastAsia="en-IN"/>
        </w:rPr>
        <w:t>Gavayi</w:t>
      </w:r>
      <w:proofErr w:type="spellEnd"/>
      <w:r w:rsidRPr="002754E9">
        <w:rPr>
          <w:rFonts w:ascii="Times New Roman" w:eastAsia="Times New Roman" w:hAnsi="Times New Roman" w:cs="Times New Roman"/>
          <w:sz w:val="24"/>
          <w:szCs w:val="24"/>
          <w:lang w:eastAsia="en-IN"/>
        </w:rPr>
        <w:t xml:space="preserve">, N., S. Koti, P., </w:t>
      </w:r>
      <w:proofErr w:type="spellStart"/>
      <w:r w:rsidRPr="002754E9">
        <w:rPr>
          <w:rFonts w:ascii="Times New Roman" w:eastAsia="Times New Roman" w:hAnsi="Times New Roman" w:cs="Times New Roman"/>
          <w:sz w:val="24"/>
          <w:szCs w:val="24"/>
          <w:lang w:eastAsia="en-IN"/>
        </w:rPr>
        <w:t>Palanna</w:t>
      </w:r>
      <w:proofErr w:type="spellEnd"/>
      <w:r w:rsidRPr="002754E9">
        <w:rPr>
          <w:rFonts w:ascii="Times New Roman" w:eastAsia="Times New Roman" w:hAnsi="Times New Roman" w:cs="Times New Roman"/>
          <w:sz w:val="24"/>
          <w:szCs w:val="24"/>
          <w:lang w:eastAsia="en-IN"/>
        </w:rPr>
        <w:t xml:space="preserve">, K. B., </w:t>
      </w:r>
      <w:proofErr w:type="spellStart"/>
      <w:r w:rsidRPr="002754E9">
        <w:rPr>
          <w:rFonts w:ascii="Times New Roman" w:eastAsia="Times New Roman" w:hAnsi="Times New Roman" w:cs="Times New Roman"/>
          <w:sz w:val="24"/>
          <w:szCs w:val="24"/>
          <w:lang w:eastAsia="en-IN"/>
        </w:rPr>
        <w:t>Rajashekara</w:t>
      </w:r>
      <w:proofErr w:type="spellEnd"/>
      <w:r w:rsidRPr="002754E9">
        <w:rPr>
          <w:rFonts w:ascii="Times New Roman" w:eastAsia="Times New Roman" w:hAnsi="Times New Roman" w:cs="Times New Roman"/>
          <w:sz w:val="24"/>
          <w:szCs w:val="24"/>
          <w:lang w:eastAsia="en-IN"/>
        </w:rPr>
        <w:t xml:space="preserve">, H., Rajesh, G., &amp; Das, I. K. (2024). Blast disease of millets: Present status and future perspectives. In </w:t>
      </w:r>
      <w:r w:rsidRPr="002754E9">
        <w:rPr>
          <w:rFonts w:ascii="Times New Roman" w:eastAsia="Times New Roman" w:hAnsi="Times New Roman" w:cs="Times New Roman"/>
          <w:i/>
          <w:iCs/>
          <w:sz w:val="24"/>
          <w:szCs w:val="24"/>
          <w:lang w:eastAsia="en-IN"/>
        </w:rPr>
        <w:t>Millets - Rediscover Ancient Grains</w:t>
      </w:r>
      <w:r w:rsidRPr="002754E9">
        <w:rPr>
          <w:rFonts w:ascii="Times New Roman" w:eastAsia="Times New Roman" w:hAnsi="Times New Roman" w:cs="Times New Roman"/>
          <w:sz w:val="24"/>
          <w:szCs w:val="24"/>
          <w:lang w:eastAsia="en-IN"/>
        </w:rPr>
        <w:t xml:space="preserve">. Intech Open. </w:t>
      </w:r>
      <w:hyperlink r:id="rId50" w:history="1">
        <w:r w:rsidRPr="002754E9">
          <w:rPr>
            <w:rFonts w:ascii="Times New Roman" w:eastAsia="Times New Roman" w:hAnsi="Times New Roman" w:cs="Times New Roman"/>
            <w:sz w:val="24"/>
            <w:szCs w:val="24"/>
            <w:u w:val="single"/>
            <w:lang w:eastAsia="en-IN"/>
          </w:rPr>
          <w:t>https://doi.org/10.5772/intechopen.111392</w:t>
        </w:r>
      </w:hyperlink>
    </w:p>
    <w:p w14:paraId="26254913" w14:textId="77777777" w:rsidR="002A648B" w:rsidRPr="002754E9" w:rsidRDefault="002A648B" w:rsidP="002A648B">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shd w:val="clear" w:color="auto" w:fill="FFFFFF"/>
        </w:rPr>
        <w:t xml:space="preserve">Rajpoot, N. S., Tripathi, M.K. Tiwari, S., Tomar, R.S. Tripathi, N., Sikarwar, R.S., &amp; Tomar, S.S. (2022). </w:t>
      </w:r>
      <w:hyperlink r:id="rId51" w:history="1">
        <w:r w:rsidRPr="002754E9">
          <w:rPr>
            <w:rFonts w:ascii="Times New Roman" w:hAnsi="Times New Roman" w:cs="Times New Roman"/>
            <w:sz w:val="24"/>
            <w:szCs w:val="24"/>
            <w:shd w:val="clear" w:color="auto" w:fill="FFFFFF"/>
          </w:rPr>
          <w:t>Morphological and molecular characterization of Indian mustard germplasm lines</w:t>
        </w:r>
      </w:hyperlink>
      <w:r w:rsidRPr="002754E9">
        <w:rPr>
          <w:rFonts w:ascii="Times New Roman" w:hAnsi="Times New Roman" w:cs="Times New Roman"/>
          <w:sz w:val="24"/>
          <w:szCs w:val="24"/>
        </w:rPr>
        <w:t>.</w:t>
      </w:r>
      <w:r w:rsidRPr="002754E9">
        <w:rPr>
          <w:rFonts w:ascii="Times New Roman" w:hAnsi="Times New Roman" w:cs="Times New Roman"/>
          <w:sz w:val="24"/>
          <w:szCs w:val="24"/>
          <w:shd w:val="clear" w:color="auto" w:fill="FFFFFF"/>
        </w:rPr>
        <w:t xml:space="preserve"> In book Research Developments in Science and Technology, </w:t>
      </w:r>
      <w:r w:rsidRPr="002754E9">
        <w:rPr>
          <w:rFonts w:ascii="Times New Roman" w:hAnsi="Times New Roman" w:cs="Times New Roman"/>
          <w:i/>
          <w:iCs/>
          <w:sz w:val="24"/>
          <w:szCs w:val="24"/>
          <w:shd w:val="clear" w:color="auto" w:fill="FFFFFF"/>
        </w:rPr>
        <w:t>4:</w:t>
      </w:r>
      <w:r w:rsidRPr="002754E9">
        <w:rPr>
          <w:rFonts w:ascii="Times New Roman" w:hAnsi="Times New Roman" w:cs="Times New Roman"/>
          <w:sz w:val="24"/>
          <w:szCs w:val="24"/>
          <w:shd w:val="clear" w:color="auto" w:fill="FFFFFF"/>
        </w:rPr>
        <w:t>151-165.</w:t>
      </w:r>
    </w:p>
    <w:p w14:paraId="7F711D83" w14:textId="77777777" w:rsidR="002A648B" w:rsidRPr="002754E9" w:rsidRDefault="002A648B" w:rsidP="002A648B">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Rajpoot, P., Tripathi, M.K., Solanki, R.S., Tiwari, S., Tripathi, N., &amp; Chauhan, S. et al. (2023a). Genetic variability and multivariate analysis in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R. Br.) germplasm lines. </w:t>
      </w:r>
      <w:r w:rsidRPr="002754E9">
        <w:rPr>
          <w:rFonts w:ascii="Times New Roman" w:eastAsia="Times New Roman" w:hAnsi="Times New Roman" w:cs="Times New Roman"/>
          <w:i/>
          <w:iCs/>
          <w:sz w:val="24"/>
          <w:szCs w:val="24"/>
          <w:bdr w:val="none" w:sz="0" w:space="0" w:color="auto" w:frame="1"/>
          <w:lang w:eastAsia="en-IN"/>
        </w:rPr>
        <w:t xml:space="preserve">The Pharm </w:t>
      </w:r>
      <w:proofErr w:type="spellStart"/>
      <w:r w:rsidRPr="002754E9">
        <w:rPr>
          <w:rFonts w:ascii="Times New Roman" w:eastAsia="Times New Roman" w:hAnsi="Times New Roman" w:cs="Times New Roman"/>
          <w:i/>
          <w:iCs/>
          <w:sz w:val="24"/>
          <w:szCs w:val="24"/>
          <w:bdr w:val="none" w:sz="0" w:space="0" w:color="auto" w:frame="1"/>
          <w:lang w:eastAsia="en-IN"/>
        </w:rPr>
        <w:t>Innov</w:t>
      </w:r>
      <w:proofErr w:type="spellEnd"/>
      <w:r w:rsidRPr="002754E9">
        <w:rPr>
          <w:rFonts w:ascii="Times New Roman" w:eastAsia="Times New Roman" w:hAnsi="Times New Roman" w:cs="Times New Roman"/>
          <w:i/>
          <w:iCs/>
          <w:sz w:val="24"/>
          <w:szCs w:val="24"/>
          <w:bdr w:val="none" w:sz="0" w:space="0" w:color="auto" w:frame="1"/>
          <w:lang w:eastAsia="en-IN"/>
        </w:rPr>
        <w:t xml:space="preserve"> J</w:t>
      </w:r>
      <w:r w:rsidRPr="002754E9">
        <w:rPr>
          <w:rFonts w:ascii="Times New Roman" w:eastAsia="Times New Roman" w:hAnsi="Times New Roman" w:cs="Times New Roman"/>
          <w:i/>
          <w:iCs/>
          <w:sz w:val="24"/>
          <w:szCs w:val="24"/>
          <w:lang w:eastAsia="en-IN"/>
        </w:rPr>
        <w:t>.</w:t>
      </w:r>
      <w:r w:rsidRPr="002754E9">
        <w:rPr>
          <w:rFonts w:ascii="Times New Roman" w:eastAsia="Times New Roman" w:hAnsi="Times New Roman" w:cs="Times New Roman"/>
          <w:sz w:val="24"/>
          <w:szCs w:val="24"/>
          <w:lang w:eastAsia="en-IN"/>
        </w:rPr>
        <w:t xml:space="preserve"> 12(4):216-26.</w:t>
      </w:r>
    </w:p>
    <w:p w14:paraId="318632F6" w14:textId="77777777" w:rsidR="002A648B" w:rsidRPr="002754E9" w:rsidRDefault="002A648B" w:rsidP="002A648B">
      <w:pPr>
        <w:pStyle w:val="ListParagraph"/>
        <w:numPr>
          <w:ilvl w:val="0"/>
          <w:numId w:val="9"/>
        </w:numPr>
        <w:tabs>
          <w:tab w:val="left" w:pos="284"/>
          <w:tab w:val="left" w:pos="426"/>
          <w:tab w:val="left" w:pos="709"/>
        </w:tabs>
        <w:spacing w:before="120" w:after="120" w:line="360" w:lineRule="auto"/>
        <w:jc w:val="both"/>
        <w:rPr>
          <w:rFonts w:ascii="Times New Roman" w:eastAsia="Times New Roman" w:hAnsi="Times New Roman" w:cs="Times New Roman"/>
          <w:sz w:val="24"/>
          <w:szCs w:val="24"/>
          <w:lang w:eastAsia="de-DE" w:bidi="en-US"/>
        </w:rPr>
      </w:pPr>
      <w:r w:rsidRPr="002754E9">
        <w:rPr>
          <w:rFonts w:ascii="Times New Roman" w:hAnsi="Times New Roman" w:cs="Times New Roman"/>
          <w:sz w:val="24"/>
          <w:szCs w:val="24"/>
        </w:rPr>
        <w:t>Rajpoot, P., Tripathi, M.K., Tiwari, S., Bimal, S. S., Tripathi, N., Parihar, P. Pandya, R. K. &amp; Satyavathi, C. T. (2023</w:t>
      </w:r>
      <w:bookmarkStart w:id="2" w:name="_Hlk129119214"/>
      <w:r w:rsidRPr="002754E9">
        <w:rPr>
          <w:rFonts w:ascii="Times New Roman" w:hAnsi="Times New Roman" w:cs="Times New Roman"/>
          <w:sz w:val="24"/>
          <w:szCs w:val="24"/>
        </w:rPr>
        <w:t xml:space="preserve"> b). Characterization of pearl millet [</w:t>
      </w:r>
      <w:r w:rsidRPr="002754E9">
        <w:rPr>
          <w:rFonts w:ascii="Times New Roman" w:hAnsi="Times New Roman" w:cs="Times New Roman"/>
          <w:i/>
          <w:iCs/>
          <w:sz w:val="24"/>
          <w:szCs w:val="24"/>
        </w:rPr>
        <w:t xml:space="preserve">Pennisetum glaucum </w:t>
      </w:r>
      <w:r w:rsidRPr="002754E9">
        <w:rPr>
          <w:rFonts w:ascii="Times New Roman" w:hAnsi="Times New Roman" w:cs="Times New Roman"/>
          <w:sz w:val="24"/>
          <w:szCs w:val="24"/>
        </w:rPr>
        <w:t>(L.) R br.] Genotypes against blast disease employing disease scoring and gene specific SSR markers.</w:t>
      </w:r>
      <w:bookmarkStart w:id="3" w:name="_Hlk129119231"/>
      <w:r w:rsidRPr="002754E9">
        <w:rPr>
          <w:rFonts w:ascii="Times New Roman" w:hAnsi="Times New Roman" w:cs="Times New Roman"/>
          <w:i/>
          <w:sz w:val="24"/>
          <w:szCs w:val="24"/>
          <w:shd w:val="clear" w:color="auto" w:fill="FFFFFF"/>
        </w:rPr>
        <w:t>SCI</w:t>
      </w:r>
      <w:r w:rsidRPr="002754E9">
        <w:rPr>
          <w:rFonts w:ascii="Times New Roman" w:hAnsi="Times New Roman" w:cs="Times New Roman"/>
          <w:sz w:val="24"/>
          <w:szCs w:val="24"/>
          <w:shd w:val="clear" w:color="auto" w:fill="FFFFFF"/>
        </w:rPr>
        <w:t>- 3(3);16-30</w:t>
      </w:r>
      <w:bookmarkEnd w:id="2"/>
      <w:bookmarkEnd w:id="3"/>
      <w:r w:rsidRPr="002754E9">
        <w:rPr>
          <w:rFonts w:ascii="Times New Roman" w:hAnsi="Times New Roman" w:cs="Times New Roman"/>
          <w:sz w:val="24"/>
          <w:szCs w:val="24"/>
          <w:shd w:val="clear" w:color="auto" w:fill="FFFFFF"/>
        </w:rPr>
        <w:t>.</w:t>
      </w:r>
    </w:p>
    <w:p w14:paraId="045DD153"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Rajpoot, P., Tripathi, M. K., Parihar, P., &amp; Tripathi, N. (2024). Identification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genotypes against blast employing gene linked </w:t>
      </w:r>
      <w:r w:rsidRPr="002754E9">
        <w:rPr>
          <w:rFonts w:ascii="Times New Roman" w:hAnsi="Times New Roman" w:cs="Times New Roman"/>
          <w:sz w:val="24"/>
          <w:szCs w:val="24"/>
        </w:rPr>
        <w:lastRenderedPageBreak/>
        <w:t>SSR markers and disease indexing. In Book Advances in Agricultural Biotechnology, Volume 11pp 25-48.</w:t>
      </w:r>
    </w:p>
    <w:p w14:paraId="1E341B58"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Ramashia, S. E., </w:t>
      </w:r>
      <w:proofErr w:type="spellStart"/>
      <w:r w:rsidRPr="002754E9">
        <w:rPr>
          <w:rFonts w:ascii="Times New Roman" w:eastAsia="Times New Roman" w:hAnsi="Times New Roman" w:cs="Times New Roman"/>
          <w:sz w:val="24"/>
          <w:szCs w:val="24"/>
          <w:lang w:eastAsia="en-IN"/>
        </w:rPr>
        <w:t>Onipe</w:t>
      </w:r>
      <w:proofErr w:type="spellEnd"/>
      <w:r w:rsidRPr="002754E9">
        <w:rPr>
          <w:rFonts w:ascii="Times New Roman" w:eastAsia="Times New Roman" w:hAnsi="Times New Roman" w:cs="Times New Roman"/>
          <w:sz w:val="24"/>
          <w:szCs w:val="24"/>
          <w:lang w:eastAsia="en-IN"/>
        </w:rPr>
        <w:t>, O. O., Mashau, M. E., &amp;</w:t>
      </w:r>
      <w:proofErr w:type="spellStart"/>
      <w:r w:rsidRPr="002754E9">
        <w:rPr>
          <w:rFonts w:ascii="Times New Roman" w:eastAsia="Times New Roman" w:hAnsi="Times New Roman" w:cs="Times New Roman"/>
          <w:sz w:val="24"/>
          <w:szCs w:val="24"/>
          <w:lang w:eastAsia="en-IN"/>
        </w:rPr>
        <w:t>Jideani</w:t>
      </w:r>
      <w:proofErr w:type="spellEnd"/>
      <w:r w:rsidRPr="002754E9">
        <w:rPr>
          <w:rFonts w:ascii="Times New Roman" w:eastAsia="Times New Roman" w:hAnsi="Times New Roman" w:cs="Times New Roman"/>
          <w:sz w:val="24"/>
          <w:szCs w:val="24"/>
          <w:lang w:eastAsia="en-IN"/>
        </w:rPr>
        <w:t xml:space="preserve">, A. I. O. (2025). Millets in sub-Saharan Africa: a review of the nutritional and bioactive composition, methods of processing and its developed products. </w:t>
      </w:r>
      <w:r w:rsidRPr="002754E9">
        <w:rPr>
          <w:rFonts w:ascii="Times New Roman" w:eastAsia="Times New Roman" w:hAnsi="Times New Roman" w:cs="Times New Roman"/>
          <w:i/>
          <w:iCs/>
          <w:sz w:val="24"/>
          <w:szCs w:val="24"/>
          <w:lang w:eastAsia="en-IN"/>
        </w:rPr>
        <w:t>Discover Food</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w:t>
      </w:r>
      <w:r w:rsidRPr="002754E9">
        <w:rPr>
          <w:rFonts w:ascii="Times New Roman" w:eastAsia="Times New Roman" w:hAnsi="Times New Roman" w:cs="Times New Roman"/>
          <w:sz w:val="24"/>
          <w:szCs w:val="24"/>
          <w:lang w:eastAsia="en-IN"/>
        </w:rPr>
        <w:t xml:space="preserve">(1), 56. </w:t>
      </w:r>
      <w:hyperlink r:id="rId52" w:history="1">
        <w:r w:rsidRPr="002754E9">
          <w:rPr>
            <w:rFonts w:ascii="Times New Roman" w:eastAsia="Times New Roman" w:hAnsi="Times New Roman" w:cs="Times New Roman"/>
            <w:sz w:val="24"/>
            <w:szCs w:val="24"/>
            <w:u w:val="single"/>
            <w:lang w:eastAsia="en-IN"/>
          </w:rPr>
          <w:t>https://doi.org/10.1007/s44187-025-00306-9</w:t>
        </w:r>
      </w:hyperlink>
    </w:p>
    <w:p w14:paraId="5009CFAA"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Reddy, S. P., Satyavathi, C. T., Khandelwal, V., Patil, H. T., Gupta, P. C., Sharma, L. D., Mungra, K. D., Singh, S. P., </w:t>
      </w:r>
      <w:proofErr w:type="spellStart"/>
      <w:r w:rsidRPr="002754E9">
        <w:rPr>
          <w:rFonts w:ascii="Times New Roman" w:hAnsi="Times New Roman" w:cs="Times New Roman"/>
          <w:sz w:val="24"/>
          <w:szCs w:val="24"/>
        </w:rPr>
        <w:t>Narasimhulu</w:t>
      </w:r>
      <w:proofErr w:type="spellEnd"/>
      <w:r w:rsidRPr="002754E9">
        <w:rPr>
          <w:rFonts w:ascii="Times New Roman" w:hAnsi="Times New Roman" w:cs="Times New Roman"/>
          <w:sz w:val="24"/>
          <w:szCs w:val="24"/>
        </w:rPr>
        <w:t xml:space="preserve">, R., </w:t>
      </w:r>
      <w:proofErr w:type="spellStart"/>
      <w:r w:rsidRPr="002754E9">
        <w:rPr>
          <w:rFonts w:ascii="Times New Roman" w:hAnsi="Times New Roman" w:cs="Times New Roman"/>
          <w:sz w:val="24"/>
          <w:szCs w:val="24"/>
        </w:rPr>
        <w:t>Bhadarge</w:t>
      </w:r>
      <w:proofErr w:type="spellEnd"/>
      <w:r w:rsidRPr="002754E9">
        <w:rPr>
          <w:rFonts w:ascii="Times New Roman" w:hAnsi="Times New Roman" w:cs="Times New Roman"/>
          <w:sz w:val="24"/>
          <w:szCs w:val="24"/>
        </w:rPr>
        <w:t xml:space="preserve">, H. H., </w:t>
      </w:r>
      <w:proofErr w:type="spellStart"/>
      <w:r w:rsidRPr="002754E9">
        <w:rPr>
          <w:rFonts w:ascii="Times New Roman" w:hAnsi="Times New Roman" w:cs="Times New Roman"/>
          <w:sz w:val="24"/>
          <w:szCs w:val="24"/>
        </w:rPr>
        <w:t>Iyanar</w:t>
      </w:r>
      <w:proofErr w:type="spellEnd"/>
      <w:r w:rsidRPr="002754E9">
        <w:rPr>
          <w:rFonts w:ascii="Times New Roman" w:hAnsi="Times New Roman" w:cs="Times New Roman"/>
          <w:sz w:val="24"/>
          <w:szCs w:val="24"/>
        </w:rPr>
        <w:t xml:space="preserve">, K., Tripathi, M. K., Yadav, D., Bhardwaj, R., Talwar, A. M., Tiwari, V. K., </w:t>
      </w:r>
      <w:proofErr w:type="spellStart"/>
      <w:r w:rsidRPr="002754E9">
        <w:rPr>
          <w:rFonts w:ascii="Times New Roman" w:hAnsi="Times New Roman" w:cs="Times New Roman"/>
          <w:sz w:val="24"/>
          <w:szCs w:val="24"/>
        </w:rPr>
        <w:t>Kachole</w:t>
      </w:r>
      <w:proofErr w:type="spellEnd"/>
      <w:r w:rsidRPr="002754E9">
        <w:rPr>
          <w:rFonts w:ascii="Times New Roman" w:hAnsi="Times New Roman" w:cs="Times New Roman"/>
          <w:sz w:val="24"/>
          <w:szCs w:val="24"/>
        </w:rPr>
        <w:t xml:space="preserve">, U. G., Sravanti, K., Shanthi Priya, M., Athoni, B. K., Anuradha, N., Govindaraj, M., </w:t>
      </w:r>
      <w:proofErr w:type="spellStart"/>
      <w:r w:rsidRPr="002754E9">
        <w:rPr>
          <w:rFonts w:ascii="Times New Roman" w:hAnsi="Times New Roman" w:cs="Times New Roman"/>
          <w:sz w:val="24"/>
          <w:szCs w:val="24"/>
        </w:rPr>
        <w:t>Nepolean</w:t>
      </w:r>
      <w:proofErr w:type="spellEnd"/>
      <w:r w:rsidRPr="002754E9">
        <w:rPr>
          <w:rFonts w:ascii="Times New Roman" w:hAnsi="Times New Roman" w:cs="Times New Roman"/>
          <w:sz w:val="24"/>
          <w:szCs w:val="24"/>
        </w:rPr>
        <w:t>, T. &amp;</w:t>
      </w:r>
      <w:proofErr w:type="spellStart"/>
      <w:r w:rsidRPr="002754E9">
        <w:rPr>
          <w:rFonts w:ascii="Times New Roman" w:hAnsi="Times New Roman" w:cs="Times New Roman"/>
          <w:sz w:val="24"/>
          <w:szCs w:val="24"/>
        </w:rPr>
        <w:t>Tonapi</w:t>
      </w:r>
      <w:proofErr w:type="spellEnd"/>
      <w:r w:rsidRPr="002754E9">
        <w:rPr>
          <w:rFonts w:ascii="Times New Roman" w:hAnsi="Times New Roman" w:cs="Times New Roman"/>
          <w:sz w:val="24"/>
          <w:szCs w:val="24"/>
        </w:rPr>
        <w:t xml:space="preserve">, V. A. (2021). Performance and stability of pearl millet varieties for grain yield and micronutrients in arid and semi-arid regions of India. </w:t>
      </w:r>
      <w:r w:rsidRPr="002754E9">
        <w:rPr>
          <w:rFonts w:ascii="Times New Roman" w:hAnsi="Times New Roman" w:cs="Times New Roman"/>
          <w:i/>
          <w:iCs/>
          <w:sz w:val="24"/>
          <w:szCs w:val="24"/>
        </w:rPr>
        <w:t>Frontiers in Plant Sciences</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12</w:t>
      </w:r>
      <w:r w:rsidRPr="002754E9">
        <w:rPr>
          <w:rFonts w:ascii="Times New Roman" w:hAnsi="Times New Roman" w:cs="Times New Roman"/>
          <w:sz w:val="24"/>
          <w:szCs w:val="24"/>
        </w:rPr>
        <w:t xml:space="preserve">: 670201. DOI: 10.3389/fpls.2021.670201. </w:t>
      </w:r>
    </w:p>
    <w:p w14:paraId="23709EA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Riahi, L., Ben-Romdhane, M., &amp; Masmoudi, A. S. (2024). Industrial interests and requirements for improvement of pearl millet, a gluten-free and climate-smart underutilized cereal. </w:t>
      </w:r>
      <w:r w:rsidRPr="002754E9">
        <w:rPr>
          <w:rFonts w:ascii="Times New Roman" w:eastAsia="Times New Roman" w:hAnsi="Times New Roman" w:cs="Times New Roman"/>
          <w:i/>
          <w:iCs/>
          <w:sz w:val="24"/>
          <w:szCs w:val="24"/>
          <w:lang w:eastAsia="en-IN"/>
        </w:rPr>
        <w:t>Journal of Plant Biotechnology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51</w:t>
      </w:r>
      <w:r w:rsidRPr="002754E9">
        <w:rPr>
          <w:rFonts w:ascii="Times New Roman" w:eastAsia="Times New Roman" w:hAnsi="Times New Roman" w:cs="Times New Roman"/>
          <w:sz w:val="24"/>
          <w:szCs w:val="24"/>
          <w:lang w:eastAsia="en-IN"/>
        </w:rPr>
        <w:t xml:space="preserve">, 9. </w:t>
      </w:r>
      <w:hyperlink r:id="rId53" w:history="1">
        <w:r w:rsidRPr="002754E9">
          <w:rPr>
            <w:rFonts w:ascii="Times New Roman" w:eastAsia="Times New Roman" w:hAnsi="Times New Roman" w:cs="Times New Roman"/>
            <w:sz w:val="24"/>
            <w:szCs w:val="24"/>
            <w:u w:val="single"/>
            <w:lang w:eastAsia="en-IN"/>
          </w:rPr>
          <w:t>https://doi.org/10.5010/JPB.2024.51.009.077</w:t>
        </w:r>
      </w:hyperlink>
    </w:p>
    <w:p w14:paraId="328323B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Salgotra</w:t>
      </w:r>
      <w:proofErr w:type="spellEnd"/>
      <w:r w:rsidRPr="002754E9">
        <w:rPr>
          <w:rFonts w:ascii="Times New Roman" w:eastAsia="Times New Roman" w:hAnsi="Times New Roman" w:cs="Times New Roman"/>
          <w:sz w:val="24"/>
          <w:szCs w:val="24"/>
          <w:lang w:eastAsia="en-IN"/>
        </w:rPr>
        <w:t xml:space="preserve">, R. K., &amp; Stewart, C. N. (2020). Functional markers for precision plant breeding. </w:t>
      </w:r>
      <w:r w:rsidRPr="002754E9">
        <w:rPr>
          <w:rFonts w:ascii="Times New Roman" w:eastAsia="Times New Roman" w:hAnsi="Times New Roman" w:cs="Times New Roman"/>
          <w:i/>
          <w:iCs/>
          <w:sz w:val="24"/>
          <w:szCs w:val="24"/>
          <w:lang w:eastAsia="en-IN"/>
        </w:rPr>
        <w:t>International Journal of Molecular Sciences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21</w:t>
      </w:r>
      <w:r w:rsidRPr="002754E9">
        <w:rPr>
          <w:rFonts w:ascii="Times New Roman" w:eastAsia="Times New Roman" w:hAnsi="Times New Roman" w:cs="Times New Roman"/>
          <w:sz w:val="24"/>
          <w:szCs w:val="24"/>
          <w:lang w:eastAsia="en-IN"/>
        </w:rPr>
        <w:t xml:space="preserve">(13), 4792. </w:t>
      </w:r>
      <w:hyperlink r:id="rId54" w:history="1">
        <w:r w:rsidRPr="002754E9">
          <w:rPr>
            <w:rFonts w:ascii="Times New Roman" w:eastAsia="Times New Roman" w:hAnsi="Times New Roman" w:cs="Times New Roman"/>
            <w:sz w:val="24"/>
            <w:szCs w:val="24"/>
            <w:u w:val="single"/>
            <w:lang w:eastAsia="en-IN"/>
          </w:rPr>
          <w:t>https://doi.org/10.3390/ijms21134792</w:t>
        </w:r>
      </w:hyperlink>
    </w:p>
    <w:p w14:paraId="6BFEF6E7"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Satyavathi, C. T., </w:t>
      </w:r>
      <w:proofErr w:type="spellStart"/>
      <w:r w:rsidRPr="002754E9">
        <w:rPr>
          <w:rFonts w:ascii="Times New Roman" w:eastAsia="Times New Roman" w:hAnsi="Times New Roman" w:cs="Times New Roman"/>
          <w:sz w:val="24"/>
          <w:szCs w:val="24"/>
          <w:lang w:eastAsia="en-IN"/>
        </w:rPr>
        <w:t>Ambawat</w:t>
      </w:r>
      <w:proofErr w:type="spellEnd"/>
      <w:r w:rsidRPr="002754E9">
        <w:rPr>
          <w:rFonts w:ascii="Times New Roman" w:eastAsia="Times New Roman" w:hAnsi="Times New Roman" w:cs="Times New Roman"/>
          <w:sz w:val="24"/>
          <w:szCs w:val="24"/>
          <w:lang w:eastAsia="en-IN"/>
        </w:rPr>
        <w:t xml:space="preserve">, S., Khandelwal, V., &amp; Srivastava, R. K. (2021). Pearl millet: A climate-resilient </w:t>
      </w:r>
      <w:proofErr w:type="spellStart"/>
      <w:r w:rsidRPr="002754E9">
        <w:rPr>
          <w:rFonts w:ascii="Times New Roman" w:eastAsia="Times New Roman" w:hAnsi="Times New Roman" w:cs="Times New Roman"/>
          <w:sz w:val="24"/>
          <w:szCs w:val="24"/>
          <w:lang w:eastAsia="en-IN"/>
        </w:rPr>
        <w:t>nutricereal</w:t>
      </w:r>
      <w:proofErr w:type="spellEnd"/>
      <w:r w:rsidRPr="002754E9">
        <w:rPr>
          <w:rFonts w:ascii="Times New Roman" w:eastAsia="Times New Roman" w:hAnsi="Times New Roman" w:cs="Times New Roman"/>
          <w:sz w:val="24"/>
          <w:szCs w:val="24"/>
          <w:lang w:eastAsia="en-IN"/>
        </w:rPr>
        <w:t xml:space="preserve"> for mitigating hidden hunger and provide nutritional security.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 </w:t>
      </w:r>
      <w:hyperlink r:id="rId55" w:history="1">
        <w:r w:rsidRPr="002754E9">
          <w:rPr>
            <w:rFonts w:ascii="Times New Roman" w:eastAsia="Times New Roman" w:hAnsi="Times New Roman" w:cs="Times New Roman"/>
            <w:sz w:val="24"/>
            <w:szCs w:val="24"/>
            <w:u w:val="single"/>
            <w:lang w:eastAsia="en-IN"/>
          </w:rPr>
          <w:t>https://doi.org/10.3389/fpls.2021.659938</w:t>
        </w:r>
      </w:hyperlink>
    </w:p>
    <w:p w14:paraId="2F52F5A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Simon, E. V., Hechanova, S. Lou, Hernandez, J. E., Li, C.-P., </w:t>
      </w:r>
      <w:proofErr w:type="spellStart"/>
      <w:r w:rsidRPr="002754E9">
        <w:rPr>
          <w:rFonts w:ascii="Times New Roman" w:eastAsia="Times New Roman" w:hAnsi="Times New Roman" w:cs="Times New Roman"/>
          <w:sz w:val="24"/>
          <w:szCs w:val="24"/>
          <w:lang w:eastAsia="en-IN"/>
        </w:rPr>
        <w:t>Tülek</w:t>
      </w:r>
      <w:proofErr w:type="spellEnd"/>
      <w:r w:rsidRPr="002754E9">
        <w:rPr>
          <w:rFonts w:ascii="Times New Roman" w:eastAsia="Times New Roman" w:hAnsi="Times New Roman" w:cs="Times New Roman"/>
          <w:sz w:val="24"/>
          <w:szCs w:val="24"/>
          <w:lang w:eastAsia="en-IN"/>
        </w:rPr>
        <w:t xml:space="preserve">, A., Ahn, E.K., </w:t>
      </w:r>
      <w:proofErr w:type="spellStart"/>
      <w:r w:rsidRPr="002754E9">
        <w:rPr>
          <w:rFonts w:ascii="Times New Roman" w:eastAsia="Times New Roman" w:hAnsi="Times New Roman" w:cs="Times New Roman"/>
          <w:sz w:val="24"/>
          <w:szCs w:val="24"/>
          <w:lang w:eastAsia="en-IN"/>
        </w:rPr>
        <w:t>Jairin</w:t>
      </w:r>
      <w:proofErr w:type="spellEnd"/>
      <w:r w:rsidRPr="002754E9">
        <w:rPr>
          <w:rFonts w:ascii="Times New Roman" w:eastAsia="Times New Roman" w:hAnsi="Times New Roman" w:cs="Times New Roman"/>
          <w:sz w:val="24"/>
          <w:szCs w:val="24"/>
          <w:lang w:eastAsia="en-IN"/>
        </w:rPr>
        <w:t xml:space="preserve">, J., Choi, I. R., Sundaram, R. M., Jena, K. K., &amp; Kim, S. R. (2023). Available cloned genes and markers for genetic improvement of biotic stress resistance in rice.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https://doi.org/10.3389/fpls.2023.1247014</w:t>
      </w:r>
    </w:p>
    <w:p w14:paraId="1CA7CE22"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Shyam, C., Tripathi, M.K., Tiwari, S., Tripathi, N. &amp; Ahuja, A. (2020). Molecular characterization and identification of </w:t>
      </w:r>
      <w:r w:rsidRPr="002754E9">
        <w:rPr>
          <w:rFonts w:ascii="Times New Roman" w:hAnsi="Times New Roman" w:cs="Times New Roman"/>
          <w:i/>
          <w:iCs/>
          <w:sz w:val="24"/>
          <w:szCs w:val="24"/>
        </w:rPr>
        <w:t>Brassica</w:t>
      </w:r>
      <w:r w:rsidRPr="002754E9">
        <w:rPr>
          <w:rFonts w:ascii="Times New Roman" w:hAnsi="Times New Roman" w:cs="Times New Roman"/>
          <w:sz w:val="24"/>
          <w:szCs w:val="24"/>
        </w:rPr>
        <w:t xml:space="preserve"> genotype (s) for low and high erucic acid content using SSR markers. </w:t>
      </w:r>
      <w:r w:rsidRPr="002754E9">
        <w:rPr>
          <w:rFonts w:ascii="Times New Roman" w:hAnsi="Times New Roman" w:cs="Times New Roman"/>
          <w:i/>
          <w:iCs/>
          <w:sz w:val="24"/>
          <w:szCs w:val="24"/>
        </w:rPr>
        <w:t xml:space="preserve">Global J. Biosci. </w:t>
      </w:r>
      <w:proofErr w:type="spellStart"/>
      <w:r w:rsidRPr="002754E9">
        <w:rPr>
          <w:rFonts w:ascii="Times New Roman" w:hAnsi="Times New Roman" w:cs="Times New Roman"/>
          <w:i/>
          <w:iCs/>
          <w:sz w:val="24"/>
          <w:szCs w:val="24"/>
        </w:rPr>
        <w:t>Biotechnol</w:t>
      </w:r>
      <w:proofErr w:type="spellEnd"/>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9</w:t>
      </w:r>
      <w:r w:rsidRPr="002754E9">
        <w:rPr>
          <w:rFonts w:ascii="Times New Roman" w:hAnsi="Times New Roman" w:cs="Times New Roman"/>
          <w:sz w:val="24"/>
          <w:szCs w:val="24"/>
        </w:rPr>
        <w:t xml:space="preserve">(2):56-66. </w:t>
      </w:r>
    </w:p>
    <w:p w14:paraId="6C9BB17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lastRenderedPageBreak/>
        <w:t xml:space="preserve">Singh, S., Sharma, R., Chandra Nayaka, S., Tara Satyavathi, C., &amp; Raj, C. (2021a). </w:t>
      </w:r>
      <w:r w:rsidRPr="002754E9">
        <w:rPr>
          <w:rFonts w:ascii="Times New Roman" w:eastAsia="Times New Roman" w:hAnsi="Times New Roman" w:cs="Times New Roman"/>
          <w:iCs/>
          <w:sz w:val="24"/>
          <w:szCs w:val="24"/>
          <w:lang w:eastAsia="en-IN"/>
        </w:rPr>
        <w:t xml:space="preserve">Understanding pearl millet blast caused by </w:t>
      </w:r>
      <w:r w:rsidRPr="002754E9">
        <w:rPr>
          <w:rFonts w:ascii="Times New Roman" w:eastAsia="Times New Roman" w:hAnsi="Times New Roman" w:cs="Times New Roman"/>
          <w:i/>
          <w:iCs/>
          <w:sz w:val="24"/>
          <w:szCs w:val="24"/>
          <w:lang w:eastAsia="en-IN"/>
        </w:rPr>
        <w:t>Magnaporthe grisea</w:t>
      </w:r>
      <w:r w:rsidRPr="002754E9">
        <w:rPr>
          <w:rFonts w:ascii="Times New Roman" w:eastAsia="Times New Roman" w:hAnsi="Times New Roman" w:cs="Times New Roman"/>
          <w:iCs/>
          <w:sz w:val="24"/>
          <w:szCs w:val="24"/>
          <w:lang w:eastAsia="en-IN"/>
        </w:rPr>
        <w:t xml:space="preserve"> and strategies for its management</w:t>
      </w:r>
      <w:r w:rsidRPr="002754E9">
        <w:rPr>
          <w:rFonts w:ascii="Times New Roman" w:eastAsia="Times New Roman" w:hAnsi="Times New Roman" w:cs="Times New Roman"/>
          <w:sz w:val="24"/>
          <w:szCs w:val="24"/>
          <w:lang w:eastAsia="en-IN"/>
        </w:rPr>
        <w:t xml:space="preserve">.151–172. </w:t>
      </w:r>
      <w:hyperlink r:id="rId56" w:history="1">
        <w:r w:rsidRPr="002754E9">
          <w:rPr>
            <w:rFonts w:ascii="Times New Roman" w:eastAsia="Times New Roman" w:hAnsi="Times New Roman" w:cs="Times New Roman"/>
            <w:sz w:val="24"/>
            <w:szCs w:val="24"/>
            <w:u w:val="single"/>
            <w:lang w:eastAsia="en-IN"/>
          </w:rPr>
          <w:t>https://doi.org/10.1007/978-3-030-60585-8_11</w:t>
        </w:r>
      </w:hyperlink>
    </w:p>
    <w:p w14:paraId="2BF4D8A9"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Singh, A. K., Rana, M. K., Singh, S., Kumar, S., Durgesh, K., &amp; Arya, L. (2021b). Assessment of genetic diversity among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R. Br.) cultivars using SSR markers. </w:t>
      </w:r>
      <w:r w:rsidRPr="002754E9">
        <w:rPr>
          <w:rFonts w:ascii="Times New Roman" w:eastAsia="Times New Roman" w:hAnsi="Times New Roman" w:cs="Times New Roman"/>
          <w:i/>
          <w:iCs/>
          <w:sz w:val="24"/>
          <w:szCs w:val="24"/>
          <w:lang w:eastAsia="en-IN"/>
        </w:rPr>
        <w:t>Range Management and Agroforestry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34</w:t>
      </w:r>
      <w:r w:rsidRPr="002754E9">
        <w:rPr>
          <w:rFonts w:ascii="Times New Roman" w:eastAsia="Times New Roman" w:hAnsi="Times New Roman" w:cs="Times New Roman"/>
          <w:sz w:val="24"/>
          <w:szCs w:val="24"/>
          <w:lang w:eastAsia="en-IN"/>
        </w:rPr>
        <w:t xml:space="preserve">(1), 77–81. Retrieved from </w:t>
      </w:r>
      <w:hyperlink r:id="rId57" w:history="1">
        <w:r w:rsidRPr="002754E9">
          <w:rPr>
            <w:rFonts w:ascii="Times New Roman" w:eastAsia="Times New Roman" w:hAnsi="Times New Roman" w:cs="Times New Roman"/>
            <w:sz w:val="24"/>
            <w:szCs w:val="24"/>
            <w:u w:val="single"/>
            <w:lang w:eastAsia="en-IN"/>
          </w:rPr>
          <w:t>https://publications.rmsi.in/index.php/rma/article/view/459</w:t>
        </w:r>
      </w:hyperlink>
    </w:p>
    <w:p w14:paraId="6B28938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Singh, S., Prakash, G., </w:t>
      </w:r>
      <w:proofErr w:type="spellStart"/>
      <w:r w:rsidRPr="002754E9">
        <w:rPr>
          <w:rFonts w:ascii="Times New Roman" w:eastAsia="Times New Roman" w:hAnsi="Times New Roman" w:cs="Times New Roman"/>
          <w:sz w:val="24"/>
          <w:szCs w:val="24"/>
          <w:lang w:eastAsia="en-IN"/>
        </w:rPr>
        <w:t>Nanjundappa</w:t>
      </w:r>
      <w:proofErr w:type="spellEnd"/>
      <w:r w:rsidRPr="002754E9">
        <w:rPr>
          <w:rFonts w:ascii="Times New Roman" w:eastAsia="Times New Roman" w:hAnsi="Times New Roman" w:cs="Times New Roman"/>
          <w:sz w:val="24"/>
          <w:szCs w:val="24"/>
          <w:lang w:eastAsia="en-IN"/>
        </w:rPr>
        <w:t xml:space="preserve">, S., </w:t>
      </w:r>
      <w:proofErr w:type="spellStart"/>
      <w:r w:rsidRPr="002754E9">
        <w:rPr>
          <w:rFonts w:ascii="Times New Roman" w:eastAsia="Times New Roman" w:hAnsi="Times New Roman" w:cs="Times New Roman"/>
          <w:sz w:val="24"/>
          <w:szCs w:val="24"/>
          <w:lang w:eastAsia="en-IN"/>
        </w:rPr>
        <w:t>Malipatil</w:t>
      </w:r>
      <w:proofErr w:type="spellEnd"/>
      <w:r w:rsidRPr="002754E9">
        <w:rPr>
          <w:rFonts w:ascii="Times New Roman" w:eastAsia="Times New Roman" w:hAnsi="Times New Roman" w:cs="Times New Roman"/>
          <w:sz w:val="24"/>
          <w:szCs w:val="24"/>
          <w:lang w:eastAsia="en-IN"/>
        </w:rPr>
        <w:t xml:space="preserve">, R., Kalita, P., Satyavathi, T. C., &amp; Thirunavukkarasu, N. (2024). Novel SNPs linked to blast resistance genes identified in pearl millet through genome-wide association models. </w:t>
      </w:r>
      <w:r w:rsidRPr="002754E9">
        <w:rPr>
          <w:rFonts w:ascii="Times New Roman" w:eastAsia="Times New Roman" w:hAnsi="Times New Roman" w:cs="Times New Roman"/>
          <w:i/>
          <w:iCs/>
          <w:sz w:val="24"/>
          <w:szCs w:val="24"/>
          <w:lang w:eastAsia="en-IN"/>
        </w:rPr>
        <w:t>International Journal of Molecular Sciences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25</w:t>
      </w:r>
      <w:r w:rsidRPr="002754E9">
        <w:rPr>
          <w:rFonts w:ascii="Times New Roman" w:eastAsia="Times New Roman" w:hAnsi="Times New Roman" w:cs="Times New Roman"/>
          <w:sz w:val="24"/>
          <w:szCs w:val="24"/>
          <w:lang w:eastAsia="en-IN"/>
        </w:rPr>
        <w:t xml:space="preserve">(22), 12048. </w:t>
      </w:r>
      <w:hyperlink r:id="rId58" w:history="1">
        <w:r w:rsidRPr="002754E9">
          <w:rPr>
            <w:rFonts w:ascii="Times New Roman" w:eastAsia="Times New Roman" w:hAnsi="Times New Roman" w:cs="Times New Roman"/>
            <w:sz w:val="24"/>
            <w:szCs w:val="24"/>
            <w:u w:val="single"/>
            <w:lang w:eastAsia="en-IN"/>
          </w:rPr>
          <w:t>https://doi.org/10.3390/ijms252212048</w:t>
        </w:r>
      </w:hyperlink>
    </w:p>
    <w:p w14:paraId="0EB15EF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Srivastava, R. K., Yadav, O. P., </w:t>
      </w:r>
      <w:proofErr w:type="spellStart"/>
      <w:r w:rsidRPr="002754E9">
        <w:rPr>
          <w:rFonts w:ascii="Times New Roman" w:eastAsia="Times New Roman" w:hAnsi="Times New Roman" w:cs="Times New Roman"/>
          <w:sz w:val="24"/>
          <w:szCs w:val="24"/>
          <w:lang w:eastAsia="en-IN"/>
        </w:rPr>
        <w:t>Kaliamoorthy</w:t>
      </w:r>
      <w:proofErr w:type="spellEnd"/>
      <w:r w:rsidRPr="002754E9">
        <w:rPr>
          <w:rFonts w:ascii="Times New Roman" w:eastAsia="Times New Roman" w:hAnsi="Times New Roman" w:cs="Times New Roman"/>
          <w:sz w:val="24"/>
          <w:szCs w:val="24"/>
          <w:lang w:eastAsia="en-IN"/>
        </w:rPr>
        <w:t xml:space="preserve">, S., Gupta, S. K., Serba, D. D., Choudhary, S., Govindaraj, M., </w:t>
      </w:r>
      <w:proofErr w:type="spellStart"/>
      <w:r w:rsidRPr="002754E9">
        <w:rPr>
          <w:rFonts w:ascii="Times New Roman" w:eastAsia="Times New Roman" w:hAnsi="Times New Roman" w:cs="Times New Roman"/>
          <w:sz w:val="24"/>
          <w:szCs w:val="24"/>
          <w:lang w:eastAsia="en-IN"/>
        </w:rPr>
        <w:t>Kholová</w:t>
      </w:r>
      <w:proofErr w:type="spellEnd"/>
      <w:r w:rsidRPr="002754E9">
        <w:rPr>
          <w:rFonts w:ascii="Times New Roman" w:eastAsia="Times New Roman" w:hAnsi="Times New Roman" w:cs="Times New Roman"/>
          <w:sz w:val="24"/>
          <w:szCs w:val="24"/>
          <w:lang w:eastAsia="en-IN"/>
        </w:rPr>
        <w:t xml:space="preserve">, J., Murugesan, T., Satyavathi, C. T., Gumma, M. K., Singh, R. B., </w:t>
      </w:r>
      <w:proofErr w:type="spellStart"/>
      <w:r w:rsidRPr="002754E9">
        <w:rPr>
          <w:rFonts w:ascii="Times New Roman" w:eastAsia="Times New Roman" w:hAnsi="Times New Roman" w:cs="Times New Roman"/>
          <w:sz w:val="24"/>
          <w:szCs w:val="24"/>
          <w:lang w:eastAsia="en-IN"/>
        </w:rPr>
        <w:t>Bollam</w:t>
      </w:r>
      <w:proofErr w:type="spellEnd"/>
      <w:r w:rsidRPr="002754E9">
        <w:rPr>
          <w:rFonts w:ascii="Times New Roman" w:eastAsia="Times New Roman" w:hAnsi="Times New Roman" w:cs="Times New Roman"/>
          <w:sz w:val="24"/>
          <w:szCs w:val="24"/>
          <w:lang w:eastAsia="en-IN"/>
        </w:rPr>
        <w:t xml:space="preserve">, S., Gupta, R., &amp; Varshney, R. K. (2022). Breeding drought-tolerant pearl millet using conventional and genomic approaches: Achievements and prospects.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 </w:t>
      </w:r>
      <w:hyperlink r:id="rId59" w:history="1">
        <w:r w:rsidRPr="002754E9">
          <w:rPr>
            <w:rFonts w:ascii="Times New Roman" w:eastAsia="Times New Roman" w:hAnsi="Times New Roman" w:cs="Times New Roman"/>
            <w:sz w:val="24"/>
            <w:szCs w:val="24"/>
            <w:u w:val="single"/>
            <w:lang w:eastAsia="en-IN"/>
          </w:rPr>
          <w:t>https://doi.org/10.3389/fpls.2022.781524</w:t>
        </w:r>
      </w:hyperlink>
    </w:p>
    <w:p w14:paraId="4595F6F0"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Terensan, S., Fernando, N. S., Silva, J. N., Perera, C. N., Kottearachchi, N. S., &amp; Weerasena, D. S. (2021). </w:t>
      </w:r>
      <w:r w:rsidRPr="002754E9">
        <w:rPr>
          <w:rFonts w:ascii="Times New Roman" w:eastAsia="Times New Roman" w:hAnsi="Times New Roman" w:cs="Times New Roman"/>
          <w:i/>
          <w:iCs/>
          <w:sz w:val="24"/>
          <w:szCs w:val="24"/>
          <w:lang w:eastAsia="en-IN"/>
        </w:rPr>
        <w:t>In silico</w:t>
      </w:r>
      <w:r w:rsidRPr="002754E9">
        <w:rPr>
          <w:rFonts w:ascii="Times New Roman" w:eastAsia="Times New Roman" w:hAnsi="Times New Roman" w:cs="Times New Roman"/>
          <w:sz w:val="24"/>
          <w:szCs w:val="24"/>
          <w:lang w:eastAsia="en-IN"/>
        </w:rPr>
        <w:t xml:space="preserve"> molecular and morphological analysis of rice blast resistant gene </w:t>
      </w:r>
      <w:r w:rsidRPr="002754E9">
        <w:rPr>
          <w:rFonts w:ascii="Times New Roman" w:eastAsia="Times New Roman" w:hAnsi="Times New Roman" w:cs="Times New Roman"/>
          <w:i/>
          <w:iCs/>
          <w:sz w:val="24"/>
          <w:szCs w:val="24"/>
          <w:lang w:eastAsia="en-IN"/>
        </w:rPr>
        <w:t>Pi-ta</w:t>
      </w:r>
      <w:r w:rsidRPr="002754E9">
        <w:rPr>
          <w:rFonts w:ascii="Times New Roman" w:eastAsia="Times New Roman" w:hAnsi="Times New Roman" w:cs="Times New Roman"/>
          <w:sz w:val="24"/>
          <w:szCs w:val="24"/>
          <w:lang w:eastAsia="en-IN"/>
        </w:rPr>
        <w:t xml:space="preserve"> in Sri Lankan rice germplasm. </w:t>
      </w:r>
      <w:r w:rsidRPr="002754E9">
        <w:rPr>
          <w:rFonts w:ascii="Times New Roman" w:eastAsia="Times New Roman" w:hAnsi="Times New Roman" w:cs="Times New Roman"/>
          <w:i/>
          <w:iCs/>
          <w:sz w:val="24"/>
          <w:szCs w:val="24"/>
          <w:lang w:eastAsia="en-IN"/>
        </w:rPr>
        <w:t>Journal of Genetic Engineering and Biotechnology, 19</w:t>
      </w:r>
      <w:r w:rsidRPr="002754E9">
        <w:rPr>
          <w:rFonts w:ascii="Times New Roman" w:eastAsia="Times New Roman" w:hAnsi="Times New Roman" w:cs="Times New Roman"/>
          <w:sz w:val="24"/>
          <w:szCs w:val="24"/>
          <w:lang w:eastAsia="en-IN"/>
        </w:rPr>
        <w:t xml:space="preserve">(1), 163. </w:t>
      </w:r>
      <w:hyperlink r:id="rId60" w:tgtFrame="_blank" w:tooltip="Persistent link using digital object identifier" w:history="1">
        <w:r w:rsidRPr="002754E9">
          <w:rPr>
            <w:rFonts w:ascii="Times New Roman" w:eastAsia="Times New Roman" w:hAnsi="Times New Roman" w:cs="Times New Roman"/>
            <w:sz w:val="24"/>
            <w:szCs w:val="24"/>
            <w:u w:val="single"/>
            <w:lang w:eastAsia="en-IN"/>
          </w:rPr>
          <w:t>https://doi.org/10.1186/s43141-021-00239-7</w:t>
        </w:r>
      </w:hyperlink>
    </w:p>
    <w:p w14:paraId="252F25AA"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Arial MT" w:hAnsi="Times New Roman" w:cs="Times New Roman"/>
          <w:sz w:val="24"/>
          <w:szCs w:val="24"/>
          <w:shd w:val="clear" w:color="auto" w:fill="FFFFFF"/>
          <w:lang w:val="en-US" w:eastAsia="en-IN"/>
        </w:rPr>
        <w:t>Thompson, W. F., Murray, M. G., &amp; Cuellar, R. E. (1980). Contrasting patterns of DNA sequence organization in plants. In </w:t>
      </w:r>
      <w:r w:rsidRPr="002754E9">
        <w:rPr>
          <w:rFonts w:ascii="Times New Roman" w:eastAsia="Arial MT" w:hAnsi="Times New Roman" w:cs="Times New Roman"/>
          <w:i/>
          <w:iCs/>
          <w:sz w:val="24"/>
          <w:szCs w:val="24"/>
          <w:shd w:val="clear" w:color="auto" w:fill="FFFFFF"/>
          <w:lang w:val="en-US" w:eastAsia="en-IN"/>
        </w:rPr>
        <w:t>Genome organization and expression in plants</w:t>
      </w:r>
      <w:r w:rsidRPr="002754E9">
        <w:rPr>
          <w:rFonts w:ascii="Times New Roman" w:eastAsia="Arial MT" w:hAnsi="Times New Roman" w:cs="Times New Roman"/>
          <w:sz w:val="24"/>
          <w:szCs w:val="24"/>
          <w:shd w:val="clear" w:color="auto" w:fill="FFFFFF"/>
          <w:lang w:val="en-US" w:eastAsia="en-IN"/>
        </w:rPr>
        <w:t>,1-15. Boston, MA: Springer US.</w:t>
      </w:r>
      <w:hyperlink r:id="rId61" w:history="1">
        <w:r w:rsidRPr="002754E9">
          <w:rPr>
            <w:rFonts w:ascii="Times New Roman" w:eastAsia="Arial MT" w:hAnsi="Times New Roman" w:cs="Times New Roman"/>
            <w:sz w:val="24"/>
            <w:szCs w:val="24"/>
            <w:u w:val="single"/>
            <w:shd w:val="clear" w:color="auto" w:fill="FFFFFF"/>
            <w:lang w:eastAsia="en-IN"/>
          </w:rPr>
          <w:t>https://doi.org/10.1007/978-1-4613-3051-6_1</w:t>
        </w:r>
      </w:hyperlink>
    </w:p>
    <w:p w14:paraId="1CC4A162"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Tiwari, S., Tomar, R. S., Tripathi, M. K. &amp; Ahuja A. (2017). Modified protocol for plant genomic DNA isolation. </w:t>
      </w:r>
      <w:r w:rsidRPr="002754E9">
        <w:rPr>
          <w:rFonts w:ascii="Times New Roman" w:hAnsi="Times New Roman" w:cs="Times New Roman"/>
          <w:i/>
          <w:iCs/>
          <w:sz w:val="24"/>
          <w:szCs w:val="24"/>
        </w:rPr>
        <w:t>Indian Res. J. Genet. Biotech</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9</w:t>
      </w:r>
      <w:r w:rsidRPr="002754E9">
        <w:rPr>
          <w:rFonts w:ascii="Times New Roman" w:hAnsi="Times New Roman" w:cs="Times New Roman"/>
          <w:sz w:val="24"/>
          <w:szCs w:val="24"/>
        </w:rPr>
        <w:t xml:space="preserve">(4): 478 – 485. </w:t>
      </w:r>
    </w:p>
    <w:p w14:paraId="3E6FF00A"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bookmarkStart w:id="4" w:name="_Hlk202118494"/>
      <w:r w:rsidRPr="002754E9">
        <w:rPr>
          <w:rFonts w:ascii="Times New Roman" w:hAnsi="Times New Roman" w:cs="Times New Roman"/>
          <w:sz w:val="24"/>
          <w:szCs w:val="24"/>
        </w:rPr>
        <w:t>Upadhyay</w:t>
      </w:r>
      <w:bookmarkEnd w:id="4"/>
      <w:r w:rsidRPr="002754E9">
        <w:rPr>
          <w:rFonts w:ascii="Times New Roman" w:hAnsi="Times New Roman" w:cs="Times New Roman"/>
          <w:sz w:val="24"/>
          <w:szCs w:val="24"/>
        </w:rPr>
        <w:t>, S., Singh, A.K., Tripathi, M.K., Tiwari, S. &amp; Tripathi, N. (2020). Validation of simple sequence repeats markers for charcoal rot and Rhizoctonia root rot resistance in soybean genotypes.</w:t>
      </w:r>
      <w:r w:rsidRPr="002754E9">
        <w:rPr>
          <w:rFonts w:ascii="Times New Roman" w:hAnsi="Times New Roman" w:cs="Times New Roman"/>
          <w:i/>
          <w:iCs/>
          <w:sz w:val="24"/>
          <w:szCs w:val="24"/>
        </w:rPr>
        <w:t xml:space="preserve"> I.J.A.B.R.10</w:t>
      </w:r>
      <w:r w:rsidRPr="002754E9">
        <w:rPr>
          <w:rFonts w:ascii="Times New Roman" w:hAnsi="Times New Roman" w:cs="Times New Roman"/>
          <w:sz w:val="24"/>
          <w:szCs w:val="24"/>
        </w:rPr>
        <w:t xml:space="preserve">(2):137-144. </w:t>
      </w:r>
    </w:p>
    <w:p w14:paraId="67587564"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Vasquez-Teuber, P., Rouxel, T., Mason, A. S., &amp; Soyer, J. L. (2024). Breeding and management of major resistance genes to stem canker/blackleg in Brassica crops. </w:t>
      </w:r>
      <w:r w:rsidRPr="002754E9">
        <w:rPr>
          <w:rFonts w:ascii="Times New Roman" w:eastAsia="Times New Roman" w:hAnsi="Times New Roman" w:cs="Times New Roman"/>
          <w:i/>
          <w:iCs/>
          <w:sz w:val="24"/>
          <w:szCs w:val="24"/>
          <w:lang w:eastAsia="en-IN"/>
        </w:rPr>
        <w:lastRenderedPageBreak/>
        <w:t>Theoretical and Applied Genetics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137</w:t>
      </w:r>
      <w:r w:rsidRPr="002754E9">
        <w:rPr>
          <w:rFonts w:ascii="Times New Roman" w:eastAsia="Times New Roman" w:hAnsi="Times New Roman" w:cs="Times New Roman"/>
          <w:sz w:val="24"/>
          <w:szCs w:val="24"/>
          <w:lang w:eastAsia="en-IN"/>
        </w:rPr>
        <w:t xml:space="preserve">(8), 192. </w:t>
      </w:r>
      <w:hyperlink r:id="rId62" w:history="1">
        <w:r w:rsidRPr="002754E9">
          <w:rPr>
            <w:rFonts w:ascii="Times New Roman" w:eastAsia="Times New Roman" w:hAnsi="Times New Roman" w:cs="Times New Roman"/>
            <w:sz w:val="24"/>
            <w:szCs w:val="24"/>
            <w:u w:val="single"/>
            <w:lang w:eastAsia="en-IN"/>
          </w:rPr>
          <w:t>https://doi.org/10.1007/s00122-024-04641-w</w:t>
        </w:r>
      </w:hyperlink>
    </w:p>
    <w:p w14:paraId="479C5B4A"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Verma, R., Tripathi, M. K., Tiwari, S., Pandya, R. K., Tripathi, N. &amp; Parihar, P. (2021). Screening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genotypes against blast disease on the basis of disease indexing and gene specific SSR markers. </w:t>
      </w:r>
      <w:r w:rsidRPr="002754E9">
        <w:rPr>
          <w:rFonts w:ascii="Times New Roman" w:hAnsi="Times New Roman" w:cs="Times New Roman"/>
          <w:i/>
          <w:iCs/>
          <w:sz w:val="24"/>
          <w:szCs w:val="24"/>
        </w:rPr>
        <w:t>Int J Curr Microbiol Appl Sci</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10</w:t>
      </w:r>
      <w:r w:rsidRPr="002754E9">
        <w:rPr>
          <w:rFonts w:ascii="Times New Roman" w:hAnsi="Times New Roman" w:cs="Times New Roman"/>
          <w:sz w:val="24"/>
          <w:szCs w:val="24"/>
        </w:rPr>
        <w:t xml:space="preserve">(02):1108-1117. </w:t>
      </w:r>
    </w:p>
    <w:p w14:paraId="5466F72E"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Wilson, J. P., Wells, H. D., &amp; Burton, G. W. (1989). Inheritance of resistance to </w:t>
      </w:r>
      <w:r w:rsidRPr="002754E9">
        <w:rPr>
          <w:rFonts w:ascii="Times New Roman" w:eastAsia="Times New Roman" w:hAnsi="Times New Roman" w:cs="Times New Roman"/>
          <w:i/>
          <w:iCs/>
          <w:sz w:val="24"/>
          <w:szCs w:val="24"/>
          <w:lang w:eastAsia="en-IN"/>
        </w:rPr>
        <w:t>Pyricularia grisea</w:t>
      </w:r>
      <w:r w:rsidRPr="002754E9">
        <w:rPr>
          <w:rFonts w:ascii="Times New Roman" w:eastAsia="Times New Roman" w:hAnsi="Times New Roman" w:cs="Times New Roman"/>
          <w:sz w:val="24"/>
          <w:szCs w:val="24"/>
          <w:lang w:eastAsia="en-IN"/>
        </w:rPr>
        <w:t xml:space="preserve"> in pearl millet accessions from Burkina Faso and inbred Tift 85DB. </w:t>
      </w:r>
      <w:r w:rsidRPr="002754E9">
        <w:rPr>
          <w:rFonts w:ascii="Times New Roman" w:eastAsia="Times New Roman" w:hAnsi="Times New Roman" w:cs="Times New Roman"/>
          <w:i/>
          <w:iCs/>
          <w:sz w:val="24"/>
          <w:szCs w:val="24"/>
          <w:lang w:eastAsia="en-IN"/>
        </w:rPr>
        <w:t>Journal of Heredity, 80</w:t>
      </w:r>
      <w:r w:rsidRPr="002754E9">
        <w:rPr>
          <w:rFonts w:ascii="Times New Roman" w:eastAsia="Times New Roman" w:hAnsi="Times New Roman" w:cs="Times New Roman"/>
          <w:sz w:val="24"/>
          <w:szCs w:val="24"/>
          <w:lang w:eastAsia="en-IN"/>
        </w:rPr>
        <w:t xml:space="preserve">(6), 499–501. </w:t>
      </w:r>
      <w:hyperlink r:id="rId63" w:tgtFrame="_new" w:history="1">
        <w:r w:rsidRPr="002754E9">
          <w:rPr>
            <w:rFonts w:ascii="Times New Roman" w:eastAsia="Times New Roman" w:hAnsi="Times New Roman" w:cs="Times New Roman"/>
            <w:sz w:val="24"/>
            <w:szCs w:val="24"/>
            <w:u w:val="single"/>
            <w:lang w:eastAsia="en-IN"/>
          </w:rPr>
          <w:t>https://doi.org/10.1093/oxfordjournals.jhered.a110912</w:t>
        </w:r>
      </w:hyperlink>
    </w:p>
    <w:p w14:paraId="0D257CA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Yadav, O. P., &amp; Rai, K. N. (2013). Genetic improvement of pearl millet in India. </w:t>
      </w:r>
      <w:r w:rsidRPr="002754E9">
        <w:rPr>
          <w:rFonts w:ascii="Times New Roman" w:eastAsia="Times New Roman" w:hAnsi="Times New Roman" w:cs="Times New Roman"/>
          <w:i/>
          <w:iCs/>
          <w:sz w:val="24"/>
          <w:szCs w:val="24"/>
          <w:lang w:eastAsia="en-IN"/>
        </w:rPr>
        <w:t>Agricultural Research</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w:t>
      </w:r>
      <w:r w:rsidRPr="002754E9">
        <w:rPr>
          <w:rFonts w:ascii="Times New Roman" w:eastAsia="Times New Roman" w:hAnsi="Times New Roman" w:cs="Times New Roman"/>
          <w:sz w:val="24"/>
          <w:szCs w:val="24"/>
          <w:lang w:eastAsia="en-IN"/>
        </w:rPr>
        <w:t xml:space="preserve">(4), 275–292. </w:t>
      </w:r>
      <w:hyperlink r:id="rId64" w:history="1">
        <w:r w:rsidRPr="002754E9">
          <w:rPr>
            <w:rFonts w:ascii="Times New Roman" w:eastAsia="Times New Roman" w:hAnsi="Times New Roman" w:cs="Times New Roman"/>
            <w:sz w:val="24"/>
            <w:szCs w:val="24"/>
            <w:u w:val="single"/>
            <w:lang w:eastAsia="en-IN"/>
          </w:rPr>
          <w:t>https://doi.org/10.1007/s40003-013-0089-z</w:t>
        </w:r>
      </w:hyperlink>
    </w:p>
    <w:p w14:paraId="722AC29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rPr>
        <w:t xml:space="preserve">Yadav, O. P., Gupta, S. K., Govindaraj, M., Sharma, R., Varshney, R. K., Srivastava, R. K., Rathore, A., &amp; Mahala, R. S. (2021). Genetic gains in pearl millet in India: Insights into historic breeding strategies and future perspective. </w:t>
      </w:r>
      <w:r w:rsidRPr="002754E9">
        <w:rPr>
          <w:rFonts w:ascii="Times New Roman" w:hAnsi="Times New Roman" w:cs="Times New Roman"/>
          <w:i/>
          <w:iCs/>
          <w:sz w:val="24"/>
          <w:szCs w:val="24"/>
        </w:rPr>
        <w:t>Frontiers in Plant Science</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12</w:t>
      </w:r>
      <w:r w:rsidRPr="002754E9">
        <w:rPr>
          <w:rFonts w:ascii="Times New Roman" w:hAnsi="Times New Roman" w:cs="Times New Roman"/>
          <w:sz w:val="24"/>
          <w:szCs w:val="24"/>
        </w:rPr>
        <w:t xml:space="preserve">. </w:t>
      </w:r>
      <w:hyperlink r:id="rId65" w:history="1">
        <w:r w:rsidRPr="002754E9">
          <w:rPr>
            <w:rFonts w:ascii="Times New Roman" w:hAnsi="Times New Roman" w:cs="Times New Roman"/>
            <w:sz w:val="24"/>
            <w:szCs w:val="24"/>
            <w:u w:val="single"/>
          </w:rPr>
          <w:t>https://doi.org/10.3389/fpls.2021.645038</w:t>
        </w:r>
      </w:hyperlink>
    </w:p>
    <w:p w14:paraId="6D780B18" w14:textId="77777777" w:rsidR="005D6DF5" w:rsidRPr="00CA2EC1" w:rsidRDefault="005D6DF5" w:rsidP="00C90115">
      <w:pPr>
        <w:spacing w:line="360" w:lineRule="auto"/>
        <w:jc w:val="both"/>
        <w:rPr>
          <w:rFonts w:ascii="Times New Roman" w:eastAsia="Times New Roman" w:hAnsi="Times New Roman" w:cs="Times New Roman"/>
          <w:sz w:val="24"/>
          <w:szCs w:val="24"/>
          <w:lang w:eastAsia="en-IN"/>
        </w:rPr>
      </w:pPr>
    </w:p>
    <w:sectPr w:rsidR="005D6DF5" w:rsidRPr="00CA2EC1" w:rsidSect="00CA2EC1">
      <w:headerReference w:type="even" r:id="rId66"/>
      <w:headerReference w:type="default" r:id="rId67"/>
      <w:footerReference w:type="even" r:id="rId68"/>
      <w:footerReference w:type="default" r:id="rId69"/>
      <w:headerReference w:type="first" r:id="rId70"/>
      <w:footerReference w:type="first" r:id="rId71"/>
      <w:pgSz w:w="12240" w:h="15840"/>
      <w:pgMar w:top="1820" w:right="1440" w:bottom="27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C13F7" w14:textId="77777777" w:rsidR="002F366C" w:rsidRDefault="002F366C" w:rsidP="008528AE">
      <w:pPr>
        <w:spacing w:after="0" w:line="240" w:lineRule="auto"/>
      </w:pPr>
      <w:r>
        <w:separator/>
      </w:r>
    </w:p>
  </w:endnote>
  <w:endnote w:type="continuationSeparator" w:id="0">
    <w:p w14:paraId="43AD0CFE" w14:textId="77777777" w:rsidR="002F366C" w:rsidRDefault="002F366C" w:rsidP="0085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8066" w14:textId="77777777" w:rsidR="007341CF" w:rsidRDefault="00734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57F7" w14:textId="77777777" w:rsidR="007341CF" w:rsidRDefault="00734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7EC4" w14:textId="77777777" w:rsidR="007341CF" w:rsidRDefault="00734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0DEB" w14:textId="77777777" w:rsidR="002F366C" w:rsidRDefault="002F366C" w:rsidP="008528AE">
      <w:pPr>
        <w:spacing w:after="0" w:line="240" w:lineRule="auto"/>
      </w:pPr>
      <w:r>
        <w:separator/>
      </w:r>
    </w:p>
  </w:footnote>
  <w:footnote w:type="continuationSeparator" w:id="0">
    <w:p w14:paraId="27B923C0" w14:textId="77777777" w:rsidR="002F366C" w:rsidRDefault="002F366C" w:rsidP="0085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29DD" w14:textId="338E3A3C" w:rsidR="007341CF" w:rsidRDefault="00000000">
    <w:pPr>
      <w:pStyle w:val="Header"/>
    </w:pPr>
    <w:r>
      <w:rPr>
        <w:noProof/>
      </w:rPr>
      <w:pict w14:anchorId="3220E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7501" o:spid="_x0000_s1026" type="#_x0000_t136" style="position:absolute;margin-left:0;margin-top:0;width:534.45pt;height:10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C0DB" w14:textId="6115A4A2" w:rsidR="007341CF" w:rsidRDefault="00000000">
    <w:pPr>
      <w:pStyle w:val="Header"/>
    </w:pPr>
    <w:r>
      <w:rPr>
        <w:noProof/>
      </w:rPr>
      <w:pict w14:anchorId="45622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7502" o:spid="_x0000_s1027" type="#_x0000_t136" style="position:absolute;margin-left:0;margin-top:0;width:534.45pt;height:10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2569" w14:textId="60EC7F5D" w:rsidR="007341CF" w:rsidRDefault="00000000">
    <w:pPr>
      <w:pStyle w:val="Header"/>
    </w:pPr>
    <w:r>
      <w:rPr>
        <w:noProof/>
      </w:rPr>
      <w:pict w14:anchorId="19A16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7500" o:spid="_x0000_s1025" type="#_x0000_t136" style="position:absolute;margin-left:0;margin-top:0;width:534.45pt;height:10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5CF1"/>
    <w:multiLevelType w:val="hybridMultilevel"/>
    <w:tmpl w:val="CC8EE7AE"/>
    <w:lvl w:ilvl="0" w:tplc="9EB07770">
      <w:start w:val="1"/>
      <w:numFmt w:val="decimal"/>
      <w:lvlText w:val="%1."/>
      <w:lvlJc w:val="left"/>
      <w:pPr>
        <w:ind w:left="360" w:hanging="360"/>
      </w:pPr>
      <w:rPr>
        <w:sz w:val="24"/>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1925675B"/>
    <w:multiLevelType w:val="hybridMultilevel"/>
    <w:tmpl w:val="BB122866"/>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3" w15:restartNumberingAfterBreak="0">
    <w:nsid w:val="3E4F1C80"/>
    <w:multiLevelType w:val="hybridMultilevel"/>
    <w:tmpl w:val="A936FF3E"/>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EA0370"/>
    <w:multiLevelType w:val="multilevel"/>
    <w:tmpl w:val="2D0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86541"/>
    <w:multiLevelType w:val="hybridMultilevel"/>
    <w:tmpl w:val="98B60C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3506C28"/>
    <w:multiLevelType w:val="hybridMultilevel"/>
    <w:tmpl w:val="A936FF3E"/>
    <w:lvl w:ilvl="0" w:tplc="FFFFFFFF">
      <w:start w:val="1"/>
      <w:numFmt w:val="decimal"/>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021315"/>
    <w:multiLevelType w:val="hybridMultilevel"/>
    <w:tmpl w:val="8FA05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E227B3"/>
    <w:multiLevelType w:val="hybridMultilevel"/>
    <w:tmpl w:val="75E659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6BE2A3D"/>
    <w:multiLevelType w:val="hybridMultilevel"/>
    <w:tmpl w:val="272ABB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E3769F6"/>
    <w:multiLevelType w:val="hybridMultilevel"/>
    <w:tmpl w:val="A936FF3E"/>
    <w:lvl w:ilvl="0" w:tplc="4009000F">
      <w:start w:val="1"/>
      <w:numFmt w:val="decimal"/>
      <w:lvlText w:val="%1."/>
      <w:lvlJc w:val="left"/>
      <w:pPr>
        <w:ind w:left="720" w:hanging="360"/>
      </w:pPr>
      <w:rPr>
        <w:rFonts w:hint="default"/>
      </w:rPr>
    </w:lvl>
    <w:lvl w:ilvl="1" w:tplc="A5A07C7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2246846">
    <w:abstractNumId w:val="4"/>
  </w:num>
  <w:num w:numId="2" w16cid:durableId="1627078353">
    <w:abstractNumId w:val="0"/>
  </w:num>
  <w:num w:numId="3" w16cid:durableId="1038505049">
    <w:abstractNumId w:val="9"/>
  </w:num>
  <w:num w:numId="4" w16cid:durableId="95441943">
    <w:abstractNumId w:val="2"/>
  </w:num>
  <w:num w:numId="5" w16cid:durableId="1940749736">
    <w:abstractNumId w:val="10"/>
  </w:num>
  <w:num w:numId="6" w16cid:durableId="1998457511">
    <w:abstractNumId w:val="6"/>
  </w:num>
  <w:num w:numId="7" w16cid:durableId="893546644">
    <w:abstractNumId w:val="1"/>
  </w:num>
  <w:num w:numId="8" w16cid:durableId="2070300165">
    <w:abstractNumId w:val="3"/>
  </w:num>
  <w:num w:numId="9" w16cid:durableId="1348143313">
    <w:abstractNumId w:val="8"/>
  </w:num>
  <w:num w:numId="10" w16cid:durableId="182984637">
    <w:abstractNumId w:val="5"/>
  </w:num>
  <w:num w:numId="11" w16cid:durableId="2114200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044"/>
    <w:rsid w:val="00016B71"/>
    <w:rsid w:val="000729CD"/>
    <w:rsid w:val="00086BE5"/>
    <w:rsid w:val="00093C55"/>
    <w:rsid w:val="000B0824"/>
    <w:rsid w:val="000D12E8"/>
    <w:rsid w:val="00173963"/>
    <w:rsid w:val="0017778A"/>
    <w:rsid w:val="00190CC5"/>
    <w:rsid w:val="00190CE1"/>
    <w:rsid w:val="001A0BB9"/>
    <w:rsid w:val="001E6522"/>
    <w:rsid w:val="001E776D"/>
    <w:rsid w:val="001F0F4C"/>
    <w:rsid w:val="00211617"/>
    <w:rsid w:val="00214245"/>
    <w:rsid w:val="002211B8"/>
    <w:rsid w:val="00221467"/>
    <w:rsid w:val="00265927"/>
    <w:rsid w:val="002738F4"/>
    <w:rsid w:val="00290A5E"/>
    <w:rsid w:val="002A648B"/>
    <w:rsid w:val="002F366C"/>
    <w:rsid w:val="002F39AE"/>
    <w:rsid w:val="0032005E"/>
    <w:rsid w:val="00354B3F"/>
    <w:rsid w:val="0036442C"/>
    <w:rsid w:val="003752EE"/>
    <w:rsid w:val="00390165"/>
    <w:rsid w:val="003911F1"/>
    <w:rsid w:val="003A5F2F"/>
    <w:rsid w:val="003B7C23"/>
    <w:rsid w:val="003D75DD"/>
    <w:rsid w:val="003F600C"/>
    <w:rsid w:val="004911D8"/>
    <w:rsid w:val="004B480F"/>
    <w:rsid w:val="005909E5"/>
    <w:rsid w:val="00591888"/>
    <w:rsid w:val="00597E78"/>
    <w:rsid w:val="005B67A1"/>
    <w:rsid w:val="005D6DF5"/>
    <w:rsid w:val="00605D7D"/>
    <w:rsid w:val="00671ADC"/>
    <w:rsid w:val="006B7F03"/>
    <w:rsid w:val="00715A38"/>
    <w:rsid w:val="007341CF"/>
    <w:rsid w:val="007574C2"/>
    <w:rsid w:val="00771475"/>
    <w:rsid w:val="007844DE"/>
    <w:rsid w:val="007C0518"/>
    <w:rsid w:val="007D445B"/>
    <w:rsid w:val="007F07FD"/>
    <w:rsid w:val="007F30C8"/>
    <w:rsid w:val="008135FC"/>
    <w:rsid w:val="00817D4A"/>
    <w:rsid w:val="008232FC"/>
    <w:rsid w:val="0083094A"/>
    <w:rsid w:val="008528AE"/>
    <w:rsid w:val="0085392B"/>
    <w:rsid w:val="008819CB"/>
    <w:rsid w:val="0088798B"/>
    <w:rsid w:val="00896526"/>
    <w:rsid w:val="008A3D14"/>
    <w:rsid w:val="008A429C"/>
    <w:rsid w:val="008C3520"/>
    <w:rsid w:val="008C6BB1"/>
    <w:rsid w:val="00902979"/>
    <w:rsid w:val="009118FF"/>
    <w:rsid w:val="00960F75"/>
    <w:rsid w:val="009705F3"/>
    <w:rsid w:val="00982B6F"/>
    <w:rsid w:val="009855C3"/>
    <w:rsid w:val="00986490"/>
    <w:rsid w:val="009B43D0"/>
    <w:rsid w:val="00A00435"/>
    <w:rsid w:val="00A208BA"/>
    <w:rsid w:val="00A24ACA"/>
    <w:rsid w:val="00A31F36"/>
    <w:rsid w:val="00A46970"/>
    <w:rsid w:val="00A469F4"/>
    <w:rsid w:val="00A56630"/>
    <w:rsid w:val="00A80FB4"/>
    <w:rsid w:val="00AB6EE2"/>
    <w:rsid w:val="00AC6921"/>
    <w:rsid w:val="00B00545"/>
    <w:rsid w:val="00BD75FC"/>
    <w:rsid w:val="00C0363F"/>
    <w:rsid w:val="00C13B2C"/>
    <w:rsid w:val="00C622A6"/>
    <w:rsid w:val="00C668C0"/>
    <w:rsid w:val="00C80AF9"/>
    <w:rsid w:val="00C90115"/>
    <w:rsid w:val="00C96F61"/>
    <w:rsid w:val="00CA2EC1"/>
    <w:rsid w:val="00CC2E11"/>
    <w:rsid w:val="00CD762D"/>
    <w:rsid w:val="00D12044"/>
    <w:rsid w:val="00D308A8"/>
    <w:rsid w:val="00E31CF1"/>
    <w:rsid w:val="00E53796"/>
    <w:rsid w:val="00E97692"/>
    <w:rsid w:val="00EB7B67"/>
    <w:rsid w:val="00EF11DB"/>
    <w:rsid w:val="00F01756"/>
    <w:rsid w:val="00F14D8E"/>
    <w:rsid w:val="00F372B6"/>
    <w:rsid w:val="00F43AB9"/>
    <w:rsid w:val="00F90BE7"/>
    <w:rsid w:val="00F94BCA"/>
    <w:rsid w:val="00FC19A6"/>
    <w:rsid w:val="00FE00F8"/>
    <w:rsid w:val="00FF30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6752"/>
  <w15:docId w15:val="{1829141B-D2E4-4D93-8D10-CDF418D6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DD"/>
  </w:style>
  <w:style w:type="paragraph" w:styleId="Heading1">
    <w:name w:val="heading 1"/>
    <w:basedOn w:val="Normal"/>
    <w:link w:val="Heading1Char"/>
    <w:uiPriority w:val="9"/>
    <w:qFormat/>
    <w:rsid w:val="00960F75"/>
    <w:pPr>
      <w:widowControl w:val="0"/>
      <w:autoSpaceDE w:val="0"/>
      <w:autoSpaceDN w:val="0"/>
      <w:spacing w:after="0" w:line="240" w:lineRule="auto"/>
      <w:ind w:left="61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F2F"/>
    <w:rPr>
      <w:color w:val="0563C1" w:themeColor="hyperlink"/>
      <w:u w:val="single"/>
    </w:rPr>
  </w:style>
  <w:style w:type="paragraph" w:styleId="ListParagraph">
    <w:name w:val="List Paragraph"/>
    <w:basedOn w:val="Normal"/>
    <w:link w:val="ListParagraphChar"/>
    <w:uiPriority w:val="34"/>
    <w:qFormat/>
    <w:rsid w:val="003A5F2F"/>
    <w:pPr>
      <w:ind w:left="720"/>
      <w:contextualSpacing/>
    </w:pPr>
  </w:style>
  <w:style w:type="character" w:styleId="Emphasis">
    <w:name w:val="Emphasis"/>
    <w:basedOn w:val="DefaultParagraphFont"/>
    <w:uiPriority w:val="20"/>
    <w:qFormat/>
    <w:rsid w:val="00F90BE7"/>
    <w:rPr>
      <w:i/>
      <w:iCs/>
    </w:rPr>
  </w:style>
  <w:style w:type="table" w:styleId="TableGrid">
    <w:name w:val="Table Grid"/>
    <w:basedOn w:val="TableNormal"/>
    <w:uiPriority w:val="39"/>
    <w:qFormat/>
    <w:rsid w:val="00FE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7E78"/>
    <w:rPr>
      <w:rFonts w:ascii="Times New Roman" w:hAnsi="Times New Roman" w:cs="Times New Roman"/>
      <w:sz w:val="24"/>
      <w:szCs w:val="24"/>
    </w:rPr>
  </w:style>
  <w:style w:type="character" w:customStyle="1" w:styleId="ListParagraphChar">
    <w:name w:val="List Paragraph Char"/>
    <w:link w:val="ListParagraph"/>
    <w:uiPriority w:val="34"/>
    <w:rsid w:val="003911F1"/>
  </w:style>
  <w:style w:type="character" w:customStyle="1" w:styleId="Heading1Char">
    <w:name w:val="Heading 1 Char"/>
    <w:basedOn w:val="DefaultParagraphFont"/>
    <w:link w:val="Heading1"/>
    <w:uiPriority w:val="9"/>
    <w:rsid w:val="00960F75"/>
    <w:rPr>
      <w:rFonts w:ascii="Calibri" w:eastAsia="Calibri" w:hAnsi="Calibri" w:cs="Calibri"/>
      <w:b/>
      <w:bCs/>
      <w:sz w:val="28"/>
      <w:szCs w:val="28"/>
      <w:lang w:val="en-US"/>
    </w:rPr>
  </w:style>
  <w:style w:type="paragraph" w:styleId="BodyText">
    <w:name w:val="Body Text"/>
    <w:basedOn w:val="Normal"/>
    <w:link w:val="BodyTextChar"/>
    <w:uiPriority w:val="1"/>
    <w:qFormat/>
    <w:rsid w:val="00A31F36"/>
    <w:pPr>
      <w:widowControl w:val="0"/>
      <w:autoSpaceDE w:val="0"/>
      <w:autoSpaceDN w:val="0"/>
      <w:spacing w:after="0" w:line="240" w:lineRule="auto"/>
      <w:ind w:left="61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A31F36"/>
    <w:rPr>
      <w:rFonts w:ascii="Calibri" w:eastAsia="Calibri" w:hAnsi="Calibri" w:cs="Calibri"/>
      <w:sz w:val="24"/>
      <w:szCs w:val="24"/>
      <w:lang w:val="en-US"/>
    </w:rPr>
  </w:style>
  <w:style w:type="paragraph" w:customStyle="1" w:styleId="TableParagraph">
    <w:name w:val="Table Paragraph"/>
    <w:basedOn w:val="Normal"/>
    <w:uiPriority w:val="1"/>
    <w:qFormat/>
    <w:rsid w:val="00902979"/>
    <w:pPr>
      <w:widowControl w:val="0"/>
      <w:autoSpaceDE w:val="0"/>
      <w:autoSpaceDN w:val="0"/>
      <w:spacing w:after="0" w:line="240" w:lineRule="auto"/>
      <w:jc w:val="center"/>
    </w:pPr>
    <w:rPr>
      <w:rFonts w:ascii="Arial MT" w:eastAsia="Arial MT" w:hAnsi="Arial MT" w:cs="Arial MT"/>
      <w:lang w:val="en-US"/>
    </w:rPr>
  </w:style>
  <w:style w:type="paragraph" w:styleId="BalloonText">
    <w:name w:val="Balloon Text"/>
    <w:basedOn w:val="Normal"/>
    <w:link w:val="BalloonTextChar"/>
    <w:uiPriority w:val="99"/>
    <w:semiHidden/>
    <w:unhideWhenUsed/>
    <w:rsid w:val="00986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90"/>
    <w:rPr>
      <w:rFonts w:ascii="Tahoma" w:hAnsi="Tahoma" w:cs="Tahoma"/>
      <w:sz w:val="16"/>
      <w:szCs w:val="16"/>
    </w:rPr>
  </w:style>
  <w:style w:type="character" w:customStyle="1" w:styleId="UnresolvedMention1">
    <w:name w:val="Unresolved Mention1"/>
    <w:basedOn w:val="DefaultParagraphFont"/>
    <w:uiPriority w:val="99"/>
    <w:semiHidden/>
    <w:unhideWhenUsed/>
    <w:rsid w:val="00A24ACA"/>
    <w:rPr>
      <w:color w:val="605E5C"/>
      <w:shd w:val="clear" w:color="auto" w:fill="E1DFDD"/>
    </w:rPr>
  </w:style>
  <w:style w:type="paragraph" w:styleId="Header">
    <w:name w:val="header"/>
    <w:basedOn w:val="Normal"/>
    <w:link w:val="HeaderChar"/>
    <w:uiPriority w:val="99"/>
    <w:unhideWhenUsed/>
    <w:rsid w:val="00852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8AE"/>
  </w:style>
  <w:style w:type="paragraph" w:styleId="Footer">
    <w:name w:val="footer"/>
    <w:basedOn w:val="Normal"/>
    <w:link w:val="FooterChar"/>
    <w:uiPriority w:val="99"/>
    <w:unhideWhenUsed/>
    <w:rsid w:val="00852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4024">
      <w:bodyDiv w:val="1"/>
      <w:marLeft w:val="0"/>
      <w:marRight w:val="0"/>
      <w:marTop w:val="0"/>
      <w:marBottom w:val="0"/>
      <w:divBdr>
        <w:top w:val="none" w:sz="0" w:space="0" w:color="auto"/>
        <w:left w:val="none" w:sz="0" w:space="0" w:color="auto"/>
        <w:bottom w:val="none" w:sz="0" w:space="0" w:color="auto"/>
        <w:right w:val="none" w:sz="0" w:space="0" w:color="auto"/>
      </w:divBdr>
      <w:divsChild>
        <w:div w:id="1090274779">
          <w:marLeft w:val="0"/>
          <w:marRight w:val="0"/>
          <w:marTop w:val="0"/>
          <w:marBottom w:val="0"/>
          <w:divBdr>
            <w:top w:val="none" w:sz="0" w:space="0" w:color="auto"/>
            <w:left w:val="none" w:sz="0" w:space="0" w:color="auto"/>
            <w:bottom w:val="none" w:sz="0" w:space="0" w:color="auto"/>
            <w:right w:val="none" w:sz="0" w:space="0" w:color="auto"/>
          </w:divBdr>
        </w:div>
      </w:divsChild>
    </w:div>
    <w:div w:id="44644970">
      <w:bodyDiv w:val="1"/>
      <w:marLeft w:val="0"/>
      <w:marRight w:val="0"/>
      <w:marTop w:val="0"/>
      <w:marBottom w:val="0"/>
      <w:divBdr>
        <w:top w:val="none" w:sz="0" w:space="0" w:color="auto"/>
        <w:left w:val="none" w:sz="0" w:space="0" w:color="auto"/>
        <w:bottom w:val="none" w:sz="0" w:space="0" w:color="auto"/>
        <w:right w:val="none" w:sz="0" w:space="0" w:color="auto"/>
      </w:divBdr>
      <w:divsChild>
        <w:div w:id="1790464946">
          <w:marLeft w:val="0"/>
          <w:marRight w:val="0"/>
          <w:marTop w:val="0"/>
          <w:marBottom w:val="0"/>
          <w:divBdr>
            <w:top w:val="none" w:sz="0" w:space="0" w:color="auto"/>
            <w:left w:val="none" w:sz="0" w:space="0" w:color="auto"/>
            <w:bottom w:val="none" w:sz="0" w:space="0" w:color="auto"/>
            <w:right w:val="none" w:sz="0" w:space="0" w:color="auto"/>
          </w:divBdr>
        </w:div>
      </w:divsChild>
    </w:div>
    <w:div w:id="84768618">
      <w:bodyDiv w:val="1"/>
      <w:marLeft w:val="0"/>
      <w:marRight w:val="0"/>
      <w:marTop w:val="0"/>
      <w:marBottom w:val="0"/>
      <w:divBdr>
        <w:top w:val="none" w:sz="0" w:space="0" w:color="auto"/>
        <w:left w:val="none" w:sz="0" w:space="0" w:color="auto"/>
        <w:bottom w:val="none" w:sz="0" w:space="0" w:color="auto"/>
        <w:right w:val="none" w:sz="0" w:space="0" w:color="auto"/>
      </w:divBdr>
    </w:div>
    <w:div w:id="124395529">
      <w:bodyDiv w:val="1"/>
      <w:marLeft w:val="0"/>
      <w:marRight w:val="0"/>
      <w:marTop w:val="0"/>
      <w:marBottom w:val="0"/>
      <w:divBdr>
        <w:top w:val="none" w:sz="0" w:space="0" w:color="auto"/>
        <w:left w:val="none" w:sz="0" w:space="0" w:color="auto"/>
        <w:bottom w:val="none" w:sz="0" w:space="0" w:color="auto"/>
        <w:right w:val="none" w:sz="0" w:space="0" w:color="auto"/>
      </w:divBdr>
    </w:div>
    <w:div w:id="127481543">
      <w:bodyDiv w:val="1"/>
      <w:marLeft w:val="0"/>
      <w:marRight w:val="0"/>
      <w:marTop w:val="0"/>
      <w:marBottom w:val="0"/>
      <w:divBdr>
        <w:top w:val="none" w:sz="0" w:space="0" w:color="auto"/>
        <w:left w:val="none" w:sz="0" w:space="0" w:color="auto"/>
        <w:bottom w:val="none" w:sz="0" w:space="0" w:color="auto"/>
        <w:right w:val="none" w:sz="0" w:space="0" w:color="auto"/>
      </w:divBdr>
      <w:divsChild>
        <w:div w:id="1456144578">
          <w:marLeft w:val="0"/>
          <w:marRight w:val="0"/>
          <w:marTop w:val="0"/>
          <w:marBottom w:val="0"/>
          <w:divBdr>
            <w:top w:val="none" w:sz="0" w:space="0" w:color="auto"/>
            <w:left w:val="none" w:sz="0" w:space="0" w:color="auto"/>
            <w:bottom w:val="none" w:sz="0" w:space="0" w:color="auto"/>
            <w:right w:val="none" w:sz="0" w:space="0" w:color="auto"/>
          </w:divBdr>
        </w:div>
      </w:divsChild>
    </w:div>
    <w:div w:id="152837728">
      <w:bodyDiv w:val="1"/>
      <w:marLeft w:val="0"/>
      <w:marRight w:val="0"/>
      <w:marTop w:val="0"/>
      <w:marBottom w:val="0"/>
      <w:divBdr>
        <w:top w:val="none" w:sz="0" w:space="0" w:color="auto"/>
        <w:left w:val="none" w:sz="0" w:space="0" w:color="auto"/>
        <w:bottom w:val="none" w:sz="0" w:space="0" w:color="auto"/>
        <w:right w:val="none" w:sz="0" w:space="0" w:color="auto"/>
      </w:divBdr>
      <w:divsChild>
        <w:div w:id="152844365">
          <w:marLeft w:val="0"/>
          <w:marRight w:val="0"/>
          <w:marTop w:val="0"/>
          <w:marBottom w:val="0"/>
          <w:divBdr>
            <w:top w:val="none" w:sz="0" w:space="0" w:color="auto"/>
            <w:left w:val="none" w:sz="0" w:space="0" w:color="auto"/>
            <w:bottom w:val="none" w:sz="0" w:space="0" w:color="auto"/>
            <w:right w:val="none" w:sz="0" w:space="0" w:color="auto"/>
          </w:divBdr>
        </w:div>
      </w:divsChild>
    </w:div>
    <w:div w:id="177551882">
      <w:bodyDiv w:val="1"/>
      <w:marLeft w:val="0"/>
      <w:marRight w:val="0"/>
      <w:marTop w:val="0"/>
      <w:marBottom w:val="0"/>
      <w:divBdr>
        <w:top w:val="none" w:sz="0" w:space="0" w:color="auto"/>
        <w:left w:val="none" w:sz="0" w:space="0" w:color="auto"/>
        <w:bottom w:val="none" w:sz="0" w:space="0" w:color="auto"/>
        <w:right w:val="none" w:sz="0" w:space="0" w:color="auto"/>
      </w:divBdr>
    </w:div>
    <w:div w:id="186212109">
      <w:bodyDiv w:val="1"/>
      <w:marLeft w:val="0"/>
      <w:marRight w:val="0"/>
      <w:marTop w:val="0"/>
      <w:marBottom w:val="0"/>
      <w:divBdr>
        <w:top w:val="none" w:sz="0" w:space="0" w:color="auto"/>
        <w:left w:val="none" w:sz="0" w:space="0" w:color="auto"/>
        <w:bottom w:val="none" w:sz="0" w:space="0" w:color="auto"/>
        <w:right w:val="none" w:sz="0" w:space="0" w:color="auto"/>
      </w:divBdr>
    </w:div>
    <w:div w:id="227037145">
      <w:bodyDiv w:val="1"/>
      <w:marLeft w:val="0"/>
      <w:marRight w:val="0"/>
      <w:marTop w:val="0"/>
      <w:marBottom w:val="0"/>
      <w:divBdr>
        <w:top w:val="none" w:sz="0" w:space="0" w:color="auto"/>
        <w:left w:val="none" w:sz="0" w:space="0" w:color="auto"/>
        <w:bottom w:val="none" w:sz="0" w:space="0" w:color="auto"/>
        <w:right w:val="none" w:sz="0" w:space="0" w:color="auto"/>
      </w:divBdr>
      <w:divsChild>
        <w:div w:id="203249240">
          <w:marLeft w:val="0"/>
          <w:marRight w:val="0"/>
          <w:marTop w:val="0"/>
          <w:marBottom w:val="0"/>
          <w:divBdr>
            <w:top w:val="none" w:sz="0" w:space="0" w:color="auto"/>
            <w:left w:val="none" w:sz="0" w:space="0" w:color="auto"/>
            <w:bottom w:val="none" w:sz="0" w:space="0" w:color="auto"/>
            <w:right w:val="none" w:sz="0" w:space="0" w:color="auto"/>
          </w:divBdr>
        </w:div>
      </w:divsChild>
    </w:div>
    <w:div w:id="239952198">
      <w:bodyDiv w:val="1"/>
      <w:marLeft w:val="0"/>
      <w:marRight w:val="0"/>
      <w:marTop w:val="0"/>
      <w:marBottom w:val="0"/>
      <w:divBdr>
        <w:top w:val="none" w:sz="0" w:space="0" w:color="auto"/>
        <w:left w:val="none" w:sz="0" w:space="0" w:color="auto"/>
        <w:bottom w:val="none" w:sz="0" w:space="0" w:color="auto"/>
        <w:right w:val="none" w:sz="0" w:space="0" w:color="auto"/>
      </w:divBdr>
      <w:divsChild>
        <w:div w:id="152068707">
          <w:marLeft w:val="0"/>
          <w:marRight w:val="0"/>
          <w:marTop w:val="0"/>
          <w:marBottom w:val="0"/>
          <w:divBdr>
            <w:top w:val="none" w:sz="0" w:space="0" w:color="auto"/>
            <w:left w:val="none" w:sz="0" w:space="0" w:color="auto"/>
            <w:bottom w:val="none" w:sz="0" w:space="0" w:color="auto"/>
            <w:right w:val="none" w:sz="0" w:space="0" w:color="auto"/>
          </w:divBdr>
        </w:div>
      </w:divsChild>
    </w:div>
    <w:div w:id="254899745">
      <w:bodyDiv w:val="1"/>
      <w:marLeft w:val="0"/>
      <w:marRight w:val="0"/>
      <w:marTop w:val="0"/>
      <w:marBottom w:val="0"/>
      <w:divBdr>
        <w:top w:val="none" w:sz="0" w:space="0" w:color="auto"/>
        <w:left w:val="none" w:sz="0" w:space="0" w:color="auto"/>
        <w:bottom w:val="none" w:sz="0" w:space="0" w:color="auto"/>
        <w:right w:val="none" w:sz="0" w:space="0" w:color="auto"/>
      </w:divBdr>
      <w:divsChild>
        <w:div w:id="1278758094">
          <w:marLeft w:val="0"/>
          <w:marRight w:val="0"/>
          <w:marTop w:val="0"/>
          <w:marBottom w:val="0"/>
          <w:divBdr>
            <w:top w:val="none" w:sz="0" w:space="0" w:color="auto"/>
            <w:left w:val="none" w:sz="0" w:space="0" w:color="auto"/>
            <w:bottom w:val="none" w:sz="0" w:space="0" w:color="auto"/>
            <w:right w:val="none" w:sz="0" w:space="0" w:color="auto"/>
          </w:divBdr>
        </w:div>
      </w:divsChild>
    </w:div>
    <w:div w:id="282617910">
      <w:bodyDiv w:val="1"/>
      <w:marLeft w:val="0"/>
      <w:marRight w:val="0"/>
      <w:marTop w:val="0"/>
      <w:marBottom w:val="0"/>
      <w:divBdr>
        <w:top w:val="none" w:sz="0" w:space="0" w:color="auto"/>
        <w:left w:val="none" w:sz="0" w:space="0" w:color="auto"/>
        <w:bottom w:val="none" w:sz="0" w:space="0" w:color="auto"/>
        <w:right w:val="none" w:sz="0" w:space="0" w:color="auto"/>
      </w:divBdr>
    </w:div>
    <w:div w:id="304435887">
      <w:bodyDiv w:val="1"/>
      <w:marLeft w:val="0"/>
      <w:marRight w:val="0"/>
      <w:marTop w:val="0"/>
      <w:marBottom w:val="0"/>
      <w:divBdr>
        <w:top w:val="none" w:sz="0" w:space="0" w:color="auto"/>
        <w:left w:val="none" w:sz="0" w:space="0" w:color="auto"/>
        <w:bottom w:val="none" w:sz="0" w:space="0" w:color="auto"/>
        <w:right w:val="none" w:sz="0" w:space="0" w:color="auto"/>
      </w:divBdr>
      <w:divsChild>
        <w:div w:id="1139346053">
          <w:marLeft w:val="0"/>
          <w:marRight w:val="0"/>
          <w:marTop w:val="0"/>
          <w:marBottom w:val="0"/>
          <w:divBdr>
            <w:top w:val="none" w:sz="0" w:space="0" w:color="auto"/>
            <w:left w:val="none" w:sz="0" w:space="0" w:color="auto"/>
            <w:bottom w:val="none" w:sz="0" w:space="0" w:color="auto"/>
            <w:right w:val="none" w:sz="0" w:space="0" w:color="auto"/>
          </w:divBdr>
        </w:div>
      </w:divsChild>
    </w:div>
    <w:div w:id="305938244">
      <w:bodyDiv w:val="1"/>
      <w:marLeft w:val="0"/>
      <w:marRight w:val="0"/>
      <w:marTop w:val="0"/>
      <w:marBottom w:val="0"/>
      <w:divBdr>
        <w:top w:val="none" w:sz="0" w:space="0" w:color="auto"/>
        <w:left w:val="none" w:sz="0" w:space="0" w:color="auto"/>
        <w:bottom w:val="none" w:sz="0" w:space="0" w:color="auto"/>
        <w:right w:val="none" w:sz="0" w:space="0" w:color="auto"/>
      </w:divBdr>
      <w:divsChild>
        <w:div w:id="24060244">
          <w:marLeft w:val="0"/>
          <w:marRight w:val="0"/>
          <w:marTop w:val="0"/>
          <w:marBottom w:val="0"/>
          <w:divBdr>
            <w:top w:val="none" w:sz="0" w:space="0" w:color="auto"/>
            <w:left w:val="none" w:sz="0" w:space="0" w:color="auto"/>
            <w:bottom w:val="none" w:sz="0" w:space="0" w:color="auto"/>
            <w:right w:val="none" w:sz="0" w:space="0" w:color="auto"/>
          </w:divBdr>
        </w:div>
      </w:divsChild>
    </w:div>
    <w:div w:id="307708660">
      <w:bodyDiv w:val="1"/>
      <w:marLeft w:val="0"/>
      <w:marRight w:val="0"/>
      <w:marTop w:val="0"/>
      <w:marBottom w:val="0"/>
      <w:divBdr>
        <w:top w:val="none" w:sz="0" w:space="0" w:color="auto"/>
        <w:left w:val="none" w:sz="0" w:space="0" w:color="auto"/>
        <w:bottom w:val="none" w:sz="0" w:space="0" w:color="auto"/>
        <w:right w:val="none" w:sz="0" w:space="0" w:color="auto"/>
      </w:divBdr>
    </w:div>
    <w:div w:id="458187865">
      <w:bodyDiv w:val="1"/>
      <w:marLeft w:val="0"/>
      <w:marRight w:val="0"/>
      <w:marTop w:val="0"/>
      <w:marBottom w:val="0"/>
      <w:divBdr>
        <w:top w:val="none" w:sz="0" w:space="0" w:color="auto"/>
        <w:left w:val="none" w:sz="0" w:space="0" w:color="auto"/>
        <w:bottom w:val="none" w:sz="0" w:space="0" w:color="auto"/>
        <w:right w:val="none" w:sz="0" w:space="0" w:color="auto"/>
      </w:divBdr>
      <w:divsChild>
        <w:div w:id="202401450">
          <w:marLeft w:val="0"/>
          <w:marRight w:val="0"/>
          <w:marTop w:val="0"/>
          <w:marBottom w:val="0"/>
          <w:divBdr>
            <w:top w:val="none" w:sz="0" w:space="0" w:color="auto"/>
            <w:left w:val="none" w:sz="0" w:space="0" w:color="auto"/>
            <w:bottom w:val="none" w:sz="0" w:space="0" w:color="auto"/>
            <w:right w:val="none" w:sz="0" w:space="0" w:color="auto"/>
          </w:divBdr>
        </w:div>
      </w:divsChild>
    </w:div>
    <w:div w:id="562183961">
      <w:bodyDiv w:val="1"/>
      <w:marLeft w:val="0"/>
      <w:marRight w:val="0"/>
      <w:marTop w:val="0"/>
      <w:marBottom w:val="0"/>
      <w:divBdr>
        <w:top w:val="none" w:sz="0" w:space="0" w:color="auto"/>
        <w:left w:val="none" w:sz="0" w:space="0" w:color="auto"/>
        <w:bottom w:val="none" w:sz="0" w:space="0" w:color="auto"/>
        <w:right w:val="none" w:sz="0" w:space="0" w:color="auto"/>
      </w:divBdr>
    </w:div>
    <w:div w:id="766197487">
      <w:bodyDiv w:val="1"/>
      <w:marLeft w:val="0"/>
      <w:marRight w:val="0"/>
      <w:marTop w:val="0"/>
      <w:marBottom w:val="0"/>
      <w:divBdr>
        <w:top w:val="none" w:sz="0" w:space="0" w:color="auto"/>
        <w:left w:val="none" w:sz="0" w:space="0" w:color="auto"/>
        <w:bottom w:val="none" w:sz="0" w:space="0" w:color="auto"/>
        <w:right w:val="none" w:sz="0" w:space="0" w:color="auto"/>
      </w:divBdr>
    </w:div>
    <w:div w:id="784740325">
      <w:bodyDiv w:val="1"/>
      <w:marLeft w:val="0"/>
      <w:marRight w:val="0"/>
      <w:marTop w:val="0"/>
      <w:marBottom w:val="0"/>
      <w:divBdr>
        <w:top w:val="none" w:sz="0" w:space="0" w:color="auto"/>
        <w:left w:val="none" w:sz="0" w:space="0" w:color="auto"/>
        <w:bottom w:val="none" w:sz="0" w:space="0" w:color="auto"/>
        <w:right w:val="none" w:sz="0" w:space="0" w:color="auto"/>
      </w:divBdr>
    </w:div>
    <w:div w:id="865679507">
      <w:bodyDiv w:val="1"/>
      <w:marLeft w:val="0"/>
      <w:marRight w:val="0"/>
      <w:marTop w:val="0"/>
      <w:marBottom w:val="0"/>
      <w:divBdr>
        <w:top w:val="none" w:sz="0" w:space="0" w:color="auto"/>
        <w:left w:val="none" w:sz="0" w:space="0" w:color="auto"/>
        <w:bottom w:val="none" w:sz="0" w:space="0" w:color="auto"/>
        <w:right w:val="none" w:sz="0" w:space="0" w:color="auto"/>
      </w:divBdr>
    </w:div>
    <w:div w:id="907109180">
      <w:bodyDiv w:val="1"/>
      <w:marLeft w:val="0"/>
      <w:marRight w:val="0"/>
      <w:marTop w:val="0"/>
      <w:marBottom w:val="0"/>
      <w:divBdr>
        <w:top w:val="none" w:sz="0" w:space="0" w:color="auto"/>
        <w:left w:val="none" w:sz="0" w:space="0" w:color="auto"/>
        <w:bottom w:val="none" w:sz="0" w:space="0" w:color="auto"/>
        <w:right w:val="none" w:sz="0" w:space="0" w:color="auto"/>
      </w:divBdr>
    </w:div>
    <w:div w:id="996613085">
      <w:bodyDiv w:val="1"/>
      <w:marLeft w:val="0"/>
      <w:marRight w:val="0"/>
      <w:marTop w:val="0"/>
      <w:marBottom w:val="0"/>
      <w:divBdr>
        <w:top w:val="none" w:sz="0" w:space="0" w:color="auto"/>
        <w:left w:val="none" w:sz="0" w:space="0" w:color="auto"/>
        <w:bottom w:val="none" w:sz="0" w:space="0" w:color="auto"/>
        <w:right w:val="none" w:sz="0" w:space="0" w:color="auto"/>
      </w:divBdr>
      <w:divsChild>
        <w:div w:id="1707638124">
          <w:marLeft w:val="0"/>
          <w:marRight w:val="0"/>
          <w:marTop w:val="0"/>
          <w:marBottom w:val="0"/>
          <w:divBdr>
            <w:top w:val="none" w:sz="0" w:space="0" w:color="auto"/>
            <w:left w:val="none" w:sz="0" w:space="0" w:color="auto"/>
            <w:bottom w:val="none" w:sz="0" w:space="0" w:color="auto"/>
            <w:right w:val="none" w:sz="0" w:space="0" w:color="auto"/>
          </w:divBdr>
        </w:div>
      </w:divsChild>
    </w:div>
    <w:div w:id="1002977821">
      <w:bodyDiv w:val="1"/>
      <w:marLeft w:val="0"/>
      <w:marRight w:val="0"/>
      <w:marTop w:val="0"/>
      <w:marBottom w:val="0"/>
      <w:divBdr>
        <w:top w:val="none" w:sz="0" w:space="0" w:color="auto"/>
        <w:left w:val="none" w:sz="0" w:space="0" w:color="auto"/>
        <w:bottom w:val="none" w:sz="0" w:space="0" w:color="auto"/>
        <w:right w:val="none" w:sz="0" w:space="0" w:color="auto"/>
      </w:divBdr>
    </w:div>
    <w:div w:id="1022363447">
      <w:bodyDiv w:val="1"/>
      <w:marLeft w:val="0"/>
      <w:marRight w:val="0"/>
      <w:marTop w:val="0"/>
      <w:marBottom w:val="0"/>
      <w:divBdr>
        <w:top w:val="none" w:sz="0" w:space="0" w:color="auto"/>
        <w:left w:val="none" w:sz="0" w:space="0" w:color="auto"/>
        <w:bottom w:val="none" w:sz="0" w:space="0" w:color="auto"/>
        <w:right w:val="none" w:sz="0" w:space="0" w:color="auto"/>
      </w:divBdr>
    </w:div>
    <w:div w:id="1137407333">
      <w:bodyDiv w:val="1"/>
      <w:marLeft w:val="0"/>
      <w:marRight w:val="0"/>
      <w:marTop w:val="0"/>
      <w:marBottom w:val="0"/>
      <w:divBdr>
        <w:top w:val="none" w:sz="0" w:space="0" w:color="auto"/>
        <w:left w:val="none" w:sz="0" w:space="0" w:color="auto"/>
        <w:bottom w:val="none" w:sz="0" w:space="0" w:color="auto"/>
        <w:right w:val="none" w:sz="0" w:space="0" w:color="auto"/>
      </w:divBdr>
      <w:divsChild>
        <w:div w:id="1098406113">
          <w:marLeft w:val="0"/>
          <w:marRight w:val="0"/>
          <w:marTop w:val="0"/>
          <w:marBottom w:val="0"/>
          <w:divBdr>
            <w:top w:val="none" w:sz="0" w:space="0" w:color="auto"/>
            <w:left w:val="none" w:sz="0" w:space="0" w:color="auto"/>
            <w:bottom w:val="none" w:sz="0" w:space="0" w:color="auto"/>
            <w:right w:val="none" w:sz="0" w:space="0" w:color="auto"/>
          </w:divBdr>
        </w:div>
      </w:divsChild>
    </w:div>
    <w:div w:id="1151212596">
      <w:bodyDiv w:val="1"/>
      <w:marLeft w:val="0"/>
      <w:marRight w:val="0"/>
      <w:marTop w:val="0"/>
      <w:marBottom w:val="0"/>
      <w:divBdr>
        <w:top w:val="none" w:sz="0" w:space="0" w:color="auto"/>
        <w:left w:val="none" w:sz="0" w:space="0" w:color="auto"/>
        <w:bottom w:val="none" w:sz="0" w:space="0" w:color="auto"/>
        <w:right w:val="none" w:sz="0" w:space="0" w:color="auto"/>
      </w:divBdr>
      <w:divsChild>
        <w:div w:id="2020085516">
          <w:marLeft w:val="0"/>
          <w:marRight w:val="0"/>
          <w:marTop w:val="0"/>
          <w:marBottom w:val="0"/>
          <w:divBdr>
            <w:top w:val="none" w:sz="0" w:space="0" w:color="auto"/>
            <w:left w:val="none" w:sz="0" w:space="0" w:color="auto"/>
            <w:bottom w:val="none" w:sz="0" w:space="0" w:color="auto"/>
            <w:right w:val="none" w:sz="0" w:space="0" w:color="auto"/>
          </w:divBdr>
        </w:div>
      </w:divsChild>
    </w:div>
    <w:div w:id="1152061847">
      <w:bodyDiv w:val="1"/>
      <w:marLeft w:val="0"/>
      <w:marRight w:val="0"/>
      <w:marTop w:val="0"/>
      <w:marBottom w:val="0"/>
      <w:divBdr>
        <w:top w:val="none" w:sz="0" w:space="0" w:color="auto"/>
        <w:left w:val="none" w:sz="0" w:space="0" w:color="auto"/>
        <w:bottom w:val="none" w:sz="0" w:space="0" w:color="auto"/>
        <w:right w:val="none" w:sz="0" w:space="0" w:color="auto"/>
      </w:divBdr>
    </w:div>
    <w:div w:id="1164593355">
      <w:bodyDiv w:val="1"/>
      <w:marLeft w:val="0"/>
      <w:marRight w:val="0"/>
      <w:marTop w:val="0"/>
      <w:marBottom w:val="0"/>
      <w:divBdr>
        <w:top w:val="none" w:sz="0" w:space="0" w:color="auto"/>
        <w:left w:val="none" w:sz="0" w:space="0" w:color="auto"/>
        <w:bottom w:val="none" w:sz="0" w:space="0" w:color="auto"/>
        <w:right w:val="none" w:sz="0" w:space="0" w:color="auto"/>
      </w:divBdr>
    </w:div>
    <w:div w:id="1207794012">
      <w:bodyDiv w:val="1"/>
      <w:marLeft w:val="0"/>
      <w:marRight w:val="0"/>
      <w:marTop w:val="0"/>
      <w:marBottom w:val="0"/>
      <w:divBdr>
        <w:top w:val="none" w:sz="0" w:space="0" w:color="auto"/>
        <w:left w:val="none" w:sz="0" w:space="0" w:color="auto"/>
        <w:bottom w:val="none" w:sz="0" w:space="0" w:color="auto"/>
        <w:right w:val="none" w:sz="0" w:space="0" w:color="auto"/>
      </w:divBdr>
      <w:divsChild>
        <w:div w:id="213929688">
          <w:marLeft w:val="0"/>
          <w:marRight w:val="0"/>
          <w:marTop w:val="0"/>
          <w:marBottom w:val="0"/>
          <w:divBdr>
            <w:top w:val="none" w:sz="0" w:space="0" w:color="auto"/>
            <w:left w:val="none" w:sz="0" w:space="0" w:color="auto"/>
            <w:bottom w:val="none" w:sz="0" w:space="0" w:color="auto"/>
            <w:right w:val="none" w:sz="0" w:space="0" w:color="auto"/>
          </w:divBdr>
        </w:div>
      </w:divsChild>
    </w:div>
    <w:div w:id="1267729834">
      <w:bodyDiv w:val="1"/>
      <w:marLeft w:val="0"/>
      <w:marRight w:val="0"/>
      <w:marTop w:val="0"/>
      <w:marBottom w:val="0"/>
      <w:divBdr>
        <w:top w:val="none" w:sz="0" w:space="0" w:color="auto"/>
        <w:left w:val="none" w:sz="0" w:space="0" w:color="auto"/>
        <w:bottom w:val="none" w:sz="0" w:space="0" w:color="auto"/>
        <w:right w:val="none" w:sz="0" w:space="0" w:color="auto"/>
      </w:divBdr>
    </w:div>
    <w:div w:id="1575772401">
      <w:bodyDiv w:val="1"/>
      <w:marLeft w:val="0"/>
      <w:marRight w:val="0"/>
      <w:marTop w:val="0"/>
      <w:marBottom w:val="0"/>
      <w:divBdr>
        <w:top w:val="none" w:sz="0" w:space="0" w:color="auto"/>
        <w:left w:val="none" w:sz="0" w:space="0" w:color="auto"/>
        <w:bottom w:val="none" w:sz="0" w:space="0" w:color="auto"/>
        <w:right w:val="none" w:sz="0" w:space="0" w:color="auto"/>
      </w:divBdr>
      <w:divsChild>
        <w:div w:id="256408827">
          <w:marLeft w:val="0"/>
          <w:marRight w:val="0"/>
          <w:marTop w:val="0"/>
          <w:marBottom w:val="0"/>
          <w:divBdr>
            <w:top w:val="none" w:sz="0" w:space="0" w:color="auto"/>
            <w:left w:val="none" w:sz="0" w:space="0" w:color="auto"/>
            <w:bottom w:val="none" w:sz="0" w:space="0" w:color="auto"/>
            <w:right w:val="none" w:sz="0" w:space="0" w:color="auto"/>
          </w:divBdr>
        </w:div>
      </w:divsChild>
    </w:div>
    <w:div w:id="1635066334">
      <w:bodyDiv w:val="1"/>
      <w:marLeft w:val="0"/>
      <w:marRight w:val="0"/>
      <w:marTop w:val="0"/>
      <w:marBottom w:val="0"/>
      <w:divBdr>
        <w:top w:val="none" w:sz="0" w:space="0" w:color="auto"/>
        <w:left w:val="none" w:sz="0" w:space="0" w:color="auto"/>
        <w:bottom w:val="none" w:sz="0" w:space="0" w:color="auto"/>
        <w:right w:val="none" w:sz="0" w:space="0" w:color="auto"/>
      </w:divBdr>
      <w:divsChild>
        <w:div w:id="1656449444">
          <w:marLeft w:val="0"/>
          <w:marRight w:val="0"/>
          <w:marTop w:val="0"/>
          <w:marBottom w:val="0"/>
          <w:divBdr>
            <w:top w:val="none" w:sz="0" w:space="0" w:color="auto"/>
            <w:left w:val="none" w:sz="0" w:space="0" w:color="auto"/>
            <w:bottom w:val="none" w:sz="0" w:space="0" w:color="auto"/>
            <w:right w:val="none" w:sz="0" w:space="0" w:color="auto"/>
          </w:divBdr>
        </w:div>
      </w:divsChild>
    </w:div>
    <w:div w:id="1639796839">
      <w:bodyDiv w:val="1"/>
      <w:marLeft w:val="0"/>
      <w:marRight w:val="0"/>
      <w:marTop w:val="0"/>
      <w:marBottom w:val="0"/>
      <w:divBdr>
        <w:top w:val="none" w:sz="0" w:space="0" w:color="auto"/>
        <w:left w:val="none" w:sz="0" w:space="0" w:color="auto"/>
        <w:bottom w:val="none" w:sz="0" w:space="0" w:color="auto"/>
        <w:right w:val="none" w:sz="0" w:space="0" w:color="auto"/>
      </w:divBdr>
      <w:divsChild>
        <w:div w:id="392626222">
          <w:marLeft w:val="0"/>
          <w:marRight w:val="0"/>
          <w:marTop w:val="0"/>
          <w:marBottom w:val="0"/>
          <w:divBdr>
            <w:top w:val="none" w:sz="0" w:space="0" w:color="auto"/>
            <w:left w:val="none" w:sz="0" w:space="0" w:color="auto"/>
            <w:bottom w:val="none" w:sz="0" w:space="0" w:color="auto"/>
            <w:right w:val="none" w:sz="0" w:space="0" w:color="auto"/>
          </w:divBdr>
        </w:div>
      </w:divsChild>
    </w:div>
    <w:div w:id="1678389959">
      <w:bodyDiv w:val="1"/>
      <w:marLeft w:val="0"/>
      <w:marRight w:val="0"/>
      <w:marTop w:val="0"/>
      <w:marBottom w:val="0"/>
      <w:divBdr>
        <w:top w:val="none" w:sz="0" w:space="0" w:color="auto"/>
        <w:left w:val="none" w:sz="0" w:space="0" w:color="auto"/>
        <w:bottom w:val="none" w:sz="0" w:space="0" w:color="auto"/>
        <w:right w:val="none" w:sz="0" w:space="0" w:color="auto"/>
      </w:divBdr>
      <w:divsChild>
        <w:div w:id="1669015727">
          <w:marLeft w:val="0"/>
          <w:marRight w:val="0"/>
          <w:marTop w:val="0"/>
          <w:marBottom w:val="0"/>
          <w:divBdr>
            <w:top w:val="none" w:sz="0" w:space="0" w:color="auto"/>
            <w:left w:val="none" w:sz="0" w:space="0" w:color="auto"/>
            <w:bottom w:val="none" w:sz="0" w:space="0" w:color="auto"/>
            <w:right w:val="none" w:sz="0" w:space="0" w:color="auto"/>
          </w:divBdr>
        </w:div>
      </w:divsChild>
    </w:div>
    <w:div w:id="1683434842">
      <w:bodyDiv w:val="1"/>
      <w:marLeft w:val="0"/>
      <w:marRight w:val="0"/>
      <w:marTop w:val="0"/>
      <w:marBottom w:val="0"/>
      <w:divBdr>
        <w:top w:val="none" w:sz="0" w:space="0" w:color="auto"/>
        <w:left w:val="none" w:sz="0" w:space="0" w:color="auto"/>
        <w:bottom w:val="none" w:sz="0" w:space="0" w:color="auto"/>
        <w:right w:val="none" w:sz="0" w:space="0" w:color="auto"/>
      </w:divBdr>
    </w:div>
    <w:div w:id="1838426323">
      <w:bodyDiv w:val="1"/>
      <w:marLeft w:val="0"/>
      <w:marRight w:val="0"/>
      <w:marTop w:val="0"/>
      <w:marBottom w:val="0"/>
      <w:divBdr>
        <w:top w:val="none" w:sz="0" w:space="0" w:color="auto"/>
        <w:left w:val="none" w:sz="0" w:space="0" w:color="auto"/>
        <w:bottom w:val="none" w:sz="0" w:space="0" w:color="auto"/>
        <w:right w:val="none" w:sz="0" w:space="0" w:color="auto"/>
      </w:divBdr>
      <w:divsChild>
        <w:div w:id="508253743">
          <w:marLeft w:val="0"/>
          <w:marRight w:val="0"/>
          <w:marTop w:val="0"/>
          <w:marBottom w:val="0"/>
          <w:divBdr>
            <w:top w:val="none" w:sz="0" w:space="0" w:color="auto"/>
            <w:left w:val="none" w:sz="0" w:space="0" w:color="auto"/>
            <w:bottom w:val="none" w:sz="0" w:space="0" w:color="auto"/>
            <w:right w:val="none" w:sz="0" w:space="0" w:color="auto"/>
          </w:divBdr>
        </w:div>
      </w:divsChild>
    </w:div>
    <w:div w:id="1844542260">
      <w:bodyDiv w:val="1"/>
      <w:marLeft w:val="0"/>
      <w:marRight w:val="0"/>
      <w:marTop w:val="0"/>
      <w:marBottom w:val="0"/>
      <w:divBdr>
        <w:top w:val="none" w:sz="0" w:space="0" w:color="auto"/>
        <w:left w:val="none" w:sz="0" w:space="0" w:color="auto"/>
        <w:bottom w:val="none" w:sz="0" w:space="0" w:color="auto"/>
        <w:right w:val="none" w:sz="0" w:space="0" w:color="auto"/>
      </w:divBdr>
      <w:divsChild>
        <w:div w:id="91752281">
          <w:marLeft w:val="0"/>
          <w:marRight w:val="0"/>
          <w:marTop w:val="0"/>
          <w:marBottom w:val="0"/>
          <w:divBdr>
            <w:top w:val="none" w:sz="0" w:space="0" w:color="auto"/>
            <w:left w:val="none" w:sz="0" w:space="0" w:color="auto"/>
            <w:bottom w:val="none" w:sz="0" w:space="0" w:color="auto"/>
            <w:right w:val="none" w:sz="0" w:space="0" w:color="auto"/>
          </w:divBdr>
        </w:div>
      </w:divsChild>
    </w:div>
    <w:div w:id="1853714395">
      <w:bodyDiv w:val="1"/>
      <w:marLeft w:val="0"/>
      <w:marRight w:val="0"/>
      <w:marTop w:val="0"/>
      <w:marBottom w:val="0"/>
      <w:divBdr>
        <w:top w:val="none" w:sz="0" w:space="0" w:color="auto"/>
        <w:left w:val="none" w:sz="0" w:space="0" w:color="auto"/>
        <w:bottom w:val="none" w:sz="0" w:space="0" w:color="auto"/>
        <w:right w:val="none" w:sz="0" w:space="0" w:color="auto"/>
      </w:divBdr>
      <w:divsChild>
        <w:div w:id="608312862">
          <w:marLeft w:val="0"/>
          <w:marRight w:val="0"/>
          <w:marTop w:val="0"/>
          <w:marBottom w:val="0"/>
          <w:divBdr>
            <w:top w:val="none" w:sz="0" w:space="0" w:color="auto"/>
            <w:left w:val="none" w:sz="0" w:space="0" w:color="auto"/>
            <w:bottom w:val="none" w:sz="0" w:space="0" w:color="auto"/>
            <w:right w:val="none" w:sz="0" w:space="0" w:color="auto"/>
          </w:divBdr>
        </w:div>
      </w:divsChild>
    </w:div>
    <w:div w:id="1865171292">
      <w:bodyDiv w:val="1"/>
      <w:marLeft w:val="0"/>
      <w:marRight w:val="0"/>
      <w:marTop w:val="0"/>
      <w:marBottom w:val="0"/>
      <w:divBdr>
        <w:top w:val="none" w:sz="0" w:space="0" w:color="auto"/>
        <w:left w:val="none" w:sz="0" w:space="0" w:color="auto"/>
        <w:bottom w:val="none" w:sz="0" w:space="0" w:color="auto"/>
        <w:right w:val="none" w:sz="0" w:space="0" w:color="auto"/>
      </w:divBdr>
      <w:divsChild>
        <w:div w:id="355692057">
          <w:marLeft w:val="0"/>
          <w:marRight w:val="0"/>
          <w:marTop w:val="0"/>
          <w:marBottom w:val="0"/>
          <w:divBdr>
            <w:top w:val="none" w:sz="0" w:space="0" w:color="auto"/>
            <w:left w:val="none" w:sz="0" w:space="0" w:color="auto"/>
            <w:bottom w:val="none" w:sz="0" w:space="0" w:color="auto"/>
            <w:right w:val="none" w:sz="0" w:space="0" w:color="auto"/>
          </w:divBdr>
        </w:div>
      </w:divsChild>
    </w:div>
    <w:div w:id="1900824967">
      <w:bodyDiv w:val="1"/>
      <w:marLeft w:val="0"/>
      <w:marRight w:val="0"/>
      <w:marTop w:val="0"/>
      <w:marBottom w:val="0"/>
      <w:divBdr>
        <w:top w:val="none" w:sz="0" w:space="0" w:color="auto"/>
        <w:left w:val="none" w:sz="0" w:space="0" w:color="auto"/>
        <w:bottom w:val="none" w:sz="0" w:space="0" w:color="auto"/>
        <w:right w:val="none" w:sz="0" w:space="0" w:color="auto"/>
      </w:divBdr>
      <w:divsChild>
        <w:div w:id="1180462294">
          <w:marLeft w:val="0"/>
          <w:marRight w:val="0"/>
          <w:marTop w:val="0"/>
          <w:marBottom w:val="0"/>
          <w:divBdr>
            <w:top w:val="none" w:sz="0" w:space="0" w:color="auto"/>
            <w:left w:val="none" w:sz="0" w:space="0" w:color="auto"/>
            <w:bottom w:val="none" w:sz="0" w:space="0" w:color="auto"/>
            <w:right w:val="none" w:sz="0" w:space="0" w:color="auto"/>
          </w:divBdr>
        </w:div>
      </w:divsChild>
    </w:div>
    <w:div w:id="1912539498">
      <w:bodyDiv w:val="1"/>
      <w:marLeft w:val="0"/>
      <w:marRight w:val="0"/>
      <w:marTop w:val="0"/>
      <w:marBottom w:val="0"/>
      <w:divBdr>
        <w:top w:val="none" w:sz="0" w:space="0" w:color="auto"/>
        <w:left w:val="none" w:sz="0" w:space="0" w:color="auto"/>
        <w:bottom w:val="none" w:sz="0" w:space="0" w:color="auto"/>
        <w:right w:val="none" w:sz="0" w:space="0" w:color="auto"/>
      </w:divBdr>
      <w:divsChild>
        <w:div w:id="1631743010">
          <w:marLeft w:val="0"/>
          <w:marRight w:val="0"/>
          <w:marTop w:val="0"/>
          <w:marBottom w:val="0"/>
          <w:divBdr>
            <w:top w:val="none" w:sz="0" w:space="0" w:color="auto"/>
            <w:left w:val="none" w:sz="0" w:space="0" w:color="auto"/>
            <w:bottom w:val="none" w:sz="0" w:space="0" w:color="auto"/>
            <w:right w:val="none" w:sz="0" w:space="0" w:color="auto"/>
          </w:divBdr>
        </w:div>
      </w:divsChild>
    </w:div>
    <w:div w:id="1928924739">
      <w:bodyDiv w:val="1"/>
      <w:marLeft w:val="0"/>
      <w:marRight w:val="0"/>
      <w:marTop w:val="0"/>
      <w:marBottom w:val="0"/>
      <w:divBdr>
        <w:top w:val="none" w:sz="0" w:space="0" w:color="auto"/>
        <w:left w:val="none" w:sz="0" w:space="0" w:color="auto"/>
        <w:bottom w:val="none" w:sz="0" w:space="0" w:color="auto"/>
        <w:right w:val="none" w:sz="0" w:space="0" w:color="auto"/>
      </w:divBdr>
    </w:div>
    <w:div w:id="1957447288">
      <w:bodyDiv w:val="1"/>
      <w:marLeft w:val="0"/>
      <w:marRight w:val="0"/>
      <w:marTop w:val="0"/>
      <w:marBottom w:val="0"/>
      <w:divBdr>
        <w:top w:val="none" w:sz="0" w:space="0" w:color="auto"/>
        <w:left w:val="none" w:sz="0" w:space="0" w:color="auto"/>
        <w:bottom w:val="none" w:sz="0" w:space="0" w:color="auto"/>
        <w:right w:val="none" w:sz="0" w:space="0" w:color="auto"/>
      </w:divBdr>
      <w:divsChild>
        <w:div w:id="1170213615">
          <w:marLeft w:val="0"/>
          <w:marRight w:val="0"/>
          <w:marTop w:val="0"/>
          <w:marBottom w:val="0"/>
          <w:divBdr>
            <w:top w:val="none" w:sz="0" w:space="0" w:color="auto"/>
            <w:left w:val="none" w:sz="0" w:space="0" w:color="auto"/>
            <w:bottom w:val="none" w:sz="0" w:space="0" w:color="auto"/>
            <w:right w:val="none" w:sz="0" w:space="0" w:color="auto"/>
          </w:divBdr>
        </w:div>
      </w:divsChild>
    </w:div>
    <w:div w:id="1970162956">
      <w:bodyDiv w:val="1"/>
      <w:marLeft w:val="0"/>
      <w:marRight w:val="0"/>
      <w:marTop w:val="0"/>
      <w:marBottom w:val="0"/>
      <w:divBdr>
        <w:top w:val="none" w:sz="0" w:space="0" w:color="auto"/>
        <w:left w:val="none" w:sz="0" w:space="0" w:color="auto"/>
        <w:bottom w:val="none" w:sz="0" w:space="0" w:color="auto"/>
        <w:right w:val="none" w:sz="0" w:space="0" w:color="auto"/>
      </w:divBdr>
      <w:divsChild>
        <w:div w:id="879636603">
          <w:marLeft w:val="0"/>
          <w:marRight w:val="0"/>
          <w:marTop w:val="0"/>
          <w:marBottom w:val="0"/>
          <w:divBdr>
            <w:top w:val="none" w:sz="0" w:space="0" w:color="auto"/>
            <w:left w:val="none" w:sz="0" w:space="0" w:color="auto"/>
            <w:bottom w:val="none" w:sz="0" w:space="0" w:color="auto"/>
            <w:right w:val="none" w:sz="0" w:space="0" w:color="auto"/>
          </w:divBdr>
        </w:div>
      </w:divsChild>
    </w:div>
    <w:div w:id="2019965340">
      <w:bodyDiv w:val="1"/>
      <w:marLeft w:val="0"/>
      <w:marRight w:val="0"/>
      <w:marTop w:val="0"/>
      <w:marBottom w:val="0"/>
      <w:divBdr>
        <w:top w:val="none" w:sz="0" w:space="0" w:color="auto"/>
        <w:left w:val="none" w:sz="0" w:space="0" w:color="auto"/>
        <w:bottom w:val="none" w:sz="0" w:space="0" w:color="auto"/>
        <w:right w:val="none" w:sz="0" w:space="0" w:color="auto"/>
      </w:divBdr>
      <w:divsChild>
        <w:div w:id="1284724929">
          <w:marLeft w:val="0"/>
          <w:marRight w:val="0"/>
          <w:marTop w:val="0"/>
          <w:marBottom w:val="0"/>
          <w:divBdr>
            <w:top w:val="none" w:sz="0" w:space="0" w:color="auto"/>
            <w:left w:val="none" w:sz="0" w:space="0" w:color="auto"/>
            <w:bottom w:val="none" w:sz="0" w:space="0" w:color="auto"/>
            <w:right w:val="none" w:sz="0" w:space="0" w:color="auto"/>
          </w:divBdr>
        </w:div>
      </w:divsChild>
    </w:div>
    <w:div w:id="2042702253">
      <w:bodyDiv w:val="1"/>
      <w:marLeft w:val="0"/>
      <w:marRight w:val="0"/>
      <w:marTop w:val="0"/>
      <w:marBottom w:val="0"/>
      <w:divBdr>
        <w:top w:val="none" w:sz="0" w:space="0" w:color="auto"/>
        <w:left w:val="none" w:sz="0" w:space="0" w:color="auto"/>
        <w:bottom w:val="none" w:sz="0" w:space="0" w:color="auto"/>
        <w:right w:val="none" w:sz="0" w:space="0" w:color="auto"/>
      </w:divBdr>
      <w:divsChild>
        <w:div w:id="1636138426">
          <w:marLeft w:val="0"/>
          <w:marRight w:val="0"/>
          <w:marTop w:val="0"/>
          <w:marBottom w:val="0"/>
          <w:divBdr>
            <w:top w:val="none" w:sz="0" w:space="0" w:color="auto"/>
            <w:left w:val="none" w:sz="0" w:space="0" w:color="auto"/>
            <w:bottom w:val="none" w:sz="0" w:space="0" w:color="auto"/>
            <w:right w:val="none" w:sz="0" w:space="0" w:color="auto"/>
          </w:divBdr>
        </w:div>
      </w:divsChild>
    </w:div>
    <w:div w:id="2086564696">
      <w:bodyDiv w:val="1"/>
      <w:marLeft w:val="0"/>
      <w:marRight w:val="0"/>
      <w:marTop w:val="0"/>
      <w:marBottom w:val="0"/>
      <w:divBdr>
        <w:top w:val="none" w:sz="0" w:space="0" w:color="auto"/>
        <w:left w:val="none" w:sz="0" w:space="0" w:color="auto"/>
        <w:bottom w:val="none" w:sz="0" w:space="0" w:color="auto"/>
        <w:right w:val="none" w:sz="0" w:space="0" w:color="auto"/>
      </w:divBdr>
    </w:div>
    <w:div w:id="2114474432">
      <w:bodyDiv w:val="1"/>
      <w:marLeft w:val="0"/>
      <w:marRight w:val="0"/>
      <w:marTop w:val="0"/>
      <w:marBottom w:val="0"/>
      <w:divBdr>
        <w:top w:val="none" w:sz="0" w:space="0" w:color="auto"/>
        <w:left w:val="none" w:sz="0" w:space="0" w:color="auto"/>
        <w:bottom w:val="none" w:sz="0" w:space="0" w:color="auto"/>
        <w:right w:val="none" w:sz="0" w:space="0" w:color="auto"/>
      </w:divBdr>
      <w:divsChild>
        <w:div w:id="2133787815">
          <w:marLeft w:val="0"/>
          <w:marRight w:val="0"/>
          <w:marTop w:val="0"/>
          <w:marBottom w:val="0"/>
          <w:divBdr>
            <w:top w:val="none" w:sz="0" w:space="0" w:color="auto"/>
            <w:left w:val="none" w:sz="0" w:space="0" w:color="auto"/>
            <w:bottom w:val="none" w:sz="0" w:space="0" w:color="auto"/>
            <w:right w:val="none" w:sz="0" w:space="0" w:color="auto"/>
          </w:divBdr>
        </w:div>
      </w:divsChild>
    </w:div>
    <w:div w:id="2125609748">
      <w:bodyDiv w:val="1"/>
      <w:marLeft w:val="0"/>
      <w:marRight w:val="0"/>
      <w:marTop w:val="0"/>
      <w:marBottom w:val="0"/>
      <w:divBdr>
        <w:top w:val="none" w:sz="0" w:space="0" w:color="auto"/>
        <w:left w:val="none" w:sz="0" w:space="0" w:color="auto"/>
        <w:bottom w:val="none" w:sz="0" w:space="0" w:color="auto"/>
        <w:right w:val="none" w:sz="0" w:space="0" w:color="auto"/>
      </w:divBdr>
      <w:divsChild>
        <w:div w:id="2069063914">
          <w:marLeft w:val="0"/>
          <w:marRight w:val="0"/>
          <w:marTop w:val="0"/>
          <w:marBottom w:val="0"/>
          <w:divBdr>
            <w:top w:val="none" w:sz="0" w:space="0" w:color="auto"/>
            <w:left w:val="none" w:sz="0" w:space="0" w:color="auto"/>
            <w:bottom w:val="none" w:sz="0" w:space="0" w:color="auto"/>
            <w:right w:val="none" w:sz="0" w:space="0" w:color="auto"/>
          </w:divBdr>
        </w:div>
      </w:divsChild>
    </w:div>
    <w:div w:id="21303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7717/peerj.15403" TargetMode="External"/><Relationship Id="rId21" Type="http://schemas.openxmlformats.org/officeDocument/2006/relationships/hyperlink" Target="https://doi.org/10.18805/LR-5151" TargetMode="External"/><Relationship Id="rId42" Type="http://schemas.openxmlformats.org/officeDocument/2006/relationships/hyperlink" Target="https://doi.org/https://doi.org/10.37446/volbook032024/1-21" TargetMode="External"/><Relationship Id="rId47" Type="http://schemas.openxmlformats.org/officeDocument/2006/relationships/hyperlink" Target="https://doi.org/10.3390/plants12030559" TargetMode="External"/><Relationship Id="rId63" Type="http://schemas.openxmlformats.org/officeDocument/2006/relationships/hyperlink" Target="https://doi.org/10.1093/oxfordjournals.jhered.a110912"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38/s41598-021-89473-0" TargetMode="External"/><Relationship Id="rId29" Type="http://schemas.openxmlformats.org/officeDocument/2006/relationships/hyperlink" Target="https://doi.org/10.1186/s42483-020-00067-6" TargetMode="External"/><Relationship Id="rId11" Type="http://schemas.openxmlformats.org/officeDocument/2006/relationships/image" Target="media/image5.jpeg"/><Relationship Id="rId24" Type="http://schemas.openxmlformats.org/officeDocument/2006/relationships/hyperlink" Target="https://doi.org/10.3390/agronomy13061607" TargetMode="External"/><Relationship Id="rId32" Type="http://schemas.openxmlformats.org/officeDocument/2006/relationships/hyperlink" Target="https://doi.org/10.9734/ijecc/2024/v14i104493" TargetMode="External"/><Relationship Id="rId37" Type="http://schemas.openxmlformats.org/officeDocument/2006/relationships/hyperlink" Target="https://doi.org/10.1016/j.scienta.2025.114153" TargetMode="External"/><Relationship Id="rId40" Type="http://schemas.openxmlformats.org/officeDocument/2006/relationships/hyperlink" Target="https://doi.org/10.3390/plants12223822" TargetMode="External"/><Relationship Id="rId45" Type="http://schemas.openxmlformats.org/officeDocument/2006/relationships/hyperlink" Target="https://doi.org/10.1016/j.rsci.2020.05.003" TargetMode="External"/><Relationship Id="rId53" Type="http://schemas.openxmlformats.org/officeDocument/2006/relationships/hyperlink" Target="https://doi.org/10.5010/JPB.2024.51.009.077" TargetMode="External"/><Relationship Id="rId58" Type="http://schemas.openxmlformats.org/officeDocument/2006/relationships/hyperlink" Target="https://doi.org/10.3390/ijms252212048"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oi.org/10.1007/978-1-4613-3051-6_1" TargetMode="External"/><Relationship Id="rId19" Type="http://schemas.openxmlformats.org/officeDocument/2006/relationships/hyperlink" Target="https://doi.org/10.1016/j.stress.2023.100296" TargetMode="External"/><Relationship Id="rId14" Type="http://schemas.openxmlformats.org/officeDocument/2006/relationships/hyperlink" Target="https://doi.org/10.9734/jabb/2025/v28i22043" TargetMode="External"/><Relationship Id="rId22" Type="http://schemas.openxmlformats.org/officeDocument/2006/relationships/hyperlink" Target="https://doi.org/10.3390/jof8060584" TargetMode="External"/><Relationship Id="rId27" Type="http://schemas.openxmlformats.org/officeDocument/2006/relationships/hyperlink" Target="https://doi.org/10.1016/j.molp.2021.05.014" TargetMode="External"/><Relationship Id="rId30" Type="http://schemas.openxmlformats.org/officeDocument/2006/relationships/hyperlink" Target="https://doi.org/10.1371/journal.pone.0280762" TargetMode="External"/><Relationship Id="rId35" Type="http://schemas.openxmlformats.org/officeDocument/2006/relationships/hyperlink" Target="https://doi.org/10.3390/genes12020301" TargetMode="External"/><Relationship Id="rId43" Type="http://schemas.openxmlformats.org/officeDocument/2006/relationships/hyperlink" Target="https://doi.org/10.9734/arja/2024/v17i4624" TargetMode="External"/><Relationship Id="rId48" Type="http://schemas.openxmlformats.org/officeDocument/2006/relationships/hyperlink" Target="https://doi.org/10.3390/plants14050807" TargetMode="External"/><Relationship Id="rId56" Type="http://schemas.openxmlformats.org/officeDocument/2006/relationships/hyperlink" Target="https://doi.org/10.1007/978-3-030-60585-8_11" TargetMode="External"/><Relationship Id="rId64" Type="http://schemas.openxmlformats.org/officeDocument/2006/relationships/hyperlink" Target="https://doi.org/10.1007/s40003-013-0089-z" TargetMode="External"/><Relationship Id="rId69"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hyperlink" Target="https://www.researchgate.net/profile/Manoj-Tripathi-10/publication/360670295_Morphological_and_Molecular_Characterization_of_Indian_Mustard_Germplasm_Lines/links/628491dbb2548471fee3bb09/Morphological-and-Molecular-Characterization-of-Indian-Mustard-Germplasm-Lines.pd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hyperlink" Target="https://doi.org/10.3390/ijpb15030046" TargetMode="External"/><Relationship Id="rId25" Type="http://schemas.openxmlformats.org/officeDocument/2006/relationships/hyperlink" Target="https://doi.org/10.1007/s12161-020-01831-2" TargetMode="External"/><Relationship Id="rId33" Type="http://schemas.openxmlformats.org/officeDocument/2006/relationships/hyperlink" Target="https://doi.org/10.31830/2454-1761.2022.CR-893" TargetMode="External"/><Relationship Id="rId38" Type="http://schemas.openxmlformats.org/officeDocument/2006/relationships/hyperlink" Target="https://publications.rmsi.in/index.php/rma/article/view/539" TargetMode="External"/><Relationship Id="rId46" Type="http://schemas.openxmlformats.org/officeDocument/2006/relationships/hyperlink" Target="https://doi.org/10.1038/s41598-024-83797-3" TargetMode="External"/><Relationship Id="rId59" Type="http://schemas.openxmlformats.org/officeDocument/2006/relationships/hyperlink" Target="https://doi.org/10.3389/fpls.2022.781524" TargetMode="External"/><Relationship Id="rId67" Type="http://schemas.openxmlformats.org/officeDocument/2006/relationships/header" Target="header2.xml"/><Relationship Id="rId20" Type="http://schemas.openxmlformats.org/officeDocument/2006/relationships/hyperlink" Target="https://doi.org/10.1016/j.cropro.2020.105401" TargetMode="External"/><Relationship Id="rId41" Type="http://schemas.openxmlformats.org/officeDocument/2006/relationships/hyperlink" Target="https://doi.org/10.18805/LR-4240" TargetMode="External"/><Relationship Id="rId54" Type="http://schemas.openxmlformats.org/officeDocument/2006/relationships/hyperlink" Target="https://doi.org/10.3390/ijms21134792" TargetMode="External"/><Relationship Id="rId62" Type="http://schemas.openxmlformats.org/officeDocument/2006/relationships/hyperlink" Target="https://doi.org/10.1007/s00122-024-04641-w"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microb.2025.100372" TargetMode="External"/><Relationship Id="rId23" Type="http://schemas.openxmlformats.org/officeDocument/2006/relationships/hyperlink" Target="https://doi.org/10.1038/srep07773" TargetMode="External"/><Relationship Id="rId28" Type="http://schemas.openxmlformats.org/officeDocument/2006/relationships/hyperlink" Target="https://doi.org/10.31742/ISGPB.84.4.18" TargetMode="External"/><Relationship Id="rId36" Type="http://schemas.openxmlformats.org/officeDocument/2006/relationships/hyperlink" Target="https://doi.org/10.3389/fpls.2021.779386" TargetMode="External"/><Relationship Id="rId49" Type="http://schemas.openxmlformats.org/officeDocument/2006/relationships/hyperlink" Target="https://doi.org/10.3389/fpls.2017.01838" TargetMode="External"/><Relationship Id="rId57" Type="http://schemas.openxmlformats.org/officeDocument/2006/relationships/hyperlink" Target="https://publications.rmsi.in/index.php/rma/article/view/459" TargetMode="External"/><Relationship Id="rId10" Type="http://schemas.openxmlformats.org/officeDocument/2006/relationships/image" Target="media/image4.jpeg"/><Relationship Id="rId31" Type="http://schemas.openxmlformats.org/officeDocument/2006/relationships/hyperlink" Target="https://doi.org/10.1186/s12284-020-00392-6" TargetMode="External"/><Relationship Id="rId44" Type="http://schemas.openxmlformats.org/officeDocument/2006/relationships/hyperlink" Target="https://doi.org/10.1080/13102818.2017.1400401" TargetMode="External"/><Relationship Id="rId52" Type="http://schemas.openxmlformats.org/officeDocument/2006/relationships/hyperlink" Target="https://doi.org/10.1007/s44187-025-00306-9" TargetMode="External"/><Relationship Id="rId60" Type="http://schemas.openxmlformats.org/officeDocument/2006/relationships/hyperlink" Target="https://doi.org/10.1186/s43141-021-00239-7" TargetMode="External"/><Relationship Id="rId65" Type="http://schemas.openxmlformats.org/officeDocument/2006/relationships/hyperlink" Target="https://doi.org/10.3389/fpls.2021.64503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doi.org/10.1016/j.micpath.2020.104533" TargetMode="External"/><Relationship Id="rId18" Type="http://schemas.openxmlformats.org/officeDocument/2006/relationships/hyperlink" Target="https://doi.org/10.9734/cjast/2021/v40i531303" TargetMode="External"/><Relationship Id="rId39" Type="http://schemas.openxmlformats.org/officeDocument/2006/relationships/hyperlink" Target="https://doi.org/10.3389/fpls.2020.602882" TargetMode="External"/><Relationship Id="rId34" Type="http://schemas.openxmlformats.org/officeDocument/2006/relationships/hyperlink" Target="https://doi.org/10.1093/database/baae114" TargetMode="External"/><Relationship Id="rId50" Type="http://schemas.openxmlformats.org/officeDocument/2006/relationships/hyperlink" Target="https://doi.org/10.5772/intechopen.111392" TargetMode="External"/><Relationship Id="rId55" Type="http://schemas.openxmlformats.org/officeDocument/2006/relationships/hyperlink" Target="https://doi.org/10.3389/fpls.2021.659938" TargetMode="External"/><Relationship Id="rId7" Type="http://schemas.openxmlformats.org/officeDocument/2006/relationships/image" Target="media/image1.jpe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Pages>
  <Words>7954</Words>
  <Characters>45340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P</cp:lastModifiedBy>
  <cp:revision>49</cp:revision>
  <dcterms:created xsi:type="dcterms:W3CDTF">2025-06-13T11:21:00Z</dcterms:created>
  <dcterms:modified xsi:type="dcterms:W3CDTF">2025-07-09T10:37:00Z</dcterms:modified>
</cp:coreProperties>
</file>