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DB" w:rsidRDefault="00073ADB" w:rsidP="0028454C">
      <w:pPr>
        <w:spacing w:line="360" w:lineRule="auto"/>
        <w:jc w:val="center"/>
        <w:rPr>
          <w:rFonts w:ascii="Times New Roman" w:hAnsi="Times New Roman" w:cs="Times New Roman"/>
          <w:b/>
          <w:bCs/>
          <w:sz w:val="24"/>
          <w:szCs w:val="24"/>
        </w:rPr>
      </w:pPr>
      <w:r w:rsidRPr="00073ADB">
        <w:rPr>
          <w:rFonts w:ascii="Times New Roman" w:hAnsi="Times New Roman" w:cs="Times New Roman"/>
          <w:b/>
          <w:bCs/>
          <w:i/>
          <w:iCs/>
          <w:sz w:val="24"/>
          <w:szCs w:val="24"/>
          <w:u w:val="single"/>
          <w:lang w:val="en-US"/>
        </w:rPr>
        <w:t>Original Research Article</w:t>
      </w:r>
    </w:p>
    <w:p w:rsidR="0028454C" w:rsidRPr="001376A0" w:rsidRDefault="00200CAA" w:rsidP="0028454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SSR Markers Mediated Diversity A</w:t>
      </w:r>
      <w:r w:rsidRPr="001376A0">
        <w:rPr>
          <w:rFonts w:ascii="Times New Roman" w:hAnsi="Times New Roman" w:cs="Times New Roman"/>
          <w:b/>
          <w:bCs/>
          <w:sz w:val="24"/>
          <w:szCs w:val="24"/>
        </w:rPr>
        <w:t>nalysis of</w:t>
      </w:r>
      <w:r>
        <w:rPr>
          <w:rFonts w:ascii="Times New Roman" w:hAnsi="Times New Roman" w:cs="Times New Roman"/>
          <w:b/>
          <w:bCs/>
          <w:sz w:val="24"/>
          <w:szCs w:val="24"/>
        </w:rPr>
        <w:t xml:space="preserve"> B</w:t>
      </w:r>
      <w:r w:rsidRPr="001376A0">
        <w:rPr>
          <w:rFonts w:ascii="Times New Roman" w:hAnsi="Times New Roman" w:cs="Times New Roman"/>
          <w:b/>
          <w:bCs/>
          <w:sz w:val="24"/>
          <w:szCs w:val="24"/>
        </w:rPr>
        <w:t xml:space="preserve">rinjal </w:t>
      </w:r>
      <w:r>
        <w:rPr>
          <w:rFonts w:ascii="Times New Roman" w:hAnsi="Times New Roman" w:cs="Times New Roman"/>
          <w:b/>
          <w:bCs/>
          <w:i/>
          <w:iCs/>
          <w:sz w:val="24"/>
          <w:szCs w:val="24"/>
        </w:rPr>
        <w:t>(S</w:t>
      </w:r>
      <w:r w:rsidRPr="001376A0">
        <w:rPr>
          <w:rFonts w:ascii="Times New Roman" w:hAnsi="Times New Roman" w:cs="Times New Roman"/>
          <w:b/>
          <w:bCs/>
          <w:i/>
          <w:iCs/>
          <w:sz w:val="24"/>
          <w:szCs w:val="24"/>
        </w:rPr>
        <w:t>olanum melongena</w:t>
      </w:r>
      <w:r w:rsidRPr="001376A0">
        <w:rPr>
          <w:rFonts w:ascii="Times New Roman" w:hAnsi="Times New Roman" w:cs="Times New Roman"/>
          <w:b/>
          <w:bCs/>
          <w:sz w:val="24"/>
          <w:szCs w:val="24"/>
        </w:rPr>
        <w:t xml:space="preserve"> l.) </w:t>
      </w:r>
    </w:p>
    <w:p w:rsidR="00174C79" w:rsidRDefault="00174C79" w:rsidP="0084751D">
      <w:pPr>
        <w:spacing w:line="360" w:lineRule="auto"/>
        <w:jc w:val="both"/>
        <w:rPr>
          <w:rFonts w:ascii="Times New Roman" w:hAnsi="Times New Roman" w:cs="Times New Roman"/>
          <w:b/>
          <w:bCs/>
          <w:sz w:val="24"/>
          <w:szCs w:val="24"/>
        </w:rPr>
      </w:pPr>
    </w:p>
    <w:p w:rsidR="009E752B" w:rsidRPr="0084751D" w:rsidRDefault="009E752B" w:rsidP="0084751D">
      <w:pPr>
        <w:spacing w:line="360" w:lineRule="auto"/>
        <w:jc w:val="both"/>
        <w:rPr>
          <w:rFonts w:ascii="Times New Roman" w:hAnsi="Times New Roman" w:cs="Times New Roman"/>
          <w:b/>
          <w:bCs/>
          <w:sz w:val="24"/>
          <w:szCs w:val="24"/>
        </w:rPr>
      </w:pPr>
      <w:r w:rsidRPr="0084751D">
        <w:rPr>
          <w:rFonts w:ascii="Times New Roman" w:hAnsi="Times New Roman" w:cs="Times New Roman"/>
          <w:b/>
          <w:bCs/>
          <w:sz w:val="24"/>
          <w:szCs w:val="24"/>
        </w:rPr>
        <w:t>ABSTRACT</w:t>
      </w:r>
    </w:p>
    <w:p w:rsidR="000F3BAF" w:rsidRDefault="000F3BAF" w:rsidP="0084751D">
      <w:pPr>
        <w:spacing w:line="360" w:lineRule="auto"/>
        <w:jc w:val="both"/>
        <w:rPr>
          <w:rFonts w:ascii="Times New Roman" w:hAnsi="Times New Roman" w:cs="Times New Roman"/>
          <w:sz w:val="24"/>
          <w:szCs w:val="24"/>
        </w:rPr>
      </w:pPr>
      <w:r w:rsidRPr="000F3BAF">
        <w:rPr>
          <w:rFonts w:ascii="Times New Roman" w:hAnsi="Times New Roman" w:cs="Times New Roman"/>
          <w:sz w:val="24"/>
          <w:szCs w:val="24"/>
        </w:rPr>
        <w:t>Brinjal</w:t>
      </w:r>
      <w:r w:rsidR="00200CAA">
        <w:rPr>
          <w:rFonts w:ascii="Times New Roman" w:hAnsi="Times New Roman" w:cs="Times New Roman"/>
          <w:sz w:val="24"/>
          <w:szCs w:val="24"/>
        </w:rPr>
        <w:t xml:space="preserve"> </w:t>
      </w:r>
      <w:r w:rsidRPr="000F3BAF">
        <w:rPr>
          <w:rFonts w:ascii="Times New Roman" w:hAnsi="Times New Roman" w:cs="Times New Roman"/>
          <w:sz w:val="24"/>
          <w:szCs w:val="24"/>
        </w:rPr>
        <w:t>(</w:t>
      </w:r>
      <w:r w:rsidRPr="000F3BAF">
        <w:rPr>
          <w:rFonts w:ascii="Times New Roman" w:hAnsi="Times New Roman" w:cs="Times New Roman"/>
          <w:i/>
          <w:sz w:val="24"/>
          <w:szCs w:val="24"/>
        </w:rPr>
        <w:t>Solanum melongena</w:t>
      </w:r>
      <w:r w:rsidRPr="000F3BAF">
        <w:rPr>
          <w:rFonts w:ascii="Times New Roman" w:hAnsi="Times New Roman" w:cs="Times New Roman"/>
          <w:sz w:val="24"/>
          <w:szCs w:val="24"/>
        </w:rPr>
        <w:t xml:space="preserve"> L.) is an essential vegetable crop that is consumed globally, particularly in areas that are prone to drought. Due to its remarkable range of sizes and shapes, this vegetabl</w:t>
      </w:r>
      <w:r w:rsidR="00200CAA">
        <w:rPr>
          <w:rFonts w:ascii="Times New Roman" w:hAnsi="Times New Roman" w:cs="Times New Roman"/>
          <w:sz w:val="24"/>
          <w:szCs w:val="24"/>
        </w:rPr>
        <w:t xml:space="preserve">e is highly valued for both </w:t>
      </w:r>
      <w:r w:rsidRPr="000F3BAF">
        <w:rPr>
          <w:rFonts w:ascii="Times New Roman" w:hAnsi="Times New Roman" w:cs="Times New Roman"/>
          <w:sz w:val="24"/>
          <w:szCs w:val="24"/>
        </w:rPr>
        <w:t>nutritional content and aesthetic appeal. Because of its high protein content, potent antioxidants, and vital minerals, brinjal is a valuable supplement to a balanced diet. Brin</w:t>
      </w:r>
      <w:r>
        <w:rPr>
          <w:rFonts w:ascii="Times New Roman" w:hAnsi="Times New Roman" w:cs="Times New Roman"/>
          <w:sz w:val="24"/>
          <w:szCs w:val="24"/>
        </w:rPr>
        <w:t>j</w:t>
      </w:r>
      <w:r w:rsidRPr="000F3BAF">
        <w:rPr>
          <w:rFonts w:ascii="Times New Roman" w:hAnsi="Times New Roman" w:cs="Times New Roman"/>
          <w:sz w:val="24"/>
          <w:szCs w:val="24"/>
        </w:rPr>
        <w:t>al is widely grown in Bihar,</w:t>
      </w:r>
      <w:r w:rsidR="00E715A8">
        <w:rPr>
          <w:rFonts w:ascii="Times New Roman" w:hAnsi="Times New Roman" w:cs="Times New Roman"/>
          <w:sz w:val="24"/>
          <w:szCs w:val="24"/>
        </w:rPr>
        <w:t xml:space="preserve"> India, </w:t>
      </w:r>
      <w:r w:rsidRPr="000F3BAF">
        <w:rPr>
          <w:rFonts w:ascii="Times New Roman" w:hAnsi="Times New Roman" w:cs="Times New Roman"/>
          <w:sz w:val="24"/>
          <w:szCs w:val="24"/>
        </w:rPr>
        <w:t xml:space="preserve"> but little is known about the genetic diversity among its genotypes, despite its importance in agriculture and the economy. In order to </w:t>
      </w:r>
      <w:r>
        <w:rPr>
          <w:rFonts w:ascii="Times New Roman" w:hAnsi="Times New Roman" w:cs="Times New Roman"/>
          <w:sz w:val="24"/>
          <w:szCs w:val="24"/>
        </w:rPr>
        <w:t>develop</w:t>
      </w:r>
      <w:r w:rsidRPr="000F3BAF">
        <w:rPr>
          <w:rFonts w:ascii="Times New Roman" w:hAnsi="Times New Roman" w:cs="Times New Roman"/>
          <w:sz w:val="24"/>
          <w:szCs w:val="24"/>
        </w:rPr>
        <w:t xml:space="preserve"> improved vari</w:t>
      </w:r>
      <w:r w:rsidR="00E715A8">
        <w:rPr>
          <w:rFonts w:ascii="Times New Roman" w:hAnsi="Times New Roman" w:cs="Times New Roman"/>
          <w:sz w:val="24"/>
          <w:szCs w:val="24"/>
        </w:rPr>
        <w:t xml:space="preserve">eties with improved traits such as: </w:t>
      </w:r>
      <w:r w:rsidRPr="000F3BAF">
        <w:rPr>
          <w:rFonts w:ascii="Times New Roman" w:hAnsi="Times New Roman" w:cs="Times New Roman"/>
          <w:sz w:val="24"/>
          <w:szCs w:val="24"/>
        </w:rPr>
        <w:t>increased yield, disease resistance, and environmental adaptability, breeding programs must have a thorough understanding of genetic variation</w:t>
      </w:r>
      <w:r w:rsidR="00E715A8" w:rsidRPr="00E715A8">
        <w:rPr>
          <w:rFonts w:ascii="Times New Roman" w:hAnsi="Times New Roman" w:cs="Times New Roman"/>
          <w:sz w:val="24"/>
          <w:szCs w:val="24"/>
        </w:rPr>
        <w:t xml:space="preserve"> </w:t>
      </w:r>
      <w:r w:rsidR="00E715A8">
        <w:rPr>
          <w:rFonts w:ascii="Times New Roman" w:hAnsi="Times New Roman" w:cs="Times New Roman"/>
          <w:sz w:val="24"/>
          <w:szCs w:val="24"/>
        </w:rPr>
        <w:t>present within the species and its wild relatives</w:t>
      </w:r>
      <w:r w:rsidRPr="000F3BAF">
        <w:rPr>
          <w:rFonts w:ascii="Times New Roman" w:hAnsi="Times New Roman" w:cs="Times New Roman"/>
          <w:sz w:val="24"/>
          <w:szCs w:val="24"/>
        </w:rPr>
        <w:t xml:space="preserve">. </w:t>
      </w:r>
      <w:r w:rsidR="00E82C13" w:rsidRPr="00E82C13">
        <w:rPr>
          <w:rFonts w:ascii="Times New Roman" w:hAnsi="Times New Roman" w:cs="Times New Roman"/>
          <w:sz w:val="24"/>
          <w:szCs w:val="24"/>
        </w:rPr>
        <w:t>The genetic diversity of 19 brinjal genotypes</w:t>
      </w:r>
      <w:r w:rsidR="00200CAA">
        <w:rPr>
          <w:rFonts w:ascii="Times New Roman" w:hAnsi="Times New Roman" w:cs="Times New Roman"/>
          <w:sz w:val="24"/>
          <w:szCs w:val="24"/>
        </w:rPr>
        <w:t xml:space="preserve"> </w:t>
      </w:r>
      <w:r w:rsidR="00E82C13" w:rsidRPr="00E82C13">
        <w:rPr>
          <w:rFonts w:ascii="Times New Roman" w:hAnsi="Times New Roman" w:cs="Times New Roman"/>
          <w:sz w:val="24"/>
          <w:szCs w:val="24"/>
        </w:rPr>
        <w:t>—16 inbred lines and three wild varieties</w:t>
      </w:r>
      <w:r w:rsidR="00200CAA">
        <w:rPr>
          <w:rFonts w:ascii="Times New Roman" w:hAnsi="Times New Roman" w:cs="Times New Roman"/>
          <w:sz w:val="24"/>
          <w:szCs w:val="24"/>
        </w:rPr>
        <w:t xml:space="preserve"> </w:t>
      </w:r>
      <w:r w:rsidR="00E82C13" w:rsidRPr="00E82C13">
        <w:rPr>
          <w:rFonts w:ascii="Times New Roman" w:hAnsi="Times New Roman" w:cs="Times New Roman"/>
          <w:sz w:val="24"/>
          <w:szCs w:val="24"/>
        </w:rPr>
        <w:t>—was assessed in this study using 21 SSR markers. EM107, EM114, EM133, EM140, EM145, EMB01I13, EMB01D10, and EMK03O04 were the eight polymorphic markers used in the genetic analysis. The genotypes were grouped into two major clusters using UPGMA clustering, and these clusters were further subdivided into four sub-clusters according to their genetic similarity. The degree to which the various genotypes are related to one another was revealed by this classification. The markers EMK03O04 (0.3957) and EMB01D10 (0.4139) had the highest Polymorphic Information Content (PIC) values, suggesting that they are very useful and inform</w:t>
      </w:r>
      <w:r w:rsidR="00200CAA">
        <w:rPr>
          <w:rFonts w:ascii="Times New Roman" w:hAnsi="Times New Roman" w:cs="Times New Roman"/>
          <w:sz w:val="24"/>
          <w:szCs w:val="24"/>
        </w:rPr>
        <w:t>ative in differentiating among</w:t>
      </w:r>
      <w:r w:rsidR="00E82C13" w:rsidRPr="00E82C13">
        <w:rPr>
          <w:rFonts w:ascii="Times New Roman" w:hAnsi="Times New Roman" w:cs="Times New Roman"/>
          <w:sz w:val="24"/>
          <w:szCs w:val="24"/>
        </w:rPr>
        <w:t xml:space="preserve"> the genetic variants found in the brinjal genotypes.</w:t>
      </w:r>
      <w:r w:rsidR="00200CAA">
        <w:rPr>
          <w:rFonts w:ascii="Times New Roman" w:hAnsi="Times New Roman" w:cs="Times New Roman"/>
          <w:sz w:val="24"/>
          <w:szCs w:val="24"/>
        </w:rPr>
        <w:t xml:space="preserve"> </w:t>
      </w:r>
      <w:r w:rsidR="00E82C13" w:rsidRPr="00D96E50">
        <w:rPr>
          <w:rFonts w:ascii="Times New Roman" w:hAnsi="Times New Roman" w:cs="Times New Roman"/>
          <w:sz w:val="24"/>
          <w:szCs w:val="24"/>
        </w:rPr>
        <w:t>To further enhance our understanding of genetic diversity, future research is encouraged to encompass a wider variety of genotypes and markers, paving the way for more comprehensive insights into this important vegetable crop.</w:t>
      </w:r>
      <w:r w:rsidRPr="000F3BAF">
        <w:rPr>
          <w:rFonts w:ascii="Times New Roman" w:hAnsi="Times New Roman" w:cs="Times New Roman"/>
          <w:sz w:val="24"/>
          <w:szCs w:val="24"/>
        </w:rPr>
        <w:t xml:space="preserve"> This would serve t</w:t>
      </w:r>
      <w:r w:rsidR="00200CAA">
        <w:rPr>
          <w:rFonts w:ascii="Times New Roman" w:hAnsi="Times New Roman" w:cs="Times New Roman"/>
          <w:sz w:val="24"/>
          <w:szCs w:val="24"/>
        </w:rPr>
        <w:t xml:space="preserve">o </w:t>
      </w:r>
      <w:r w:rsidRPr="000F3BAF">
        <w:rPr>
          <w:rFonts w:ascii="Times New Roman" w:hAnsi="Times New Roman" w:cs="Times New Roman"/>
          <w:sz w:val="24"/>
          <w:szCs w:val="24"/>
        </w:rPr>
        <w:t xml:space="preserve">deepen </w:t>
      </w:r>
      <w:r w:rsidR="00E715A8">
        <w:rPr>
          <w:rFonts w:ascii="Times New Roman" w:hAnsi="Times New Roman" w:cs="Times New Roman"/>
          <w:sz w:val="24"/>
          <w:szCs w:val="24"/>
        </w:rPr>
        <w:t xml:space="preserve">the </w:t>
      </w:r>
      <w:r w:rsidRPr="000F3BAF">
        <w:rPr>
          <w:rFonts w:ascii="Times New Roman" w:hAnsi="Times New Roman" w:cs="Times New Roman"/>
          <w:sz w:val="24"/>
          <w:szCs w:val="24"/>
        </w:rPr>
        <w:t>knowledge of genetic diversity in this significant vegetable crop</w:t>
      </w:r>
      <w:r w:rsidR="00200CAA">
        <w:rPr>
          <w:rFonts w:ascii="Times New Roman" w:hAnsi="Times New Roman" w:cs="Times New Roman"/>
          <w:sz w:val="24"/>
          <w:szCs w:val="24"/>
        </w:rPr>
        <w:t xml:space="preserve"> further</w:t>
      </w:r>
      <w:r w:rsidRPr="000F3BAF">
        <w:rPr>
          <w:rFonts w:ascii="Times New Roman" w:hAnsi="Times New Roman" w:cs="Times New Roman"/>
          <w:sz w:val="24"/>
          <w:szCs w:val="24"/>
        </w:rPr>
        <w:t>, ultimately leading to improved</w:t>
      </w:r>
      <w:r w:rsidR="00E715A8">
        <w:rPr>
          <w:rFonts w:ascii="Times New Roman" w:hAnsi="Times New Roman" w:cs="Times New Roman"/>
          <w:sz w:val="24"/>
          <w:szCs w:val="24"/>
        </w:rPr>
        <w:t xml:space="preserve"> </w:t>
      </w:r>
      <w:r w:rsidRPr="000F3BAF">
        <w:rPr>
          <w:rFonts w:ascii="Times New Roman" w:hAnsi="Times New Roman" w:cs="Times New Roman"/>
          <w:sz w:val="24"/>
          <w:szCs w:val="24"/>
        </w:rPr>
        <w:t>varieties.</w:t>
      </w:r>
    </w:p>
    <w:p w:rsidR="00FF3E13" w:rsidRPr="0084751D" w:rsidRDefault="0084751D" w:rsidP="0084751D">
      <w:pPr>
        <w:spacing w:line="360" w:lineRule="auto"/>
        <w:jc w:val="both"/>
        <w:rPr>
          <w:rFonts w:ascii="Times New Roman" w:hAnsi="Times New Roman" w:cs="Times New Roman"/>
          <w:sz w:val="24"/>
          <w:szCs w:val="24"/>
        </w:rPr>
      </w:pPr>
      <w:r w:rsidRPr="0084751D">
        <w:rPr>
          <w:rFonts w:ascii="Times New Roman" w:hAnsi="Times New Roman" w:cs="Times New Roman"/>
          <w:b/>
          <w:bCs/>
          <w:sz w:val="24"/>
          <w:szCs w:val="24"/>
        </w:rPr>
        <w:t>Keywords</w:t>
      </w:r>
      <w:r w:rsidRPr="0084751D">
        <w:rPr>
          <w:rFonts w:ascii="Times New Roman" w:hAnsi="Times New Roman" w:cs="Times New Roman"/>
          <w:sz w:val="24"/>
          <w:szCs w:val="24"/>
        </w:rPr>
        <w:t xml:space="preserve">: </w:t>
      </w:r>
      <w:r w:rsidR="001376A0">
        <w:rPr>
          <w:rFonts w:ascii="Times New Roman" w:hAnsi="Times New Roman" w:cs="Times New Roman"/>
          <w:sz w:val="24"/>
          <w:szCs w:val="24"/>
        </w:rPr>
        <w:t>Brinjal, inbred, m</w:t>
      </w:r>
      <w:r w:rsidRPr="0084751D">
        <w:rPr>
          <w:rFonts w:ascii="Times New Roman" w:hAnsi="Times New Roman" w:cs="Times New Roman"/>
          <w:sz w:val="24"/>
          <w:szCs w:val="24"/>
        </w:rPr>
        <w:t xml:space="preserve">olecular diversity, </w:t>
      </w:r>
      <w:r w:rsidR="001376A0">
        <w:rPr>
          <w:rFonts w:ascii="Times New Roman" w:hAnsi="Times New Roman" w:cs="Times New Roman"/>
          <w:sz w:val="24"/>
          <w:szCs w:val="24"/>
        </w:rPr>
        <w:t xml:space="preserve"> </w:t>
      </w:r>
      <w:r w:rsidR="00ED3C48" w:rsidRPr="00ED3C48">
        <w:rPr>
          <w:rFonts w:ascii="Times New Roman" w:hAnsi="Times New Roman" w:cs="Times New Roman"/>
          <w:i/>
          <w:sz w:val="24"/>
          <w:szCs w:val="24"/>
        </w:rPr>
        <w:t>Solanum melongena</w:t>
      </w:r>
      <w:r w:rsidR="00ED3C48">
        <w:rPr>
          <w:rFonts w:ascii="Times New Roman" w:hAnsi="Times New Roman" w:cs="Times New Roman"/>
          <w:sz w:val="24"/>
          <w:szCs w:val="24"/>
        </w:rPr>
        <w:t>, SSR markers</w:t>
      </w:r>
      <w:r w:rsidR="001376A0">
        <w:rPr>
          <w:rFonts w:ascii="Times New Roman" w:hAnsi="Times New Roman" w:cs="Times New Roman"/>
          <w:sz w:val="24"/>
          <w:szCs w:val="24"/>
        </w:rPr>
        <w:t xml:space="preserve">, </w:t>
      </w:r>
      <w:r w:rsidR="00CF1301">
        <w:rPr>
          <w:rFonts w:ascii="Times New Roman" w:hAnsi="Times New Roman" w:cs="Times New Roman"/>
          <w:sz w:val="24"/>
          <w:szCs w:val="24"/>
        </w:rPr>
        <w:t>wild relatives</w:t>
      </w:r>
      <w:r w:rsidR="001376A0">
        <w:rPr>
          <w:rFonts w:ascii="Times New Roman" w:hAnsi="Times New Roman" w:cs="Times New Roman"/>
          <w:sz w:val="24"/>
          <w:szCs w:val="24"/>
        </w:rPr>
        <w:t>.</w:t>
      </w:r>
    </w:p>
    <w:p w:rsidR="009915A8" w:rsidRPr="0084751D" w:rsidRDefault="009915A8" w:rsidP="0084751D">
      <w:pPr>
        <w:spacing w:line="360" w:lineRule="auto"/>
        <w:jc w:val="both"/>
        <w:rPr>
          <w:rFonts w:ascii="Times New Roman" w:hAnsi="Times New Roman" w:cs="Times New Roman"/>
          <w:b/>
          <w:bCs/>
          <w:sz w:val="24"/>
          <w:szCs w:val="24"/>
        </w:rPr>
      </w:pPr>
    </w:p>
    <w:p w:rsidR="00BD069C" w:rsidRDefault="00BD069C" w:rsidP="0084751D">
      <w:pPr>
        <w:spacing w:line="360" w:lineRule="auto"/>
        <w:jc w:val="both"/>
        <w:rPr>
          <w:rFonts w:ascii="Times New Roman" w:hAnsi="Times New Roman" w:cs="Times New Roman"/>
          <w:b/>
          <w:bCs/>
          <w:sz w:val="24"/>
          <w:szCs w:val="24"/>
        </w:rPr>
      </w:pPr>
    </w:p>
    <w:p w:rsidR="009E752B" w:rsidRPr="0084751D" w:rsidRDefault="008E1311" w:rsidP="0084751D">
      <w:pPr>
        <w:spacing w:line="360" w:lineRule="auto"/>
        <w:jc w:val="both"/>
        <w:rPr>
          <w:rFonts w:ascii="Times New Roman" w:hAnsi="Times New Roman" w:cs="Times New Roman"/>
          <w:b/>
          <w:bCs/>
          <w:sz w:val="24"/>
          <w:szCs w:val="24"/>
        </w:rPr>
      </w:pPr>
      <w:r w:rsidRPr="0084751D">
        <w:rPr>
          <w:rFonts w:ascii="Times New Roman" w:hAnsi="Times New Roman" w:cs="Times New Roman"/>
          <w:b/>
          <w:bCs/>
          <w:sz w:val="24"/>
          <w:szCs w:val="24"/>
        </w:rPr>
        <w:lastRenderedPageBreak/>
        <w:t>INTRODUCTION</w:t>
      </w:r>
    </w:p>
    <w:p w:rsidR="00D62F00" w:rsidRDefault="00D62F00" w:rsidP="00E57544">
      <w:pPr>
        <w:pStyle w:val="NormalWeb"/>
        <w:spacing w:line="360" w:lineRule="auto"/>
        <w:ind w:firstLine="720"/>
        <w:jc w:val="both"/>
      </w:pPr>
      <w:r w:rsidRPr="00D62F00">
        <w:t>Brinjal (</w:t>
      </w:r>
      <w:r w:rsidRPr="00BD069C">
        <w:rPr>
          <w:i/>
        </w:rPr>
        <w:t>Solanum melongena</w:t>
      </w:r>
      <w:r w:rsidRPr="00D62F00">
        <w:t xml:space="preserve"> L., 2n=2x=24), commonly known as eggplant in the United States, is a prominent member of the Solanaceae family</w:t>
      </w:r>
      <w:r w:rsidR="00895974">
        <w:t xml:space="preserve"> (Nagar et al., 2024)</w:t>
      </w:r>
      <w:r w:rsidRPr="00D62F00">
        <w:t>. It i</w:t>
      </w:r>
      <w:r w:rsidR="00C1092A">
        <w:t xml:space="preserve">s widely recognized in India by </w:t>
      </w:r>
      <w:r w:rsidRPr="00D62F00">
        <w:t>the regional name</w:t>
      </w:r>
      <w:r w:rsidR="00C1092A">
        <w:t>s</w:t>
      </w:r>
      <w:r w:rsidRPr="00D62F00">
        <w:t xml:space="preserve"> of Bangna, Bhagwata, Badanik, and Vangi, reflecting its deep cultural and agricultural importance. India is the main source and diversity center of the brinjal and its historical records indicate that it has been cul</w:t>
      </w:r>
      <w:r w:rsidR="00200CAA">
        <w:t>tivated for over 4,000 years (Vavilow, 1951)</w:t>
      </w:r>
      <w:r w:rsidRPr="00D62F00">
        <w:t>. The crop has been wid</w:t>
      </w:r>
      <w:r w:rsidR="00200CAA">
        <w:t xml:space="preserve">ely grown in Asia and Europe (Ansari &amp; Singh, 2024) </w:t>
      </w:r>
      <w:r w:rsidRPr="00D62F00">
        <w:t>with world production of about 54.08 billion tonnes, with Asia contributing 93 per cent of the production. China dominates global production with 45</w:t>
      </w:r>
      <w:r w:rsidR="00BD069C">
        <w:t xml:space="preserve"> </w:t>
      </w:r>
      <w:r w:rsidRPr="00D62F00">
        <w:t>% of G</w:t>
      </w:r>
      <w:r w:rsidR="00953954">
        <w:t xml:space="preserve">ross </w:t>
      </w:r>
      <w:r w:rsidRPr="00D62F00">
        <w:t>D</w:t>
      </w:r>
      <w:r w:rsidR="00953954">
        <w:t xml:space="preserve">omestic </w:t>
      </w:r>
      <w:r w:rsidRPr="00D62F00">
        <w:t>P</w:t>
      </w:r>
      <w:r w:rsidR="00953954">
        <w:t>roduct</w:t>
      </w:r>
      <w:r w:rsidR="00C1092A">
        <w:t>s (GDP)</w:t>
      </w:r>
      <w:r w:rsidRPr="00D62F00">
        <w:t xml:space="preserve"> followed by India with 24%</w:t>
      </w:r>
      <w:r w:rsidR="00953954">
        <w:t xml:space="preserve"> (FAO, 2022)</w:t>
      </w:r>
      <w:r w:rsidRPr="00D62F00">
        <w:t>. The main producers of brinjal in India are West Bengal, Maharashtra and Bihar</w:t>
      </w:r>
      <w:r w:rsidR="00C1092A">
        <w:t xml:space="preserve"> states</w:t>
      </w:r>
      <w:r w:rsidR="00953954">
        <w:t xml:space="preserve"> (Akhtar et al., 2019)</w:t>
      </w:r>
      <w:r w:rsidRPr="00D62F00">
        <w:t>.</w:t>
      </w:r>
    </w:p>
    <w:p w:rsidR="004719F8" w:rsidRDefault="004719F8" w:rsidP="00E57544">
      <w:pPr>
        <w:pStyle w:val="NormalWeb"/>
        <w:spacing w:line="360" w:lineRule="auto"/>
        <w:ind w:firstLine="720"/>
        <w:jc w:val="both"/>
      </w:pPr>
      <w:r w:rsidRPr="004719F8">
        <w:t>Nutritionally, brinjal is a valuable source of carbohydrates, fats, proteins, food fibers, essential minerals, vitamins and antioxidants. Medications are used in traditional treatments such as diabetes, leprosy, gonorrhea, cholera, cancer, b</w:t>
      </w:r>
      <w:r w:rsidR="001A22D1">
        <w:t xml:space="preserve">ronchitis, pneumonia and </w:t>
      </w:r>
      <w:r w:rsidRPr="004719F8">
        <w:t>asthma</w:t>
      </w:r>
      <w:r w:rsidR="00953954">
        <w:t xml:space="preserve"> (Nandi et al., 2021)</w:t>
      </w:r>
      <w:r w:rsidRPr="004719F8">
        <w:t>. In addition, brinjal has important pharmacological properties, including low</w:t>
      </w:r>
      <w:r w:rsidR="00190709">
        <w:t>ering of</w:t>
      </w:r>
      <w:r w:rsidRPr="004719F8">
        <w:t xml:space="preserve"> cholesterol, spasmogenic, central nervous system inhibitor, blocking calcium channels</w:t>
      </w:r>
      <w:r w:rsidR="00953954">
        <w:t>, and hypotensive properties (Saha et al., 2023)</w:t>
      </w:r>
      <w:r w:rsidRPr="004719F8">
        <w:t>. In addition to its nutritional and medical value, brinjal has significant potential as a raw material for the pickle and dehydration industries. Th</w:t>
      </w:r>
      <w:r w:rsidR="00190709">
        <w:t>is multifunctional crop is thus</w:t>
      </w:r>
      <w:r w:rsidRPr="004719F8">
        <w:t xml:space="preserve"> a key element of food security, traditional medicine and agricultural industry, and its diverse role in sustainable agriculture and public health reflects this. </w:t>
      </w:r>
    </w:p>
    <w:p w:rsidR="004719F8" w:rsidRDefault="004719F8" w:rsidP="00E57544">
      <w:pPr>
        <w:pStyle w:val="NormalWeb"/>
        <w:spacing w:line="360" w:lineRule="auto"/>
        <w:ind w:firstLine="720"/>
        <w:jc w:val="both"/>
      </w:pPr>
      <w:r w:rsidRPr="004719F8">
        <w:t>Brinjal's wide genetic diversity is demonstrated by the considerable variation in both its morpholo</w:t>
      </w:r>
      <w:r w:rsidR="00953954">
        <w:t>gical and biochemical traits (Ariwatgen et al., 2013)</w:t>
      </w:r>
      <w:r w:rsidRPr="004719F8">
        <w:t>. Breeding programs that aim to improve yield, disease resistance, and stress tolerance must advance by understanding the molecular diversity and genetic relationships among native genotypes. For evaluating genetic variation both within and between populations, molecular markers like Random Amplified Polymorphic DNA (RAPD), Amplified Fragment Length Polymorphism (AFLP), Simple Sequence Repeat (SSR), and Inter-Simple Sequence Repeat (ISSR) have</w:t>
      </w:r>
      <w:r w:rsidR="00953954">
        <w:t xml:space="preserve"> become essential instruments (Nunome et al., 2009; Stagel et al., 2008;  Cagusat &amp; Hautea, 2014; </w:t>
      </w:r>
      <w:r w:rsidR="00CE2396">
        <w:t xml:space="preserve"> Fallahi et al., 2022)</w:t>
      </w:r>
      <w:r w:rsidRPr="004719F8">
        <w:t>. By providing reliable information about genetic relationships, these markers help identify agronomically valuable traits for marker-assisted selection (MAS) and enable precise evaluation of genetic diversity.</w:t>
      </w:r>
    </w:p>
    <w:p w:rsidR="00935755" w:rsidRDefault="00935755" w:rsidP="00E57544">
      <w:pPr>
        <w:pStyle w:val="NormalWeb"/>
        <w:spacing w:line="360" w:lineRule="auto"/>
        <w:ind w:firstLine="720"/>
        <w:jc w:val="both"/>
      </w:pPr>
    </w:p>
    <w:p w:rsidR="00935755" w:rsidRDefault="00935755" w:rsidP="00E57544">
      <w:pPr>
        <w:pStyle w:val="NormalWeb"/>
        <w:spacing w:line="360" w:lineRule="auto"/>
        <w:ind w:firstLine="720"/>
        <w:jc w:val="both"/>
      </w:pPr>
      <w:r w:rsidRPr="00935755">
        <w:t xml:space="preserve">The first SSR markers for brinjal, showed their efficacy in genetic analysis and mapping of agronomic characteristics, which was a major advance in molecular breeding. Subsequent studies have highlighted the use of SSR markers to assess the genetic diversity of </w:t>
      </w:r>
      <w:r w:rsidR="00CE2396">
        <w:t>various brinjal accessions (Nunome et al., 2009; Stagel et al., 2008)</w:t>
      </w:r>
      <w:r w:rsidRPr="00935755">
        <w:t>. Nevertheless, although its agricultural, nutritional, and economic importance is small, the Salini genome has not been studied as much as other solanaceous crops, such as tomatoe</w:t>
      </w:r>
      <w:r w:rsidR="00CE2396">
        <w:t>s, potatoes, and peppers  (Fallahi et al., 2022; Rao et al., 2022)</w:t>
      </w:r>
      <w:r w:rsidRPr="00935755">
        <w:t xml:space="preserve">. Recent advances in next-generation sequencing (NGS) and high-throughput sequencing technologies have provided promising paths for deep genomic research and the identification of new markers related </w:t>
      </w:r>
      <w:r w:rsidR="001868C5">
        <w:t xml:space="preserve">to important traits (Hirakava et al., 2014; </w:t>
      </w:r>
      <w:r w:rsidRPr="00935755">
        <w:t>.</w:t>
      </w:r>
      <w:r w:rsidR="001868C5" w:rsidRPr="001868C5">
        <w:rPr>
          <w:shd w:val="clear" w:color="auto" w:fill="FFFFFF"/>
        </w:rPr>
        <w:t xml:space="preserve"> </w:t>
      </w:r>
      <w:r w:rsidR="001868C5">
        <w:rPr>
          <w:shd w:val="clear" w:color="auto" w:fill="FFFFFF"/>
        </w:rPr>
        <w:t>Gaccione et al., 2022; Prasad et al., 2024)</w:t>
      </w:r>
    </w:p>
    <w:p w:rsidR="00846E74" w:rsidRDefault="00846E74" w:rsidP="00E57544">
      <w:pPr>
        <w:pStyle w:val="NormalWeb"/>
        <w:spacing w:line="360" w:lineRule="auto"/>
        <w:ind w:firstLine="720"/>
        <w:jc w:val="both"/>
      </w:pPr>
      <w:r w:rsidRPr="00CF1301">
        <w:t>Given the limited comprehensive studies on brinjal’s genetic diversity, the present investigation aims to estimate the level of genetic variation among diverse brinjal genotypes using SSR markers. This approach is expected to provide valuable insights for future breeding strategies, contributing to sustainable crop improvement and resilience to biotic and abiotic stresses.</w:t>
      </w:r>
    </w:p>
    <w:p w:rsidR="00846E74" w:rsidRDefault="00846E74" w:rsidP="00265B9E">
      <w:pPr>
        <w:spacing w:line="360" w:lineRule="auto"/>
        <w:jc w:val="both"/>
        <w:rPr>
          <w:rFonts w:ascii="Times New Roman" w:hAnsi="Times New Roman" w:cs="Times New Roman"/>
          <w:sz w:val="24"/>
          <w:szCs w:val="24"/>
        </w:rPr>
      </w:pPr>
    </w:p>
    <w:p w:rsidR="008E1311" w:rsidRDefault="008E1311" w:rsidP="00265B9E">
      <w:pPr>
        <w:spacing w:line="360" w:lineRule="auto"/>
        <w:jc w:val="both"/>
        <w:rPr>
          <w:rFonts w:ascii="Times New Roman" w:hAnsi="Times New Roman" w:cs="Times New Roman"/>
          <w:sz w:val="24"/>
          <w:szCs w:val="24"/>
        </w:rPr>
      </w:pPr>
    </w:p>
    <w:p w:rsidR="008E1311" w:rsidRDefault="008E1311" w:rsidP="00265B9E">
      <w:pPr>
        <w:spacing w:line="360" w:lineRule="auto"/>
        <w:jc w:val="both"/>
        <w:rPr>
          <w:rFonts w:ascii="Times New Roman" w:hAnsi="Times New Roman" w:cs="Times New Roman"/>
          <w:sz w:val="24"/>
          <w:szCs w:val="24"/>
        </w:rPr>
      </w:pPr>
    </w:p>
    <w:p w:rsidR="008E1311" w:rsidRDefault="008E1311" w:rsidP="00265B9E">
      <w:pPr>
        <w:spacing w:line="360" w:lineRule="auto"/>
        <w:jc w:val="both"/>
        <w:rPr>
          <w:rFonts w:ascii="Times New Roman" w:hAnsi="Times New Roman" w:cs="Times New Roman"/>
          <w:sz w:val="24"/>
          <w:szCs w:val="24"/>
        </w:rPr>
      </w:pPr>
    </w:p>
    <w:p w:rsidR="008E1311" w:rsidRPr="00265B9E" w:rsidRDefault="008E1311" w:rsidP="00265B9E">
      <w:pPr>
        <w:spacing w:line="360" w:lineRule="auto"/>
        <w:jc w:val="both"/>
        <w:rPr>
          <w:rFonts w:ascii="Times New Roman" w:hAnsi="Times New Roman" w:cs="Times New Roman"/>
          <w:sz w:val="24"/>
          <w:szCs w:val="24"/>
        </w:rPr>
      </w:pPr>
    </w:p>
    <w:p w:rsidR="009E752B" w:rsidRDefault="009E752B" w:rsidP="0084751D">
      <w:pPr>
        <w:spacing w:line="360" w:lineRule="auto"/>
        <w:jc w:val="both"/>
        <w:rPr>
          <w:rFonts w:ascii="Times New Roman" w:hAnsi="Times New Roman" w:cs="Times New Roman"/>
          <w:sz w:val="24"/>
          <w:szCs w:val="24"/>
        </w:rPr>
      </w:pPr>
    </w:p>
    <w:p w:rsidR="008E1311" w:rsidRDefault="008E1311" w:rsidP="0084751D">
      <w:pPr>
        <w:spacing w:line="360" w:lineRule="auto"/>
        <w:jc w:val="both"/>
        <w:rPr>
          <w:rFonts w:ascii="Times New Roman" w:hAnsi="Times New Roman" w:cs="Times New Roman"/>
          <w:sz w:val="24"/>
          <w:szCs w:val="24"/>
        </w:rPr>
      </w:pPr>
    </w:p>
    <w:p w:rsidR="008E1311" w:rsidRDefault="008E1311" w:rsidP="0084751D">
      <w:pPr>
        <w:spacing w:line="360" w:lineRule="auto"/>
        <w:jc w:val="both"/>
        <w:rPr>
          <w:rFonts w:ascii="Times New Roman" w:hAnsi="Times New Roman" w:cs="Times New Roman"/>
          <w:sz w:val="24"/>
          <w:szCs w:val="24"/>
        </w:rPr>
      </w:pPr>
    </w:p>
    <w:p w:rsidR="008E1311" w:rsidRDefault="008E1311" w:rsidP="0084751D">
      <w:pPr>
        <w:spacing w:line="360" w:lineRule="auto"/>
        <w:jc w:val="both"/>
        <w:rPr>
          <w:rFonts w:ascii="Times New Roman" w:hAnsi="Times New Roman" w:cs="Times New Roman"/>
          <w:sz w:val="24"/>
          <w:szCs w:val="24"/>
        </w:rPr>
      </w:pPr>
    </w:p>
    <w:p w:rsidR="008E1311" w:rsidRDefault="008E1311" w:rsidP="0084751D">
      <w:pPr>
        <w:spacing w:line="360" w:lineRule="auto"/>
        <w:jc w:val="both"/>
        <w:rPr>
          <w:rFonts w:ascii="Times New Roman" w:hAnsi="Times New Roman" w:cs="Times New Roman"/>
          <w:sz w:val="24"/>
          <w:szCs w:val="24"/>
        </w:rPr>
      </w:pPr>
    </w:p>
    <w:p w:rsidR="008E1311" w:rsidRDefault="008E1311" w:rsidP="0084751D">
      <w:pPr>
        <w:spacing w:line="360" w:lineRule="auto"/>
        <w:jc w:val="both"/>
        <w:rPr>
          <w:rFonts w:ascii="Times New Roman" w:hAnsi="Times New Roman" w:cs="Times New Roman"/>
          <w:sz w:val="24"/>
          <w:szCs w:val="24"/>
        </w:rPr>
      </w:pPr>
    </w:p>
    <w:p w:rsidR="000A1E35" w:rsidRDefault="000A1E35" w:rsidP="0084751D">
      <w:pPr>
        <w:spacing w:line="360" w:lineRule="auto"/>
        <w:jc w:val="both"/>
        <w:rPr>
          <w:rFonts w:ascii="Times New Roman" w:hAnsi="Times New Roman" w:cs="Times New Roman"/>
          <w:sz w:val="24"/>
          <w:szCs w:val="24"/>
        </w:rPr>
      </w:pPr>
    </w:p>
    <w:p w:rsidR="000A1E35" w:rsidRDefault="000A1E35" w:rsidP="0084751D">
      <w:pPr>
        <w:spacing w:line="360" w:lineRule="auto"/>
        <w:jc w:val="both"/>
        <w:rPr>
          <w:rFonts w:ascii="Times New Roman" w:hAnsi="Times New Roman" w:cs="Times New Roman"/>
          <w:sz w:val="24"/>
          <w:szCs w:val="24"/>
        </w:rPr>
      </w:pPr>
    </w:p>
    <w:p w:rsidR="00AB7840" w:rsidRPr="0084751D" w:rsidRDefault="005A15E6" w:rsidP="0084751D">
      <w:pPr>
        <w:jc w:val="both"/>
        <w:rPr>
          <w:rFonts w:ascii="Times New Roman" w:hAnsi="Times New Roman" w:cs="Times New Roman"/>
          <w:b/>
          <w:bCs/>
          <w:sz w:val="24"/>
          <w:szCs w:val="24"/>
        </w:rPr>
      </w:pPr>
      <w:r>
        <w:rPr>
          <w:rFonts w:ascii="Times New Roman" w:hAnsi="Times New Roman" w:cs="Times New Roman"/>
          <w:b/>
          <w:bCs/>
          <w:sz w:val="24"/>
          <w:szCs w:val="24"/>
        </w:rPr>
        <w:t>MATERIALS A</w:t>
      </w:r>
      <w:r w:rsidRPr="0084751D">
        <w:rPr>
          <w:rFonts w:ascii="Times New Roman" w:hAnsi="Times New Roman" w:cs="Times New Roman"/>
          <w:b/>
          <w:bCs/>
          <w:sz w:val="24"/>
          <w:szCs w:val="24"/>
        </w:rPr>
        <w:t>ND</w:t>
      </w:r>
      <w:r>
        <w:rPr>
          <w:rFonts w:ascii="Times New Roman" w:hAnsi="Times New Roman" w:cs="Times New Roman"/>
          <w:b/>
          <w:bCs/>
          <w:sz w:val="24"/>
          <w:szCs w:val="24"/>
        </w:rPr>
        <w:t xml:space="preserve"> M</w:t>
      </w:r>
      <w:r w:rsidRPr="0084751D">
        <w:rPr>
          <w:rFonts w:ascii="Times New Roman" w:hAnsi="Times New Roman" w:cs="Times New Roman"/>
          <w:b/>
          <w:bCs/>
          <w:sz w:val="24"/>
          <w:szCs w:val="24"/>
        </w:rPr>
        <w:t>ETHODS</w:t>
      </w:r>
    </w:p>
    <w:p w:rsidR="001C246F" w:rsidRDefault="00E615D8" w:rsidP="005A15E6">
      <w:pPr>
        <w:spacing w:line="360" w:lineRule="auto"/>
        <w:jc w:val="both"/>
        <w:rPr>
          <w:rFonts w:ascii="Times New Roman" w:hAnsi="Times New Roman" w:cs="Times New Roman"/>
          <w:sz w:val="24"/>
          <w:szCs w:val="24"/>
        </w:rPr>
      </w:pPr>
      <w:r w:rsidRPr="005A15E6">
        <w:rPr>
          <w:rFonts w:ascii="Times New Roman" w:hAnsi="Times New Roman" w:cs="Times New Roman"/>
          <w:b/>
          <w:bCs/>
          <w:sz w:val="24"/>
          <w:szCs w:val="24"/>
        </w:rPr>
        <w:t>Experimental Material</w:t>
      </w:r>
      <w:r w:rsidR="00503869" w:rsidRPr="005A15E6">
        <w:rPr>
          <w:rFonts w:ascii="Times New Roman" w:hAnsi="Times New Roman" w:cs="Times New Roman"/>
          <w:b/>
          <w:bCs/>
          <w:sz w:val="24"/>
          <w:szCs w:val="24"/>
        </w:rPr>
        <w:t>s</w:t>
      </w:r>
      <w:r w:rsidR="005A15E6" w:rsidRPr="005A15E6">
        <w:rPr>
          <w:rFonts w:ascii="Times New Roman" w:hAnsi="Times New Roman" w:cs="Times New Roman"/>
          <w:b/>
          <w:bCs/>
          <w:sz w:val="24"/>
          <w:szCs w:val="24"/>
        </w:rPr>
        <w:t xml:space="preserve">: </w:t>
      </w:r>
      <w:r w:rsidR="001C246F" w:rsidRPr="001C246F">
        <w:rPr>
          <w:rFonts w:ascii="Times New Roman" w:hAnsi="Times New Roman" w:cs="Times New Roman"/>
          <w:sz w:val="24"/>
          <w:szCs w:val="24"/>
        </w:rPr>
        <w:t>Table 1 presents a comprehensive list of 19 genotypesutilized in the experiment,encompassing both cultivated and wild accessions of Solanum species. The genotypes arecategorized primarily asinbred lines and wildacces</w:t>
      </w:r>
      <w:r w:rsidR="00190709">
        <w:rPr>
          <w:rFonts w:ascii="Times New Roman" w:hAnsi="Times New Roman" w:cs="Times New Roman"/>
          <w:sz w:val="24"/>
          <w:szCs w:val="24"/>
        </w:rPr>
        <w:t xml:space="preserve">sions, sourced from </w:t>
      </w:r>
      <w:r w:rsidR="001C246F" w:rsidRPr="001C246F">
        <w:rPr>
          <w:rFonts w:ascii="Times New Roman" w:hAnsi="Times New Roman" w:cs="Times New Roman"/>
          <w:sz w:val="24"/>
          <w:szCs w:val="24"/>
        </w:rPr>
        <w:t>agricultural research institutesacross India. Among thecultivated genotypes,'Sel 91-2 (PH-6male)' and 'Sel Br-112 (PH-6female)' are inbred linesprocured from IARI, NewDelhi, and maintained atBAU, Sabour. Other notable cultivated genotypes include'Haritha' from KAU, Kerala,'Swarna Mani' from CHES, Ranchi,'IIHR-563' from IIHR,Bengaluru, and 'Pant Samrat' from GBPUAT, Pantnagar,each preserved at BAU, Sabour.Additionally, genotypes such as 'Rajendra Baigan-2,' 'VR-2,' and a series of BRBL lines (BRBL-01, BRBL-02, BRBL-04, BRBL-06, BRBL-07, BRBL-10, and BRBL-11)were sourced from BAU, Sabour.The wild accessions, including'BRBWM-07' and 'BRBWM-06' (Solanum macrocarpon), and S. gilo (Solanumgilo), were collected from BCKV, Mohanpur, andsubsequently maintained at BAU, Sabour. Thisdiverse set of genotypes represents significant genetic variability, which iscritical for breedingprograms, stress tolerancestudies, and the enhancement of desirableagronomic traits. The seeds from allthe genotypes were cultivated inclean and sterilizedpetridisheswithin a plant growthchamber. A total of 19 brinjal</w:t>
      </w:r>
      <w:r w:rsidR="00190709">
        <w:rPr>
          <w:rFonts w:ascii="Times New Roman" w:hAnsi="Times New Roman" w:cs="Times New Roman"/>
          <w:sz w:val="24"/>
          <w:szCs w:val="24"/>
        </w:rPr>
        <w:t xml:space="preserve"> </w:t>
      </w:r>
      <w:r w:rsidR="001C246F" w:rsidRPr="001C246F">
        <w:rPr>
          <w:rFonts w:ascii="Times New Roman" w:hAnsi="Times New Roman" w:cs="Times New Roman"/>
          <w:sz w:val="24"/>
          <w:szCs w:val="24"/>
        </w:rPr>
        <w:t>genotypes, selected for their uniformity,</w:t>
      </w:r>
      <w:r w:rsidR="00190709">
        <w:rPr>
          <w:rFonts w:ascii="Times New Roman" w:hAnsi="Times New Roman" w:cs="Times New Roman"/>
          <w:sz w:val="24"/>
          <w:szCs w:val="24"/>
        </w:rPr>
        <w:t xml:space="preserve"> </w:t>
      </w:r>
      <w:r w:rsidR="001C246F" w:rsidRPr="001C246F">
        <w:rPr>
          <w:rFonts w:ascii="Times New Roman" w:hAnsi="Times New Roman" w:cs="Times New Roman"/>
          <w:sz w:val="24"/>
          <w:szCs w:val="24"/>
        </w:rPr>
        <w:t>via</w:t>
      </w:r>
      <w:r w:rsidR="00190709">
        <w:rPr>
          <w:rFonts w:ascii="Times New Roman" w:hAnsi="Times New Roman" w:cs="Times New Roman"/>
          <w:sz w:val="24"/>
          <w:szCs w:val="24"/>
        </w:rPr>
        <w:t xml:space="preserve">bility, health, and </w:t>
      </w:r>
      <w:r w:rsidR="001C246F" w:rsidRPr="001C246F">
        <w:rPr>
          <w:rFonts w:ascii="Times New Roman" w:hAnsi="Times New Roman" w:cs="Times New Roman"/>
          <w:sz w:val="24"/>
          <w:szCs w:val="24"/>
        </w:rPr>
        <w:t>disease and</w:t>
      </w:r>
      <w:r w:rsidR="00190709">
        <w:rPr>
          <w:rFonts w:ascii="Times New Roman" w:hAnsi="Times New Roman" w:cs="Times New Roman"/>
          <w:sz w:val="24"/>
          <w:szCs w:val="24"/>
        </w:rPr>
        <w:t xml:space="preserve"> insect tolerant</w:t>
      </w:r>
      <w:r w:rsidR="001C246F" w:rsidRPr="001C246F">
        <w:rPr>
          <w:rFonts w:ascii="Times New Roman" w:hAnsi="Times New Roman" w:cs="Times New Roman"/>
          <w:sz w:val="24"/>
          <w:szCs w:val="24"/>
        </w:rPr>
        <w:t>, were utilized to growseedlings. DNA extractionfrom these 19genotypes wasconducted under controlled conditions to facilitate diversity analysis.</w:t>
      </w:r>
    </w:p>
    <w:p w:rsidR="001C246F" w:rsidRDefault="004A2016" w:rsidP="005A15E6">
      <w:pPr>
        <w:spacing w:line="360" w:lineRule="auto"/>
        <w:jc w:val="both"/>
        <w:rPr>
          <w:rFonts w:ascii="Times New Roman" w:hAnsi="Times New Roman" w:cs="Times New Roman"/>
          <w:sz w:val="24"/>
          <w:szCs w:val="24"/>
        </w:rPr>
      </w:pPr>
      <w:r w:rsidRPr="005A15E6">
        <w:rPr>
          <w:rFonts w:ascii="Times New Roman" w:hAnsi="Times New Roman" w:cs="Times New Roman"/>
          <w:b/>
          <w:bCs/>
          <w:sz w:val="24"/>
          <w:szCs w:val="24"/>
        </w:rPr>
        <w:t>DNA Extraction</w:t>
      </w:r>
      <w:r w:rsidR="005A15E6" w:rsidRPr="005A15E6">
        <w:rPr>
          <w:rFonts w:ascii="Times New Roman" w:hAnsi="Times New Roman" w:cs="Times New Roman"/>
          <w:b/>
          <w:bCs/>
          <w:sz w:val="24"/>
          <w:szCs w:val="24"/>
        </w:rPr>
        <w:t>:</w:t>
      </w:r>
      <w:r w:rsidR="001C246F" w:rsidRPr="001C246F">
        <w:rPr>
          <w:rFonts w:ascii="Times New Roman" w:hAnsi="Times New Roman" w:cs="Times New Roman"/>
          <w:sz w:val="24"/>
          <w:szCs w:val="24"/>
        </w:rPr>
        <w:t>Genomic DNA was extracted from 15-day-old brinjal seedlings using immature leaf t</w:t>
      </w:r>
      <w:r w:rsidR="001868C5">
        <w:rPr>
          <w:rFonts w:ascii="Times New Roman" w:hAnsi="Times New Roman" w:cs="Times New Roman"/>
          <w:sz w:val="24"/>
          <w:szCs w:val="24"/>
        </w:rPr>
        <w:t xml:space="preserve">issue (200-300 mg) by CTAB  </w:t>
      </w:r>
      <w:r w:rsidR="00CE5639">
        <w:rPr>
          <w:rFonts w:ascii="Times New Roman" w:hAnsi="Times New Roman" w:cs="Times New Roman"/>
          <w:sz w:val="24"/>
          <w:szCs w:val="24"/>
        </w:rPr>
        <w:t xml:space="preserve">method </w:t>
      </w:r>
      <w:r w:rsidR="001868C5">
        <w:rPr>
          <w:rFonts w:ascii="Times New Roman" w:hAnsi="Times New Roman" w:cs="Times New Roman"/>
          <w:sz w:val="24"/>
          <w:szCs w:val="24"/>
        </w:rPr>
        <w:t xml:space="preserve">(Doyle &amp; Doyle, 1990) </w:t>
      </w:r>
      <w:r w:rsidR="001C246F" w:rsidRPr="001C246F">
        <w:rPr>
          <w:rFonts w:ascii="Times New Roman" w:hAnsi="Times New Roman" w:cs="Times New Roman"/>
          <w:sz w:val="24"/>
          <w:szCs w:val="24"/>
        </w:rPr>
        <w:t>with the necessary modifications. The tissue was homogenised with 1 ml of CTAB buffer, incubated for 45 minutes at 65 degrees Celsius and then centrifuged with chloroform:isoamyl alcohol (24:1). The aqueous phase was precipitated with cooled isopropanol and the resulting DNA pellet was washed with 70 per cent ethanol, dried in air and dissolved in 100 ml 10-triols of buffer. The quality and quantity of DNA was assessed by 0.8-percent agarose gel electrophoresis and visualised under UV light using the GelDoc system.</w:t>
      </w:r>
    </w:p>
    <w:p w:rsidR="00C30E98" w:rsidRDefault="009E2615" w:rsidP="005A15E6">
      <w:pPr>
        <w:spacing w:line="360" w:lineRule="auto"/>
        <w:jc w:val="both"/>
        <w:rPr>
          <w:rFonts w:ascii="Times New Roman" w:hAnsi="Times New Roman" w:cs="Times New Roman"/>
          <w:sz w:val="24"/>
          <w:szCs w:val="24"/>
        </w:rPr>
      </w:pPr>
      <w:r w:rsidRPr="005A15E6">
        <w:rPr>
          <w:rFonts w:ascii="Times New Roman" w:hAnsi="Times New Roman" w:cs="Times New Roman"/>
          <w:b/>
          <w:bCs/>
          <w:sz w:val="24"/>
          <w:szCs w:val="24"/>
        </w:rPr>
        <w:t>SSR-</w:t>
      </w:r>
      <w:r w:rsidR="00875DED" w:rsidRPr="005A15E6">
        <w:rPr>
          <w:rFonts w:ascii="Times New Roman" w:hAnsi="Times New Roman" w:cs="Times New Roman"/>
          <w:b/>
          <w:bCs/>
          <w:sz w:val="24"/>
          <w:szCs w:val="24"/>
        </w:rPr>
        <w:t>Marker</w:t>
      </w:r>
      <w:r w:rsidR="00B401BF">
        <w:rPr>
          <w:rFonts w:ascii="Times New Roman" w:hAnsi="Times New Roman" w:cs="Times New Roman"/>
          <w:b/>
          <w:bCs/>
          <w:sz w:val="24"/>
          <w:szCs w:val="24"/>
        </w:rPr>
        <w:t xml:space="preserve"> analysis</w:t>
      </w:r>
      <w:r w:rsidR="005A15E6" w:rsidRPr="005A15E6">
        <w:rPr>
          <w:rFonts w:ascii="Times New Roman" w:hAnsi="Times New Roman" w:cs="Times New Roman"/>
          <w:b/>
          <w:bCs/>
          <w:sz w:val="24"/>
          <w:szCs w:val="24"/>
        </w:rPr>
        <w:t xml:space="preserve">: </w:t>
      </w:r>
      <w:r w:rsidR="00C30E98" w:rsidRPr="00C30E98">
        <w:rPr>
          <w:rFonts w:ascii="Times New Roman" w:hAnsi="Times New Roman" w:cs="Times New Roman"/>
          <w:sz w:val="24"/>
          <w:szCs w:val="24"/>
        </w:rPr>
        <w:t xml:space="preserve">For SSR analysis, the genomic DNA was diluted to 40 ng per ml using 21 primers from 19 brinjal genotypes (primer sequences available in the supplementary </w:t>
      </w:r>
      <w:r w:rsidR="00C30E98" w:rsidRPr="00C30E98">
        <w:rPr>
          <w:rFonts w:ascii="Times New Roman" w:hAnsi="Times New Roman" w:cs="Times New Roman"/>
          <w:sz w:val="24"/>
          <w:szCs w:val="24"/>
        </w:rPr>
        <w:lastRenderedPageBreak/>
        <w:t>file). PCR reactions (10.10 ml total volume) consisted of 1.5 ml DNA, 0.30 ml each of primers upstream and downstream, 4.0 ml pre-mix (10 times buffer, dNTP, MgCl, Taq polymerase) and water free from nucleosides. The induction consisted of initial denaturation at 94 degrees Celsius for 5 min followed by 35 cycles at 94 degrees Celsius for 30 seconds, 65 degrees Celsius for 1 min, 72 degrees Celsius for 2 min and finally a final prolongation at 72 degrees Celsius for 7 min. The products were separated by means of a catalytic converter of 2 percent agarose gel at 100 V and visualised under a UV light. The 100-bp DNA ladder was used to estimate the size of the PCR fragments. The gel images were documented with the Uvitec Gel Documentation System for further analysis.</w:t>
      </w:r>
    </w:p>
    <w:p w:rsidR="00A444BA" w:rsidRPr="005A15E6" w:rsidRDefault="00EC5807" w:rsidP="005A15E6">
      <w:pPr>
        <w:spacing w:line="360" w:lineRule="auto"/>
        <w:jc w:val="both"/>
        <w:rPr>
          <w:rFonts w:ascii="Times New Roman" w:hAnsi="Times New Roman" w:cs="Times New Roman"/>
          <w:sz w:val="24"/>
          <w:szCs w:val="24"/>
        </w:rPr>
      </w:pPr>
      <w:r w:rsidRPr="005A15E6">
        <w:rPr>
          <w:rFonts w:ascii="Times New Roman" w:hAnsi="Times New Roman" w:cs="Times New Roman"/>
          <w:b/>
          <w:bCs/>
          <w:sz w:val="24"/>
          <w:szCs w:val="24"/>
        </w:rPr>
        <w:t>Statistical analysis of SSR data</w:t>
      </w:r>
      <w:r w:rsidR="005A15E6" w:rsidRPr="005A15E6">
        <w:rPr>
          <w:rFonts w:ascii="Times New Roman" w:hAnsi="Times New Roman" w:cs="Times New Roman"/>
          <w:b/>
          <w:bCs/>
          <w:sz w:val="24"/>
          <w:szCs w:val="24"/>
        </w:rPr>
        <w:t xml:space="preserve">: </w:t>
      </w:r>
      <w:r w:rsidR="002F5447" w:rsidRPr="002F5447">
        <w:rPr>
          <w:rFonts w:ascii="Times New Roman" w:hAnsi="Times New Roman" w:cs="Times New Roman"/>
          <w:sz w:val="24"/>
          <w:szCs w:val="24"/>
        </w:rPr>
        <w:t>The expected size of the amplified bands for each SSR marker was determined by comparing their migration patterns with the 100-bp DNA ladder. Clear, distinct bands were visually scored as present (1) or absent (0) for eight polymorphic SSR markers in 19 brinjal genotypes. Polymorphic information content (PI</w:t>
      </w:r>
      <w:r w:rsidR="00CE5639">
        <w:rPr>
          <w:rFonts w:ascii="Times New Roman" w:hAnsi="Times New Roman" w:cs="Times New Roman"/>
          <w:sz w:val="24"/>
          <w:szCs w:val="24"/>
        </w:rPr>
        <w:t xml:space="preserve">C) and heterozygosity was </w:t>
      </w:r>
      <w:r w:rsidR="002F5447" w:rsidRPr="002F5447">
        <w:rPr>
          <w:rFonts w:ascii="Times New Roman" w:hAnsi="Times New Roman" w:cs="Times New Roman"/>
          <w:sz w:val="24"/>
          <w:szCs w:val="24"/>
        </w:rPr>
        <w:t>calculated to evaluate the marker's ability to detect genetic variation. Binary data was used to construct a dendrogram based on a matrix of similarities generated by the Jaccard standard</w:t>
      </w:r>
      <w:r w:rsidR="00CE5639">
        <w:rPr>
          <w:rFonts w:ascii="Times New Roman" w:hAnsi="Times New Roman" w:cs="Times New Roman"/>
          <w:sz w:val="24"/>
          <w:szCs w:val="24"/>
        </w:rPr>
        <w:t xml:space="preserve"> (Panwar et al., 2010)</w:t>
      </w:r>
      <w:r w:rsidR="002F5447" w:rsidRPr="002F5447">
        <w:rPr>
          <w:rFonts w:ascii="Times New Roman" w:hAnsi="Times New Roman" w:cs="Times New Roman"/>
          <w:sz w:val="24"/>
          <w:szCs w:val="24"/>
        </w:rPr>
        <w:t>. Clustering was performed using UPGMA (Unweighted paired-group method with arithmetic mean) to illustrate the genetic relations between genotypes.</w:t>
      </w:r>
    </w:p>
    <w:p w:rsidR="00A444BA" w:rsidRDefault="00A444BA" w:rsidP="00A444BA">
      <w:pPr>
        <w:spacing w:line="360" w:lineRule="auto"/>
        <w:jc w:val="both"/>
        <w:rPr>
          <w:rFonts w:ascii="Times New Roman" w:hAnsi="Times New Roman" w:cs="Times New Roman"/>
          <w:sz w:val="24"/>
          <w:szCs w:val="24"/>
        </w:rPr>
      </w:pPr>
    </w:p>
    <w:p w:rsidR="00A444BA" w:rsidRDefault="00A444BA" w:rsidP="00A444BA">
      <w:pPr>
        <w:spacing w:line="360" w:lineRule="auto"/>
        <w:jc w:val="both"/>
        <w:rPr>
          <w:rFonts w:ascii="Times New Roman" w:hAnsi="Times New Roman" w:cs="Times New Roman"/>
          <w:sz w:val="24"/>
          <w:szCs w:val="24"/>
        </w:rPr>
      </w:pPr>
    </w:p>
    <w:p w:rsidR="00A444BA" w:rsidRDefault="00A444BA" w:rsidP="00A444BA">
      <w:pPr>
        <w:spacing w:line="360" w:lineRule="auto"/>
        <w:jc w:val="both"/>
        <w:rPr>
          <w:rFonts w:ascii="Times New Roman" w:hAnsi="Times New Roman" w:cs="Times New Roman"/>
          <w:sz w:val="24"/>
          <w:szCs w:val="24"/>
        </w:rPr>
      </w:pPr>
    </w:p>
    <w:p w:rsidR="00A444BA" w:rsidRDefault="00A444BA" w:rsidP="00A444BA">
      <w:pPr>
        <w:spacing w:line="360" w:lineRule="auto"/>
        <w:jc w:val="both"/>
        <w:rPr>
          <w:rFonts w:ascii="Times New Roman" w:hAnsi="Times New Roman" w:cs="Times New Roman"/>
          <w:sz w:val="24"/>
          <w:szCs w:val="24"/>
        </w:rPr>
      </w:pPr>
    </w:p>
    <w:p w:rsidR="000D29F6" w:rsidRDefault="000D29F6" w:rsidP="00A444BA">
      <w:pPr>
        <w:spacing w:line="360" w:lineRule="auto"/>
        <w:jc w:val="both"/>
        <w:rPr>
          <w:rFonts w:ascii="Times New Roman" w:hAnsi="Times New Roman" w:cs="Times New Roman"/>
          <w:sz w:val="24"/>
          <w:szCs w:val="24"/>
        </w:rPr>
      </w:pPr>
    </w:p>
    <w:p w:rsidR="000D29F6" w:rsidRDefault="000D29F6" w:rsidP="00A444BA">
      <w:pPr>
        <w:spacing w:line="360" w:lineRule="auto"/>
        <w:jc w:val="both"/>
        <w:rPr>
          <w:rFonts w:ascii="Times New Roman" w:hAnsi="Times New Roman" w:cs="Times New Roman"/>
          <w:sz w:val="24"/>
          <w:szCs w:val="24"/>
        </w:rPr>
      </w:pPr>
    </w:p>
    <w:p w:rsidR="000D29F6" w:rsidRDefault="000D29F6" w:rsidP="00A444BA">
      <w:pPr>
        <w:spacing w:line="360" w:lineRule="auto"/>
        <w:jc w:val="both"/>
        <w:rPr>
          <w:rFonts w:ascii="Times New Roman" w:hAnsi="Times New Roman" w:cs="Times New Roman"/>
          <w:sz w:val="24"/>
          <w:szCs w:val="24"/>
        </w:rPr>
      </w:pPr>
    </w:p>
    <w:p w:rsidR="005A15E6" w:rsidRDefault="005A15E6" w:rsidP="00A444BA">
      <w:pPr>
        <w:spacing w:line="360" w:lineRule="auto"/>
        <w:jc w:val="both"/>
        <w:rPr>
          <w:rFonts w:ascii="Times New Roman" w:hAnsi="Times New Roman" w:cs="Times New Roman"/>
          <w:sz w:val="24"/>
          <w:szCs w:val="24"/>
        </w:rPr>
      </w:pPr>
    </w:p>
    <w:p w:rsidR="005A15E6" w:rsidRDefault="005A15E6" w:rsidP="00A444BA">
      <w:pPr>
        <w:spacing w:line="360" w:lineRule="auto"/>
        <w:jc w:val="both"/>
        <w:rPr>
          <w:rFonts w:ascii="Times New Roman" w:hAnsi="Times New Roman" w:cs="Times New Roman"/>
          <w:sz w:val="24"/>
          <w:szCs w:val="24"/>
        </w:rPr>
      </w:pPr>
    </w:p>
    <w:p w:rsidR="0076017C" w:rsidRDefault="0076017C" w:rsidP="00A444BA">
      <w:pPr>
        <w:spacing w:line="360" w:lineRule="auto"/>
        <w:jc w:val="both"/>
        <w:rPr>
          <w:rFonts w:ascii="Times New Roman" w:hAnsi="Times New Roman" w:cs="Times New Roman"/>
          <w:sz w:val="24"/>
          <w:szCs w:val="24"/>
        </w:rPr>
      </w:pPr>
    </w:p>
    <w:p w:rsidR="0076017C" w:rsidRDefault="0076017C" w:rsidP="00A444BA">
      <w:pPr>
        <w:spacing w:line="360" w:lineRule="auto"/>
        <w:jc w:val="both"/>
        <w:rPr>
          <w:rFonts w:ascii="Times New Roman" w:hAnsi="Times New Roman" w:cs="Times New Roman"/>
          <w:sz w:val="24"/>
          <w:szCs w:val="24"/>
        </w:rPr>
      </w:pPr>
    </w:p>
    <w:p w:rsidR="005A15E6" w:rsidRDefault="005A15E6" w:rsidP="00A444BA">
      <w:pPr>
        <w:spacing w:line="360" w:lineRule="auto"/>
        <w:jc w:val="both"/>
        <w:rPr>
          <w:rFonts w:ascii="Times New Roman" w:hAnsi="Times New Roman" w:cs="Times New Roman"/>
          <w:sz w:val="24"/>
          <w:szCs w:val="24"/>
        </w:rPr>
      </w:pPr>
    </w:p>
    <w:p w:rsidR="005A15E6" w:rsidRDefault="005A15E6" w:rsidP="00A444BA">
      <w:pPr>
        <w:spacing w:line="360" w:lineRule="auto"/>
        <w:jc w:val="both"/>
        <w:rPr>
          <w:rFonts w:ascii="Times New Roman" w:hAnsi="Times New Roman" w:cs="Times New Roman"/>
          <w:sz w:val="24"/>
          <w:szCs w:val="24"/>
        </w:rPr>
      </w:pPr>
    </w:p>
    <w:p w:rsidR="00EC5807" w:rsidRPr="0084751D" w:rsidRDefault="003D6201" w:rsidP="0006531A">
      <w:pPr>
        <w:spacing w:line="360" w:lineRule="auto"/>
        <w:jc w:val="both"/>
        <w:rPr>
          <w:rFonts w:ascii="Times New Roman" w:hAnsi="Times New Roman" w:cs="Times New Roman"/>
          <w:b/>
          <w:bCs/>
          <w:sz w:val="24"/>
          <w:szCs w:val="24"/>
        </w:rPr>
      </w:pPr>
      <w:r w:rsidRPr="0084751D">
        <w:rPr>
          <w:rFonts w:ascii="Times New Roman" w:hAnsi="Times New Roman" w:cs="Times New Roman"/>
          <w:b/>
          <w:bCs/>
          <w:sz w:val="24"/>
          <w:szCs w:val="24"/>
        </w:rPr>
        <w:t>RESULT</w:t>
      </w:r>
      <w:r>
        <w:rPr>
          <w:rFonts w:ascii="Times New Roman" w:hAnsi="Times New Roman" w:cs="Times New Roman"/>
          <w:b/>
          <w:bCs/>
          <w:sz w:val="24"/>
          <w:szCs w:val="24"/>
        </w:rPr>
        <w:t>S AND DISCUSSION</w:t>
      </w:r>
    </w:p>
    <w:p w:rsidR="00B401BF" w:rsidRDefault="00215074" w:rsidP="00B401BF">
      <w:pPr>
        <w:spacing w:line="360" w:lineRule="auto"/>
        <w:ind w:firstLine="720"/>
        <w:jc w:val="both"/>
        <w:rPr>
          <w:rFonts w:ascii="Times New Roman" w:hAnsi="Times New Roman" w:cs="Times New Roman"/>
          <w:sz w:val="24"/>
          <w:szCs w:val="24"/>
        </w:rPr>
      </w:pPr>
      <w:r w:rsidRPr="00215074">
        <w:rPr>
          <w:rFonts w:ascii="Times New Roman" w:hAnsi="Times New Roman" w:cs="Times New Roman"/>
          <w:sz w:val="24"/>
          <w:szCs w:val="24"/>
        </w:rPr>
        <w:t xml:space="preserve">Nineteen brinjal genotypes were evaluated for allelic diversity using </w:t>
      </w:r>
      <w:r w:rsidR="00DB635B">
        <w:rPr>
          <w:rFonts w:ascii="Times New Roman" w:hAnsi="Times New Roman" w:cs="Times New Roman"/>
          <w:sz w:val="24"/>
          <w:szCs w:val="24"/>
        </w:rPr>
        <w:t>21</w:t>
      </w:r>
      <w:r w:rsidRPr="00215074">
        <w:rPr>
          <w:rFonts w:ascii="Times New Roman" w:hAnsi="Times New Roman" w:cs="Times New Roman"/>
          <w:sz w:val="24"/>
          <w:szCs w:val="24"/>
        </w:rPr>
        <w:t xml:space="preserve"> SSR markers. Amplified products, resolved on 2</w:t>
      </w:r>
      <w:r w:rsidR="00FD6FEE">
        <w:rPr>
          <w:rFonts w:ascii="Times New Roman" w:hAnsi="Times New Roman" w:cs="Times New Roman"/>
          <w:sz w:val="24"/>
          <w:szCs w:val="24"/>
        </w:rPr>
        <w:t xml:space="preserve"> </w:t>
      </w:r>
      <w:r w:rsidRPr="00215074">
        <w:rPr>
          <w:rFonts w:ascii="Times New Roman" w:hAnsi="Times New Roman" w:cs="Times New Roman"/>
          <w:sz w:val="24"/>
          <w:szCs w:val="24"/>
        </w:rPr>
        <w:t xml:space="preserve">% agarose gel, were compared against a 100 bp DNA ladder to estimate fragment sizes. Among the </w:t>
      </w:r>
      <w:r>
        <w:rPr>
          <w:rFonts w:ascii="Times New Roman" w:hAnsi="Times New Roman" w:cs="Times New Roman"/>
          <w:sz w:val="24"/>
          <w:szCs w:val="24"/>
        </w:rPr>
        <w:t>21</w:t>
      </w:r>
      <w:r w:rsidRPr="00215074">
        <w:rPr>
          <w:rFonts w:ascii="Times New Roman" w:hAnsi="Times New Roman" w:cs="Times New Roman"/>
          <w:sz w:val="24"/>
          <w:szCs w:val="24"/>
        </w:rPr>
        <w:t xml:space="preserve"> markers, eight were polymorphic, while </w:t>
      </w:r>
      <w:r w:rsidR="00DB635B">
        <w:rPr>
          <w:rFonts w:ascii="Times New Roman" w:hAnsi="Times New Roman" w:cs="Times New Roman"/>
          <w:sz w:val="24"/>
          <w:szCs w:val="24"/>
        </w:rPr>
        <w:t>thirteen</w:t>
      </w:r>
      <w:r w:rsidRPr="00215074">
        <w:rPr>
          <w:rFonts w:ascii="Times New Roman" w:hAnsi="Times New Roman" w:cs="Times New Roman"/>
          <w:sz w:val="24"/>
          <w:szCs w:val="24"/>
        </w:rPr>
        <w:t xml:space="preserve"> were monomorphic, yielding 18 alleles. Polymorphic Information Content (PIC) values ranged from 0.1706 to 0.4139, with EMB01D10 (0.4139) and EM140 (0.3126) being the most informative markers.Genetic diversity was analyzed using UPGMA clustering and Jaccard's coefficient, with genetic distances ranging from 0.091 (e.g., PH-6 male with Mukta Keshi, IIHR-563, BRBL-04, BRBL-07, BRBL-10) </w:t>
      </w:r>
      <w:r w:rsidR="00627278">
        <w:rPr>
          <w:rFonts w:ascii="Times New Roman" w:hAnsi="Times New Roman" w:cs="Times New Roman"/>
          <w:sz w:val="24"/>
          <w:szCs w:val="24"/>
        </w:rPr>
        <w:t xml:space="preserve">to 0.875 (BRBL-11 with S. gilo) and </w:t>
      </w:r>
      <w:r w:rsidRPr="00215074">
        <w:rPr>
          <w:rFonts w:ascii="Times New Roman" w:hAnsi="Times New Roman" w:cs="Times New Roman"/>
          <w:sz w:val="24"/>
          <w:szCs w:val="24"/>
        </w:rPr>
        <w:t xml:space="preserve"> averaging 0.401. Complete genetic similarity (0% dissimilarity) was observed among several genotype pairs, including PH-6 male, PH-6 female, Swarna Mani, and RB-2, as well as Mukta Keshi, IIHR-563, BRBL-01, BRBL-04, BRBL-07, and BRBL-10</w:t>
      </w:r>
      <w:r w:rsidR="001868C5">
        <w:rPr>
          <w:rFonts w:ascii="Times New Roman" w:hAnsi="Times New Roman" w:cs="Times New Roman"/>
          <w:sz w:val="24"/>
          <w:szCs w:val="24"/>
        </w:rPr>
        <w:t xml:space="preserve"> </w:t>
      </w:r>
      <w:r w:rsidR="00336029" w:rsidRPr="00DB635B">
        <w:rPr>
          <w:rFonts w:ascii="Times New Roman" w:hAnsi="Times New Roman" w:cs="Times New Roman"/>
          <w:b/>
          <w:sz w:val="24"/>
          <w:szCs w:val="24"/>
        </w:rPr>
        <w:t>(Fig</w:t>
      </w:r>
      <w:r w:rsidR="00336029">
        <w:rPr>
          <w:rFonts w:ascii="Times New Roman" w:hAnsi="Times New Roman" w:cs="Times New Roman"/>
          <w:b/>
          <w:sz w:val="24"/>
          <w:szCs w:val="24"/>
        </w:rPr>
        <w:t>.1</w:t>
      </w:r>
      <w:r w:rsidR="00336029" w:rsidRPr="00DB635B">
        <w:rPr>
          <w:rFonts w:ascii="Times New Roman" w:hAnsi="Times New Roman" w:cs="Times New Roman"/>
          <w:b/>
          <w:sz w:val="24"/>
          <w:szCs w:val="24"/>
        </w:rPr>
        <w:t>)</w:t>
      </w:r>
      <w:r w:rsidRPr="00215074">
        <w:rPr>
          <w:rFonts w:ascii="Times New Roman" w:hAnsi="Times New Roman" w:cs="Times New Roman"/>
          <w:sz w:val="24"/>
          <w:szCs w:val="24"/>
        </w:rPr>
        <w:t xml:space="preserve">. </w:t>
      </w:r>
    </w:p>
    <w:p w:rsidR="00900CAE" w:rsidRDefault="00900CAE" w:rsidP="00B401BF">
      <w:pPr>
        <w:spacing w:line="360" w:lineRule="auto"/>
        <w:ind w:firstLine="720"/>
        <w:jc w:val="both"/>
        <w:rPr>
          <w:rFonts w:ascii="Times New Roman" w:hAnsi="Times New Roman" w:cs="Times New Roman"/>
          <w:sz w:val="24"/>
          <w:szCs w:val="24"/>
        </w:rPr>
      </w:pPr>
      <w:r w:rsidRPr="00900CAE">
        <w:rPr>
          <w:rFonts w:ascii="Times New Roman" w:hAnsi="Times New Roman" w:cs="Times New Roman"/>
          <w:sz w:val="24"/>
          <w:szCs w:val="24"/>
        </w:rPr>
        <w:t>The genetic relationships among 19 brinjal genotypes were elucidated through phylogenetic analysis using the Unweighted Pair Group Method with Arithmetic Mean (UPGMA) algorithm implemented in DARwin 5.0 software. The analysis incorporated allelic variation data obtained from eight polymorphic SSR markers, revealing distinct clustering patterns in the resultant dendrogram (Fig. 2). The UPGMA tree topology segregated the germplasm into two major clades with significant bootstrap support. Clade I exclusively contained wild accessions, forming a monophyletic group that further bifurcated into two well-supported subclades comprising S. macrocarpon (BRBWM-07 and BRBWM-06) and S. gilo genotypes. Clade II encompassed all cultivated inbred lines, demonstrating clear genetic differentiation from wild relatives, and was resolved into two distinct subclusters. These subclusters systematically grouped the genotypes based on their breeding history and pedigree relationships, including PH-6 derived lines (male and female parents), improved cultivars (Harita, Mukta Keshi, Swarna Mani, IIHR-563, Pant Samrat), and advanced breeding lines (RB-2, VR-R2, and the BRBL series from BRBL-01 to BRBL-11). The observed clustering pattern provides molecular evidence for the genetic divergence between cultivated and wild Solanum germplasm, while revealing finer-scale relationships among improved varieties and breeding lines.</w:t>
      </w:r>
    </w:p>
    <w:p w:rsidR="00276A52" w:rsidRDefault="00900CAE" w:rsidP="00276A52">
      <w:pPr>
        <w:spacing w:after="0" w:line="360" w:lineRule="auto"/>
        <w:jc w:val="both"/>
        <w:rPr>
          <w:rFonts w:ascii="Times New Roman" w:hAnsi="Times New Roman" w:cs="Times New Roman"/>
          <w:sz w:val="24"/>
          <w:szCs w:val="24"/>
        </w:rPr>
      </w:pPr>
      <w:r w:rsidRPr="00900CAE">
        <w:rPr>
          <w:rFonts w:ascii="Times New Roman" w:hAnsi="Times New Roman" w:cs="Times New Roman"/>
          <w:sz w:val="24"/>
          <w:szCs w:val="24"/>
        </w:rPr>
        <w:lastRenderedPageBreak/>
        <w:t>Numerous studies have employed various molecular marker systems to assess genetic diversity in brinjal (</w:t>
      </w:r>
      <w:r w:rsidRPr="00875F69">
        <w:rPr>
          <w:rFonts w:ascii="Times New Roman" w:hAnsi="Times New Roman" w:cs="Times New Roman"/>
          <w:i/>
          <w:sz w:val="24"/>
          <w:szCs w:val="24"/>
        </w:rPr>
        <w:t>Solanum melongena</w:t>
      </w:r>
      <w:r w:rsidRPr="00900CAE">
        <w:rPr>
          <w:rFonts w:ascii="Times New Roman" w:hAnsi="Times New Roman" w:cs="Times New Roman"/>
          <w:sz w:val="24"/>
          <w:szCs w:val="24"/>
        </w:rPr>
        <w:t xml:space="preserve"> L.), demonstrating the critical role of DNA-based technologies in facilitating selective breeding through parental diversity characterizatio</w:t>
      </w:r>
      <w:r w:rsidR="001868C5">
        <w:rPr>
          <w:rFonts w:ascii="Times New Roman" w:hAnsi="Times New Roman" w:cs="Times New Roman"/>
          <w:sz w:val="24"/>
          <w:szCs w:val="24"/>
        </w:rPr>
        <w:t>n and germplasm enhancement (Fu et al., 2010)</w:t>
      </w:r>
      <w:r w:rsidRPr="00900CAE">
        <w:rPr>
          <w:rFonts w:ascii="Times New Roman" w:hAnsi="Times New Roman" w:cs="Times New Roman"/>
          <w:sz w:val="24"/>
          <w:szCs w:val="24"/>
        </w:rPr>
        <w:t>. Extensive molecular characterization has consistently revealed substantial genetic variation a</w:t>
      </w:r>
      <w:r w:rsidR="001868C5">
        <w:rPr>
          <w:rFonts w:ascii="Times New Roman" w:hAnsi="Times New Roman" w:cs="Times New Roman"/>
          <w:sz w:val="24"/>
          <w:szCs w:val="24"/>
        </w:rPr>
        <w:t>mong eggplant cultivar groups (Nunome et al., 2009; Stagel et al., 2008, Tumbilien et al., 2011 Cericola et al., 2018; Gramazio et al., 2018</w:t>
      </w:r>
      <w:r w:rsidRPr="00900CAE">
        <w:rPr>
          <w:rFonts w:ascii="Times New Roman" w:hAnsi="Times New Roman" w:cs="Times New Roman"/>
          <w:sz w:val="24"/>
          <w:szCs w:val="24"/>
        </w:rPr>
        <w:t>). While Random Amplified Polymorphic DNA (RAPD) markers have been traditionally predominant in brinjal diversity studies, showing greater efficiency than Inter-Simple Se</w:t>
      </w:r>
      <w:r w:rsidR="001868C5">
        <w:rPr>
          <w:rFonts w:ascii="Times New Roman" w:hAnsi="Times New Roman" w:cs="Times New Roman"/>
          <w:sz w:val="24"/>
          <w:szCs w:val="24"/>
        </w:rPr>
        <w:t>quence Repeat (ISSR) markers (Tiwan et al., 2009; Thakkar et al., 2014). C</w:t>
      </w:r>
      <w:r w:rsidRPr="00900CAE">
        <w:rPr>
          <w:rFonts w:ascii="Times New Roman" w:hAnsi="Times New Roman" w:cs="Times New Roman"/>
          <w:sz w:val="24"/>
          <w:szCs w:val="24"/>
        </w:rPr>
        <w:t>omparati</w:t>
      </w:r>
      <w:r w:rsidR="001868C5">
        <w:rPr>
          <w:rFonts w:ascii="Times New Roman" w:hAnsi="Times New Roman" w:cs="Times New Roman"/>
          <w:sz w:val="24"/>
          <w:szCs w:val="24"/>
        </w:rPr>
        <w:t>ve an</w:t>
      </w:r>
      <w:r w:rsidR="008929C9">
        <w:rPr>
          <w:rFonts w:ascii="Times New Roman" w:hAnsi="Times New Roman" w:cs="Times New Roman"/>
          <w:sz w:val="24"/>
          <w:szCs w:val="24"/>
        </w:rPr>
        <w:t xml:space="preserve">alyses </w:t>
      </w:r>
      <w:r w:rsidRPr="00900CAE">
        <w:rPr>
          <w:rFonts w:ascii="Times New Roman" w:hAnsi="Times New Roman" w:cs="Times New Roman"/>
          <w:sz w:val="24"/>
          <w:szCs w:val="24"/>
        </w:rPr>
        <w:t>have established the superior discriminatory power of Simple Sequence Repeat (SSR) markers</w:t>
      </w:r>
      <w:r w:rsidR="001868C5">
        <w:rPr>
          <w:rFonts w:ascii="Times New Roman" w:hAnsi="Times New Roman" w:cs="Times New Roman"/>
          <w:sz w:val="24"/>
          <w:szCs w:val="24"/>
        </w:rPr>
        <w:t xml:space="preserve"> (Demir et al, 2010 and Akhther et al, 2021)</w:t>
      </w:r>
      <w:r w:rsidRPr="00900CAE">
        <w:rPr>
          <w:rFonts w:ascii="Times New Roman" w:hAnsi="Times New Roman" w:cs="Times New Roman"/>
          <w:sz w:val="24"/>
          <w:szCs w:val="24"/>
        </w:rPr>
        <w:t xml:space="preserve">. SSR-based studies have particularly demonstrated robust phylogenetic relationships within the Solanum complex (including </w:t>
      </w:r>
      <w:r w:rsidRPr="00627278">
        <w:rPr>
          <w:rFonts w:ascii="Times New Roman" w:hAnsi="Times New Roman" w:cs="Times New Roman"/>
          <w:i/>
          <w:sz w:val="24"/>
          <w:szCs w:val="24"/>
        </w:rPr>
        <w:t>S. viarum</w:t>
      </w:r>
      <w:r w:rsidRPr="00900CAE">
        <w:rPr>
          <w:rFonts w:ascii="Times New Roman" w:hAnsi="Times New Roman" w:cs="Times New Roman"/>
          <w:sz w:val="24"/>
          <w:szCs w:val="24"/>
        </w:rPr>
        <w:t xml:space="preserve">, </w:t>
      </w:r>
      <w:r w:rsidRPr="00627278">
        <w:rPr>
          <w:rFonts w:ascii="Times New Roman" w:hAnsi="Times New Roman" w:cs="Times New Roman"/>
          <w:i/>
          <w:sz w:val="24"/>
          <w:szCs w:val="24"/>
        </w:rPr>
        <w:t>S. melongena</w:t>
      </w:r>
      <w:r w:rsidRPr="00900CAE">
        <w:rPr>
          <w:rFonts w:ascii="Times New Roman" w:hAnsi="Times New Roman" w:cs="Times New Roman"/>
          <w:sz w:val="24"/>
          <w:szCs w:val="24"/>
        </w:rPr>
        <w:t xml:space="preserve">, and </w:t>
      </w:r>
      <w:r w:rsidRPr="00627278">
        <w:rPr>
          <w:rFonts w:ascii="Times New Roman" w:hAnsi="Times New Roman" w:cs="Times New Roman"/>
          <w:i/>
          <w:sz w:val="24"/>
          <w:szCs w:val="24"/>
        </w:rPr>
        <w:t>S. aethiopicum</w:t>
      </w:r>
      <w:r w:rsidRPr="00900CAE">
        <w:rPr>
          <w:rFonts w:ascii="Times New Roman" w:hAnsi="Times New Roman" w:cs="Times New Roman"/>
          <w:sz w:val="24"/>
          <w:szCs w:val="24"/>
        </w:rPr>
        <w:t xml:space="preserve"> from the Aculeatum group), confirming their utility as ideal markers for g</w:t>
      </w:r>
      <w:r w:rsidR="008929C9">
        <w:rPr>
          <w:rFonts w:ascii="Times New Roman" w:hAnsi="Times New Roman" w:cs="Times New Roman"/>
          <w:sz w:val="24"/>
          <w:szCs w:val="24"/>
        </w:rPr>
        <w:t>enetic variation analysis ( Stagel et al., 2008, Numone et al., 2009;  Musa et al., 2024</w:t>
      </w:r>
      <w:r w:rsidRPr="00900CAE">
        <w:rPr>
          <w:rFonts w:ascii="Times New Roman" w:hAnsi="Times New Roman" w:cs="Times New Roman"/>
          <w:sz w:val="24"/>
          <w:szCs w:val="24"/>
        </w:rPr>
        <w:t>). Quantitative evaluation of polymorph</w:t>
      </w:r>
      <w:r w:rsidR="008929C9">
        <w:rPr>
          <w:rFonts w:ascii="Times New Roman" w:hAnsi="Times New Roman" w:cs="Times New Roman"/>
          <w:sz w:val="24"/>
          <w:szCs w:val="24"/>
        </w:rPr>
        <w:t>ism information content (PIC) has</w:t>
      </w:r>
      <w:r w:rsidRPr="00900CAE">
        <w:rPr>
          <w:rFonts w:ascii="Times New Roman" w:hAnsi="Times New Roman" w:cs="Times New Roman"/>
          <w:sz w:val="24"/>
          <w:szCs w:val="24"/>
        </w:rPr>
        <w:t xml:space="preserve"> revealed moderate genetic diversity levels, with PIC values ranging from 0.1706 to 0.4139, where markers EMB01D10 (PIC=0.4139) and EM140 (PIC=0.3126) emerged as particularly informative for germplasm characterization</w:t>
      </w:r>
      <w:r w:rsidR="008929C9" w:rsidRPr="008929C9">
        <w:rPr>
          <w:rFonts w:ascii="Times New Roman" w:hAnsi="Times New Roman" w:cs="Times New Roman"/>
          <w:sz w:val="24"/>
          <w:szCs w:val="24"/>
        </w:rPr>
        <w:t xml:space="preserve"> </w:t>
      </w:r>
      <w:r w:rsidR="008929C9">
        <w:rPr>
          <w:rFonts w:ascii="Times New Roman" w:hAnsi="Times New Roman" w:cs="Times New Roman"/>
          <w:sz w:val="24"/>
          <w:szCs w:val="24"/>
        </w:rPr>
        <w:t xml:space="preserve">(Rajan et al, 2023). </w:t>
      </w:r>
      <w:r w:rsidRPr="00900CAE">
        <w:rPr>
          <w:rFonts w:ascii="Times New Roman" w:hAnsi="Times New Roman" w:cs="Times New Roman"/>
          <w:sz w:val="24"/>
          <w:szCs w:val="24"/>
        </w:rPr>
        <w:t>These collective findings underscore the progressive refinement of molecular tools for eggplant genetic studies, with SSR markers currently representing the most robust system for comprehensive diversity assessment in breeding programs.</w:t>
      </w:r>
    </w:p>
    <w:p w:rsidR="00900CAE" w:rsidRPr="00276A52" w:rsidRDefault="00900CAE" w:rsidP="00276A52">
      <w:pPr>
        <w:spacing w:after="0" w:line="360" w:lineRule="auto"/>
        <w:jc w:val="both"/>
        <w:rPr>
          <w:rFonts w:ascii="Times New Roman" w:eastAsia="Times New Roman" w:hAnsi="Times New Roman" w:cs="Times New Roman"/>
          <w:sz w:val="24"/>
          <w:szCs w:val="24"/>
          <w:lang w:val="en-US"/>
        </w:rPr>
      </w:pPr>
    </w:p>
    <w:p w:rsidR="00276A52" w:rsidRPr="00276A52" w:rsidRDefault="00276A52" w:rsidP="00276A52">
      <w:pPr>
        <w:spacing w:after="0" w:line="360" w:lineRule="auto"/>
        <w:jc w:val="both"/>
        <w:rPr>
          <w:rFonts w:ascii="Times New Roman" w:eastAsia="Times New Roman" w:hAnsi="Times New Roman" w:cs="Times New Roman"/>
          <w:sz w:val="24"/>
          <w:szCs w:val="24"/>
          <w:lang w:val="en-US"/>
        </w:rPr>
      </w:pPr>
      <w:r w:rsidRPr="00276A52">
        <w:rPr>
          <w:rFonts w:ascii="Times New Roman" w:eastAsia="Times New Roman" w:hAnsi="Times New Roman" w:cs="Times New Roman"/>
          <w:sz w:val="24"/>
          <w:szCs w:val="24"/>
          <w:lang w:val="en-US"/>
        </w:rPr>
        <w:t xml:space="preserve">SSR markers </w:t>
      </w:r>
      <w:r w:rsidR="008929C9">
        <w:rPr>
          <w:rFonts w:ascii="Times New Roman" w:eastAsia="Times New Roman" w:hAnsi="Times New Roman" w:cs="Times New Roman"/>
          <w:sz w:val="24"/>
          <w:szCs w:val="24"/>
          <w:lang w:val="en-US"/>
        </w:rPr>
        <w:t xml:space="preserve">has been employed </w:t>
      </w:r>
      <w:r w:rsidRPr="00276A52">
        <w:rPr>
          <w:rFonts w:ascii="Times New Roman" w:eastAsia="Times New Roman" w:hAnsi="Times New Roman" w:cs="Times New Roman"/>
          <w:sz w:val="24"/>
          <w:szCs w:val="24"/>
          <w:lang w:val="en-US"/>
        </w:rPr>
        <w:t>to assess genetic diversity among various eggplant varieties</w:t>
      </w:r>
      <w:r w:rsidR="008929C9">
        <w:rPr>
          <w:rFonts w:ascii="Times New Roman" w:eastAsia="Times New Roman" w:hAnsi="Times New Roman" w:cs="Times New Roman"/>
          <w:sz w:val="24"/>
          <w:szCs w:val="24"/>
          <w:lang w:val="en-US"/>
        </w:rPr>
        <w:t xml:space="preserve"> (</w:t>
      </w:r>
      <w:r w:rsidR="00895974" w:rsidRPr="005A1A85">
        <w:rPr>
          <w:rFonts w:ascii="Times New Roman" w:eastAsia="Calibri" w:hAnsi="Times New Roman" w:cs="Times New Roman"/>
          <w:color w:val="222222"/>
          <w:kern w:val="2"/>
          <w:sz w:val="24"/>
          <w:szCs w:val="24"/>
          <w:shd w:val="clear" w:color="auto" w:fill="FFFFFF"/>
        </w:rPr>
        <w:t>Younas</w:t>
      </w:r>
      <w:r w:rsidR="00895974">
        <w:rPr>
          <w:rFonts w:ascii="Times New Roman" w:eastAsia="Times New Roman" w:hAnsi="Times New Roman" w:cs="Times New Roman"/>
          <w:sz w:val="24"/>
          <w:szCs w:val="24"/>
          <w:lang w:val="en-US"/>
        </w:rPr>
        <w:t xml:space="preserve"> et al., 2022; </w:t>
      </w:r>
      <w:r w:rsidR="008929C9">
        <w:rPr>
          <w:rFonts w:ascii="Times New Roman" w:eastAsia="Times New Roman" w:hAnsi="Times New Roman" w:cs="Times New Roman"/>
          <w:sz w:val="24"/>
          <w:szCs w:val="24"/>
          <w:lang w:val="en-US"/>
        </w:rPr>
        <w:t>Lipio et al, 2024). A</w:t>
      </w:r>
      <w:r w:rsidRPr="00276A52">
        <w:rPr>
          <w:rFonts w:ascii="Times New Roman" w:eastAsia="Times New Roman" w:hAnsi="Times New Roman" w:cs="Times New Roman"/>
          <w:sz w:val="24"/>
          <w:szCs w:val="24"/>
          <w:lang w:val="en-US"/>
        </w:rPr>
        <w:t xml:space="preserve"> range of allelic variations and clustering patterns </w:t>
      </w:r>
      <w:r w:rsidR="008929C9">
        <w:rPr>
          <w:rFonts w:ascii="Times New Roman" w:eastAsia="Times New Roman" w:hAnsi="Times New Roman" w:cs="Times New Roman"/>
          <w:sz w:val="24"/>
          <w:szCs w:val="24"/>
          <w:lang w:val="en-US"/>
        </w:rPr>
        <w:t xml:space="preserve">were identified </w:t>
      </w:r>
      <w:r w:rsidRPr="00276A52">
        <w:rPr>
          <w:rFonts w:ascii="Times New Roman" w:eastAsia="Times New Roman" w:hAnsi="Times New Roman" w:cs="Times New Roman"/>
          <w:sz w:val="24"/>
          <w:szCs w:val="24"/>
          <w:lang w:val="en-US"/>
        </w:rPr>
        <w:t>that reflect</w:t>
      </w:r>
      <w:r w:rsidR="008929C9">
        <w:rPr>
          <w:rFonts w:ascii="Times New Roman" w:eastAsia="Times New Roman" w:hAnsi="Times New Roman" w:cs="Times New Roman"/>
          <w:sz w:val="24"/>
          <w:szCs w:val="24"/>
          <w:lang w:val="en-US"/>
        </w:rPr>
        <w:t>ed</w:t>
      </w:r>
      <w:r w:rsidRPr="00276A52">
        <w:rPr>
          <w:rFonts w:ascii="Times New Roman" w:eastAsia="Times New Roman" w:hAnsi="Times New Roman" w:cs="Times New Roman"/>
          <w:sz w:val="24"/>
          <w:szCs w:val="24"/>
          <w:lang w:val="en-US"/>
        </w:rPr>
        <w:t xml:space="preserve"> the genetic relationships among different genotypes. The cluster analysis revealed that several genotypes grouped closely together, with both the PH-6 male and PH-6 female lines—two widely cultivated varieties in India—showing minimal genetic variation. This lack of variation is likely due to their extensive use in heterosis breeding programs.</w:t>
      </w:r>
    </w:p>
    <w:p w:rsidR="00276A52" w:rsidRPr="00276A52" w:rsidRDefault="00276A52" w:rsidP="00276A52">
      <w:pPr>
        <w:spacing w:after="0" w:line="360" w:lineRule="auto"/>
        <w:jc w:val="both"/>
        <w:rPr>
          <w:rFonts w:ascii="Times New Roman" w:eastAsia="Times New Roman" w:hAnsi="Times New Roman" w:cs="Times New Roman"/>
          <w:sz w:val="24"/>
          <w:szCs w:val="24"/>
          <w:lang w:val="en-US"/>
        </w:rPr>
      </w:pPr>
    </w:p>
    <w:p w:rsidR="00276A52" w:rsidRPr="00276A52" w:rsidRDefault="00276A52" w:rsidP="00276A52">
      <w:pPr>
        <w:spacing w:after="0" w:line="360" w:lineRule="auto"/>
        <w:jc w:val="both"/>
        <w:rPr>
          <w:rFonts w:ascii="Times New Roman" w:eastAsia="Times New Roman" w:hAnsi="Times New Roman" w:cs="Times New Roman"/>
          <w:sz w:val="24"/>
          <w:szCs w:val="24"/>
          <w:lang w:val="en-US"/>
        </w:rPr>
      </w:pPr>
      <w:r w:rsidRPr="00276A52">
        <w:rPr>
          <w:rFonts w:ascii="Times New Roman" w:eastAsia="Times New Roman" w:hAnsi="Times New Roman" w:cs="Times New Roman"/>
          <w:sz w:val="24"/>
          <w:szCs w:val="24"/>
          <w:lang w:val="en-US"/>
        </w:rPr>
        <w:t>These results are consistent with fi</w:t>
      </w:r>
      <w:r w:rsidR="008929C9">
        <w:rPr>
          <w:rFonts w:ascii="Times New Roman" w:eastAsia="Times New Roman" w:hAnsi="Times New Roman" w:cs="Times New Roman"/>
          <w:sz w:val="24"/>
          <w:szCs w:val="24"/>
          <w:lang w:val="en-US"/>
        </w:rPr>
        <w:t xml:space="preserve">ndings from </w:t>
      </w:r>
      <w:r w:rsidR="00E87DEB">
        <w:rPr>
          <w:rFonts w:ascii="Times New Roman" w:eastAsia="Times New Roman" w:hAnsi="Times New Roman" w:cs="Times New Roman"/>
          <w:sz w:val="24"/>
          <w:szCs w:val="24"/>
          <w:lang w:val="en-US"/>
        </w:rPr>
        <w:t xml:space="preserve"> other researchers, </w:t>
      </w:r>
      <w:r w:rsidRPr="00276A52">
        <w:rPr>
          <w:rFonts w:ascii="Times New Roman" w:eastAsia="Times New Roman" w:hAnsi="Times New Roman" w:cs="Times New Roman"/>
          <w:sz w:val="24"/>
          <w:szCs w:val="24"/>
          <w:lang w:val="en-US"/>
        </w:rPr>
        <w:t>who reported a high pairwise similarity index among closely related brinjal genotypes, indicating a narrow genetic base at the molecular level</w:t>
      </w:r>
      <w:r w:rsidR="008929C9" w:rsidRPr="008929C9">
        <w:rPr>
          <w:rFonts w:ascii="Times New Roman" w:eastAsia="Times New Roman" w:hAnsi="Times New Roman" w:cs="Times New Roman"/>
          <w:sz w:val="24"/>
          <w:szCs w:val="24"/>
          <w:lang w:val="en-US"/>
        </w:rPr>
        <w:t xml:space="preserve"> </w:t>
      </w:r>
      <w:r w:rsidR="008929C9">
        <w:rPr>
          <w:rFonts w:ascii="Times New Roman" w:eastAsia="Times New Roman" w:hAnsi="Times New Roman" w:cs="Times New Roman"/>
          <w:sz w:val="24"/>
          <w:szCs w:val="24"/>
          <w:lang w:val="en-US"/>
        </w:rPr>
        <w:t>(Fallahi et al., 2022; Akhther et al, 2021)</w:t>
      </w:r>
      <w:r w:rsidRPr="00276A52">
        <w:rPr>
          <w:rFonts w:ascii="Times New Roman" w:eastAsia="Times New Roman" w:hAnsi="Times New Roman" w:cs="Times New Roman"/>
          <w:sz w:val="24"/>
          <w:szCs w:val="24"/>
          <w:lang w:val="en-US"/>
        </w:rPr>
        <w:t>. The brinjal genome, estimated to be 1,155.8 Mb in size, comprises approxima</w:t>
      </w:r>
      <w:r w:rsidR="00E87DEB">
        <w:rPr>
          <w:rFonts w:ascii="Times New Roman" w:eastAsia="Times New Roman" w:hAnsi="Times New Roman" w:cs="Times New Roman"/>
          <w:sz w:val="24"/>
          <w:szCs w:val="24"/>
          <w:lang w:val="en-US"/>
        </w:rPr>
        <w:t xml:space="preserve">tely 70.1% repetitive sequences (Li </w:t>
      </w:r>
      <w:r w:rsidR="00E87DEB">
        <w:rPr>
          <w:rFonts w:ascii="Times New Roman" w:eastAsia="Times New Roman" w:hAnsi="Times New Roman" w:cs="Times New Roman"/>
          <w:sz w:val="24"/>
          <w:szCs w:val="24"/>
          <w:lang w:val="en-US"/>
        </w:rPr>
        <w:lastRenderedPageBreak/>
        <w:t xml:space="preserve">et al., 2021) </w:t>
      </w:r>
      <w:r w:rsidRPr="00276A52">
        <w:rPr>
          <w:rFonts w:ascii="Times New Roman" w:eastAsia="Times New Roman" w:hAnsi="Times New Roman" w:cs="Times New Roman"/>
          <w:sz w:val="24"/>
          <w:szCs w:val="24"/>
          <w:lang w:val="en-US"/>
        </w:rPr>
        <w:t xml:space="preserve">which complicates the detection of polymorphism using a limited number of SSR markers. </w:t>
      </w:r>
    </w:p>
    <w:p w:rsidR="00276A52" w:rsidRPr="00276A52" w:rsidRDefault="00276A52" w:rsidP="00276A52">
      <w:pPr>
        <w:spacing w:after="0" w:line="360" w:lineRule="auto"/>
        <w:jc w:val="both"/>
        <w:rPr>
          <w:rFonts w:ascii="Times New Roman" w:eastAsia="Times New Roman" w:hAnsi="Times New Roman" w:cs="Times New Roman"/>
          <w:sz w:val="24"/>
          <w:szCs w:val="24"/>
          <w:lang w:val="en-US"/>
        </w:rPr>
      </w:pPr>
    </w:p>
    <w:p w:rsidR="009338DB" w:rsidRDefault="00E87DEB" w:rsidP="00276A52">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Recent studies has </w:t>
      </w:r>
      <w:r w:rsidR="00276A52" w:rsidRPr="00276A52">
        <w:rPr>
          <w:rFonts w:ascii="Times New Roman" w:eastAsia="Times New Roman" w:hAnsi="Times New Roman" w:cs="Times New Roman"/>
          <w:sz w:val="24"/>
          <w:szCs w:val="24"/>
          <w:lang w:val="en-US"/>
        </w:rPr>
        <w:t>also reported restricted allelic variation in brinjal due to the limited number of primers used for diversity analysis</w:t>
      </w:r>
      <w:r w:rsidRPr="00E87DE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(Musa et al, 2024 and Oladosu et al, 2021)</w:t>
      </w:r>
      <w:r w:rsidR="00276A52" w:rsidRPr="00276A52">
        <w:rPr>
          <w:rFonts w:ascii="Times New Roman" w:eastAsia="Times New Roman" w:hAnsi="Times New Roman" w:cs="Times New Roman"/>
          <w:sz w:val="24"/>
          <w:szCs w:val="24"/>
          <w:lang w:val="en-US"/>
        </w:rPr>
        <w:t>. Therefore, there is a need for a greater number of polymorphic markers and advanced genomic tools for more comprehensive analysis.</w:t>
      </w:r>
    </w:p>
    <w:p w:rsidR="00276A52" w:rsidRDefault="00276A52" w:rsidP="00276A52">
      <w:pPr>
        <w:spacing w:after="0" w:line="360" w:lineRule="auto"/>
        <w:jc w:val="both"/>
        <w:rPr>
          <w:rFonts w:ascii="Times New Roman" w:hAnsi="Times New Roman" w:cs="Times New Roman"/>
          <w:b/>
          <w:bCs/>
          <w:sz w:val="24"/>
          <w:szCs w:val="24"/>
        </w:rPr>
      </w:pPr>
    </w:p>
    <w:p w:rsidR="00174C5E" w:rsidRPr="0084751D" w:rsidRDefault="005A15E6" w:rsidP="0084751D">
      <w:pPr>
        <w:spacing w:after="0" w:line="360" w:lineRule="auto"/>
        <w:jc w:val="both"/>
        <w:rPr>
          <w:rFonts w:ascii="Times New Roman" w:hAnsi="Times New Roman" w:cs="Times New Roman"/>
          <w:b/>
          <w:bCs/>
          <w:sz w:val="24"/>
          <w:szCs w:val="24"/>
        </w:rPr>
      </w:pPr>
      <w:r w:rsidRPr="0084751D">
        <w:rPr>
          <w:rFonts w:ascii="Times New Roman" w:hAnsi="Times New Roman" w:cs="Times New Roman"/>
          <w:b/>
          <w:bCs/>
          <w:sz w:val="24"/>
          <w:szCs w:val="24"/>
        </w:rPr>
        <w:t>CONCLUSION</w:t>
      </w:r>
      <w:r w:rsidR="002079B5">
        <w:rPr>
          <w:rFonts w:ascii="Times New Roman" w:hAnsi="Times New Roman" w:cs="Times New Roman"/>
          <w:b/>
          <w:bCs/>
          <w:sz w:val="24"/>
          <w:szCs w:val="24"/>
        </w:rPr>
        <w:t>S</w:t>
      </w:r>
    </w:p>
    <w:p w:rsidR="00276A52" w:rsidRDefault="00276A52" w:rsidP="00166AC9">
      <w:pPr>
        <w:spacing w:line="360" w:lineRule="auto"/>
        <w:jc w:val="both"/>
        <w:rPr>
          <w:rFonts w:ascii="Times New Roman" w:hAnsi="Times New Roman" w:cs="Times New Roman"/>
          <w:sz w:val="24"/>
          <w:szCs w:val="24"/>
        </w:rPr>
      </w:pPr>
      <w:r w:rsidRPr="00276A52">
        <w:rPr>
          <w:rFonts w:ascii="Times New Roman" w:hAnsi="Times New Roman" w:cs="Times New Roman"/>
          <w:sz w:val="24"/>
          <w:szCs w:val="24"/>
        </w:rPr>
        <w:t>The usefulness of SSR markers in determining the genetic diversity among 19 brinjal genotypes—a critical step for successful breeding and conservation strategies—is highlighted in the current study. The potential of the 21 SSR markers used for molecular diversity analysis w</w:t>
      </w:r>
      <w:r w:rsidR="00627278">
        <w:rPr>
          <w:rFonts w:ascii="Times New Roman" w:hAnsi="Times New Roman" w:cs="Times New Roman"/>
          <w:sz w:val="24"/>
          <w:szCs w:val="24"/>
        </w:rPr>
        <w:t>as demonstrated by the observation</w:t>
      </w:r>
      <w:r w:rsidRPr="00276A52">
        <w:rPr>
          <w:rFonts w:ascii="Times New Roman" w:hAnsi="Times New Roman" w:cs="Times New Roman"/>
          <w:sz w:val="24"/>
          <w:szCs w:val="24"/>
        </w:rPr>
        <w:t xml:space="preserve"> that eight of them (EM107, EM114, EM133, EM140, EM145, EMB01I13, EMB01D10, and EMK03O04) were polymorphic. The genotypes were effectively grouped using UPGMA-based cluster analysis into two major clusters and four sub-clusters, with inbred lines making up Cluster II and wild varieties making up Cluster I. The PIC values (0.4139 for EMB01D10 and 0.3957 for EMK03O04) and the greatest genetic distance (200–300 bp) demonstrate the dependability and informativeness of these markers for genetic differentiation. The study determines the degree of genetic diversity, groups genotypes into clusters, and assesses the informativeness of particular genotypes by analyzing 19 genotypes—including inbred lines and wild varieties—using SSR markers.</w:t>
      </w:r>
    </w:p>
    <w:p w:rsidR="007B7F78" w:rsidRDefault="007B7F78" w:rsidP="00166AC9">
      <w:pPr>
        <w:spacing w:line="360" w:lineRule="auto"/>
        <w:jc w:val="both"/>
        <w:rPr>
          <w:rFonts w:ascii="Times New Roman" w:hAnsi="Times New Roman" w:cs="Times New Roman"/>
          <w:sz w:val="24"/>
          <w:szCs w:val="24"/>
        </w:rPr>
      </w:pPr>
    </w:p>
    <w:p w:rsidR="007B7F78" w:rsidRPr="007B7F78" w:rsidRDefault="007B7F78" w:rsidP="007B7F78">
      <w:pPr>
        <w:spacing w:after="200" w:line="276" w:lineRule="auto"/>
        <w:rPr>
          <w:rFonts w:ascii="Calibri" w:eastAsia="Calibri" w:hAnsi="Calibri" w:cs="Times New Roman"/>
          <w:kern w:val="2"/>
          <w:highlight w:val="yellow"/>
          <w:lang w:val="en-US"/>
        </w:rPr>
      </w:pPr>
      <w:r w:rsidRPr="007B7F78">
        <w:rPr>
          <w:rFonts w:ascii="Calibri" w:eastAsia="Calibri" w:hAnsi="Calibri" w:cs="Times New Roman"/>
          <w:kern w:val="2"/>
          <w:highlight w:val="yellow"/>
          <w:lang w:val="en-US"/>
        </w:rPr>
        <w:t>Disclaimer (Artificial intelligence)</w:t>
      </w:r>
      <w:r w:rsidR="009A4FAD">
        <w:rPr>
          <w:rFonts w:ascii="Calibri" w:eastAsia="Calibri" w:hAnsi="Calibri" w:cs="Times New Roman"/>
          <w:kern w:val="2"/>
          <w:highlight w:val="yellow"/>
          <w:lang w:val="en-US"/>
        </w:rPr>
        <w:t xml:space="preserve">: </w:t>
      </w:r>
      <w:r w:rsidRPr="007B7F78">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rsidR="00F53484" w:rsidRPr="000F17E8" w:rsidRDefault="00F53484" w:rsidP="00F53484">
      <w:pPr>
        <w:spacing w:line="360" w:lineRule="auto"/>
        <w:jc w:val="both"/>
        <w:rPr>
          <w:rFonts w:ascii="Times New Roman" w:hAnsi="Times New Roman" w:cs="Times New Roman"/>
          <w:sz w:val="24"/>
          <w:szCs w:val="24"/>
        </w:rPr>
      </w:pPr>
      <w:r w:rsidRPr="00E57544">
        <w:rPr>
          <w:rFonts w:ascii="Times New Roman" w:hAnsi="Times New Roman" w:cs="Times New Roman"/>
          <w:b/>
          <w:sz w:val="24"/>
          <w:szCs w:val="24"/>
        </w:rPr>
        <w:t>ACKNOWLEDGEMENT</w:t>
      </w:r>
      <w:r>
        <w:rPr>
          <w:rFonts w:ascii="Times New Roman" w:hAnsi="Times New Roman" w:cs="Times New Roman"/>
          <w:sz w:val="24"/>
          <w:szCs w:val="24"/>
        </w:rPr>
        <w:t xml:space="preserve"> </w:t>
      </w:r>
    </w:p>
    <w:p w:rsidR="00F53484" w:rsidRPr="000F17E8" w:rsidRDefault="00F53484" w:rsidP="00F53484">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0F17E8">
        <w:rPr>
          <w:rFonts w:ascii="Times New Roman" w:hAnsi="Times New Roman" w:cs="Times New Roman"/>
          <w:sz w:val="24"/>
          <w:szCs w:val="24"/>
        </w:rPr>
        <w:t>he authors are thankful to the Bihar Agricultural University, for providing the necessary facilities for conducting the research work</w:t>
      </w:r>
      <w:r>
        <w:rPr>
          <w:rFonts w:ascii="Times New Roman" w:hAnsi="Times New Roman" w:cs="Times New Roman"/>
          <w:sz w:val="24"/>
          <w:szCs w:val="24"/>
        </w:rPr>
        <w:t xml:space="preserve"> and providing BAU communication no. 1356/221130 for this manuscript</w:t>
      </w:r>
      <w:r w:rsidRPr="000F17E8">
        <w:rPr>
          <w:rFonts w:ascii="Times New Roman" w:hAnsi="Times New Roman" w:cs="Times New Roman"/>
          <w:sz w:val="24"/>
          <w:szCs w:val="24"/>
        </w:rPr>
        <w:t xml:space="preserve">. </w:t>
      </w:r>
    </w:p>
    <w:p w:rsidR="00F53484" w:rsidRDefault="00F53484" w:rsidP="00F53484">
      <w:pPr>
        <w:spacing w:line="360" w:lineRule="auto"/>
        <w:jc w:val="both"/>
        <w:rPr>
          <w:rFonts w:ascii="Times New Roman" w:hAnsi="Times New Roman" w:cs="Times New Roman"/>
          <w:b/>
          <w:sz w:val="24"/>
          <w:szCs w:val="24"/>
        </w:rPr>
      </w:pPr>
      <w:r w:rsidRPr="00E57544">
        <w:rPr>
          <w:rFonts w:ascii="Times New Roman" w:hAnsi="Times New Roman" w:cs="Times New Roman"/>
          <w:b/>
          <w:sz w:val="24"/>
          <w:szCs w:val="24"/>
        </w:rPr>
        <w:t xml:space="preserve">CONFLICT OF INTEREST </w:t>
      </w:r>
    </w:p>
    <w:p w:rsidR="00F53484" w:rsidRDefault="00F53484" w:rsidP="00F53484">
      <w:pPr>
        <w:spacing w:line="360" w:lineRule="auto"/>
        <w:jc w:val="both"/>
        <w:rPr>
          <w:rFonts w:ascii="Times New Roman" w:hAnsi="Times New Roman" w:cs="Times New Roman"/>
          <w:sz w:val="24"/>
          <w:szCs w:val="24"/>
        </w:rPr>
      </w:pPr>
      <w:r w:rsidRPr="000F17E8">
        <w:rPr>
          <w:rFonts w:ascii="Times New Roman" w:hAnsi="Times New Roman" w:cs="Times New Roman"/>
          <w:sz w:val="24"/>
          <w:szCs w:val="24"/>
        </w:rPr>
        <w:lastRenderedPageBreak/>
        <w:t>We hereby certify that there is no con</w:t>
      </w:r>
      <w:r>
        <w:rPr>
          <w:rFonts w:ascii="Times New Roman" w:hAnsi="Times New Roman" w:cs="Times New Roman"/>
          <w:sz w:val="24"/>
          <w:szCs w:val="24"/>
        </w:rPr>
        <w:t>f</w:t>
      </w:r>
      <w:r w:rsidRPr="000F17E8">
        <w:rPr>
          <w:rFonts w:ascii="Times New Roman" w:hAnsi="Times New Roman" w:cs="Times New Roman"/>
          <w:sz w:val="24"/>
          <w:szCs w:val="24"/>
        </w:rPr>
        <w:t xml:space="preserve">lict of interest </w:t>
      </w:r>
      <w:r>
        <w:rPr>
          <w:rFonts w:ascii="Times New Roman" w:hAnsi="Times New Roman" w:cs="Times New Roman"/>
          <w:sz w:val="24"/>
          <w:szCs w:val="24"/>
        </w:rPr>
        <w:t xml:space="preserve">among the authors </w:t>
      </w:r>
      <w:r w:rsidRPr="000F17E8">
        <w:rPr>
          <w:rFonts w:ascii="Times New Roman" w:hAnsi="Times New Roman" w:cs="Times New Roman"/>
          <w:sz w:val="24"/>
          <w:szCs w:val="24"/>
        </w:rPr>
        <w:t xml:space="preserve">in submission of the research article. </w:t>
      </w:r>
    </w:p>
    <w:p w:rsidR="00F53484" w:rsidRPr="00B401BF" w:rsidRDefault="00F53484" w:rsidP="00F53484">
      <w:pPr>
        <w:spacing w:line="360" w:lineRule="auto"/>
        <w:jc w:val="both"/>
        <w:rPr>
          <w:rFonts w:ascii="Times New Roman" w:hAnsi="Times New Roman" w:cs="Times New Roman"/>
          <w:b/>
          <w:sz w:val="24"/>
          <w:szCs w:val="24"/>
        </w:rPr>
      </w:pPr>
      <w:r w:rsidRPr="00E57544">
        <w:rPr>
          <w:rFonts w:ascii="Times New Roman" w:hAnsi="Times New Roman" w:cs="Times New Roman"/>
          <w:b/>
          <w:sz w:val="24"/>
          <w:szCs w:val="24"/>
        </w:rPr>
        <w:t>AUTHOUR'S CONTRIBUTION</w:t>
      </w:r>
      <w:r w:rsidRPr="000F17E8">
        <w:rPr>
          <w:rFonts w:ascii="Times New Roman" w:hAnsi="Times New Roman" w:cs="Times New Roman"/>
          <w:sz w:val="24"/>
          <w:szCs w:val="24"/>
        </w:rPr>
        <w:t xml:space="preserve"> </w:t>
      </w:r>
    </w:p>
    <w:p w:rsidR="00F53484" w:rsidRPr="000F17E8" w:rsidRDefault="00F53484" w:rsidP="00F53484">
      <w:pPr>
        <w:spacing w:line="360" w:lineRule="auto"/>
        <w:jc w:val="both"/>
        <w:rPr>
          <w:rFonts w:ascii="Times New Roman" w:hAnsi="Times New Roman" w:cs="Times New Roman"/>
          <w:sz w:val="24"/>
          <w:szCs w:val="24"/>
        </w:rPr>
      </w:pPr>
      <w:r>
        <w:rPr>
          <w:rFonts w:ascii="Times New Roman" w:hAnsi="Times New Roman" w:cs="Times New Roman"/>
          <w:sz w:val="24"/>
          <w:szCs w:val="24"/>
        </w:rPr>
        <w:t>ZQ, TK, TR and RRK:</w:t>
      </w:r>
      <w:r w:rsidRPr="000F17E8">
        <w:rPr>
          <w:rFonts w:ascii="Times New Roman" w:hAnsi="Times New Roman" w:cs="Times New Roman"/>
          <w:sz w:val="24"/>
          <w:szCs w:val="24"/>
        </w:rPr>
        <w:t xml:space="preserve"> </w:t>
      </w:r>
      <w:r>
        <w:rPr>
          <w:rFonts w:ascii="Times New Roman" w:hAnsi="Times New Roman" w:cs="Times New Roman"/>
          <w:sz w:val="24"/>
          <w:szCs w:val="24"/>
        </w:rPr>
        <w:t>conceptualization, conducted the study and</w:t>
      </w:r>
      <w:r w:rsidRPr="000F17E8">
        <w:rPr>
          <w:rFonts w:ascii="Times New Roman" w:hAnsi="Times New Roman" w:cs="Times New Roman"/>
          <w:sz w:val="24"/>
          <w:szCs w:val="24"/>
        </w:rPr>
        <w:t xml:space="preserve"> writing</w:t>
      </w:r>
      <w:r>
        <w:rPr>
          <w:rFonts w:ascii="Times New Roman" w:hAnsi="Times New Roman" w:cs="Times New Roman"/>
          <w:sz w:val="24"/>
          <w:szCs w:val="24"/>
        </w:rPr>
        <w:t>; RSS</w:t>
      </w:r>
      <w:r w:rsidRPr="000F17E8">
        <w:rPr>
          <w:rFonts w:ascii="Times New Roman" w:hAnsi="Times New Roman" w:cs="Times New Roman"/>
          <w:sz w:val="24"/>
          <w:szCs w:val="24"/>
        </w:rPr>
        <w:t xml:space="preserve"> and</w:t>
      </w:r>
      <w:r>
        <w:rPr>
          <w:rFonts w:ascii="Times New Roman" w:hAnsi="Times New Roman" w:cs="Times New Roman"/>
          <w:sz w:val="24"/>
          <w:szCs w:val="24"/>
        </w:rPr>
        <w:t xml:space="preserve"> AKP: Data analysis ; SA, BK and KR</w:t>
      </w:r>
      <w:r w:rsidRPr="000F17E8">
        <w:rPr>
          <w:rFonts w:ascii="Times New Roman" w:hAnsi="Times New Roman" w:cs="Times New Roman"/>
          <w:sz w:val="24"/>
          <w:szCs w:val="24"/>
        </w:rPr>
        <w:t>: Designing and proof reading</w:t>
      </w:r>
    </w:p>
    <w:p w:rsidR="009A4FAD" w:rsidRPr="0075024C" w:rsidRDefault="0075024C" w:rsidP="00166AC9">
      <w:pPr>
        <w:spacing w:line="360" w:lineRule="auto"/>
        <w:jc w:val="both"/>
        <w:rPr>
          <w:rFonts w:ascii="Times New Roman" w:hAnsi="Times New Roman" w:cs="Times New Roman"/>
          <w:b/>
          <w:bCs/>
          <w:sz w:val="24"/>
          <w:szCs w:val="24"/>
        </w:rPr>
      </w:pPr>
      <w:r w:rsidRPr="0075024C">
        <w:rPr>
          <w:rFonts w:ascii="Times New Roman" w:hAnsi="Times New Roman" w:cs="Times New Roman"/>
          <w:b/>
          <w:sz w:val="24"/>
          <w:szCs w:val="24"/>
        </w:rPr>
        <w:t xml:space="preserve">REFERENCES: </w:t>
      </w:r>
    </w:p>
    <w:p w:rsidR="00F53484" w:rsidRDefault="00F53484" w:rsidP="00F53484">
      <w:pPr>
        <w:spacing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Akhtar, S., Kumari, R., Solankey, S. S. &amp; Baranwal,  D. K. (2019)</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Phenotypic stability in brinjal genotypes,</w:t>
      </w:r>
      <w:r w:rsidRPr="000248A7">
        <w:rPr>
          <w:rFonts w:ascii="Times New Roman" w:hAnsi="Times New Roman" w:cs="Times New Roman"/>
          <w:i/>
          <w:sz w:val="24"/>
          <w:szCs w:val="24"/>
          <w:shd w:val="clear" w:color="auto" w:fill="FFFFFF"/>
        </w:rPr>
        <w:t>Journal of Crop and Weed</w:t>
      </w:r>
      <w:r w:rsidRPr="000248A7">
        <w:rPr>
          <w:rFonts w:ascii="Times New Roman" w:hAnsi="Times New Roman" w:cs="Times New Roman"/>
          <w:sz w:val="24"/>
          <w:szCs w:val="24"/>
          <w:shd w:val="clear" w:color="auto" w:fill="FFFFFF"/>
        </w:rPr>
        <w:t>, 15(3):79–86.</w:t>
      </w:r>
    </w:p>
    <w:p w:rsidR="00F53484" w:rsidRPr="00DA4D8E" w:rsidRDefault="00F53484" w:rsidP="00F53484">
      <w:pPr>
        <w:spacing w:line="240" w:lineRule="auto"/>
        <w:jc w:val="both"/>
        <w:rPr>
          <w:rFonts w:ascii="Times New Roman" w:hAnsi="Times New Roman" w:cs="Times New Roman"/>
          <w:sz w:val="24"/>
          <w:szCs w:val="24"/>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Akhther, N., Islam, M. M. &amp; Hassan, M. K. (2021)</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Assessment of genetic diversity among sixty Five Brinjal Genotypes Using SSR markers, </w:t>
      </w:r>
      <w:r w:rsidRPr="000248A7">
        <w:rPr>
          <w:rFonts w:ascii="Times New Roman" w:hAnsi="Times New Roman" w:cs="Times New Roman"/>
          <w:i/>
          <w:sz w:val="24"/>
          <w:szCs w:val="24"/>
          <w:shd w:val="clear" w:color="auto" w:fill="FFFFFF"/>
        </w:rPr>
        <w:t>Bangladesh Journal of Nuclear Agriculture</w:t>
      </w:r>
      <w:r w:rsidRPr="000248A7">
        <w:rPr>
          <w:rFonts w:ascii="Times New Roman" w:hAnsi="Times New Roman" w:cs="Times New Roman"/>
          <w:sz w:val="24"/>
          <w:szCs w:val="24"/>
          <w:shd w:val="clear" w:color="auto" w:fill="FFFFFF"/>
        </w:rPr>
        <w:t>, 35: 71-83.</w:t>
      </w: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Ansari, A. M. &amp; Singh, Y. V. (2014)</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Combining ability analysis for vegetative, physiological and yield components in brinjal (</w:t>
      </w:r>
      <w:r w:rsidRPr="000248A7">
        <w:rPr>
          <w:rFonts w:ascii="Times New Roman" w:hAnsi="Times New Roman" w:cs="Times New Roman"/>
          <w:i/>
          <w:sz w:val="24"/>
          <w:szCs w:val="24"/>
          <w:shd w:val="clear" w:color="auto" w:fill="FFFFFF"/>
        </w:rPr>
        <w:t>Solanum melongena</w:t>
      </w:r>
      <w:r w:rsidRPr="000248A7">
        <w:rPr>
          <w:rFonts w:ascii="Times New Roman" w:hAnsi="Times New Roman" w:cs="Times New Roman"/>
          <w:sz w:val="24"/>
          <w:szCs w:val="24"/>
          <w:shd w:val="clear" w:color="auto" w:fill="FFFFFF"/>
        </w:rPr>
        <w:t xml:space="preserve"> L),</w:t>
      </w:r>
      <w:r w:rsidRPr="000248A7">
        <w:rPr>
          <w:rFonts w:ascii="Times New Roman" w:hAnsi="Times New Roman" w:cs="Times New Roman"/>
          <w:i/>
          <w:sz w:val="24"/>
          <w:szCs w:val="24"/>
          <w:shd w:val="clear" w:color="auto" w:fill="FFFFFF"/>
        </w:rPr>
        <w:t>International Science Journal</w:t>
      </w:r>
      <w:r w:rsidRPr="000248A7">
        <w:rPr>
          <w:rFonts w:ascii="Times New Roman" w:hAnsi="Times New Roman" w:cs="Times New Roman"/>
          <w:sz w:val="24"/>
          <w:szCs w:val="24"/>
          <w:shd w:val="clear" w:color="auto" w:fill="FFFFFF"/>
        </w:rPr>
        <w:t>, 1(2), 53-59.</w:t>
      </w:r>
    </w:p>
    <w:p w:rsidR="00F53484" w:rsidRPr="000248A7"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Arivalagan, M., Bhardwaj, R., Gangopadhyay, K. K., Prasad, T. V. &amp; Sarkar, S.K. (2013</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Mineral composition and their genetic variability analysis in eggplant (</w:t>
      </w:r>
      <w:r w:rsidRPr="000248A7">
        <w:rPr>
          <w:rFonts w:ascii="Times New Roman" w:hAnsi="Times New Roman" w:cs="Times New Roman"/>
          <w:i/>
          <w:sz w:val="24"/>
          <w:szCs w:val="24"/>
          <w:shd w:val="clear" w:color="auto" w:fill="FFFFFF"/>
        </w:rPr>
        <w:t>Solanum melongena</w:t>
      </w:r>
      <w:r w:rsidRPr="000248A7">
        <w:rPr>
          <w:rFonts w:ascii="Times New Roman" w:hAnsi="Times New Roman" w:cs="Times New Roman"/>
          <w:sz w:val="24"/>
          <w:szCs w:val="24"/>
          <w:shd w:val="clear" w:color="auto" w:fill="FFFFFF"/>
        </w:rPr>
        <w:t xml:space="preserve"> L) germplasm,</w:t>
      </w:r>
      <w:r w:rsidRPr="000248A7">
        <w:rPr>
          <w:rFonts w:ascii="Times New Roman" w:hAnsi="Times New Roman" w:cs="Times New Roman"/>
          <w:i/>
          <w:sz w:val="24"/>
          <w:szCs w:val="24"/>
          <w:shd w:val="clear" w:color="auto" w:fill="FFFFFF"/>
        </w:rPr>
        <w:t>Journal of Applied Botany and Food Quality</w:t>
      </w:r>
      <w:r w:rsidRPr="000248A7">
        <w:rPr>
          <w:rFonts w:ascii="Times New Roman" w:hAnsi="Times New Roman" w:cs="Times New Roman"/>
          <w:sz w:val="24"/>
          <w:szCs w:val="24"/>
          <w:shd w:val="clear" w:color="auto" w:fill="FFFFFF"/>
        </w:rPr>
        <w:t>, 86 (1).</w:t>
      </w:r>
    </w:p>
    <w:p w:rsidR="00F53484" w:rsidRPr="000248A7"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Caguiat, X. G. I.  &amp; Hautea, D. M. (2014)</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Genetic diversity analysis of eggplant (</w:t>
      </w:r>
      <w:r w:rsidRPr="000248A7">
        <w:rPr>
          <w:rFonts w:ascii="Times New Roman" w:hAnsi="Times New Roman" w:cs="Times New Roman"/>
          <w:i/>
          <w:sz w:val="24"/>
          <w:szCs w:val="24"/>
          <w:shd w:val="clear" w:color="auto" w:fill="FFFFFF"/>
        </w:rPr>
        <w:t>Solanum melongena</w:t>
      </w:r>
      <w:r w:rsidRPr="000248A7">
        <w:rPr>
          <w:rFonts w:ascii="Times New Roman" w:hAnsi="Times New Roman" w:cs="Times New Roman"/>
          <w:sz w:val="24"/>
          <w:szCs w:val="24"/>
          <w:shd w:val="clear" w:color="auto" w:fill="FFFFFF"/>
        </w:rPr>
        <w:t xml:space="preserve"> L) and related wild species in the Philippines using morphological and SSR markers,</w:t>
      </w:r>
      <w:r w:rsidRPr="000248A7">
        <w:rPr>
          <w:rFonts w:ascii="Times New Roman" w:hAnsi="Times New Roman" w:cs="Times New Roman"/>
          <w:i/>
          <w:sz w:val="24"/>
          <w:szCs w:val="24"/>
          <w:shd w:val="clear" w:color="auto" w:fill="FFFFFF"/>
        </w:rPr>
        <w:t>SABRAO Journal of Breeding and Genetics</w:t>
      </w:r>
      <w:r w:rsidRPr="000248A7">
        <w:rPr>
          <w:rFonts w:ascii="Times New Roman" w:hAnsi="Times New Roman" w:cs="Times New Roman"/>
          <w:sz w:val="24"/>
          <w:szCs w:val="24"/>
          <w:shd w:val="clear" w:color="auto" w:fill="FFFFFF"/>
        </w:rPr>
        <w:t>, 46(2), 183-201.</w:t>
      </w:r>
    </w:p>
    <w:p w:rsidR="00F53484" w:rsidRPr="000248A7"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Cericola, F., Portis, E., Lanteri, S., Toppino, L., Barchi, L., Acciarri, N. &amp; Rotino, G. L. (2013)</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Genetic structure, linkage disequilibrium and first insights on association mapping in an eggplant (</w:t>
      </w:r>
      <w:r w:rsidRPr="000248A7">
        <w:rPr>
          <w:rFonts w:ascii="Times New Roman" w:hAnsi="Times New Roman" w:cs="Times New Roman"/>
          <w:i/>
          <w:sz w:val="24"/>
          <w:szCs w:val="24"/>
          <w:shd w:val="clear" w:color="auto" w:fill="FFFFFF"/>
        </w:rPr>
        <w:t>Solanum melongena</w:t>
      </w:r>
      <w:r w:rsidRPr="000248A7">
        <w:rPr>
          <w:rFonts w:ascii="Times New Roman" w:hAnsi="Times New Roman" w:cs="Times New Roman"/>
          <w:sz w:val="24"/>
          <w:szCs w:val="24"/>
          <w:shd w:val="clear" w:color="auto" w:fill="FFFFFF"/>
        </w:rPr>
        <w:t xml:space="preserve"> L) germplasm collection, </w:t>
      </w:r>
      <w:r w:rsidRPr="000248A7">
        <w:rPr>
          <w:rFonts w:ascii="Times New Roman" w:hAnsi="Times New Roman" w:cs="Times New Roman"/>
          <w:i/>
          <w:sz w:val="24"/>
          <w:szCs w:val="24"/>
          <w:shd w:val="clear" w:color="auto" w:fill="FFFFFF"/>
        </w:rPr>
        <w:t>Breakthroughs in the Genetics and Breeding of Capsicum and Eggplant : XV EUCARPIA Meeting on Genetics and Breeding of Capsicum and Eggplant</w:t>
      </w:r>
      <w:r w:rsidRPr="000248A7">
        <w:rPr>
          <w:rFonts w:ascii="Times New Roman" w:hAnsi="Times New Roman" w:cs="Times New Roman"/>
          <w:sz w:val="24"/>
          <w:szCs w:val="24"/>
          <w:shd w:val="clear" w:color="auto" w:fill="FFFFFF"/>
        </w:rPr>
        <w:t>, 113-121.</w:t>
      </w: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Demir, K., Bakir, M., Sarikamis, G. &amp; Acunalp, S. (2010)</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Genetic diversity of eggplant (</w:t>
      </w:r>
      <w:r w:rsidRPr="000248A7">
        <w:rPr>
          <w:rFonts w:ascii="Times New Roman" w:hAnsi="Times New Roman" w:cs="Times New Roman"/>
          <w:i/>
          <w:sz w:val="24"/>
          <w:szCs w:val="24"/>
          <w:shd w:val="clear" w:color="auto" w:fill="FFFFFF"/>
        </w:rPr>
        <w:t>Solanum melongena</w:t>
      </w:r>
      <w:r w:rsidRPr="000248A7">
        <w:rPr>
          <w:rFonts w:ascii="Times New Roman" w:hAnsi="Times New Roman" w:cs="Times New Roman"/>
          <w:sz w:val="24"/>
          <w:szCs w:val="24"/>
          <w:shd w:val="clear" w:color="auto" w:fill="FFFFFF"/>
        </w:rPr>
        <w:t>) germplasm from Turkey assessed by SSR and RAPD markers,</w:t>
      </w:r>
      <w:r w:rsidRPr="000248A7">
        <w:rPr>
          <w:rFonts w:ascii="Times New Roman" w:hAnsi="Times New Roman" w:cs="Times New Roman"/>
          <w:i/>
          <w:sz w:val="24"/>
          <w:szCs w:val="24"/>
          <w:shd w:val="clear" w:color="auto" w:fill="FFFFFF"/>
        </w:rPr>
        <w:t>Genetics and Molecular Research</w:t>
      </w:r>
      <w:r w:rsidRPr="000248A7">
        <w:rPr>
          <w:rFonts w:ascii="Times New Roman" w:hAnsi="Times New Roman" w:cs="Times New Roman"/>
          <w:sz w:val="24"/>
          <w:szCs w:val="24"/>
          <w:shd w:val="clear" w:color="auto" w:fill="FFFFFF"/>
        </w:rPr>
        <w:t>, 9(3).</w:t>
      </w: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Doyle, J. J. &amp; Doyle, J. L. (1990)</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Isolation of Plant DNA from Fresh Tissue, </w:t>
      </w:r>
      <w:r w:rsidRPr="000248A7">
        <w:rPr>
          <w:rFonts w:ascii="Times New Roman" w:hAnsi="Times New Roman" w:cs="Times New Roman"/>
          <w:i/>
          <w:sz w:val="24"/>
          <w:szCs w:val="24"/>
          <w:shd w:val="clear" w:color="auto" w:fill="FFFFFF"/>
        </w:rPr>
        <w:t>Focus</w:t>
      </w:r>
      <w:r w:rsidRPr="000248A7">
        <w:rPr>
          <w:rFonts w:ascii="Times New Roman" w:hAnsi="Times New Roman" w:cs="Times New Roman"/>
          <w:sz w:val="24"/>
          <w:szCs w:val="24"/>
          <w:shd w:val="clear" w:color="auto" w:fill="FFFFFF"/>
        </w:rPr>
        <w:t>, 12 (1), 13-15.</w:t>
      </w: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lastRenderedPageBreak/>
        <w:t>Fallahi, F., Abdossi, V., Bagheri, M., GhanbariJahromi, M. &amp; Mozafari, H. (2022)</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Genetic diversity analysis of Eggplant Germplasm from Iran: assessments by morphological and SSR markers,</w:t>
      </w:r>
      <w:r w:rsidRPr="000248A7">
        <w:rPr>
          <w:rFonts w:ascii="Times New Roman" w:hAnsi="Times New Roman" w:cs="Times New Roman"/>
          <w:i/>
          <w:sz w:val="24"/>
          <w:szCs w:val="24"/>
          <w:shd w:val="clear" w:color="auto" w:fill="FFFFFF"/>
        </w:rPr>
        <w:t>Molecular Biology Reports</w:t>
      </w:r>
      <w:r w:rsidRPr="000248A7">
        <w:rPr>
          <w:rFonts w:ascii="Times New Roman" w:hAnsi="Times New Roman" w:cs="Times New Roman"/>
          <w:sz w:val="24"/>
          <w:szCs w:val="24"/>
          <w:shd w:val="clear" w:color="auto" w:fill="FFFFFF"/>
        </w:rPr>
        <w:t>, 49(12), 11705-11714.</w:t>
      </w:r>
    </w:p>
    <w:p w:rsidR="00F53484" w:rsidRPr="000248A7"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 xml:space="preserve">FAOSTAT: </w:t>
      </w:r>
      <w:hyperlink r:id="rId8" w:anchor="data" w:history="1">
        <w:r w:rsidRPr="000248A7">
          <w:rPr>
            <w:rStyle w:val="Hyperlink"/>
            <w:rFonts w:ascii="Times New Roman" w:hAnsi="Times New Roman" w:cs="Times New Roman"/>
            <w:sz w:val="24"/>
            <w:szCs w:val="24"/>
            <w:shd w:val="clear" w:color="auto" w:fill="FFFFFF"/>
          </w:rPr>
          <w:t>https://wwwfaoorg/faostat/en/#data</w:t>
        </w:r>
      </w:hyperlink>
      <w:r w:rsidRPr="000248A7">
        <w:rPr>
          <w:rFonts w:ascii="Times New Roman" w:hAnsi="Times New Roman" w:cs="Times New Roman"/>
          <w:sz w:val="24"/>
          <w:szCs w:val="24"/>
          <w:shd w:val="clear" w:color="auto" w:fill="FFFFFF"/>
        </w:rPr>
        <w:t>, 2022.</w:t>
      </w:r>
    </w:p>
    <w:p w:rsidR="00F53484" w:rsidRPr="000248A7"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Fu, Q., Liu, C., Ding, N., Lin, Y. &amp; Guo, B. (2010)</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Ameliorative effects of inoculation with the plant growth-promoting rhizobacterium Pseudomonas sp DW1 on growth of eggplant (</w:t>
      </w:r>
      <w:r w:rsidRPr="000248A7">
        <w:rPr>
          <w:rFonts w:ascii="Times New Roman" w:hAnsi="Times New Roman" w:cs="Times New Roman"/>
          <w:i/>
          <w:sz w:val="24"/>
          <w:szCs w:val="24"/>
          <w:shd w:val="clear" w:color="auto" w:fill="FFFFFF"/>
        </w:rPr>
        <w:t>Solanum melongena</w:t>
      </w:r>
      <w:r w:rsidRPr="000248A7">
        <w:rPr>
          <w:rFonts w:ascii="Times New Roman" w:hAnsi="Times New Roman" w:cs="Times New Roman"/>
          <w:sz w:val="24"/>
          <w:szCs w:val="24"/>
          <w:shd w:val="clear" w:color="auto" w:fill="FFFFFF"/>
        </w:rPr>
        <w:t xml:space="preserve"> L) seedlings under salt stress Agricultural Water Management, </w:t>
      </w:r>
      <w:r w:rsidRPr="000248A7">
        <w:rPr>
          <w:rFonts w:ascii="Times New Roman" w:hAnsi="Times New Roman" w:cs="Times New Roman"/>
          <w:i/>
          <w:sz w:val="24"/>
          <w:szCs w:val="24"/>
          <w:shd w:val="clear" w:color="auto" w:fill="FFFFFF"/>
        </w:rPr>
        <w:t>Agricultural Water Management</w:t>
      </w:r>
      <w:r w:rsidRPr="000248A7">
        <w:rPr>
          <w:rFonts w:ascii="Times New Roman" w:hAnsi="Times New Roman" w:cs="Times New Roman"/>
          <w:sz w:val="24"/>
          <w:szCs w:val="24"/>
          <w:shd w:val="clear" w:color="auto" w:fill="FFFFFF"/>
        </w:rPr>
        <w:t>, 97(12), 1994-2000.</w:t>
      </w: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Gaccione, L., Martina, M., Barchi, L. &amp; Portis, E. (2023)</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A compendium for novel marker-based breeding strategies in eggplant,</w:t>
      </w:r>
      <w:r w:rsidRPr="000248A7">
        <w:rPr>
          <w:rFonts w:ascii="Times New Roman" w:hAnsi="Times New Roman" w:cs="Times New Roman"/>
          <w:i/>
          <w:sz w:val="24"/>
          <w:szCs w:val="24"/>
          <w:shd w:val="clear" w:color="auto" w:fill="FFFFFF"/>
        </w:rPr>
        <w:t>Plants</w:t>
      </w:r>
      <w:r w:rsidRPr="000248A7">
        <w:rPr>
          <w:rFonts w:ascii="Times New Roman" w:hAnsi="Times New Roman" w:cs="Times New Roman"/>
          <w:sz w:val="24"/>
          <w:szCs w:val="24"/>
          <w:shd w:val="clear" w:color="auto" w:fill="FFFFFF"/>
        </w:rPr>
        <w:t>, 12(5), 1016.</w:t>
      </w:r>
    </w:p>
    <w:p w:rsidR="00F53484" w:rsidRPr="000248A7"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Gramazio, P., ProhensTomás, J., Plazas Ávila, M. D. L. O., Mangino, G., HerraizGarcía, F. J., García-Fortea, E. &amp; Vilanova Navarro, S. (2018)</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Genomic tools for the enhancement of vegetable crops: a case in eggplant,</w:t>
      </w:r>
      <w:r w:rsidRPr="000248A7">
        <w:rPr>
          <w:rFonts w:ascii="Times New Roman" w:hAnsi="Times New Roman" w:cs="Times New Roman"/>
          <w:i/>
          <w:sz w:val="24"/>
          <w:szCs w:val="24"/>
          <w:shd w:val="clear" w:color="auto" w:fill="FFFFFF"/>
        </w:rPr>
        <w:t>NotulaeBotanicaeHortiAgrobotanici Cluj-Napoca</w:t>
      </w:r>
      <w:r w:rsidRPr="000248A7">
        <w:rPr>
          <w:rFonts w:ascii="Times New Roman" w:hAnsi="Times New Roman" w:cs="Times New Roman"/>
          <w:sz w:val="24"/>
          <w:szCs w:val="24"/>
          <w:shd w:val="clear" w:color="auto" w:fill="FFFFFF"/>
        </w:rPr>
        <w:t>, 46(1), 1-13.</w:t>
      </w: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Hirakawa, H., Shirasawa, K., Miyatake, K., Nunome, T., Negoro, S., Ohyama, A. &amp; Fukuoka, H.</w:t>
      </w:r>
      <w:r>
        <w:rPr>
          <w:rFonts w:ascii="Times New Roman" w:hAnsi="Times New Roman" w:cs="Times New Roman"/>
          <w:sz w:val="24"/>
          <w:szCs w:val="24"/>
          <w:shd w:val="clear" w:color="auto" w:fill="FFFFFF"/>
        </w:rPr>
        <w:t xml:space="preserve"> (2014). </w:t>
      </w:r>
      <w:r w:rsidRPr="000248A7">
        <w:rPr>
          <w:rFonts w:ascii="Times New Roman" w:hAnsi="Times New Roman" w:cs="Times New Roman"/>
          <w:sz w:val="24"/>
          <w:szCs w:val="24"/>
          <w:shd w:val="clear" w:color="auto" w:fill="FFFFFF"/>
        </w:rPr>
        <w:t>Draft genome sequence of eggplant (</w:t>
      </w:r>
      <w:r w:rsidRPr="000248A7">
        <w:rPr>
          <w:rFonts w:ascii="Times New Roman" w:hAnsi="Times New Roman" w:cs="Times New Roman"/>
          <w:i/>
          <w:sz w:val="24"/>
          <w:szCs w:val="24"/>
          <w:shd w:val="clear" w:color="auto" w:fill="FFFFFF"/>
        </w:rPr>
        <w:t>Solanum melongena</w:t>
      </w:r>
      <w:r w:rsidRPr="000248A7">
        <w:rPr>
          <w:rFonts w:ascii="Times New Roman" w:hAnsi="Times New Roman" w:cs="Times New Roman"/>
          <w:sz w:val="24"/>
          <w:szCs w:val="24"/>
          <w:shd w:val="clear" w:color="auto" w:fill="FFFFFF"/>
        </w:rPr>
        <w:t xml:space="preserve"> L): the representative solanum species indigenous to the old world, </w:t>
      </w:r>
      <w:r w:rsidRPr="000248A7">
        <w:rPr>
          <w:rFonts w:ascii="Times New Roman" w:hAnsi="Times New Roman" w:cs="Times New Roman"/>
          <w:i/>
          <w:sz w:val="24"/>
          <w:szCs w:val="24"/>
          <w:shd w:val="clear" w:color="auto" w:fill="FFFFFF"/>
        </w:rPr>
        <w:t>DNA Research</w:t>
      </w:r>
      <w:r w:rsidRPr="000248A7">
        <w:rPr>
          <w:rFonts w:ascii="Times New Roman" w:hAnsi="Times New Roman" w:cs="Times New Roman"/>
          <w:sz w:val="24"/>
          <w:szCs w:val="24"/>
          <w:shd w:val="clear" w:color="auto" w:fill="FFFFFF"/>
        </w:rPr>
        <w:t>, 21(6)</w:t>
      </w:r>
      <w:r w:rsidRPr="000248A7">
        <w:rPr>
          <w:rFonts w:ascii="Times New Roman" w:hAnsi="Times New Roman" w:cs="Times New Roman"/>
          <w:sz w:val="24"/>
          <w:szCs w:val="24"/>
          <w:shd w:val="clear" w:color="auto" w:fill="FFFFFF"/>
          <w:lang w:val="en-US"/>
        </w:rPr>
        <w:t>:</w:t>
      </w:r>
      <w:r w:rsidRPr="000248A7">
        <w:rPr>
          <w:rFonts w:ascii="Times New Roman" w:hAnsi="Times New Roman" w:cs="Times New Roman"/>
          <w:sz w:val="24"/>
          <w:szCs w:val="24"/>
          <w:shd w:val="clear" w:color="auto" w:fill="FFFFFF"/>
        </w:rPr>
        <w:t xml:space="preserve"> 649-660.</w:t>
      </w:r>
    </w:p>
    <w:p w:rsidR="00F53484" w:rsidRPr="000248A7"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Li, D., Qian, J., Li, W., Yu, N., Gan, G., Jiang, Y,  &amp; Wang, Y. (2021)</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A high</w:t>
      </w:r>
      <w:r w:rsidRPr="000248A7">
        <w:rPr>
          <w:rFonts w:ascii="Cambria Math" w:hAnsi="Cambria Math" w:cs="Times New Roman"/>
          <w:sz w:val="24"/>
          <w:szCs w:val="24"/>
          <w:shd w:val="clear" w:color="auto" w:fill="FFFFFF"/>
        </w:rPr>
        <w:t>‐</w:t>
      </w:r>
      <w:r w:rsidRPr="000248A7">
        <w:rPr>
          <w:rFonts w:ascii="Times New Roman" w:hAnsi="Times New Roman" w:cs="Times New Roman"/>
          <w:sz w:val="24"/>
          <w:szCs w:val="24"/>
          <w:shd w:val="clear" w:color="auto" w:fill="FFFFFF"/>
        </w:rPr>
        <w:t>quality genome assembly of the eggplant provides insights into the molecular basis of disease resistance and chlorogenic acid synthesis,</w:t>
      </w:r>
      <w:r w:rsidRPr="000248A7">
        <w:rPr>
          <w:rFonts w:ascii="Times New Roman" w:hAnsi="Times New Roman" w:cs="Times New Roman"/>
          <w:i/>
          <w:sz w:val="24"/>
          <w:szCs w:val="24"/>
          <w:shd w:val="clear" w:color="auto" w:fill="FFFFFF"/>
        </w:rPr>
        <w:t>Molecular Ecology Resources</w:t>
      </w:r>
      <w:r w:rsidRPr="000248A7">
        <w:rPr>
          <w:rFonts w:ascii="Times New Roman" w:hAnsi="Times New Roman" w:cs="Times New Roman"/>
          <w:sz w:val="24"/>
          <w:szCs w:val="24"/>
          <w:shd w:val="clear" w:color="auto" w:fill="FFFFFF"/>
        </w:rPr>
        <w:t>, 21(4), 1274-1286.</w:t>
      </w: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Lipio, P. L. G., Oloc-oloc, I. B. M., Guinto, T. D., Diamante,  B. A. A.,  Caraan,  J. A. M., Hermoso, R. T.,  &amp; Hautea, D. M. (2024)</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Genetic Diversity Analysis of a Multi-Gene Bank Collection of Eggplant (</w:t>
      </w:r>
      <w:r w:rsidRPr="000248A7">
        <w:rPr>
          <w:rFonts w:ascii="Times New Roman" w:hAnsi="Times New Roman" w:cs="Times New Roman"/>
          <w:i/>
          <w:sz w:val="24"/>
          <w:szCs w:val="24"/>
          <w:shd w:val="clear" w:color="auto" w:fill="FFFFFF"/>
        </w:rPr>
        <w:t>Solanum melongena</w:t>
      </w:r>
      <w:r w:rsidRPr="000248A7">
        <w:rPr>
          <w:rFonts w:ascii="Times New Roman" w:hAnsi="Times New Roman" w:cs="Times New Roman"/>
          <w:sz w:val="24"/>
          <w:szCs w:val="24"/>
          <w:shd w:val="clear" w:color="auto" w:fill="FFFFFF"/>
        </w:rPr>
        <w:t xml:space="preserve"> L): Insights from Morphological Traits and SSR Markers, </w:t>
      </w:r>
      <w:r w:rsidRPr="000248A7">
        <w:rPr>
          <w:rFonts w:ascii="Times New Roman" w:hAnsi="Times New Roman" w:cs="Times New Roman"/>
          <w:i/>
          <w:sz w:val="24"/>
          <w:szCs w:val="24"/>
          <w:shd w:val="clear" w:color="auto" w:fill="FFFFFF"/>
        </w:rPr>
        <w:t>bioRxiv</w:t>
      </w:r>
      <w:r w:rsidRPr="000248A7">
        <w:rPr>
          <w:rFonts w:ascii="Times New Roman" w:hAnsi="Times New Roman" w:cs="Times New Roman"/>
          <w:sz w:val="24"/>
          <w:szCs w:val="24"/>
          <w:shd w:val="clear" w:color="auto" w:fill="FFFFFF"/>
        </w:rPr>
        <w:t>, 2024-04.</w:t>
      </w: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Musa, I., Yusop, M. R., Magaji, U., Chukwu, S. C., Ayanda, A. F., Rini, B. Y., &amp; Kiri, A. S. (2024)</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Morphological and molecular diversity of eggplant accessions (</w:t>
      </w:r>
      <w:r w:rsidRPr="000248A7">
        <w:rPr>
          <w:rFonts w:ascii="Times New Roman" w:hAnsi="Times New Roman" w:cs="Times New Roman"/>
          <w:i/>
          <w:sz w:val="24"/>
          <w:szCs w:val="24"/>
          <w:shd w:val="clear" w:color="auto" w:fill="FFFFFF"/>
        </w:rPr>
        <w:t>Solanum melongena</w:t>
      </w:r>
      <w:r w:rsidRPr="000248A7">
        <w:rPr>
          <w:rFonts w:ascii="Times New Roman" w:hAnsi="Times New Roman" w:cs="Times New Roman"/>
          <w:sz w:val="24"/>
          <w:szCs w:val="24"/>
          <w:shd w:val="clear" w:color="auto" w:fill="FFFFFF"/>
        </w:rPr>
        <w:t xml:space="preserve"> L) using simple sequence repeats (SSR) markers,</w:t>
      </w:r>
      <w:r w:rsidRPr="000248A7">
        <w:rPr>
          <w:rFonts w:ascii="Times New Roman" w:hAnsi="Times New Roman" w:cs="Times New Roman"/>
          <w:i/>
          <w:sz w:val="24"/>
          <w:szCs w:val="24"/>
          <w:shd w:val="clear" w:color="auto" w:fill="FFFFFF"/>
        </w:rPr>
        <w:t>Innovations in Agriculture</w:t>
      </w:r>
      <w:r w:rsidRPr="000248A7">
        <w:rPr>
          <w:rFonts w:ascii="Times New Roman" w:hAnsi="Times New Roman" w:cs="Times New Roman"/>
          <w:sz w:val="24"/>
          <w:szCs w:val="24"/>
          <w:shd w:val="clear" w:color="auto" w:fill="FFFFFF"/>
        </w:rPr>
        <w:t>, 7, 1-9.</w:t>
      </w: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line="240" w:lineRule="auto"/>
        <w:jc w:val="both"/>
        <w:rPr>
          <w:rFonts w:ascii="Times New Roman" w:eastAsia="Calibri" w:hAnsi="Times New Roman" w:cs="Times New Roman"/>
          <w:color w:val="333333"/>
          <w:kern w:val="2"/>
          <w:sz w:val="24"/>
          <w:szCs w:val="24"/>
          <w:shd w:val="clear" w:color="auto" w:fill="FFFFFF"/>
        </w:rPr>
      </w:pPr>
      <w:r w:rsidRPr="000248A7">
        <w:rPr>
          <w:rFonts w:ascii="Times New Roman" w:eastAsia="Calibri" w:hAnsi="Times New Roman" w:cs="Times New Roman"/>
          <w:color w:val="333333"/>
          <w:kern w:val="2"/>
          <w:sz w:val="24"/>
          <w:szCs w:val="24"/>
          <w:shd w:val="clear" w:color="auto" w:fill="FFFFFF"/>
        </w:rPr>
        <w:t xml:space="preserve">Nagar, K. L., Rana, D. K., Barela, A  &amp; Rahangdale, S. (2024). Study of Genetic Diversity and Genetic Advance in Brinjal for Morpho-Economic Traits (Solanum melongena L.). </w:t>
      </w:r>
      <w:r w:rsidRPr="000248A7">
        <w:rPr>
          <w:rFonts w:ascii="Times New Roman" w:eastAsia="Calibri" w:hAnsi="Times New Roman" w:cs="Times New Roman"/>
          <w:i/>
          <w:color w:val="333333"/>
          <w:kern w:val="2"/>
          <w:sz w:val="24"/>
          <w:szCs w:val="24"/>
          <w:shd w:val="clear" w:color="auto" w:fill="FFFFFF"/>
        </w:rPr>
        <w:t>Int. J.Environ. Clim. Change.</w:t>
      </w:r>
      <w:r w:rsidRPr="000248A7">
        <w:rPr>
          <w:rFonts w:ascii="Times New Roman" w:eastAsia="Calibri" w:hAnsi="Times New Roman" w:cs="Times New Roman"/>
          <w:color w:val="333333"/>
          <w:kern w:val="2"/>
          <w:sz w:val="24"/>
          <w:szCs w:val="24"/>
          <w:shd w:val="clear" w:color="auto" w:fill="FFFFFF"/>
        </w:rPr>
        <w:t xml:space="preserve"> 14(3):437-44. Available from: </w:t>
      </w:r>
      <w:hyperlink r:id="rId9" w:history="1">
        <w:r w:rsidRPr="000248A7">
          <w:rPr>
            <w:rFonts w:ascii="Times New Roman" w:eastAsia="Calibri" w:hAnsi="Times New Roman" w:cs="Times New Roman"/>
            <w:color w:val="0563C1"/>
            <w:kern w:val="2"/>
            <w:sz w:val="24"/>
            <w:szCs w:val="24"/>
            <w:u w:val="single"/>
            <w:shd w:val="clear" w:color="auto" w:fill="FFFFFF"/>
          </w:rPr>
          <w:t>https://journalijecc.com/index.php/IJECC/article/view/4054</w:t>
        </w:r>
      </w:hyperlink>
      <w:r>
        <w:rPr>
          <w:rFonts w:ascii="Times New Roman" w:eastAsia="Calibri" w:hAnsi="Times New Roman" w:cs="Times New Roman"/>
          <w:color w:val="333333"/>
          <w:kern w:val="2"/>
          <w:sz w:val="24"/>
          <w:szCs w:val="24"/>
          <w:shd w:val="clear" w:color="auto" w:fill="FFFFFF"/>
        </w:rPr>
        <w:t>.</w:t>
      </w:r>
    </w:p>
    <w:p w:rsidR="00F53484" w:rsidRPr="000248A7" w:rsidRDefault="00F53484" w:rsidP="00F53484">
      <w:pPr>
        <w:spacing w:line="240" w:lineRule="auto"/>
        <w:jc w:val="both"/>
        <w:rPr>
          <w:rFonts w:ascii="Times New Roman" w:hAnsi="Times New Roman" w:cs="Times New Roman"/>
          <w:sz w:val="24"/>
          <w:szCs w:val="24"/>
          <w:lang w:val="en-GB"/>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lastRenderedPageBreak/>
        <w:t>Nandi,  L. L., Saha, P., Jaiswal, S., Lyngdoh, Y. A., Behera, T. K., Pan, R. S. &amp; Tomar, B. S. (2021)</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Bioactive compounds, antioxidant activity and elements content variation in indigenous and exotic Solanumsp and their suitability in recommended daily diet,</w:t>
      </w:r>
      <w:r w:rsidRPr="000248A7">
        <w:rPr>
          <w:rFonts w:ascii="Times New Roman" w:hAnsi="Times New Roman" w:cs="Times New Roman"/>
          <w:i/>
          <w:sz w:val="24"/>
          <w:szCs w:val="24"/>
          <w:shd w:val="clear" w:color="auto" w:fill="FFFFFF"/>
        </w:rPr>
        <w:t>ScientiaHorticulturae</w:t>
      </w:r>
      <w:r w:rsidRPr="000248A7">
        <w:rPr>
          <w:rFonts w:ascii="Times New Roman" w:hAnsi="Times New Roman" w:cs="Times New Roman"/>
          <w:sz w:val="24"/>
          <w:szCs w:val="24"/>
          <w:shd w:val="clear" w:color="auto" w:fill="FFFFFF"/>
        </w:rPr>
        <w:t>, 287, 110232.</w:t>
      </w:r>
    </w:p>
    <w:p w:rsidR="00F53484" w:rsidRPr="000248A7"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Pr="000248A7"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Nunome, T., Negoro, S., Kono, I., Kanamori, H., Miyatake, K., Yamaguchi, H. &amp; Fukuoka, H. (2009)</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Development of SSR markers derived from SSR-enriched genomic library of eggplant (</w:t>
      </w:r>
      <w:r w:rsidRPr="000248A7">
        <w:rPr>
          <w:rFonts w:ascii="Times New Roman" w:hAnsi="Times New Roman" w:cs="Times New Roman"/>
          <w:i/>
          <w:iCs/>
          <w:sz w:val="24"/>
          <w:szCs w:val="24"/>
          <w:shd w:val="clear" w:color="auto" w:fill="FFFFFF"/>
        </w:rPr>
        <w:t>Solanum melongena</w:t>
      </w:r>
      <w:r w:rsidRPr="000248A7">
        <w:rPr>
          <w:rFonts w:ascii="Times New Roman" w:hAnsi="Times New Roman" w:cs="Times New Roman"/>
          <w:sz w:val="24"/>
          <w:szCs w:val="24"/>
          <w:shd w:val="clear" w:color="auto" w:fill="FFFFFF"/>
        </w:rPr>
        <w:t xml:space="preserve"> L), </w:t>
      </w:r>
      <w:r w:rsidRPr="000248A7">
        <w:rPr>
          <w:rFonts w:ascii="Times New Roman" w:hAnsi="Times New Roman" w:cs="Times New Roman"/>
          <w:i/>
          <w:sz w:val="24"/>
          <w:szCs w:val="24"/>
          <w:shd w:val="clear" w:color="auto" w:fill="FFFFFF"/>
        </w:rPr>
        <w:t>Theoretical and Applied Genetics</w:t>
      </w:r>
      <w:r w:rsidRPr="000248A7">
        <w:rPr>
          <w:rFonts w:ascii="Times New Roman" w:hAnsi="Times New Roman" w:cs="Times New Roman"/>
          <w:sz w:val="24"/>
          <w:szCs w:val="24"/>
          <w:shd w:val="clear" w:color="auto" w:fill="FFFFFF"/>
        </w:rPr>
        <w:t>, 119(6), 1143-1153.</w:t>
      </w: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Oladosu, Y., Rafii, M. Y., Arolu, F., Chukwu, S. C., Salisu, M. A., Olaniyan, B. A  &amp; Muftaudeen, T. K. (2021)</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Genetic diversity and utilization of cultivated eggplant germplasm in varietal improvement, </w:t>
      </w:r>
      <w:r w:rsidRPr="000248A7">
        <w:rPr>
          <w:rFonts w:ascii="Times New Roman" w:hAnsi="Times New Roman" w:cs="Times New Roman"/>
          <w:i/>
          <w:sz w:val="24"/>
          <w:szCs w:val="24"/>
          <w:shd w:val="clear" w:color="auto" w:fill="FFFFFF"/>
        </w:rPr>
        <w:t>Plants</w:t>
      </w:r>
      <w:r w:rsidRPr="000248A7">
        <w:rPr>
          <w:rFonts w:ascii="Times New Roman" w:hAnsi="Times New Roman" w:cs="Times New Roman"/>
          <w:sz w:val="24"/>
          <w:szCs w:val="24"/>
          <w:shd w:val="clear" w:color="auto" w:fill="FFFFFF"/>
        </w:rPr>
        <w:t>, 10(8), 1714.</w:t>
      </w: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rPr>
      </w:pPr>
      <w:r w:rsidRPr="000248A7">
        <w:rPr>
          <w:rFonts w:ascii="Times New Roman" w:hAnsi="Times New Roman" w:cs="Times New Roman"/>
          <w:sz w:val="24"/>
          <w:szCs w:val="24"/>
        </w:rPr>
        <w:t>Panwar P., Nath M., Yadav V. K. and Kumar A. (2010). Comparative evaluation of genetic diversity using RAPD, SSR and cytochome P450 gene based markers with respect to calcium content in finger millet (Eleusine coracana L. Gaertn.). J. Genet. 89, 121–133.</w:t>
      </w:r>
    </w:p>
    <w:p w:rsidR="00F53484" w:rsidRDefault="00F53484" w:rsidP="00F53484">
      <w:pPr>
        <w:spacing w:before="120" w:after="120" w:line="240" w:lineRule="auto"/>
        <w:jc w:val="both"/>
        <w:rPr>
          <w:rFonts w:ascii="Times New Roman" w:hAnsi="Times New Roman" w:cs="Times New Roman"/>
          <w:sz w:val="24"/>
          <w:szCs w:val="24"/>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Prasad, S. S., Singh, A., Patil, K., Ramteke, P. W., Kumar, N., Shukla, P. K.  &amp; Srija, M. S. L. (2024)</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Next-Generation Sequencing (NGS) Application in Plant Breeding,</w:t>
      </w:r>
      <w:r w:rsidRPr="000248A7">
        <w:rPr>
          <w:rFonts w:ascii="Times New Roman" w:hAnsi="Times New Roman" w:cs="Times New Roman"/>
          <w:i/>
          <w:sz w:val="24"/>
          <w:szCs w:val="24"/>
          <w:shd w:val="clear" w:color="auto" w:fill="FFFFFF"/>
        </w:rPr>
        <w:t>Plant Molecular Breeding in Genomics Era</w:t>
      </w:r>
      <w:r w:rsidRPr="000248A7">
        <w:rPr>
          <w:rFonts w:ascii="Times New Roman" w:hAnsi="Times New Roman" w:cs="Times New Roman"/>
          <w:sz w:val="24"/>
          <w:szCs w:val="24"/>
          <w:shd w:val="clear" w:color="auto" w:fill="FFFFFF"/>
        </w:rPr>
        <w:t>, 149.</w:t>
      </w:r>
    </w:p>
    <w:p w:rsidR="00F53484" w:rsidRPr="000248A7"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Rajan, N., Debnath,  S., Perveen, K., Khan, F., Pandey, B., Srivastava, A. &amp;  Lal, M. (2023)</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Optimizing hybrid vigor: a comprehensive analysis of genetic distance and heterosis in eggplant landraces,</w:t>
      </w:r>
      <w:r w:rsidRPr="000248A7">
        <w:rPr>
          <w:rFonts w:ascii="Times New Roman" w:hAnsi="Times New Roman" w:cs="Times New Roman"/>
          <w:i/>
          <w:sz w:val="24"/>
          <w:szCs w:val="24"/>
          <w:shd w:val="clear" w:color="auto" w:fill="FFFFFF"/>
        </w:rPr>
        <w:t>Frontiers in Plant Science</w:t>
      </w:r>
      <w:r w:rsidRPr="000248A7">
        <w:rPr>
          <w:rFonts w:ascii="Times New Roman" w:hAnsi="Times New Roman" w:cs="Times New Roman"/>
          <w:sz w:val="24"/>
          <w:szCs w:val="24"/>
          <w:shd w:val="clear" w:color="auto" w:fill="FFFFFF"/>
        </w:rPr>
        <w:t>, 14, 1238870.</w:t>
      </w: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Rao, V. G., Viswanath, H. S., Ambadkar, C. V., Navgire, K. D. &amp; Apet, K. T. (2022)</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Management of Fusarium Wilt (</w:t>
      </w:r>
      <w:r w:rsidRPr="000248A7">
        <w:rPr>
          <w:rFonts w:ascii="Times New Roman" w:hAnsi="Times New Roman" w:cs="Times New Roman"/>
          <w:i/>
          <w:sz w:val="24"/>
          <w:szCs w:val="24"/>
          <w:shd w:val="clear" w:color="auto" w:fill="FFFFFF"/>
        </w:rPr>
        <w:t>Fusariumoxysporum</w:t>
      </w:r>
      <w:r w:rsidRPr="000248A7">
        <w:rPr>
          <w:rFonts w:ascii="Times New Roman" w:hAnsi="Times New Roman" w:cs="Times New Roman"/>
          <w:sz w:val="24"/>
          <w:szCs w:val="24"/>
          <w:shd w:val="clear" w:color="auto" w:fill="FFFFFF"/>
        </w:rPr>
        <w:t xml:space="preserve"> f sp</w:t>
      </w:r>
      <w:r w:rsidRPr="000248A7">
        <w:rPr>
          <w:rFonts w:ascii="Times New Roman" w:hAnsi="Times New Roman" w:cs="Times New Roman"/>
          <w:i/>
          <w:sz w:val="24"/>
          <w:szCs w:val="24"/>
          <w:shd w:val="clear" w:color="auto" w:fill="FFFFFF"/>
        </w:rPr>
        <w:t>melongenae</w:t>
      </w:r>
      <w:r w:rsidRPr="000248A7">
        <w:rPr>
          <w:rFonts w:ascii="Times New Roman" w:hAnsi="Times New Roman" w:cs="Times New Roman"/>
          <w:sz w:val="24"/>
          <w:szCs w:val="24"/>
          <w:shd w:val="clear" w:color="auto" w:fill="FFFFFF"/>
        </w:rPr>
        <w:t>) using Organic Soil Amendments in Eggplant,</w:t>
      </w:r>
      <w:r w:rsidRPr="000248A7">
        <w:rPr>
          <w:rFonts w:ascii="Times New Roman" w:hAnsi="Times New Roman" w:cs="Times New Roman"/>
          <w:i/>
          <w:sz w:val="24"/>
          <w:szCs w:val="24"/>
          <w:shd w:val="clear" w:color="auto" w:fill="FFFFFF"/>
        </w:rPr>
        <w:t>International Journal of Plant &amp; Soil Science</w:t>
      </w:r>
      <w:r w:rsidRPr="000248A7">
        <w:rPr>
          <w:rFonts w:ascii="Times New Roman" w:hAnsi="Times New Roman" w:cs="Times New Roman"/>
          <w:sz w:val="24"/>
          <w:szCs w:val="24"/>
          <w:shd w:val="clear" w:color="auto" w:fill="FFFFFF"/>
        </w:rPr>
        <w:t>, 34(24), 47-56.</w:t>
      </w:r>
    </w:p>
    <w:p w:rsidR="00F53484" w:rsidRPr="000248A7"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i/>
          <w:sz w:val="24"/>
          <w:szCs w:val="24"/>
          <w:shd w:val="clear" w:color="auto" w:fill="FFFFFF"/>
        </w:rPr>
      </w:pPr>
      <w:r w:rsidRPr="0009314D">
        <w:rPr>
          <w:rStyle w:val="Emphasis"/>
          <w:rFonts w:ascii="Times New Roman" w:hAnsi="Times New Roman" w:cs="Times New Roman"/>
          <w:sz w:val="24"/>
          <w:szCs w:val="24"/>
        </w:rPr>
        <w:t>Saha, P., Singh, J., Bhanushree, N., Harisha, S. M., Tomar, B. S. &amp; Rathinasabapathi, B. (2023)</w:t>
      </w:r>
      <w:r>
        <w:rPr>
          <w:rStyle w:val="Emphasis"/>
          <w:rFonts w:ascii="Times New Roman" w:hAnsi="Times New Roman" w:cs="Times New Roman"/>
          <w:sz w:val="24"/>
          <w:szCs w:val="24"/>
        </w:rPr>
        <w:t>.</w:t>
      </w:r>
      <w:r w:rsidRPr="0009314D">
        <w:rPr>
          <w:rStyle w:val="Emphasis"/>
          <w:rFonts w:ascii="Times New Roman" w:hAnsi="Times New Roman" w:cs="Times New Roman"/>
          <w:sz w:val="24"/>
          <w:szCs w:val="24"/>
        </w:rPr>
        <w:t xml:space="preserve"> Eggplant (Solanum melongena L) nutritional and health promoting phytochemicals In Compendium of Crop Genome Designing for Nutraceuticals,Springer Nature Singapore. 1-32</w:t>
      </w:r>
      <w:r w:rsidRPr="0009314D">
        <w:rPr>
          <w:rFonts w:ascii="Times New Roman" w:hAnsi="Times New Roman" w:cs="Times New Roman"/>
          <w:i/>
          <w:sz w:val="24"/>
          <w:szCs w:val="24"/>
          <w:shd w:val="clear" w:color="auto" w:fill="FFFFFF"/>
        </w:rPr>
        <w:t>.</w:t>
      </w:r>
    </w:p>
    <w:p w:rsidR="00F53484" w:rsidRPr="0009314D" w:rsidRDefault="00F53484" w:rsidP="00F53484">
      <w:pPr>
        <w:spacing w:before="120" w:after="120" w:line="240" w:lineRule="auto"/>
        <w:jc w:val="both"/>
        <w:rPr>
          <w:rFonts w:ascii="Times New Roman" w:hAnsi="Times New Roman" w:cs="Times New Roman"/>
          <w:i/>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Stàgel, A., Portis, E., Toppino, L., Rotino, G. L. &amp; Lanteri, S. (2008)</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Gene-based microsatellite development for mapping and phylogeny studies in eggplant, </w:t>
      </w:r>
      <w:r w:rsidRPr="000248A7">
        <w:rPr>
          <w:rFonts w:ascii="Times New Roman" w:hAnsi="Times New Roman" w:cs="Times New Roman"/>
          <w:i/>
          <w:sz w:val="24"/>
          <w:szCs w:val="24"/>
          <w:shd w:val="clear" w:color="auto" w:fill="FFFFFF"/>
        </w:rPr>
        <w:t>BMC genomics</w:t>
      </w:r>
      <w:r w:rsidRPr="000248A7">
        <w:rPr>
          <w:rFonts w:ascii="Times New Roman" w:hAnsi="Times New Roman" w:cs="Times New Roman"/>
          <w:sz w:val="24"/>
          <w:szCs w:val="24"/>
          <w:shd w:val="clear" w:color="auto" w:fill="FFFFFF"/>
        </w:rPr>
        <w:t>, 9(1)</w:t>
      </w:r>
      <w:r w:rsidRPr="000248A7">
        <w:rPr>
          <w:rFonts w:ascii="Times New Roman" w:hAnsi="Times New Roman" w:cs="Times New Roman"/>
          <w:sz w:val="24"/>
          <w:szCs w:val="24"/>
          <w:shd w:val="clear" w:color="auto" w:fill="FFFFFF"/>
          <w:lang w:val="en-US"/>
        </w:rPr>
        <w:t>:</w:t>
      </w:r>
      <w:r w:rsidRPr="000248A7">
        <w:rPr>
          <w:rFonts w:ascii="Times New Roman" w:hAnsi="Times New Roman" w:cs="Times New Roman"/>
          <w:sz w:val="24"/>
          <w:szCs w:val="24"/>
          <w:shd w:val="clear" w:color="auto" w:fill="FFFFFF"/>
        </w:rPr>
        <w:t xml:space="preserve"> 1-14.</w:t>
      </w:r>
    </w:p>
    <w:p w:rsidR="00F53484" w:rsidRPr="000248A7"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Thakkar, J. R., Mandavia, M. K., Golakiya, B. A.  &amp; Sabara, P. H.</w:t>
      </w:r>
      <w:r>
        <w:rPr>
          <w:rFonts w:ascii="Times New Roman" w:hAnsi="Times New Roman" w:cs="Times New Roman"/>
          <w:sz w:val="24"/>
          <w:szCs w:val="24"/>
          <w:shd w:val="clear" w:color="auto" w:fill="FFFFFF"/>
        </w:rPr>
        <w:t xml:space="preserve"> (2014).</w:t>
      </w:r>
      <w:r w:rsidRPr="000248A7">
        <w:rPr>
          <w:rFonts w:ascii="Times New Roman" w:hAnsi="Times New Roman" w:cs="Times New Roman"/>
          <w:sz w:val="24"/>
          <w:szCs w:val="24"/>
          <w:shd w:val="clear" w:color="auto" w:fill="FFFFFF"/>
        </w:rPr>
        <w:t>Analysis of genetic diversity among brinjal (</w:t>
      </w:r>
      <w:r w:rsidRPr="000248A7">
        <w:rPr>
          <w:rFonts w:ascii="Times New Roman" w:hAnsi="Times New Roman" w:cs="Times New Roman"/>
          <w:i/>
          <w:sz w:val="24"/>
          <w:szCs w:val="24"/>
          <w:shd w:val="clear" w:color="auto" w:fill="FFFFFF"/>
        </w:rPr>
        <w:t>Solanum melongena</w:t>
      </w:r>
      <w:r w:rsidRPr="000248A7">
        <w:rPr>
          <w:rFonts w:ascii="Times New Roman" w:hAnsi="Times New Roman" w:cs="Times New Roman"/>
          <w:sz w:val="24"/>
          <w:szCs w:val="24"/>
          <w:shd w:val="clear" w:color="auto" w:fill="FFFFFF"/>
        </w:rPr>
        <w:t xml:space="preserve"> L) genotypes through dominant markers,</w:t>
      </w:r>
      <w:r w:rsidRPr="000248A7">
        <w:rPr>
          <w:rFonts w:ascii="Times New Roman" w:hAnsi="Times New Roman" w:cs="Times New Roman"/>
          <w:i/>
          <w:sz w:val="24"/>
          <w:szCs w:val="24"/>
          <w:shd w:val="clear" w:color="auto" w:fill="FFFFFF"/>
        </w:rPr>
        <w:t>Indian Journal of Agricultural Biochemistry</w:t>
      </w:r>
      <w:r w:rsidRPr="000248A7">
        <w:rPr>
          <w:rFonts w:ascii="Times New Roman" w:hAnsi="Times New Roman" w:cs="Times New Roman"/>
          <w:sz w:val="24"/>
          <w:szCs w:val="24"/>
          <w:shd w:val="clear" w:color="auto" w:fill="FFFFFF"/>
        </w:rPr>
        <w:t>, 27(2), 165-169.</w:t>
      </w: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lastRenderedPageBreak/>
        <w:t>Tiwari, S. K. , Karihaloo, J. L., Hameed, N. &amp; Gaikwad, A. B. (2009)</w:t>
      </w:r>
      <w:r>
        <w:rPr>
          <w:rFonts w:ascii="Times New Roman" w:hAnsi="Times New Roman" w:cs="Times New Roman"/>
          <w:sz w:val="24"/>
          <w:szCs w:val="24"/>
          <w:shd w:val="clear" w:color="auto" w:fill="FFFFFF"/>
        </w:rPr>
        <w:t>.</w:t>
      </w:r>
      <w:r w:rsidRPr="000248A7">
        <w:rPr>
          <w:rFonts w:ascii="Times New Roman" w:hAnsi="Times New Roman" w:cs="Times New Roman"/>
          <w:sz w:val="24"/>
          <w:szCs w:val="24"/>
          <w:shd w:val="clear" w:color="auto" w:fill="FFFFFF"/>
        </w:rPr>
        <w:t xml:space="preserve"> Molecular characterization of brinjal (</w:t>
      </w:r>
      <w:r w:rsidRPr="000248A7">
        <w:rPr>
          <w:rFonts w:ascii="Times New Roman" w:hAnsi="Times New Roman" w:cs="Times New Roman"/>
          <w:i/>
          <w:sz w:val="24"/>
          <w:szCs w:val="24"/>
          <w:shd w:val="clear" w:color="auto" w:fill="FFFFFF"/>
        </w:rPr>
        <w:t>Solanum melongena</w:t>
      </w:r>
      <w:r w:rsidRPr="000248A7">
        <w:rPr>
          <w:rFonts w:ascii="Times New Roman" w:hAnsi="Times New Roman" w:cs="Times New Roman"/>
          <w:sz w:val="24"/>
          <w:szCs w:val="24"/>
          <w:shd w:val="clear" w:color="auto" w:fill="FFFFFF"/>
        </w:rPr>
        <w:t xml:space="preserve"> L) cultivars using RAPD and ISSR markers,</w:t>
      </w:r>
      <w:r w:rsidRPr="000248A7">
        <w:rPr>
          <w:rFonts w:ascii="Times New Roman" w:hAnsi="Times New Roman" w:cs="Times New Roman"/>
          <w:i/>
          <w:sz w:val="24"/>
          <w:szCs w:val="24"/>
          <w:shd w:val="clear" w:color="auto" w:fill="FFFFFF"/>
        </w:rPr>
        <w:t>Journal of Plant Biochemistry and Biotechnology</w:t>
      </w:r>
      <w:r w:rsidRPr="000248A7">
        <w:rPr>
          <w:rFonts w:ascii="Times New Roman" w:hAnsi="Times New Roman" w:cs="Times New Roman"/>
          <w:sz w:val="24"/>
          <w:szCs w:val="24"/>
          <w:shd w:val="clear" w:color="auto" w:fill="FFFFFF"/>
        </w:rPr>
        <w:t>, 18, 189-195.</w:t>
      </w: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Tümbilen,Y., Frary, A., Mutlu, S. &amp; Doganlar, S.</w:t>
      </w:r>
      <w:r>
        <w:rPr>
          <w:rFonts w:ascii="Times New Roman" w:hAnsi="Times New Roman" w:cs="Times New Roman"/>
          <w:sz w:val="24"/>
          <w:szCs w:val="24"/>
          <w:shd w:val="clear" w:color="auto" w:fill="FFFFFF"/>
        </w:rPr>
        <w:t xml:space="preserve"> (2011).</w:t>
      </w:r>
      <w:r w:rsidRPr="000248A7">
        <w:rPr>
          <w:rFonts w:ascii="Times New Roman" w:hAnsi="Times New Roman" w:cs="Times New Roman"/>
          <w:sz w:val="24"/>
          <w:szCs w:val="24"/>
          <w:shd w:val="clear" w:color="auto" w:fill="FFFFFF"/>
        </w:rPr>
        <w:t>Genetic diversity in Turkish eggplant (</w:t>
      </w:r>
      <w:r w:rsidRPr="000248A7">
        <w:rPr>
          <w:rFonts w:ascii="Times New Roman" w:hAnsi="Times New Roman" w:cs="Times New Roman"/>
          <w:i/>
          <w:sz w:val="24"/>
          <w:szCs w:val="24"/>
          <w:shd w:val="clear" w:color="auto" w:fill="FFFFFF"/>
        </w:rPr>
        <w:t>Solanum melongena</w:t>
      </w:r>
      <w:r w:rsidRPr="000248A7">
        <w:rPr>
          <w:rFonts w:ascii="Times New Roman" w:hAnsi="Times New Roman" w:cs="Times New Roman"/>
          <w:sz w:val="24"/>
          <w:szCs w:val="24"/>
          <w:shd w:val="clear" w:color="auto" w:fill="FFFFFF"/>
        </w:rPr>
        <w:t>) varieties as determined by morphological and molecular analyses,</w:t>
      </w:r>
      <w:r w:rsidRPr="000248A7">
        <w:rPr>
          <w:rFonts w:ascii="Times New Roman" w:hAnsi="Times New Roman" w:cs="Times New Roman"/>
          <w:i/>
          <w:sz w:val="24"/>
          <w:szCs w:val="24"/>
          <w:shd w:val="clear" w:color="auto" w:fill="FFFFFF"/>
        </w:rPr>
        <w:t>International Research Journal of Biotechnology</w:t>
      </w:r>
      <w:r w:rsidRPr="000248A7">
        <w:rPr>
          <w:rFonts w:ascii="Times New Roman" w:hAnsi="Times New Roman" w:cs="Times New Roman"/>
          <w:sz w:val="24"/>
          <w:szCs w:val="24"/>
          <w:shd w:val="clear" w:color="auto" w:fill="FFFFFF"/>
        </w:rPr>
        <w:t>, 2(1), 16-25.</w:t>
      </w: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Default="00F53484" w:rsidP="00F53484">
      <w:pPr>
        <w:spacing w:before="120" w:after="120" w:line="240" w:lineRule="auto"/>
        <w:jc w:val="both"/>
        <w:rPr>
          <w:rFonts w:ascii="Times New Roman" w:hAnsi="Times New Roman" w:cs="Times New Roman"/>
          <w:sz w:val="24"/>
          <w:szCs w:val="24"/>
          <w:shd w:val="clear" w:color="auto" w:fill="FFFFFF"/>
        </w:rPr>
      </w:pPr>
      <w:r w:rsidRPr="000248A7">
        <w:rPr>
          <w:rFonts w:ascii="Times New Roman" w:hAnsi="Times New Roman" w:cs="Times New Roman"/>
          <w:sz w:val="24"/>
          <w:szCs w:val="24"/>
          <w:shd w:val="clear" w:color="auto" w:fill="FFFFFF"/>
        </w:rPr>
        <w:t>Vavilov, N. I.</w:t>
      </w:r>
      <w:r>
        <w:rPr>
          <w:rFonts w:ascii="Times New Roman" w:hAnsi="Times New Roman" w:cs="Times New Roman"/>
          <w:sz w:val="24"/>
          <w:szCs w:val="24"/>
          <w:shd w:val="clear" w:color="auto" w:fill="FFFFFF"/>
        </w:rPr>
        <w:t xml:space="preserve"> (1951). </w:t>
      </w:r>
      <w:r w:rsidRPr="000248A7">
        <w:rPr>
          <w:rFonts w:ascii="Times New Roman" w:hAnsi="Times New Roman" w:cs="Times New Roman"/>
          <w:sz w:val="24"/>
          <w:szCs w:val="24"/>
          <w:shd w:val="clear" w:color="auto" w:fill="FFFFFF"/>
        </w:rPr>
        <w:t>The Origin, Variation, Immunity and Breeding of Cultivated Plants,</w:t>
      </w:r>
      <w:r w:rsidRPr="000248A7">
        <w:rPr>
          <w:rFonts w:ascii="Times New Roman" w:hAnsi="Times New Roman" w:cs="Times New Roman"/>
          <w:i/>
          <w:sz w:val="24"/>
          <w:szCs w:val="24"/>
          <w:shd w:val="clear" w:color="auto" w:fill="FFFFFF"/>
        </w:rPr>
        <w:t>LeningadskiyOvoshnoyZhurnal</w:t>
      </w:r>
      <w:r w:rsidRPr="000248A7">
        <w:rPr>
          <w:rFonts w:ascii="Times New Roman" w:hAnsi="Times New Roman" w:cs="Times New Roman"/>
          <w:sz w:val="24"/>
          <w:szCs w:val="24"/>
          <w:shd w:val="clear" w:color="auto" w:fill="FFFFFF"/>
        </w:rPr>
        <w:t>, 72 (6),  482.</w:t>
      </w:r>
    </w:p>
    <w:p w:rsidR="00F53484" w:rsidRPr="000248A7" w:rsidRDefault="00F53484" w:rsidP="00F53484">
      <w:pPr>
        <w:spacing w:before="120" w:after="120" w:line="240" w:lineRule="auto"/>
        <w:jc w:val="both"/>
        <w:rPr>
          <w:rFonts w:ascii="Times New Roman" w:hAnsi="Times New Roman" w:cs="Times New Roman"/>
          <w:sz w:val="24"/>
          <w:szCs w:val="24"/>
          <w:shd w:val="clear" w:color="auto" w:fill="FFFFFF"/>
        </w:rPr>
      </w:pPr>
    </w:p>
    <w:p w:rsidR="00F53484" w:rsidRPr="000248A7" w:rsidRDefault="00F53484" w:rsidP="00F53484">
      <w:pPr>
        <w:spacing w:line="240" w:lineRule="auto"/>
        <w:jc w:val="both"/>
        <w:rPr>
          <w:rFonts w:ascii="Times New Roman" w:hAnsi="Times New Roman" w:cs="Times New Roman"/>
          <w:sz w:val="24"/>
          <w:szCs w:val="24"/>
          <w:lang w:val="en-GB"/>
        </w:rPr>
      </w:pPr>
      <w:r w:rsidRPr="000248A7">
        <w:rPr>
          <w:rFonts w:ascii="Times New Roman" w:eastAsia="Calibri" w:hAnsi="Times New Roman" w:cs="Times New Roman"/>
          <w:color w:val="222222"/>
          <w:kern w:val="2"/>
          <w:sz w:val="24"/>
          <w:szCs w:val="24"/>
          <w:shd w:val="clear" w:color="auto" w:fill="FFFFFF"/>
        </w:rPr>
        <w:t>Younas, Z., Naseer, S., Kazmi, A, Ali, A., Wahab, A., Sultana, T., Shoukat, I., Hameed, A., Afzal, M., Mashwani, Z. U. &amp; Rahimi, M. (2022)</w:t>
      </w:r>
      <w:r>
        <w:rPr>
          <w:rFonts w:ascii="Times New Roman" w:eastAsia="Calibri" w:hAnsi="Times New Roman" w:cs="Times New Roman"/>
          <w:color w:val="222222"/>
          <w:kern w:val="2"/>
          <w:sz w:val="24"/>
          <w:szCs w:val="24"/>
          <w:shd w:val="clear" w:color="auto" w:fill="FFFFFF"/>
        </w:rPr>
        <w:t>.</w:t>
      </w:r>
      <w:r w:rsidRPr="000248A7">
        <w:rPr>
          <w:rFonts w:ascii="Times New Roman" w:eastAsia="Calibri" w:hAnsi="Times New Roman" w:cs="Times New Roman"/>
          <w:color w:val="222222"/>
          <w:kern w:val="2"/>
          <w:sz w:val="24"/>
          <w:szCs w:val="24"/>
          <w:shd w:val="clear" w:color="auto" w:fill="FFFFFF"/>
        </w:rPr>
        <w:t xml:space="preserve"> Assessment of diversity among important brinjal (</w:t>
      </w:r>
      <w:r w:rsidRPr="000248A7">
        <w:rPr>
          <w:rFonts w:ascii="Times New Roman" w:eastAsia="Calibri" w:hAnsi="Times New Roman" w:cs="Times New Roman"/>
          <w:i/>
          <w:color w:val="222222"/>
          <w:kern w:val="2"/>
          <w:sz w:val="24"/>
          <w:szCs w:val="24"/>
          <w:shd w:val="clear" w:color="auto" w:fill="FFFFFF"/>
        </w:rPr>
        <w:t>Solanum melongena</w:t>
      </w:r>
      <w:r w:rsidRPr="000248A7">
        <w:rPr>
          <w:rFonts w:ascii="Times New Roman" w:eastAsia="Calibri" w:hAnsi="Times New Roman" w:cs="Times New Roman"/>
          <w:color w:val="222222"/>
          <w:kern w:val="2"/>
          <w:sz w:val="24"/>
          <w:szCs w:val="24"/>
          <w:shd w:val="clear" w:color="auto" w:fill="FFFFFF"/>
        </w:rPr>
        <w:t xml:space="preserve">) cultivars using morphological markers. </w:t>
      </w:r>
      <w:r w:rsidRPr="000248A7">
        <w:rPr>
          <w:rFonts w:ascii="Times New Roman" w:eastAsia="Calibri" w:hAnsi="Times New Roman" w:cs="Times New Roman"/>
          <w:i/>
          <w:color w:val="222222"/>
          <w:kern w:val="2"/>
          <w:sz w:val="24"/>
          <w:szCs w:val="24"/>
          <w:shd w:val="clear" w:color="auto" w:fill="FFFFFF"/>
        </w:rPr>
        <w:t>Journal of Food Quality</w:t>
      </w:r>
      <w:r w:rsidRPr="000248A7">
        <w:rPr>
          <w:rFonts w:ascii="Times New Roman" w:eastAsia="Calibri" w:hAnsi="Times New Roman" w:cs="Times New Roman"/>
          <w:color w:val="222222"/>
          <w:kern w:val="2"/>
          <w:sz w:val="24"/>
          <w:szCs w:val="24"/>
          <w:shd w:val="clear" w:color="auto" w:fill="FFFFFF"/>
        </w:rPr>
        <w:t>. 2022(1):4255554.</w:t>
      </w:r>
    </w:p>
    <w:p w:rsidR="00F53484" w:rsidRPr="000248A7" w:rsidRDefault="00F53484" w:rsidP="00F53484">
      <w:pPr>
        <w:spacing w:line="240" w:lineRule="auto"/>
        <w:rPr>
          <w:rFonts w:ascii="Times New Roman" w:hAnsi="Times New Roman" w:cs="Times New Roman"/>
          <w:sz w:val="24"/>
          <w:szCs w:val="24"/>
        </w:rPr>
      </w:pPr>
    </w:p>
    <w:p w:rsidR="005A1A85" w:rsidRPr="005A1A85" w:rsidRDefault="005A1A85" w:rsidP="005A1A85">
      <w:pPr>
        <w:pStyle w:val="ListParagraph"/>
        <w:spacing w:before="120" w:after="120" w:line="360" w:lineRule="auto"/>
        <w:ind w:left="714"/>
        <w:jc w:val="both"/>
        <w:rPr>
          <w:rFonts w:ascii="Times New Roman" w:hAnsi="Times New Roman" w:cs="Times New Roman"/>
          <w:sz w:val="24"/>
          <w:szCs w:val="24"/>
          <w:shd w:val="clear" w:color="auto" w:fill="FFFFFF"/>
        </w:rPr>
      </w:pPr>
    </w:p>
    <w:p w:rsidR="00A21CDE" w:rsidRPr="005A1A85" w:rsidRDefault="00A21CDE" w:rsidP="005A1A85">
      <w:pPr>
        <w:ind w:left="426" w:hanging="426"/>
        <w:jc w:val="both"/>
        <w:rPr>
          <w:rFonts w:ascii="Times New Roman" w:hAnsi="Times New Roman" w:cs="Times New Roman"/>
          <w:color w:val="222222"/>
          <w:sz w:val="24"/>
          <w:szCs w:val="24"/>
          <w:shd w:val="clear" w:color="auto" w:fill="FFFFFF"/>
        </w:rPr>
      </w:pPr>
    </w:p>
    <w:p w:rsidR="00A21CDE" w:rsidRDefault="00A21CDE" w:rsidP="00A21CDE">
      <w:pPr>
        <w:ind w:left="426" w:hanging="426"/>
        <w:jc w:val="both"/>
        <w:rPr>
          <w:rFonts w:ascii="Times New Roman" w:hAnsi="Times New Roman" w:cs="Times New Roman"/>
          <w:color w:val="222222"/>
          <w:sz w:val="24"/>
          <w:szCs w:val="24"/>
          <w:shd w:val="clear" w:color="auto" w:fill="FFFFFF"/>
        </w:rPr>
      </w:pPr>
    </w:p>
    <w:p w:rsidR="007673CF" w:rsidRDefault="007673CF" w:rsidP="00A21CDE">
      <w:pPr>
        <w:ind w:left="426" w:hanging="426"/>
        <w:jc w:val="both"/>
        <w:rPr>
          <w:rFonts w:ascii="Times New Roman" w:hAnsi="Times New Roman" w:cs="Times New Roman"/>
          <w:color w:val="222222"/>
          <w:sz w:val="24"/>
          <w:szCs w:val="24"/>
          <w:shd w:val="clear" w:color="auto" w:fill="FFFFFF"/>
        </w:rPr>
      </w:pPr>
    </w:p>
    <w:p w:rsidR="007673CF" w:rsidRDefault="007673CF" w:rsidP="00A21CDE">
      <w:pPr>
        <w:ind w:left="426" w:hanging="426"/>
        <w:jc w:val="both"/>
        <w:rPr>
          <w:rFonts w:ascii="Times New Roman" w:hAnsi="Times New Roman" w:cs="Times New Roman"/>
          <w:color w:val="222222"/>
          <w:sz w:val="24"/>
          <w:szCs w:val="24"/>
          <w:shd w:val="clear" w:color="auto" w:fill="FFFFFF"/>
        </w:rPr>
      </w:pPr>
    </w:p>
    <w:p w:rsidR="007673CF" w:rsidRDefault="007673CF" w:rsidP="00A21CDE">
      <w:pPr>
        <w:ind w:left="426" w:hanging="426"/>
        <w:jc w:val="both"/>
        <w:rPr>
          <w:rFonts w:ascii="Times New Roman" w:hAnsi="Times New Roman" w:cs="Times New Roman"/>
          <w:color w:val="222222"/>
          <w:sz w:val="24"/>
          <w:szCs w:val="24"/>
          <w:shd w:val="clear" w:color="auto" w:fill="FFFFFF"/>
        </w:rPr>
      </w:pPr>
    </w:p>
    <w:p w:rsidR="007673CF" w:rsidRDefault="007673CF" w:rsidP="00A21CDE">
      <w:pPr>
        <w:ind w:left="426" w:hanging="426"/>
        <w:jc w:val="both"/>
        <w:rPr>
          <w:rFonts w:ascii="Times New Roman" w:hAnsi="Times New Roman" w:cs="Times New Roman"/>
          <w:color w:val="222222"/>
          <w:sz w:val="24"/>
          <w:szCs w:val="24"/>
          <w:shd w:val="clear" w:color="auto" w:fill="FFFFFF"/>
        </w:rPr>
      </w:pPr>
    </w:p>
    <w:p w:rsidR="002079B5" w:rsidRDefault="002079B5" w:rsidP="00A21CDE">
      <w:pPr>
        <w:ind w:left="426" w:hanging="426"/>
        <w:jc w:val="both"/>
        <w:rPr>
          <w:rFonts w:ascii="Times New Roman" w:hAnsi="Times New Roman" w:cs="Times New Roman"/>
          <w:color w:val="222222"/>
          <w:sz w:val="24"/>
          <w:szCs w:val="24"/>
          <w:shd w:val="clear" w:color="auto" w:fill="FFFFFF"/>
        </w:rPr>
      </w:pPr>
    </w:p>
    <w:p w:rsidR="002079B5" w:rsidRDefault="002079B5" w:rsidP="00A21CDE">
      <w:pPr>
        <w:ind w:left="426" w:hanging="426"/>
        <w:jc w:val="both"/>
        <w:rPr>
          <w:rFonts w:ascii="Times New Roman" w:hAnsi="Times New Roman" w:cs="Times New Roman"/>
          <w:color w:val="222222"/>
          <w:sz w:val="24"/>
          <w:szCs w:val="24"/>
          <w:shd w:val="clear" w:color="auto" w:fill="FFFFFF"/>
        </w:rPr>
      </w:pPr>
    </w:p>
    <w:p w:rsidR="005A15E6" w:rsidRPr="00265B9E" w:rsidRDefault="005A15E6" w:rsidP="00A21CDE">
      <w:pPr>
        <w:jc w:val="center"/>
        <w:rPr>
          <w:rFonts w:ascii="Times New Roman" w:hAnsi="Times New Roman" w:cs="Times New Roman"/>
          <w:b/>
          <w:bCs/>
          <w:sz w:val="24"/>
          <w:szCs w:val="24"/>
        </w:rPr>
      </w:pPr>
      <w:r w:rsidRPr="0084751D">
        <w:rPr>
          <w:rFonts w:ascii="Times New Roman" w:hAnsi="Times New Roman" w:cs="Times New Roman"/>
          <w:b/>
          <w:bCs/>
          <w:sz w:val="24"/>
          <w:szCs w:val="24"/>
        </w:rPr>
        <w:t xml:space="preserve">Table 1 </w:t>
      </w:r>
      <w:r>
        <w:rPr>
          <w:rFonts w:ascii="Times New Roman" w:hAnsi="Times New Roman" w:cs="Times New Roman"/>
          <w:sz w:val="24"/>
          <w:szCs w:val="24"/>
        </w:rPr>
        <w:t>L</w:t>
      </w:r>
      <w:r w:rsidRPr="00265B9E">
        <w:rPr>
          <w:rFonts w:ascii="Times New Roman" w:hAnsi="Times New Roman" w:cs="Times New Roman"/>
          <w:sz w:val="24"/>
          <w:szCs w:val="24"/>
        </w:rPr>
        <w:t>ist of the genotypes that used in experiment</w:t>
      </w:r>
    </w:p>
    <w:tbl>
      <w:tblPr>
        <w:tblStyle w:val="TableGrid"/>
        <w:tblW w:w="9242" w:type="dxa"/>
        <w:tblLook w:val="04A0"/>
      </w:tblPr>
      <w:tblGrid>
        <w:gridCol w:w="677"/>
        <w:gridCol w:w="1940"/>
        <w:gridCol w:w="2169"/>
        <w:gridCol w:w="2977"/>
        <w:gridCol w:w="1479"/>
      </w:tblGrid>
      <w:tr w:rsidR="00C117E5" w:rsidRPr="0084751D" w:rsidTr="00C117E5">
        <w:trPr>
          <w:trHeight w:val="355"/>
        </w:trPr>
        <w:tc>
          <w:tcPr>
            <w:tcW w:w="677" w:type="dxa"/>
            <w:shd w:val="clear" w:color="auto" w:fill="000000" w:themeFill="text1"/>
          </w:tcPr>
          <w:p w:rsidR="00C117E5" w:rsidRPr="0084751D" w:rsidRDefault="00C117E5" w:rsidP="00DB635B">
            <w:pPr>
              <w:jc w:val="both"/>
              <w:rPr>
                <w:rFonts w:ascii="Times New Roman" w:hAnsi="Times New Roman" w:cs="Times New Roman"/>
                <w:b/>
                <w:bCs/>
                <w:sz w:val="24"/>
                <w:szCs w:val="24"/>
              </w:rPr>
            </w:pPr>
            <w:r w:rsidRPr="0084751D">
              <w:rPr>
                <w:rFonts w:ascii="Times New Roman" w:hAnsi="Times New Roman" w:cs="Times New Roman"/>
                <w:b/>
                <w:bCs/>
                <w:sz w:val="24"/>
                <w:szCs w:val="24"/>
              </w:rPr>
              <w:t>SN</w:t>
            </w:r>
          </w:p>
        </w:tc>
        <w:tc>
          <w:tcPr>
            <w:tcW w:w="1940" w:type="dxa"/>
            <w:shd w:val="clear" w:color="auto" w:fill="000000" w:themeFill="text1"/>
          </w:tcPr>
          <w:p w:rsidR="00C117E5" w:rsidRPr="0084751D" w:rsidRDefault="00C117E5" w:rsidP="00DB635B">
            <w:pPr>
              <w:jc w:val="both"/>
              <w:rPr>
                <w:rFonts w:ascii="Times New Roman" w:hAnsi="Times New Roman" w:cs="Times New Roman"/>
                <w:b/>
                <w:bCs/>
                <w:sz w:val="24"/>
                <w:szCs w:val="24"/>
              </w:rPr>
            </w:pPr>
            <w:r w:rsidRPr="0084751D">
              <w:rPr>
                <w:rFonts w:ascii="Times New Roman" w:hAnsi="Times New Roman" w:cs="Times New Roman"/>
                <w:b/>
                <w:bCs/>
                <w:sz w:val="24"/>
                <w:szCs w:val="24"/>
              </w:rPr>
              <w:t>Genotypes</w:t>
            </w:r>
          </w:p>
        </w:tc>
        <w:tc>
          <w:tcPr>
            <w:tcW w:w="2169" w:type="dxa"/>
            <w:shd w:val="clear" w:color="auto" w:fill="000000" w:themeFill="text1"/>
          </w:tcPr>
          <w:p w:rsidR="00C117E5" w:rsidRPr="0084751D" w:rsidRDefault="00C117E5" w:rsidP="00DB635B">
            <w:pPr>
              <w:ind w:left="720" w:hanging="720"/>
              <w:jc w:val="both"/>
              <w:rPr>
                <w:rFonts w:ascii="Times New Roman" w:hAnsi="Times New Roman" w:cs="Times New Roman"/>
                <w:b/>
                <w:bCs/>
                <w:sz w:val="24"/>
                <w:szCs w:val="24"/>
              </w:rPr>
            </w:pPr>
            <w:r w:rsidRPr="0084751D">
              <w:rPr>
                <w:rFonts w:ascii="Times New Roman" w:hAnsi="Times New Roman" w:cs="Times New Roman"/>
                <w:b/>
                <w:bCs/>
                <w:sz w:val="24"/>
                <w:szCs w:val="24"/>
              </w:rPr>
              <w:t>Types</w:t>
            </w:r>
          </w:p>
        </w:tc>
        <w:tc>
          <w:tcPr>
            <w:tcW w:w="2977" w:type="dxa"/>
            <w:shd w:val="clear" w:color="auto" w:fill="000000" w:themeFill="text1"/>
          </w:tcPr>
          <w:p w:rsidR="00C117E5" w:rsidRPr="0084751D" w:rsidRDefault="00C117E5" w:rsidP="00DB635B">
            <w:pPr>
              <w:jc w:val="both"/>
              <w:rPr>
                <w:rFonts w:ascii="Times New Roman" w:hAnsi="Times New Roman" w:cs="Times New Roman"/>
                <w:b/>
                <w:bCs/>
                <w:sz w:val="24"/>
                <w:szCs w:val="24"/>
              </w:rPr>
            </w:pPr>
            <w:r w:rsidRPr="0084751D">
              <w:rPr>
                <w:rFonts w:ascii="Times New Roman" w:hAnsi="Times New Roman" w:cs="Times New Roman"/>
                <w:b/>
                <w:bCs/>
                <w:sz w:val="24"/>
                <w:szCs w:val="24"/>
              </w:rPr>
              <w:t>Sources</w:t>
            </w:r>
          </w:p>
        </w:tc>
        <w:tc>
          <w:tcPr>
            <w:tcW w:w="1479" w:type="dxa"/>
            <w:shd w:val="clear" w:color="auto" w:fill="000000" w:themeFill="text1"/>
          </w:tcPr>
          <w:p w:rsidR="00C117E5" w:rsidRPr="0084751D" w:rsidRDefault="00C117E5" w:rsidP="00DB635B">
            <w:pPr>
              <w:jc w:val="both"/>
              <w:rPr>
                <w:rFonts w:ascii="Times New Roman" w:hAnsi="Times New Roman" w:cs="Times New Roman"/>
                <w:b/>
                <w:bCs/>
                <w:sz w:val="24"/>
                <w:szCs w:val="24"/>
              </w:rPr>
            </w:pPr>
            <w:r>
              <w:rPr>
                <w:rFonts w:ascii="Times New Roman" w:hAnsi="Times New Roman" w:cs="Times New Roman"/>
                <w:b/>
                <w:bCs/>
                <w:sz w:val="24"/>
                <w:szCs w:val="24"/>
              </w:rPr>
              <w:t>Code</w:t>
            </w:r>
          </w:p>
        </w:tc>
      </w:tr>
      <w:tr w:rsidR="00C117E5" w:rsidRPr="0084751D" w:rsidTr="00C117E5">
        <w:trPr>
          <w:trHeight w:val="620"/>
        </w:trPr>
        <w:tc>
          <w:tcPr>
            <w:tcW w:w="6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w:t>
            </w:r>
          </w:p>
        </w:tc>
        <w:tc>
          <w:tcPr>
            <w:tcW w:w="1940"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Sel 91-2 (PH-6 male)</w:t>
            </w:r>
          </w:p>
        </w:tc>
        <w:tc>
          <w:tcPr>
            <w:tcW w:w="2169" w:type="dxa"/>
          </w:tcPr>
          <w:p w:rsidR="00C117E5" w:rsidRPr="0084751D" w:rsidRDefault="00C117E5" w:rsidP="00A21CDE">
            <w:pPr>
              <w:jc w:val="center"/>
              <w:rPr>
                <w:rFonts w:ascii="Times New Roman" w:hAnsi="Times New Roman" w:cs="Times New Roman"/>
                <w:sz w:val="24"/>
                <w:szCs w:val="24"/>
              </w:rPr>
            </w:pPr>
            <w:r w:rsidRPr="0084751D">
              <w:rPr>
                <w:rFonts w:ascii="Times New Roman" w:hAnsi="Times New Roman" w:cs="Times New Roman"/>
                <w:sz w:val="24"/>
                <w:szCs w:val="24"/>
              </w:rPr>
              <w:t>Inbred line</w:t>
            </w:r>
          </w:p>
        </w:tc>
        <w:tc>
          <w:tcPr>
            <w:tcW w:w="29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IARI, New Delhi maintained at BAU, Sabour</w:t>
            </w:r>
          </w:p>
        </w:tc>
        <w:tc>
          <w:tcPr>
            <w:tcW w:w="1479" w:type="dxa"/>
          </w:tcPr>
          <w:p w:rsidR="00C117E5" w:rsidRPr="0084751D" w:rsidRDefault="00C117E5" w:rsidP="00DB635B">
            <w:pPr>
              <w:jc w:val="both"/>
              <w:rPr>
                <w:rFonts w:ascii="Times New Roman" w:hAnsi="Times New Roman" w:cs="Times New Roman"/>
                <w:sz w:val="24"/>
                <w:szCs w:val="24"/>
              </w:rPr>
            </w:pPr>
            <w:r>
              <w:rPr>
                <w:rFonts w:ascii="Times New Roman" w:hAnsi="Times New Roman" w:cs="Times New Roman"/>
                <w:sz w:val="24"/>
                <w:szCs w:val="24"/>
              </w:rPr>
              <w:t>G1</w:t>
            </w:r>
          </w:p>
        </w:tc>
      </w:tr>
      <w:tr w:rsidR="00C117E5" w:rsidRPr="0084751D" w:rsidTr="00C117E5">
        <w:tc>
          <w:tcPr>
            <w:tcW w:w="6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2</w:t>
            </w:r>
          </w:p>
        </w:tc>
        <w:tc>
          <w:tcPr>
            <w:tcW w:w="1940"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Sel Br-112 (PH-6 female)</w:t>
            </w:r>
          </w:p>
        </w:tc>
        <w:tc>
          <w:tcPr>
            <w:tcW w:w="2169" w:type="dxa"/>
          </w:tcPr>
          <w:p w:rsidR="00C117E5" w:rsidRDefault="00C117E5" w:rsidP="00A21CDE">
            <w:pPr>
              <w:jc w:val="center"/>
            </w:pPr>
            <w:r w:rsidRPr="00037A62">
              <w:rPr>
                <w:rFonts w:ascii="Times New Roman" w:hAnsi="Times New Roman" w:cs="Times New Roman"/>
                <w:sz w:val="24"/>
                <w:szCs w:val="24"/>
              </w:rPr>
              <w:t>Inbred line</w:t>
            </w:r>
          </w:p>
        </w:tc>
        <w:tc>
          <w:tcPr>
            <w:tcW w:w="29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IARI, New Delhi maintained at BAU, Sabour</w:t>
            </w:r>
          </w:p>
        </w:tc>
        <w:tc>
          <w:tcPr>
            <w:tcW w:w="1479" w:type="dxa"/>
          </w:tcPr>
          <w:p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G2</w:t>
            </w:r>
          </w:p>
        </w:tc>
      </w:tr>
      <w:tr w:rsidR="00C117E5" w:rsidRPr="0084751D" w:rsidTr="00C117E5">
        <w:tc>
          <w:tcPr>
            <w:tcW w:w="6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3</w:t>
            </w:r>
          </w:p>
        </w:tc>
        <w:tc>
          <w:tcPr>
            <w:tcW w:w="1940"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Haritha</w:t>
            </w:r>
          </w:p>
        </w:tc>
        <w:tc>
          <w:tcPr>
            <w:tcW w:w="2169" w:type="dxa"/>
          </w:tcPr>
          <w:p w:rsidR="00C117E5" w:rsidRDefault="00C117E5" w:rsidP="00A21CDE">
            <w:pPr>
              <w:jc w:val="center"/>
            </w:pPr>
            <w:r w:rsidRPr="00037A62">
              <w:rPr>
                <w:rFonts w:ascii="Times New Roman" w:hAnsi="Times New Roman" w:cs="Times New Roman"/>
                <w:sz w:val="24"/>
                <w:szCs w:val="24"/>
              </w:rPr>
              <w:t>Inbred line</w:t>
            </w:r>
          </w:p>
        </w:tc>
        <w:tc>
          <w:tcPr>
            <w:tcW w:w="29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KAU, Kerala maintained at BAU, Sabour</w:t>
            </w:r>
          </w:p>
        </w:tc>
        <w:tc>
          <w:tcPr>
            <w:tcW w:w="1479" w:type="dxa"/>
          </w:tcPr>
          <w:p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G3</w:t>
            </w:r>
          </w:p>
        </w:tc>
      </w:tr>
      <w:tr w:rsidR="00C117E5" w:rsidRPr="0084751D" w:rsidTr="00C117E5">
        <w:tc>
          <w:tcPr>
            <w:tcW w:w="6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4</w:t>
            </w:r>
          </w:p>
        </w:tc>
        <w:tc>
          <w:tcPr>
            <w:tcW w:w="1940"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Muktakeshi</w:t>
            </w:r>
          </w:p>
        </w:tc>
        <w:tc>
          <w:tcPr>
            <w:tcW w:w="2169" w:type="dxa"/>
          </w:tcPr>
          <w:p w:rsidR="00C117E5" w:rsidRDefault="00C117E5" w:rsidP="00A21CDE">
            <w:pPr>
              <w:jc w:val="center"/>
            </w:pPr>
            <w:r w:rsidRPr="00037A62">
              <w:rPr>
                <w:rFonts w:ascii="Times New Roman" w:hAnsi="Times New Roman" w:cs="Times New Roman"/>
                <w:sz w:val="24"/>
                <w:szCs w:val="24"/>
              </w:rPr>
              <w:t>Inbred line</w:t>
            </w:r>
          </w:p>
        </w:tc>
        <w:tc>
          <w:tcPr>
            <w:tcW w:w="29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BAU, Sabour</w:t>
            </w:r>
          </w:p>
        </w:tc>
        <w:tc>
          <w:tcPr>
            <w:tcW w:w="1479" w:type="dxa"/>
          </w:tcPr>
          <w:p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G4</w:t>
            </w:r>
          </w:p>
        </w:tc>
      </w:tr>
      <w:tr w:rsidR="00C117E5" w:rsidRPr="0084751D" w:rsidTr="00C117E5">
        <w:tc>
          <w:tcPr>
            <w:tcW w:w="6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5</w:t>
            </w:r>
          </w:p>
        </w:tc>
        <w:tc>
          <w:tcPr>
            <w:tcW w:w="1940"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Swarna Mani</w:t>
            </w:r>
          </w:p>
        </w:tc>
        <w:tc>
          <w:tcPr>
            <w:tcW w:w="2169" w:type="dxa"/>
          </w:tcPr>
          <w:p w:rsidR="00C117E5" w:rsidRDefault="00C117E5" w:rsidP="00A21CDE">
            <w:pPr>
              <w:jc w:val="center"/>
            </w:pPr>
            <w:r w:rsidRPr="00037A62">
              <w:rPr>
                <w:rFonts w:ascii="Times New Roman" w:hAnsi="Times New Roman" w:cs="Times New Roman"/>
                <w:sz w:val="24"/>
                <w:szCs w:val="24"/>
              </w:rPr>
              <w:t>Inbred line</w:t>
            </w:r>
          </w:p>
        </w:tc>
        <w:tc>
          <w:tcPr>
            <w:tcW w:w="29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Collected from CHES, Ranchi maintained at BAU, </w:t>
            </w:r>
            <w:r w:rsidRPr="0084751D">
              <w:rPr>
                <w:rFonts w:ascii="Times New Roman" w:hAnsi="Times New Roman" w:cs="Times New Roman"/>
                <w:sz w:val="24"/>
                <w:szCs w:val="24"/>
              </w:rPr>
              <w:lastRenderedPageBreak/>
              <w:t>Sabour</w:t>
            </w:r>
          </w:p>
        </w:tc>
        <w:tc>
          <w:tcPr>
            <w:tcW w:w="1479" w:type="dxa"/>
          </w:tcPr>
          <w:p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lastRenderedPageBreak/>
              <w:t>G5</w:t>
            </w:r>
          </w:p>
        </w:tc>
      </w:tr>
      <w:tr w:rsidR="00C117E5" w:rsidRPr="0084751D" w:rsidTr="00C117E5">
        <w:tc>
          <w:tcPr>
            <w:tcW w:w="6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lastRenderedPageBreak/>
              <w:t>6</w:t>
            </w:r>
          </w:p>
        </w:tc>
        <w:tc>
          <w:tcPr>
            <w:tcW w:w="1940"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IIHR-563</w:t>
            </w:r>
          </w:p>
        </w:tc>
        <w:tc>
          <w:tcPr>
            <w:tcW w:w="2169" w:type="dxa"/>
          </w:tcPr>
          <w:p w:rsidR="00C117E5" w:rsidRDefault="00C117E5" w:rsidP="00A21CDE">
            <w:pPr>
              <w:jc w:val="center"/>
            </w:pPr>
            <w:r w:rsidRPr="00037A62">
              <w:rPr>
                <w:rFonts w:ascii="Times New Roman" w:hAnsi="Times New Roman" w:cs="Times New Roman"/>
                <w:sz w:val="24"/>
                <w:szCs w:val="24"/>
              </w:rPr>
              <w:t>Inbred line</w:t>
            </w:r>
          </w:p>
        </w:tc>
        <w:tc>
          <w:tcPr>
            <w:tcW w:w="29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IIHR, Bengaluru maintained at BAU, Sabour</w:t>
            </w:r>
          </w:p>
        </w:tc>
        <w:tc>
          <w:tcPr>
            <w:tcW w:w="1479" w:type="dxa"/>
          </w:tcPr>
          <w:p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G6</w:t>
            </w:r>
          </w:p>
        </w:tc>
      </w:tr>
      <w:tr w:rsidR="00C117E5" w:rsidRPr="0084751D" w:rsidTr="00C117E5">
        <w:tc>
          <w:tcPr>
            <w:tcW w:w="6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7</w:t>
            </w:r>
          </w:p>
        </w:tc>
        <w:tc>
          <w:tcPr>
            <w:tcW w:w="1940"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Rajendra Baigan-2</w:t>
            </w:r>
          </w:p>
        </w:tc>
        <w:tc>
          <w:tcPr>
            <w:tcW w:w="2169" w:type="dxa"/>
          </w:tcPr>
          <w:p w:rsidR="00C117E5" w:rsidRDefault="00C117E5" w:rsidP="00A21CDE">
            <w:pPr>
              <w:jc w:val="center"/>
            </w:pPr>
            <w:r w:rsidRPr="00037A62">
              <w:rPr>
                <w:rFonts w:ascii="Times New Roman" w:hAnsi="Times New Roman" w:cs="Times New Roman"/>
                <w:sz w:val="24"/>
                <w:szCs w:val="24"/>
              </w:rPr>
              <w:t>Inbred line</w:t>
            </w:r>
          </w:p>
        </w:tc>
        <w:tc>
          <w:tcPr>
            <w:tcW w:w="29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BAU, Sabour</w:t>
            </w:r>
          </w:p>
        </w:tc>
        <w:tc>
          <w:tcPr>
            <w:tcW w:w="1479" w:type="dxa"/>
          </w:tcPr>
          <w:p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G7</w:t>
            </w:r>
          </w:p>
        </w:tc>
      </w:tr>
      <w:tr w:rsidR="00C117E5" w:rsidRPr="0084751D" w:rsidTr="00C117E5">
        <w:tc>
          <w:tcPr>
            <w:tcW w:w="6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8</w:t>
            </w:r>
          </w:p>
        </w:tc>
        <w:tc>
          <w:tcPr>
            <w:tcW w:w="1940"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VR-2</w:t>
            </w:r>
          </w:p>
        </w:tc>
        <w:tc>
          <w:tcPr>
            <w:tcW w:w="2169" w:type="dxa"/>
          </w:tcPr>
          <w:p w:rsidR="00C117E5" w:rsidRDefault="00C117E5" w:rsidP="00A21CDE">
            <w:pPr>
              <w:jc w:val="center"/>
            </w:pPr>
            <w:r w:rsidRPr="00037A62">
              <w:rPr>
                <w:rFonts w:ascii="Times New Roman" w:hAnsi="Times New Roman" w:cs="Times New Roman"/>
                <w:sz w:val="24"/>
                <w:szCs w:val="24"/>
              </w:rPr>
              <w:t>Inbred line</w:t>
            </w:r>
          </w:p>
        </w:tc>
        <w:tc>
          <w:tcPr>
            <w:tcW w:w="29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IIVR, Varanasi maintained at BAU, Sabour</w:t>
            </w:r>
          </w:p>
        </w:tc>
        <w:tc>
          <w:tcPr>
            <w:tcW w:w="1479" w:type="dxa"/>
          </w:tcPr>
          <w:p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G8</w:t>
            </w:r>
          </w:p>
        </w:tc>
      </w:tr>
      <w:tr w:rsidR="00C117E5" w:rsidRPr="0084751D" w:rsidTr="00C117E5">
        <w:tc>
          <w:tcPr>
            <w:tcW w:w="6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9</w:t>
            </w:r>
          </w:p>
        </w:tc>
        <w:tc>
          <w:tcPr>
            <w:tcW w:w="1940"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Pant Samrat</w:t>
            </w:r>
          </w:p>
        </w:tc>
        <w:tc>
          <w:tcPr>
            <w:tcW w:w="2169" w:type="dxa"/>
          </w:tcPr>
          <w:p w:rsidR="00C117E5" w:rsidRDefault="00C117E5" w:rsidP="00A21CDE">
            <w:pPr>
              <w:jc w:val="center"/>
            </w:pPr>
            <w:r w:rsidRPr="00037A62">
              <w:rPr>
                <w:rFonts w:ascii="Times New Roman" w:hAnsi="Times New Roman" w:cs="Times New Roman"/>
                <w:sz w:val="24"/>
                <w:szCs w:val="24"/>
              </w:rPr>
              <w:t>Inbred line</w:t>
            </w:r>
          </w:p>
        </w:tc>
        <w:tc>
          <w:tcPr>
            <w:tcW w:w="29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GBPUAT, Pantnagar maintained at BAU, Sabour</w:t>
            </w:r>
          </w:p>
        </w:tc>
        <w:tc>
          <w:tcPr>
            <w:tcW w:w="1479" w:type="dxa"/>
          </w:tcPr>
          <w:p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G9</w:t>
            </w:r>
          </w:p>
        </w:tc>
      </w:tr>
      <w:tr w:rsidR="00C117E5" w:rsidRPr="0084751D" w:rsidTr="00C117E5">
        <w:tc>
          <w:tcPr>
            <w:tcW w:w="6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10</w:t>
            </w:r>
          </w:p>
        </w:tc>
        <w:tc>
          <w:tcPr>
            <w:tcW w:w="1940"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BRBL-01</w:t>
            </w:r>
          </w:p>
        </w:tc>
        <w:tc>
          <w:tcPr>
            <w:tcW w:w="2169" w:type="dxa"/>
          </w:tcPr>
          <w:p w:rsidR="00C117E5" w:rsidRDefault="00C117E5" w:rsidP="00A21CDE">
            <w:pPr>
              <w:jc w:val="center"/>
            </w:pPr>
            <w:r w:rsidRPr="00037A62">
              <w:rPr>
                <w:rFonts w:ascii="Times New Roman" w:hAnsi="Times New Roman" w:cs="Times New Roman"/>
                <w:sz w:val="24"/>
                <w:szCs w:val="24"/>
              </w:rPr>
              <w:t>Inbred line</w:t>
            </w:r>
          </w:p>
        </w:tc>
        <w:tc>
          <w:tcPr>
            <w:tcW w:w="29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BAU, Sabour</w:t>
            </w:r>
          </w:p>
        </w:tc>
        <w:tc>
          <w:tcPr>
            <w:tcW w:w="1479" w:type="dxa"/>
          </w:tcPr>
          <w:p w:rsidR="00C117E5" w:rsidRPr="0084751D" w:rsidRDefault="00C117E5" w:rsidP="00DB635B">
            <w:pPr>
              <w:jc w:val="both"/>
              <w:rPr>
                <w:rFonts w:ascii="Times New Roman" w:hAnsi="Times New Roman" w:cs="Times New Roman"/>
                <w:sz w:val="24"/>
                <w:szCs w:val="24"/>
              </w:rPr>
            </w:pPr>
            <w:r>
              <w:rPr>
                <w:rFonts w:ascii="Times New Roman" w:hAnsi="Times New Roman" w:cs="Times New Roman"/>
                <w:sz w:val="24"/>
                <w:szCs w:val="24"/>
              </w:rPr>
              <w:t>G10</w:t>
            </w:r>
          </w:p>
        </w:tc>
      </w:tr>
      <w:tr w:rsidR="00C117E5" w:rsidRPr="0084751D" w:rsidTr="00C117E5">
        <w:tc>
          <w:tcPr>
            <w:tcW w:w="6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11</w:t>
            </w:r>
          </w:p>
        </w:tc>
        <w:tc>
          <w:tcPr>
            <w:tcW w:w="1940"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BRBL-02</w:t>
            </w:r>
          </w:p>
        </w:tc>
        <w:tc>
          <w:tcPr>
            <w:tcW w:w="2169" w:type="dxa"/>
          </w:tcPr>
          <w:p w:rsidR="00C117E5" w:rsidRDefault="00C117E5" w:rsidP="00A21CDE">
            <w:pPr>
              <w:jc w:val="center"/>
            </w:pPr>
            <w:r w:rsidRPr="00037A62">
              <w:rPr>
                <w:rFonts w:ascii="Times New Roman" w:hAnsi="Times New Roman" w:cs="Times New Roman"/>
                <w:sz w:val="24"/>
                <w:szCs w:val="24"/>
              </w:rPr>
              <w:t>Inbred line</w:t>
            </w:r>
          </w:p>
        </w:tc>
        <w:tc>
          <w:tcPr>
            <w:tcW w:w="2977" w:type="dxa"/>
          </w:tcPr>
          <w:p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G11</w:t>
            </w:r>
          </w:p>
        </w:tc>
      </w:tr>
      <w:tr w:rsidR="00C117E5" w:rsidRPr="0084751D" w:rsidTr="00C117E5">
        <w:tc>
          <w:tcPr>
            <w:tcW w:w="6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12</w:t>
            </w:r>
          </w:p>
        </w:tc>
        <w:tc>
          <w:tcPr>
            <w:tcW w:w="1940"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BRBL-04</w:t>
            </w:r>
          </w:p>
        </w:tc>
        <w:tc>
          <w:tcPr>
            <w:tcW w:w="2169" w:type="dxa"/>
          </w:tcPr>
          <w:p w:rsidR="00C117E5" w:rsidRDefault="00C117E5" w:rsidP="00A21CDE">
            <w:pPr>
              <w:jc w:val="center"/>
            </w:pPr>
            <w:r w:rsidRPr="00037A62">
              <w:rPr>
                <w:rFonts w:ascii="Times New Roman" w:hAnsi="Times New Roman" w:cs="Times New Roman"/>
                <w:sz w:val="24"/>
                <w:szCs w:val="24"/>
              </w:rPr>
              <w:t>Inbred line</w:t>
            </w:r>
          </w:p>
        </w:tc>
        <w:tc>
          <w:tcPr>
            <w:tcW w:w="2977" w:type="dxa"/>
          </w:tcPr>
          <w:p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G12</w:t>
            </w:r>
          </w:p>
        </w:tc>
      </w:tr>
      <w:tr w:rsidR="00C117E5" w:rsidRPr="0084751D" w:rsidTr="00C117E5">
        <w:tc>
          <w:tcPr>
            <w:tcW w:w="6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13</w:t>
            </w:r>
          </w:p>
        </w:tc>
        <w:tc>
          <w:tcPr>
            <w:tcW w:w="1940"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BRBL-06</w:t>
            </w:r>
          </w:p>
        </w:tc>
        <w:tc>
          <w:tcPr>
            <w:tcW w:w="2169" w:type="dxa"/>
          </w:tcPr>
          <w:p w:rsidR="00C117E5" w:rsidRDefault="00C117E5" w:rsidP="00A21CDE">
            <w:pPr>
              <w:jc w:val="center"/>
            </w:pPr>
            <w:r w:rsidRPr="00037A62">
              <w:rPr>
                <w:rFonts w:ascii="Times New Roman" w:hAnsi="Times New Roman" w:cs="Times New Roman"/>
                <w:sz w:val="24"/>
                <w:szCs w:val="24"/>
              </w:rPr>
              <w:t>Inbred line</w:t>
            </w:r>
          </w:p>
        </w:tc>
        <w:tc>
          <w:tcPr>
            <w:tcW w:w="2977" w:type="dxa"/>
          </w:tcPr>
          <w:p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G13</w:t>
            </w:r>
          </w:p>
        </w:tc>
      </w:tr>
      <w:tr w:rsidR="00C117E5" w:rsidRPr="0084751D" w:rsidTr="00C117E5">
        <w:tc>
          <w:tcPr>
            <w:tcW w:w="6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14</w:t>
            </w:r>
          </w:p>
        </w:tc>
        <w:tc>
          <w:tcPr>
            <w:tcW w:w="1940"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BRBL-07</w:t>
            </w:r>
          </w:p>
        </w:tc>
        <w:tc>
          <w:tcPr>
            <w:tcW w:w="2169" w:type="dxa"/>
          </w:tcPr>
          <w:p w:rsidR="00C117E5" w:rsidRDefault="00C117E5" w:rsidP="00A21CDE">
            <w:pPr>
              <w:jc w:val="center"/>
            </w:pPr>
            <w:r w:rsidRPr="00037A62">
              <w:rPr>
                <w:rFonts w:ascii="Times New Roman" w:hAnsi="Times New Roman" w:cs="Times New Roman"/>
                <w:sz w:val="24"/>
                <w:szCs w:val="24"/>
              </w:rPr>
              <w:t>Inbred line</w:t>
            </w:r>
          </w:p>
        </w:tc>
        <w:tc>
          <w:tcPr>
            <w:tcW w:w="2977" w:type="dxa"/>
          </w:tcPr>
          <w:p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G14</w:t>
            </w:r>
          </w:p>
        </w:tc>
      </w:tr>
      <w:tr w:rsidR="00C117E5" w:rsidRPr="0084751D" w:rsidTr="00C117E5">
        <w:tc>
          <w:tcPr>
            <w:tcW w:w="6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15</w:t>
            </w:r>
          </w:p>
        </w:tc>
        <w:tc>
          <w:tcPr>
            <w:tcW w:w="1940"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BRBL-10</w:t>
            </w:r>
          </w:p>
        </w:tc>
        <w:tc>
          <w:tcPr>
            <w:tcW w:w="2169" w:type="dxa"/>
          </w:tcPr>
          <w:p w:rsidR="00C117E5" w:rsidRDefault="00C117E5" w:rsidP="00A21CDE">
            <w:pPr>
              <w:jc w:val="center"/>
            </w:pPr>
            <w:r w:rsidRPr="00037A62">
              <w:rPr>
                <w:rFonts w:ascii="Times New Roman" w:hAnsi="Times New Roman" w:cs="Times New Roman"/>
                <w:sz w:val="24"/>
                <w:szCs w:val="24"/>
              </w:rPr>
              <w:t>Inbred line</w:t>
            </w:r>
          </w:p>
        </w:tc>
        <w:tc>
          <w:tcPr>
            <w:tcW w:w="2977" w:type="dxa"/>
          </w:tcPr>
          <w:p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G15</w:t>
            </w:r>
          </w:p>
        </w:tc>
      </w:tr>
      <w:tr w:rsidR="00C117E5" w:rsidRPr="0084751D" w:rsidTr="00C117E5">
        <w:tc>
          <w:tcPr>
            <w:tcW w:w="6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16</w:t>
            </w:r>
          </w:p>
        </w:tc>
        <w:tc>
          <w:tcPr>
            <w:tcW w:w="1940"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BRBL-11</w:t>
            </w:r>
          </w:p>
        </w:tc>
        <w:tc>
          <w:tcPr>
            <w:tcW w:w="2169" w:type="dxa"/>
          </w:tcPr>
          <w:p w:rsidR="00C117E5" w:rsidRDefault="00C117E5" w:rsidP="00A21CDE">
            <w:pPr>
              <w:jc w:val="center"/>
            </w:pPr>
            <w:r w:rsidRPr="00037A62">
              <w:rPr>
                <w:rFonts w:ascii="Times New Roman" w:hAnsi="Times New Roman" w:cs="Times New Roman"/>
                <w:sz w:val="24"/>
                <w:szCs w:val="24"/>
              </w:rPr>
              <w:t>Inbred line</w:t>
            </w:r>
          </w:p>
        </w:tc>
        <w:tc>
          <w:tcPr>
            <w:tcW w:w="2977" w:type="dxa"/>
          </w:tcPr>
          <w:p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G16</w:t>
            </w:r>
          </w:p>
        </w:tc>
      </w:tr>
      <w:tr w:rsidR="00C117E5" w:rsidRPr="0084751D" w:rsidTr="00C117E5">
        <w:tc>
          <w:tcPr>
            <w:tcW w:w="6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17</w:t>
            </w:r>
          </w:p>
        </w:tc>
        <w:tc>
          <w:tcPr>
            <w:tcW w:w="1940"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BRBWM-07</w:t>
            </w:r>
          </w:p>
        </w:tc>
        <w:tc>
          <w:tcPr>
            <w:tcW w:w="2169"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Wild accession of </w:t>
            </w:r>
            <w:r w:rsidRPr="00A21CDE">
              <w:rPr>
                <w:rFonts w:ascii="Times New Roman" w:hAnsi="Times New Roman" w:cs="Times New Roman"/>
                <w:i/>
                <w:sz w:val="24"/>
                <w:szCs w:val="24"/>
              </w:rPr>
              <w:t>Solanum macrocarpon</w:t>
            </w:r>
          </w:p>
        </w:tc>
        <w:tc>
          <w:tcPr>
            <w:tcW w:w="29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BCKV, Mohanpur, maintained at BAU, Sabour</w:t>
            </w:r>
          </w:p>
        </w:tc>
        <w:tc>
          <w:tcPr>
            <w:tcW w:w="1479" w:type="dxa"/>
          </w:tcPr>
          <w:p w:rsidR="00C117E5" w:rsidRPr="0084751D" w:rsidRDefault="00C117E5" w:rsidP="00DB635B">
            <w:pPr>
              <w:jc w:val="both"/>
              <w:rPr>
                <w:rFonts w:ascii="Times New Roman" w:hAnsi="Times New Roman" w:cs="Times New Roman"/>
                <w:sz w:val="24"/>
                <w:szCs w:val="24"/>
              </w:rPr>
            </w:pPr>
            <w:r>
              <w:rPr>
                <w:rFonts w:ascii="Times New Roman" w:hAnsi="Times New Roman" w:cs="Times New Roman"/>
                <w:sz w:val="24"/>
                <w:szCs w:val="24"/>
              </w:rPr>
              <w:t>G17</w:t>
            </w:r>
          </w:p>
        </w:tc>
      </w:tr>
      <w:tr w:rsidR="00C117E5" w:rsidRPr="0084751D" w:rsidTr="00C117E5">
        <w:tc>
          <w:tcPr>
            <w:tcW w:w="6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18</w:t>
            </w:r>
          </w:p>
        </w:tc>
        <w:tc>
          <w:tcPr>
            <w:tcW w:w="1940"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BRBWM-06</w:t>
            </w:r>
          </w:p>
        </w:tc>
        <w:tc>
          <w:tcPr>
            <w:tcW w:w="2169"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Wild accession of </w:t>
            </w:r>
            <w:r w:rsidRPr="00A21CDE">
              <w:rPr>
                <w:rFonts w:ascii="Times New Roman" w:hAnsi="Times New Roman" w:cs="Times New Roman"/>
                <w:i/>
                <w:sz w:val="24"/>
                <w:szCs w:val="24"/>
              </w:rPr>
              <w:t>Solanum macrocarpon</w:t>
            </w:r>
          </w:p>
        </w:tc>
        <w:tc>
          <w:tcPr>
            <w:tcW w:w="29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BCKV, Mohanpur, maintained at BAU, Sabour</w:t>
            </w:r>
          </w:p>
        </w:tc>
        <w:tc>
          <w:tcPr>
            <w:tcW w:w="1479" w:type="dxa"/>
          </w:tcPr>
          <w:p w:rsidR="00C117E5" w:rsidRPr="0084751D" w:rsidRDefault="00C117E5" w:rsidP="00DB635B">
            <w:pPr>
              <w:jc w:val="both"/>
              <w:rPr>
                <w:rFonts w:ascii="Times New Roman" w:hAnsi="Times New Roman" w:cs="Times New Roman"/>
                <w:sz w:val="24"/>
                <w:szCs w:val="24"/>
              </w:rPr>
            </w:pPr>
            <w:r>
              <w:rPr>
                <w:rFonts w:ascii="Times New Roman" w:hAnsi="Times New Roman" w:cs="Times New Roman"/>
                <w:sz w:val="24"/>
                <w:szCs w:val="24"/>
              </w:rPr>
              <w:t>G18</w:t>
            </w:r>
          </w:p>
        </w:tc>
      </w:tr>
      <w:tr w:rsidR="00C117E5" w:rsidRPr="0084751D" w:rsidTr="00C117E5">
        <w:tc>
          <w:tcPr>
            <w:tcW w:w="6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19</w:t>
            </w:r>
          </w:p>
        </w:tc>
        <w:tc>
          <w:tcPr>
            <w:tcW w:w="1940"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i/>
                <w:iCs/>
                <w:sz w:val="24"/>
                <w:szCs w:val="24"/>
              </w:rPr>
              <w:t>S gilo</w:t>
            </w:r>
          </w:p>
        </w:tc>
        <w:tc>
          <w:tcPr>
            <w:tcW w:w="2169"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Wild accession of </w:t>
            </w:r>
            <w:r w:rsidRPr="00A21CDE">
              <w:rPr>
                <w:rFonts w:ascii="Times New Roman" w:hAnsi="Times New Roman" w:cs="Times New Roman"/>
                <w:i/>
                <w:sz w:val="24"/>
                <w:szCs w:val="24"/>
              </w:rPr>
              <w:t>Solanumgilo</w:t>
            </w:r>
          </w:p>
        </w:tc>
        <w:tc>
          <w:tcPr>
            <w:tcW w:w="2977" w:type="dxa"/>
          </w:tcPr>
          <w:p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BCKV, Mohanpur, maintained at BAU, Sabour</w:t>
            </w:r>
          </w:p>
        </w:tc>
        <w:tc>
          <w:tcPr>
            <w:tcW w:w="1479" w:type="dxa"/>
          </w:tcPr>
          <w:p w:rsidR="00C117E5" w:rsidRPr="0084751D" w:rsidRDefault="00C117E5" w:rsidP="00DB635B">
            <w:pPr>
              <w:jc w:val="both"/>
              <w:rPr>
                <w:rFonts w:ascii="Times New Roman" w:hAnsi="Times New Roman" w:cs="Times New Roman"/>
                <w:sz w:val="24"/>
                <w:szCs w:val="24"/>
              </w:rPr>
            </w:pPr>
            <w:r>
              <w:rPr>
                <w:rFonts w:ascii="Times New Roman" w:hAnsi="Times New Roman" w:cs="Times New Roman"/>
                <w:sz w:val="24"/>
                <w:szCs w:val="24"/>
              </w:rPr>
              <w:t>G19</w:t>
            </w:r>
          </w:p>
        </w:tc>
      </w:tr>
    </w:tbl>
    <w:p w:rsidR="005A15E6" w:rsidRPr="0084751D" w:rsidRDefault="005A15E6" w:rsidP="005A15E6">
      <w:pPr>
        <w:jc w:val="both"/>
        <w:rPr>
          <w:rFonts w:ascii="Times New Roman" w:hAnsi="Times New Roman" w:cs="Times New Roman"/>
          <w:b/>
          <w:bCs/>
          <w:sz w:val="24"/>
          <w:szCs w:val="24"/>
        </w:rPr>
      </w:pPr>
    </w:p>
    <w:p w:rsidR="005A15E6" w:rsidRDefault="005A15E6" w:rsidP="00A444BA">
      <w:pPr>
        <w:jc w:val="both"/>
        <w:rPr>
          <w:rFonts w:ascii="Times New Roman" w:hAnsi="Times New Roman" w:cs="Times New Roman"/>
          <w:b/>
          <w:bCs/>
          <w:sz w:val="24"/>
          <w:szCs w:val="24"/>
        </w:rPr>
      </w:pPr>
    </w:p>
    <w:p w:rsidR="005A15E6" w:rsidRDefault="005A15E6" w:rsidP="00A444BA">
      <w:pPr>
        <w:jc w:val="both"/>
        <w:rPr>
          <w:rFonts w:ascii="Times New Roman" w:hAnsi="Times New Roman" w:cs="Times New Roman"/>
          <w:b/>
          <w:bCs/>
          <w:sz w:val="24"/>
          <w:szCs w:val="24"/>
        </w:rPr>
      </w:pPr>
    </w:p>
    <w:p w:rsidR="005A15E6" w:rsidRDefault="005A15E6" w:rsidP="00A444BA">
      <w:pPr>
        <w:jc w:val="both"/>
        <w:rPr>
          <w:rFonts w:ascii="Times New Roman" w:hAnsi="Times New Roman" w:cs="Times New Roman"/>
          <w:b/>
          <w:bCs/>
          <w:sz w:val="24"/>
          <w:szCs w:val="24"/>
        </w:rPr>
      </w:pPr>
    </w:p>
    <w:p w:rsidR="00A444BA" w:rsidRPr="006D6A37" w:rsidRDefault="00A444BA" w:rsidP="0071413D">
      <w:pPr>
        <w:jc w:val="center"/>
        <w:rPr>
          <w:rFonts w:ascii="Times New Roman" w:hAnsi="Times New Roman" w:cs="Times New Roman"/>
          <w:b/>
          <w:bCs/>
          <w:sz w:val="24"/>
          <w:szCs w:val="24"/>
        </w:rPr>
      </w:pPr>
      <w:r w:rsidRPr="006D6A37">
        <w:rPr>
          <w:rFonts w:ascii="Times New Roman" w:hAnsi="Times New Roman" w:cs="Times New Roman"/>
          <w:b/>
          <w:bCs/>
          <w:sz w:val="24"/>
          <w:szCs w:val="24"/>
        </w:rPr>
        <w:t xml:space="preserve">Table 2: </w:t>
      </w:r>
      <w:r w:rsidRPr="006D6A37">
        <w:rPr>
          <w:rFonts w:ascii="Times New Roman" w:hAnsi="Times New Roman" w:cs="Times New Roman"/>
          <w:b/>
          <w:sz w:val="24"/>
          <w:szCs w:val="24"/>
        </w:rPr>
        <w:t>List of brinjal SSR primers used for diversity analysis</w:t>
      </w:r>
    </w:p>
    <w:tbl>
      <w:tblPr>
        <w:tblStyle w:val="TableGrid"/>
        <w:tblpPr w:leftFromText="180" w:rightFromText="180" w:vertAnchor="text" w:tblpY="451"/>
        <w:tblW w:w="8969" w:type="dxa"/>
        <w:tblLayout w:type="fixed"/>
        <w:tblLook w:val="04A0"/>
      </w:tblPr>
      <w:tblGrid>
        <w:gridCol w:w="969"/>
        <w:gridCol w:w="1561"/>
        <w:gridCol w:w="6439"/>
      </w:tblGrid>
      <w:tr w:rsidR="0087104E" w:rsidRPr="0006531A" w:rsidTr="00890129">
        <w:trPr>
          <w:trHeight w:val="230"/>
        </w:trPr>
        <w:tc>
          <w:tcPr>
            <w:tcW w:w="969" w:type="dxa"/>
            <w:vMerge w:val="restart"/>
            <w:shd w:val="clear" w:color="auto" w:fill="000000" w:themeFill="text1"/>
          </w:tcPr>
          <w:p w:rsidR="0087104E" w:rsidRPr="0006531A" w:rsidRDefault="0087104E" w:rsidP="00DB635B">
            <w:pPr>
              <w:jc w:val="both"/>
              <w:rPr>
                <w:rFonts w:ascii="Times New Roman" w:hAnsi="Times New Roman" w:cs="Times New Roman"/>
                <w:b/>
                <w:bCs/>
                <w:sz w:val="20"/>
                <w:szCs w:val="20"/>
              </w:rPr>
            </w:pPr>
            <w:bookmarkStart w:id="0" w:name="_Hlk120269254"/>
            <w:r>
              <w:rPr>
                <w:rFonts w:ascii="Times New Roman" w:hAnsi="Times New Roman" w:cs="Times New Roman"/>
                <w:b/>
                <w:bCs/>
                <w:sz w:val="20"/>
                <w:szCs w:val="20"/>
              </w:rPr>
              <w:t>SN</w:t>
            </w:r>
          </w:p>
        </w:tc>
        <w:tc>
          <w:tcPr>
            <w:tcW w:w="1561" w:type="dxa"/>
            <w:vMerge w:val="restart"/>
            <w:shd w:val="clear" w:color="auto" w:fill="000000" w:themeFill="text1"/>
          </w:tcPr>
          <w:p w:rsidR="0087104E" w:rsidRPr="0006531A" w:rsidRDefault="0087104E" w:rsidP="00DB635B">
            <w:pPr>
              <w:jc w:val="both"/>
              <w:rPr>
                <w:rFonts w:ascii="Times New Roman" w:hAnsi="Times New Roman" w:cs="Times New Roman"/>
                <w:b/>
                <w:bCs/>
                <w:sz w:val="20"/>
                <w:szCs w:val="20"/>
              </w:rPr>
            </w:pPr>
            <w:r w:rsidRPr="0006531A">
              <w:rPr>
                <w:rFonts w:ascii="Times New Roman" w:hAnsi="Times New Roman" w:cs="Times New Roman"/>
                <w:b/>
                <w:bCs/>
                <w:sz w:val="20"/>
                <w:szCs w:val="20"/>
              </w:rPr>
              <w:t>SSR Primer</w:t>
            </w:r>
          </w:p>
        </w:tc>
        <w:tc>
          <w:tcPr>
            <w:tcW w:w="6439" w:type="dxa"/>
            <w:vMerge w:val="restart"/>
            <w:shd w:val="clear" w:color="auto" w:fill="000000" w:themeFill="text1"/>
          </w:tcPr>
          <w:p w:rsidR="0087104E" w:rsidRPr="0006531A" w:rsidRDefault="0087104E" w:rsidP="00DB635B">
            <w:pPr>
              <w:jc w:val="both"/>
              <w:rPr>
                <w:rFonts w:ascii="Times New Roman" w:hAnsi="Times New Roman" w:cs="Times New Roman"/>
                <w:b/>
                <w:bCs/>
                <w:sz w:val="20"/>
                <w:szCs w:val="20"/>
              </w:rPr>
            </w:pPr>
            <w:r w:rsidRPr="0006531A">
              <w:rPr>
                <w:rFonts w:ascii="Times New Roman" w:hAnsi="Times New Roman" w:cs="Times New Roman"/>
                <w:b/>
                <w:bCs/>
                <w:sz w:val="20"/>
                <w:szCs w:val="20"/>
              </w:rPr>
              <w:t>Sequence (5`→3`)</w:t>
            </w:r>
          </w:p>
        </w:tc>
      </w:tr>
      <w:tr w:rsidR="0087104E" w:rsidRPr="0006531A" w:rsidTr="00890129">
        <w:trPr>
          <w:trHeight w:val="230"/>
        </w:trPr>
        <w:tc>
          <w:tcPr>
            <w:tcW w:w="969" w:type="dxa"/>
            <w:vMerge/>
            <w:shd w:val="clear" w:color="auto" w:fill="000000" w:themeFill="text1"/>
          </w:tcPr>
          <w:p w:rsidR="0087104E" w:rsidRPr="0006531A" w:rsidRDefault="0087104E" w:rsidP="00DB635B">
            <w:pPr>
              <w:jc w:val="both"/>
              <w:rPr>
                <w:rFonts w:ascii="Times New Roman" w:hAnsi="Times New Roman" w:cs="Times New Roman"/>
                <w:sz w:val="20"/>
                <w:szCs w:val="20"/>
              </w:rPr>
            </w:pPr>
          </w:p>
        </w:tc>
        <w:tc>
          <w:tcPr>
            <w:tcW w:w="1561" w:type="dxa"/>
            <w:vMerge/>
            <w:shd w:val="clear" w:color="auto" w:fill="000000" w:themeFill="text1"/>
          </w:tcPr>
          <w:p w:rsidR="0087104E" w:rsidRPr="0006531A" w:rsidRDefault="0087104E" w:rsidP="00DB635B">
            <w:pPr>
              <w:jc w:val="both"/>
              <w:rPr>
                <w:rFonts w:ascii="Times New Roman" w:hAnsi="Times New Roman" w:cs="Times New Roman"/>
                <w:sz w:val="20"/>
                <w:szCs w:val="20"/>
              </w:rPr>
            </w:pPr>
          </w:p>
        </w:tc>
        <w:tc>
          <w:tcPr>
            <w:tcW w:w="6439" w:type="dxa"/>
            <w:vMerge/>
            <w:shd w:val="clear" w:color="auto" w:fill="000000" w:themeFill="text1"/>
          </w:tcPr>
          <w:p w:rsidR="0087104E" w:rsidRPr="0006531A" w:rsidRDefault="0087104E" w:rsidP="00DB635B">
            <w:pPr>
              <w:jc w:val="both"/>
              <w:rPr>
                <w:rFonts w:ascii="Times New Roman" w:hAnsi="Times New Roman" w:cs="Times New Roman"/>
                <w:sz w:val="20"/>
                <w:szCs w:val="20"/>
              </w:rPr>
            </w:pPr>
          </w:p>
        </w:tc>
      </w:tr>
      <w:tr w:rsidR="0087104E" w:rsidRPr="0006531A" w:rsidTr="00890129">
        <w:trPr>
          <w:trHeight w:val="407"/>
        </w:trPr>
        <w:tc>
          <w:tcPr>
            <w:tcW w:w="969" w:type="dxa"/>
          </w:tcPr>
          <w:p w:rsidR="0087104E" w:rsidRPr="0087104E" w:rsidRDefault="0087104E" w:rsidP="0087104E">
            <w:pPr>
              <w:pStyle w:val="ListParagraph"/>
              <w:numPr>
                <w:ilvl w:val="0"/>
                <w:numId w:val="2"/>
              </w:numPr>
              <w:jc w:val="both"/>
              <w:rPr>
                <w:rFonts w:ascii="Times New Roman" w:hAnsi="Times New Roman" w:cs="Times New Roman"/>
                <w:sz w:val="20"/>
                <w:szCs w:val="20"/>
              </w:rPr>
            </w:pPr>
          </w:p>
        </w:tc>
        <w:tc>
          <w:tcPr>
            <w:tcW w:w="1561" w:type="dxa"/>
          </w:tcPr>
          <w:p w:rsidR="0087104E" w:rsidRPr="0006531A" w:rsidRDefault="0087104E" w:rsidP="00DB635B">
            <w:pPr>
              <w:jc w:val="both"/>
              <w:rPr>
                <w:rFonts w:ascii="Times New Roman" w:hAnsi="Times New Roman" w:cs="Times New Roman"/>
                <w:sz w:val="20"/>
                <w:szCs w:val="20"/>
              </w:rPr>
            </w:pPr>
            <w:r w:rsidRPr="0006531A">
              <w:rPr>
                <w:rFonts w:ascii="Times New Roman" w:hAnsi="Times New Roman" w:cs="Times New Roman"/>
                <w:sz w:val="20"/>
                <w:szCs w:val="20"/>
              </w:rPr>
              <w:t>EM107</w:t>
            </w:r>
          </w:p>
        </w:tc>
        <w:tc>
          <w:tcPr>
            <w:tcW w:w="6439" w:type="dxa"/>
          </w:tcPr>
          <w:p w:rsidR="0087104E" w:rsidRPr="0006531A" w:rsidRDefault="0087104E" w:rsidP="00DB635B">
            <w:pPr>
              <w:jc w:val="both"/>
              <w:rPr>
                <w:rFonts w:ascii="Times New Roman" w:hAnsi="Times New Roman" w:cs="Times New Roman"/>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GGCCCTAGACTGAGCCTGAAATGTT</w:t>
            </w:r>
          </w:p>
          <w:p w:rsidR="0087104E" w:rsidRPr="0006531A" w:rsidRDefault="0087104E" w:rsidP="00DB635B">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TGGTACAACCAACACAACCCTCAA</w:t>
            </w:r>
          </w:p>
        </w:tc>
      </w:tr>
      <w:tr w:rsidR="00890129" w:rsidRPr="0006531A" w:rsidTr="00890129">
        <w:trPr>
          <w:trHeight w:val="434"/>
        </w:trPr>
        <w:tc>
          <w:tcPr>
            <w:tcW w:w="969" w:type="dxa"/>
          </w:tcPr>
          <w:p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EM133</w:t>
            </w:r>
          </w:p>
        </w:tc>
        <w:tc>
          <w:tcPr>
            <w:tcW w:w="6439" w:type="dxa"/>
          </w:tcPr>
          <w:p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Pr>
                <w:rFonts w:ascii="Times New Roman" w:hAnsi="Times New Roman" w:cs="Times New Roman"/>
                <w:sz w:val="20"/>
                <w:szCs w:val="20"/>
              </w:rPr>
              <w:t xml:space="preserve"> GCGGATCACCTGCAGTTACAT</w:t>
            </w:r>
            <w:r w:rsidRPr="0006531A">
              <w:rPr>
                <w:rFonts w:ascii="Times New Roman" w:hAnsi="Times New Roman" w:cs="Times New Roman"/>
                <w:sz w:val="20"/>
                <w:szCs w:val="20"/>
              </w:rPr>
              <w:t>TAC</w:t>
            </w:r>
          </w:p>
          <w:p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Pr>
                <w:rFonts w:ascii="Times New Roman" w:hAnsi="Times New Roman" w:cs="Times New Roman"/>
                <w:sz w:val="20"/>
                <w:szCs w:val="20"/>
              </w:rPr>
              <w:t xml:space="preserve"> TCCTTTGACCTATAGTGGCACGTA</w:t>
            </w:r>
            <w:r w:rsidRPr="0006531A">
              <w:rPr>
                <w:rFonts w:ascii="Times New Roman" w:hAnsi="Times New Roman" w:cs="Times New Roman"/>
                <w:sz w:val="20"/>
                <w:szCs w:val="20"/>
              </w:rPr>
              <w:t>GT</w:t>
            </w:r>
          </w:p>
        </w:tc>
      </w:tr>
      <w:tr w:rsidR="00890129" w:rsidRPr="0006531A" w:rsidTr="00890129">
        <w:trPr>
          <w:trHeight w:val="434"/>
        </w:trPr>
        <w:tc>
          <w:tcPr>
            <w:tcW w:w="969" w:type="dxa"/>
          </w:tcPr>
          <w:p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EM140</w:t>
            </w:r>
          </w:p>
        </w:tc>
        <w:tc>
          <w:tcPr>
            <w:tcW w:w="6439" w:type="dxa"/>
          </w:tcPr>
          <w:p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Pr>
                <w:rFonts w:ascii="Times New Roman" w:hAnsi="Times New Roman" w:cs="Times New Roman"/>
                <w:sz w:val="20"/>
                <w:szCs w:val="20"/>
              </w:rPr>
              <w:t xml:space="preserve"> CCAAAACAATTTCCAGTGACTGTG</w:t>
            </w:r>
            <w:r w:rsidRPr="0006531A">
              <w:rPr>
                <w:rFonts w:ascii="Times New Roman" w:hAnsi="Times New Roman" w:cs="Times New Roman"/>
                <w:sz w:val="20"/>
                <w:szCs w:val="20"/>
              </w:rPr>
              <w:t>C</w:t>
            </w:r>
          </w:p>
          <w:p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Pr>
                <w:rFonts w:ascii="Times New Roman" w:hAnsi="Times New Roman" w:cs="Times New Roman"/>
                <w:sz w:val="20"/>
                <w:szCs w:val="20"/>
              </w:rPr>
              <w:t xml:space="preserve"> GACCAGAATGCCCCTCAAATT</w:t>
            </w:r>
            <w:r w:rsidRPr="0006531A">
              <w:rPr>
                <w:rFonts w:ascii="Times New Roman" w:hAnsi="Times New Roman" w:cs="Times New Roman"/>
                <w:sz w:val="20"/>
                <w:szCs w:val="20"/>
              </w:rPr>
              <w:t>AAA</w:t>
            </w:r>
          </w:p>
        </w:tc>
      </w:tr>
      <w:tr w:rsidR="00890129" w:rsidRPr="0006531A" w:rsidTr="00890129">
        <w:trPr>
          <w:trHeight w:val="434"/>
        </w:trPr>
        <w:tc>
          <w:tcPr>
            <w:tcW w:w="969" w:type="dxa"/>
          </w:tcPr>
          <w:p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EM145</w:t>
            </w:r>
          </w:p>
        </w:tc>
        <w:tc>
          <w:tcPr>
            <w:tcW w:w="6439" w:type="dxa"/>
          </w:tcPr>
          <w:p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 xml:space="preserve">FP- </w:t>
            </w:r>
            <w:r>
              <w:rPr>
                <w:rFonts w:ascii="Times New Roman" w:hAnsi="Times New Roman" w:cs="Times New Roman"/>
                <w:sz w:val="20"/>
                <w:szCs w:val="20"/>
              </w:rPr>
              <w:t>TGATTTGGCCCTTAAGCCTAAGTA</w:t>
            </w:r>
            <w:r w:rsidRPr="0006531A">
              <w:rPr>
                <w:rFonts w:ascii="Times New Roman" w:hAnsi="Times New Roman" w:cs="Times New Roman"/>
                <w:sz w:val="20"/>
                <w:szCs w:val="20"/>
              </w:rPr>
              <w:t>TG</w:t>
            </w:r>
          </w:p>
          <w:p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Pr>
                <w:rFonts w:ascii="Times New Roman" w:hAnsi="Times New Roman" w:cs="Times New Roman"/>
                <w:sz w:val="20"/>
                <w:szCs w:val="20"/>
              </w:rPr>
              <w:t xml:space="preserve"> GACTCCTCAAGCCTTTACCTC</w:t>
            </w:r>
            <w:r w:rsidRPr="0006531A">
              <w:rPr>
                <w:rFonts w:ascii="Times New Roman" w:hAnsi="Times New Roman" w:cs="Times New Roman"/>
                <w:sz w:val="20"/>
                <w:szCs w:val="20"/>
              </w:rPr>
              <w:t>CAA</w:t>
            </w:r>
          </w:p>
        </w:tc>
      </w:tr>
      <w:tr w:rsidR="00890129" w:rsidRPr="0006531A" w:rsidTr="00890129">
        <w:trPr>
          <w:trHeight w:val="434"/>
        </w:trPr>
        <w:tc>
          <w:tcPr>
            <w:tcW w:w="969" w:type="dxa"/>
          </w:tcPr>
          <w:p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rsidR="00890129" w:rsidRPr="0006531A" w:rsidRDefault="00890129" w:rsidP="00890129">
            <w:pPr>
              <w:jc w:val="both"/>
              <w:rPr>
                <w:rFonts w:ascii="Times New Roman" w:hAnsi="Times New Roman" w:cs="Times New Roman"/>
                <w:sz w:val="20"/>
                <w:szCs w:val="20"/>
              </w:rPr>
            </w:pPr>
            <w:r w:rsidRPr="0071413D">
              <w:rPr>
                <w:rFonts w:ascii="Times New Roman" w:hAnsi="Times New Roman" w:cs="Times New Roman"/>
                <w:i/>
                <w:sz w:val="20"/>
                <w:szCs w:val="20"/>
              </w:rPr>
              <w:t>ecm</w:t>
            </w:r>
            <w:r w:rsidRPr="0071413D">
              <w:rPr>
                <w:rFonts w:ascii="Times New Roman" w:hAnsi="Times New Roman" w:cs="Times New Roman"/>
                <w:sz w:val="20"/>
                <w:szCs w:val="20"/>
              </w:rPr>
              <w:t>031</w:t>
            </w:r>
          </w:p>
        </w:tc>
        <w:tc>
          <w:tcPr>
            <w:tcW w:w="6439" w:type="dxa"/>
          </w:tcPr>
          <w:p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rsidRPr="0071413D">
              <w:rPr>
                <w:rFonts w:ascii="Times New Roman" w:hAnsi="Times New Roman" w:cs="Times New Roman"/>
                <w:bCs/>
                <w:sz w:val="20"/>
                <w:szCs w:val="20"/>
              </w:rPr>
              <w:t>ACCAAAGGAGAAGGAGATGTGCTA</w:t>
            </w:r>
          </w:p>
          <w:p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rsidRPr="0071413D">
              <w:rPr>
                <w:rFonts w:ascii="Times New Roman" w:hAnsi="Times New Roman" w:cs="Times New Roman"/>
                <w:bCs/>
                <w:sz w:val="20"/>
                <w:szCs w:val="20"/>
              </w:rPr>
              <w:t>GTTTGCTTCCCTTCCAAAATGACAAG</w:t>
            </w:r>
          </w:p>
        </w:tc>
      </w:tr>
      <w:tr w:rsidR="00890129" w:rsidRPr="0006531A" w:rsidTr="00890129">
        <w:trPr>
          <w:trHeight w:val="434"/>
        </w:trPr>
        <w:tc>
          <w:tcPr>
            <w:tcW w:w="969" w:type="dxa"/>
          </w:tcPr>
          <w:p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rsidR="00890129" w:rsidRPr="0006531A" w:rsidRDefault="00890129" w:rsidP="00890129">
            <w:pPr>
              <w:jc w:val="both"/>
              <w:rPr>
                <w:rFonts w:ascii="Times New Roman" w:hAnsi="Times New Roman" w:cs="Times New Roman"/>
                <w:sz w:val="20"/>
                <w:szCs w:val="20"/>
              </w:rPr>
            </w:pPr>
            <w:r w:rsidRPr="0071413D">
              <w:rPr>
                <w:rFonts w:ascii="Times New Roman" w:hAnsi="Times New Roman" w:cs="Times New Roman"/>
                <w:sz w:val="20"/>
                <w:szCs w:val="20"/>
              </w:rPr>
              <w:t>emf21N03</w:t>
            </w:r>
          </w:p>
        </w:tc>
        <w:tc>
          <w:tcPr>
            <w:tcW w:w="6439" w:type="dxa"/>
          </w:tcPr>
          <w:p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rsidRPr="0071413D">
              <w:rPr>
                <w:rFonts w:ascii="Times New Roman" w:hAnsi="Times New Roman" w:cs="Times New Roman"/>
                <w:bCs/>
                <w:sz w:val="20"/>
                <w:szCs w:val="20"/>
              </w:rPr>
              <w:t>ACCAGAGGAGCAAAGGGAAAAATA</w:t>
            </w:r>
          </w:p>
          <w:p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rsidRPr="0071413D">
              <w:rPr>
                <w:rFonts w:ascii="Times New Roman" w:hAnsi="Times New Roman" w:cs="Times New Roman"/>
                <w:bCs/>
                <w:sz w:val="20"/>
                <w:szCs w:val="20"/>
              </w:rPr>
              <w:t>GTTTACGCTACTGGACCAAACCAACAAT</w:t>
            </w:r>
          </w:p>
        </w:tc>
      </w:tr>
      <w:tr w:rsidR="00890129" w:rsidRPr="0006531A" w:rsidTr="00890129">
        <w:trPr>
          <w:trHeight w:val="434"/>
        </w:trPr>
        <w:tc>
          <w:tcPr>
            <w:tcW w:w="969" w:type="dxa"/>
          </w:tcPr>
          <w:p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rsidR="00890129" w:rsidRPr="0006531A" w:rsidRDefault="00890129" w:rsidP="00890129">
            <w:pPr>
              <w:jc w:val="both"/>
              <w:rPr>
                <w:rFonts w:ascii="Times New Roman" w:hAnsi="Times New Roman" w:cs="Times New Roman"/>
                <w:sz w:val="20"/>
                <w:szCs w:val="20"/>
              </w:rPr>
            </w:pPr>
            <w:r w:rsidRPr="0071413D">
              <w:rPr>
                <w:rFonts w:ascii="Times New Roman" w:hAnsi="Times New Roman" w:cs="Times New Roman"/>
                <w:sz w:val="20"/>
                <w:szCs w:val="20"/>
              </w:rPr>
              <w:t>eme08D09</w:t>
            </w:r>
          </w:p>
        </w:tc>
        <w:tc>
          <w:tcPr>
            <w:tcW w:w="6439" w:type="dxa"/>
          </w:tcPr>
          <w:p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rsidRPr="0071413D">
              <w:rPr>
                <w:rFonts w:ascii="Times New Roman" w:hAnsi="Times New Roman" w:cs="Times New Roman"/>
                <w:bCs/>
                <w:sz w:val="20"/>
                <w:szCs w:val="20"/>
              </w:rPr>
              <w:t>ATGGATTAGCATGTGGAGGACTGAA</w:t>
            </w:r>
          </w:p>
          <w:p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rsidRPr="0071413D">
              <w:rPr>
                <w:rFonts w:ascii="Times New Roman" w:hAnsi="Times New Roman" w:cs="Times New Roman"/>
                <w:bCs/>
                <w:sz w:val="20"/>
                <w:szCs w:val="20"/>
              </w:rPr>
              <w:t>GTTTCATGGTAGGTGGAGACAGAACCA</w:t>
            </w:r>
          </w:p>
        </w:tc>
      </w:tr>
      <w:tr w:rsidR="00890129" w:rsidRPr="0006531A" w:rsidTr="00890129">
        <w:trPr>
          <w:trHeight w:val="421"/>
        </w:trPr>
        <w:tc>
          <w:tcPr>
            <w:tcW w:w="969" w:type="dxa"/>
          </w:tcPr>
          <w:p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rsidR="00890129" w:rsidRPr="0006531A" w:rsidRDefault="00890129" w:rsidP="00890129">
            <w:pPr>
              <w:jc w:val="both"/>
              <w:rPr>
                <w:rFonts w:ascii="Times New Roman" w:hAnsi="Times New Roman" w:cs="Times New Roman"/>
                <w:sz w:val="20"/>
                <w:szCs w:val="20"/>
              </w:rPr>
            </w:pPr>
            <w:r w:rsidRPr="007D11B0">
              <w:rPr>
                <w:rFonts w:ascii="Times New Roman" w:hAnsi="Times New Roman" w:cs="Times New Roman"/>
                <w:i/>
                <w:sz w:val="20"/>
                <w:szCs w:val="20"/>
              </w:rPr>
              <w:t>emf</w:t>
            </w:r>
            <w:r w:rsidRPr="007D11B0">
              <w:rPr>
                <w:rFonts w:ascii="Times New Roman" w:hAnsi="Times New Roman" w:cs="Times New Roman"/>
                <w:sz w:val="20"/>
                <w:szCs w:val="20"/>
              </w:rPr>
              <w:t>21H22</w:t>
            </w:r>
          </w:p>
        </w:tc>
        <w:tc>
          <w:tcPr>
            <w:tcW w:w="6439" w:type="dxa"/>
          </w:tcPr>
          <w:p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rsidRPr="007D11B0">
              <w:rPr>
                <w:rFonts w:ascii="Times New Roman" w:hAnsi="Times New Roman" w:cs="Times New Roman"/>
                <w:bCs/>
                <w:sz w:val="20"/>
                <w:szCs w:val="20"/>
              </w:rPr>
              <w:t>CACAAGATGAACAAGACTAAGGAGTGC</w:t>
            </w:r>
          </w:p>
          <w:p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rsidRPr="007D11B0">
              <w:rPr>
                <w:rFonts w:ascii="Times New Roman" w:hAnsi="Times New Roman" w:cs="Times New Roman"/>
                <w:bCs/>
                <w:sz w:val="20"/>
                <w:szCs w:val="20"/>
              </w:rPr>
              <w:t>CTTCTTCAACCTGTCTTTAGCCCA</w:t>
            </w:r>
          </w:p>
        </w:tc>
      </w:tr>
      <w:tr w:rsidR="00890129" w:rsidRPr="0006531A" w:rsidTr="00890129">
        <w:trPr>
          <w:trHeight w:val="421"/>
        </w:trPr>
        <w:tc>
          <w:tcPr>
            <w:tcW w:w="969" w:type="dxa"/>
          </w:tcPr>
          <w:p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SMSSR11</w:t>
            </w:r>
          </w:p>
        </w:tc>
        <w:tc>
          <w:tcPr>
            <w:tcW w:w="6439" w:type="dxa"/>
          </w:tcPr>
          <w:p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AAACAAACTGAAACCCATGT</w:t>
            </w:r>
          </w:p>
          <w:p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AAACAAACTGAAACCCATGT</w:t>
            </w:r>
          </w:p>
        </w:tc>
      </w:tr>
      <w:tr w:rsidR="00890129" w:rsidRPr="0006531A" w:rsidTr="00890129">
        <w:trPr>
          <w:trHeight w:val="434"/>
        </w:trPr>
        <w:tc>
          <w:tcPr>
            <w:tcW w:w="969" w:type="dxa"/>
          </w:tcPr>
          <w:p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SMSSR14</w:t>
            </w:r>
          </w:p>
        </w:tc>
        <w:tc>
          <w:tcPr>
            <w:tcW w:w="6439" w:type="dxa"/>
          </w:tcPr>
          <w:p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ATACCACATCAATCCAAAGC</w:t>
            </w:r>
          </w:p>
          <w:p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CATCATCATCTTCACAGTGG</w:t>
            </w:r>
          </w:p>
        </w:tc>
      </w:tr>
      <w:tr w:rsidR="00890129" w:rsidRPr="0006531A" w:rsidTr="00890129">
        <w:trPr>
          <w:trHeight w:val="434"/>
        </w:trPr>
        <w:tc>
          <w:tcPr>
            <w:tcW w:w="969" w:type="dxa"/>
          </w:tcPr>
          <w:p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EMB01D10</w:t>
            </w:r>
          </w:p>
        </w:tc>
        <w:tc>
          <w:tcPr>
            <w:tcW w:w="6439" w:type="dxa"/>
          </w:tcPr>
          <w:p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bCs/>
                <w:sz w:val="20"/>
                <w:szCs w:val="20"/>
              </w:rPr>
              <w:t xml:space="preserve"> AAGAATCGGTCCTCTTTGCATTGT</w:t>
            </w:r>
          </w:p>
          <w:p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bCs/>
                <w:sz w:val="20"/>
                <w:szCs w:val="20"/>
              </w:rPr>
              <w:t xml:space="preserve"> TGCTTTTCACCTCTCCGCTATCTC</w:t>
            </w:r>
          </w:p>
        </w:tc>
      </w:tr>
      <w:tr w:rsidR="00890129" w:rsidRPr="0006531A" w:rsidTr="00890129">
        <w:trPr>
          <w:trHeight w:val="434"/>
        </w:trPr>
        <w:tc>
          <w:tcPr>
            <w:tcW w:w="969" w:type="dxa"/>
          </w:tcPr>
          <w:p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EMB01I13</w:t>
            </w:r>
          </w:p>
        </w:tc>
        <w:tc>
          <w:tcPr>
            <w:tcW w:w="6439" w:type="dxa"/>
          </w:tcPr>
          <w:p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bCs/>
                <w:sz w:val="20"/>
                <w:szCs w:val="20"/>
              </w:rPr>
              <w:t xml:space="preserve"> AGTCGTGTAGGTCAAAGCAACTGA</w:t>
            </w:r>
          </w:p>
          <w:p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GTTTAGCTACGTTGGTTTGGTGCTGAA</w:t>
            </w:r>
          </w:p>
        </w:tc>
      </w:tr>
      <w:tr w:rsidR="00890129" w:rsidRPr="0006531A" w:rsidTr="00890129">
        <w:trPr>
          <w:trHeight w:val="434"/>
        </w:trPr>
        <w:tc>
          <w:tcPr>
            <w:tcW w:w="969" w:type="dxa"/>
          </w:tcPr>
          <w:p w:rsidR="00890129" w:rsidRPr="0087104E" w:rsidRDefault="00890129" w:rsidP="00890129">
            <w:pPr>
              <w:pStyle w:val="ListParagraph"/>
              <w:numPr>
                <w:ilvl w:val="0"/>
                <w:numId w:val="2"/>
              </w:numPr>
              <w:jc w:val="both"/>
              <w:rPr>
                <w:rFonts w:ascii="Times New Roman" w:hAnsi="Times New Roman" w:cs="Times New Roman"/>
                <w:sz w:val="20"/>
                <w:szCs w:val="20"/>
              </w:rPr>
            </w:pPr>
          </w:p>
          <w:p w:rsidR="00890129" w:rsidRPr="0006531A" w:rsidRDefault="00890129" w:rsidP="00890129">
            <w:pPr>
              <w:jc w:val="both"/>
              <w:rPr>
                <w:rFonts w:ascii="Times New Roman" w:hAnsi="Times New Roman" w:cs="Times New Roman"/>
                <w:sz w:val="20"/>
                <w:szCs w:val="20"/>
              </w:rPr>
            </w:pPr>
          </w:p>
        </w:tc>
        <w:tc>
          <w:tcPr>
            <w:tcW w:w="1561" w:type="dxa"/>
          </w:tcPr>
          <w:p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EMK03O04</w:t>
            </w:r>
          </w:p>
        </w:tc>
        <w:tc>
          <w:tcPr>
            <w:tcW w:w="6439" w:type="dxa"/>
          </w:tcPr>
          <w:p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ATGATTTGGGCAGCCACTTTTGTA</w:t>
            </w:r>
          </w:p>
          <w:p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GTTTGGAACCAACTAAACTTAGGGCA</w:t>
            </w:r>
          </w:p>
        </w:tc>
      </w:tr>
      <w:tr w:rsidR="00890129" w:rsidRPr="0006531A" w:rsidTr="00890129">
        <w:trPr>
          <w:trHeight w:val="434"/>
        </w:trPr>
        <w:tc>
          <w:tcPr>
            <w:tcW w:w="969" w:type="dxa"/>
          </w:tcPr>
          <w:p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rsidR="00890129" w:rsidRPr="0006531A" w:rsidRDefault="00890129" w:rsidP="00890129">
            <w:pPr>
              <w:jc w:val="both"/>
              <w:rPr>
                <w:rFonts w:ascii="Times New Roman" w:hAnsi="Times New Roman" w:cs="Times New Roman"/>
                <w:sz w:val="20"/>
                <w:szCs w:val="20"/>
              </w:rPr>
            </w:pPr>
            <w:r w:rsidRPr="007D11B0">
              <w:rPr>
                <w:rFonts w:ascii="Times New Roman" w:hAnsi="Times New Roman" w:cs="Times New Roman"/>
                <w:i/>
                <w:sz w:val="20"/>
                <w:szCs w:val="20"/>
              </w:rPr>
              <w:t>emf</w:t>
            </w:r>
            <w:r w:rsidRPr="007D11B0">
              <w:rPr>
                <w:rFonts w:ascii="Times New Roman" w:hAnsi="Times New Roman" w:cs="Times New Roman"/>
                <w:sz w:val="20"/>
                <w:szCs w:val="20"/>
              </w:rPr>
              <w:t>21C11</w:t>
            </w:r>
          </w:p>
        </w:tc>
        <w:tc>
          <w:tcPr>
            <w:tcW w:w="6439" w:type="dxa"/>
          </w:tcPr>
          <w:p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rsidRPr="007D11B0">
              <w:rPr>
                <w:rFonts w:ascii="Times New Roman" w:hAnsi="Times New Roman" w:cs="Times New Roman"/>
                <w:bCs/>
                <w:sz w:val="20"/>
                <w:szCs w:val="20"/>
              </w:rPr>
              <w:t>TGGTTGGAGCCATGATTACTTGAA</w:t>
            </w:r>
          </w:p>
          <w:p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rsidRPr="007D11B0">
              <w:rPr>
                <w:rFonts w:ascii="Times New Roman" w:hAnsi="Times New Roman" w:cs="Times New Roman"/>
                <w:bCs/>
                <w:sz w:val="20"/>
                <w:szCs w:val="20"/>
              </w:rPr>
              <w:t>ATGCTACCTATCAAACAGGCGGAA</w:t>
            </w:r>
          </w:p>
        </w:tc>
      </w:tr>
      <w:tr w:rsidR="00890129" w:rsidRPr="0006531A" w:rsidTr="00890129">
        <w:trPr>
          <w:trHeight w:val="434"/>
        </w:trPr>
        <w:tc>
          <w:tcPr>
            <w:tcW w:w="969" w:type="dxa"/>
          </w:tcPr>
          <w:p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rsidR="00890129" w:rsidRPr="0006531A" w:rsidRDefault="00890129" w:rsidP="00890129">
            <w:pPr>
              <w:jc w:val="both"/>
              <w:rPr>
                <w:rFonts w:ascii="Times New Roman" w:hAnsi="Times New Roman" w:cs="Times New Roman"/>
                <w:sz w:val="20"/>
                <w:szCs w:val="20"/>
              </w:rPr>
            </w:pPr>
            <w:r w:rsidRPr="0071413D">
              <w:rPr>
                <w:rFonts w:ascii="Times New Roman" w:hAnsi="Times New Roman" w:cs="Times New Roman"/>
                <w:i/>
                <w:sz w:val="20"/>
                <w:szCs w:val="20"/>
              </w:rPr>
              <w:t>emh</w:t>
            </w:r>
            <w:r w:rsidRPr="0071413D">
              <w:rPr>
                <w:rFonts w:ascii="Times New Roman" w:hAnsi="Times New Roman" w:cs="Times New Roman"/>
                <w:sz w:val="20"/>
                <w:szCs w:val="20"/>
              </w:rPr>
              <w:t>11O01</w:t>
            </w:r>
          </w:p>
        </w:tc>
        <w:tc>
          <w:tcPr>
            <w:tcW w:w="6439" w:type="dxa"/>
          </w:tcPr>
          <w:p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rsidRPr="0071413D">
              <w:rPr>
                <w:rFonts w:ascii="Times New Roman" w:hAnsi="Times New Roman" w:cs="Times New Roman"/>
                <w:bCs/>
                <w:sz w:val="20"/>
                <w:szCs w:val="20"/>
              </w:rPr>
              <w:t>GATGTGTCGATGAGATTTTGGTCA</w:t>
            </w:r>
          </w:p>
          <w:p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rsidRPr="0071413D">
              <w:rPr>
                <w:rFonts w:ascii="Times New Roman" w:hAnsi="Times New Roman" w:cs="Times New Roman"/>
                <w:bCs/>
                <w:sz w:val="20"/>
                <w:szCs w:val="20"/>
              </w:rPr>
              <w:t>TAGCTACGTTGGTTTGGTGCTGAA</w:t>
            </w:r>
          </w:p>
        </w:tc>
      </w:tr>
      <w:tr w:rsidR="00890129" w:rsidRPr="0006531A" w:rsidTr="00890129">
        <w:trPr>
          <w:trHeight w:val="434"/>
        </w:trPr>
        <w:tc>
          <w:tcPr>
            <w:tcW w:w="969" w:type="dxa"/>
          </w:tcPr>
          <w:p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SMSSR01</w:t>
            </w:r>
          </w:p>
        </w:tc>
        <w:tc>
          <w:tcPr>
            <w:tcW w:w="6439" w:type="dxa"/>
          </w:tcPr>
          <w:p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GTGACTACGGTTTCACTGGT</w:t>
            </w:r>
          </w:p>
          <w:p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GATGACGACGACGATAATAGA</w:t>
            </w:r>
          </w:p>
        </w:tc>
      </w:tr>
      <w:tr w:rsidR="00890129" w:rsidRPr="0006531A" w:rsidTr="00890129">
        <w:trPr>
          <w:trHeight w:val="434"/>
        </w:trPr>
        <w:tc>
          <w:tcPr>
            <w:tcW w:w="969" w:type="dxa"/>
          </w:tcPr>
          <w:p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rsidR="00890129" w:rsidRPr="0006531A" w:rsidRDefault="00890129" w:rsidP="00890129">
            <w:pPr>
              <w:jc w:val="both"/>
              <w:rPr>
                <w:rFonts w:ascii="Times New Roman" w:hAnsi="Times New Roman" w:cs="Times New Roman"/>
                <w:sz w:val="20"/>
                <w:szCs w:val="20"/>
              </w:rPr>
            </w:pPr>
            <w:r w:rsidRPr="007D11B0">
              <w:rPr>
                <w:rFonts w:ascii="Times New Roman" w:hAnsi="Times New Roman" w:cs="Times New Roman"/>
                <w:sz w:val="20"/>
                <w:szCs w:val="20"/>
              </w:rPr>
              <w:t>EMB01L13</w:t>
            </w:r>
          </w:p>
        </w:tc>
        <w:tc>
          <w:tcPr>
            <w:tcW w:w="6439" w:type="dxa"/>
          </w:tcPr>
          <w:p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rsidRPr="007D11B0">
              <w:rPr>
                <w:rFonts w:ascii="Times New Roman" w:hAnsi="Times New Roman" w:cs="Times New Roman"/>
                <w:bCs/>
                <w:sz w:val="20"/>
                <w:szCs w:val="20"/>
              </w:rPr>
              <w:t>TCAAAAGACTTGAAACCCGATGGT</w:t>
            </w:r>
          </w:p>
          <w:p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rsidRPr="007D11B0">
              <w:rPr>
                <w:rFonts w:ascii="Times New Roman" w:hAnsi="Times New Roman" w:cs="Times New Roman"/>
                <w:bCs/>
                <w:sz w:val="20"/>
                <w:szCs w:val="20"/>
              </w:rPr>
              <w:t>GTTTATCAGGTTTTTGATCACCGGACA</w:t>
            </w:r>
          </w:p>
        </w:tc>
      </w:tr>
      <w:tr w:rsidR="00890129" w:rsidRPr="0006531A" w:rsidTr="00890129">
        <w:trPr>
          <w:trHeight w:val="434"/>
        </w:trPr>
        <w:tc>
          <w:tcPr>
            <w:tcW w:w="969" w:type="dxa"/>
          </w:tcPr>
          <w:p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EM114</w:t>
            </w:r>
          </w:p>
        </w:tc>
        <w:tc>
          <w:tcPr>
            <w:tcW w:w="6439" w:type="dxa"/>
          </w:tcPr>
          <w:p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Pr>
                <w:rFonts w:ascii="Times New Roman" w:hAnsi="Times New Roman" w:cs="Times New Roman"/>
                <w:sz w:val="20"/>
                <w:szCs w:val="20"/>
              </w:rPr>
              <w:t xml:space="preserve"> AGCCTAAACTTGGTTGGTTTT</w:t>
            </w:r>
            <w:r w:rsidRPr="0006531A">
              <w:rPr>
                <w:rFonts w:ascii="Times New Roman" w:hAnsi="Times New Roman" w:cs="Times New Roman"/>
                <w:sz w:val="20"/>
                <w:szCs w:val="20"/>
              </w:rPr>
              <w:t>TGC</w:t>
            </w:r>
          </w:p>
          <w:p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Pr>
                <w:rFonts w:ascii="Times New Roman" w:hAnsi="Times New Roman" w:cs="Times New Roman"/>
                <w:sz w:val="20"/>
                <w:szCs w:val="20"/>
              </w:rPr>
              <w:t xml:space="preserve"> GAAGCTTTAAGAGCCTTCTATGCA</w:t>
            </w:r>
            <w:r w:rsidRPr="0006531A">
              <w:rPr>
                <w:rFonts w:ascii="Times New Roman" w:hAnsi="Times New Roman" w:cs="Times New Roman"/>
                <w:sz w:val="20"/>
                <w:szCs w:val="20"/>
              </w:rPr>
              <w:t>G</w:t>
            </w:r>
          </w:p>
        </w:tc>
      </w:tr>
      <w:tr w:rsidR="00890129" w:rsidRPr="0006531A" w:rsidTr="00890129">
        <w:trPr>
          <w:trHeight w:val="434"/>
        </w:trPr>
        <w:tc>
          <w:tcPr>
            <w:tcW w:w="969" w:type="dxa"/>
          </w:tcPr>
          <w:p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SMSSR03</w:t>
            </w:r>
          </w:p>
        </w:tc>
        <w:tc>
          <w:tcPr>
            <w:tcW w:w="6439" w:type="dxa"/>
          </w:tcPr>
          <w:p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ATTGAAAGTTGCTCTGCTTC</w:t>
            </w:r>
          </w:p>
          <w:p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GATCGAACCCACATCATC</w:t>
            </w:r>
          </w:p>
        </w:tc>
      </w:tr>
      <w:tr w:rsidR="00890129" w:rsidRPr="0006531A" w:rsidTr="00890129">
        <w:trPr>
          <w:trHeight w:val="434"/>
        </w:trPr>
        <w:tc>
          <w:tcPr>
            <w:tcW w:w="969" w:type="dxa"/>
          </w:tcPr>
          <w:p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EM139</w:t>
            </w:r>
          </w:p>
        </w:tc>
        <w:tc>
          <w:tcPr>
            <w:tcW w:w="6439" w:type="dxa"/>
          </w:tcPr>
          <w:p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TGC TAA GTC GTC ATC CAACAA GAA</w:t>
            </w:r>
          </w:p>
          <w:p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GAT TTT GGC TCC TTG ACC ATT TTG</w:t>
            </w:r>
          </w:p>
        </w:tc>
      </w:tr>
      <w:tr w:rsidR="00890129" w:rsidRPr="0006531A" w:rsidTr="00890129">
        <w:trPr>
          <w:trHeight w:val="434"/>
        </w:trPr>
        <w:tc>
          <w:tcPr>
            <w:tcW w:w="969" w:type="dxa"/>
          </w:tcPr>
          <w:p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rsidR="00890129" w:rsidRPr="0006531A" w:rsidRDefault="00890129" w:rsidP="00890129">
            <w:pPr>
              <w:jc w:val="both"/>
              <w:rPr>
                <w:rFonts w:ascii="Times New Roman" w:hAnsi="Times New Roman" w:cs="Times New Roman"/>
                <w:sz w:val="20"/>
                <w:szCs w:val="20"/>
              </w:rPr>
            </w:pPr>
            <w:r w:rsidRPr="0071413D">
              <w:rPr>
                <w:rFonts w:ascii="Times New Roman" w:hAnsi="Times New Roman" w:cs="Times New Roman"/>
                <w:i/>
                <w:sz w:val="20"/>
                <w:szCs w:val="20"/>
              </w:rPr>
              <w:t>eme</w:t>
            </w:r>
            <w:r w:rsidRPr="0071413D">
              <w:rPr>
                <w:rFonts w:ascii="Times New Roman" w:hAnsi="Times New Roman" w:cs="Times New Roman"/>
                <w:sz w:val="20"/>
                <w:szCs w:val="20"/>
              </w:rPr>
              <w:t>03A05</w:t>
            </w:r>
          </w:p>
        </w:tc>
        <w:tc>
          <w:tcPr>
            <w:tcW w:w="6439" w:type="dxa"/>
          </w:tcPr>
          <w:p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rsidRPr="0071413D">
              <w:rPr>
                <w:rFonts w:ascii="Times New Roman" w:hAnsi="Times New Roman" w:cs="Times New Roman"/>
                <w:bCs/>
                <w:sz w:val="20"/>
                <w:szCs w:val="20"/>
              </w:rPr>
              <w:t>ATTTTATGCTGCTCCTCGGATTGAT</w:t>
            </w:r>
          </w:p>
          <w:p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rsidRPr="0071413D">
              <w:rPr>
                <w:rFonts w:ascii="Times New Roman" w:hAnsi="Times New Roman" w:cs="Times New Roman"/>
                <w:bCs/>
                <w:sz w:val="20"/>
                <w:szCs w:val="20"/>
              </w:rPr>
              <w:t>GTTTGTGCATCTCTTGTTGGTAGGAGC</w:t>
            </w:r>
          </w:p>
        </w:tc>
      </w:tr>
      <w:bookmarkEnd w:id="0"/>
    </w:tbl>
    <w:p w:rsidR="00A444BA" w:rsidRDefault="00A444BA" w:rsidP="00A444BA">
      <w:pPr>
        <w:jc w:val="both"/>
        <w:rPr>
          <w:rFonts w:ascii="Times New Roman" w:hAnsi="Times New Roman" w:cs="Times New Roman"/>
          <w:sz w:val="24"/>
          <w:szCs w:val="24"/>
        </w:rPr>
      </w:pPr>
    </w:p>
    <w:p w:rsidR="0087104E" w:rsidRDefault="0087104E" w:rsidP="00A444BA">
      <w:pPr>
        <w:jc w:val="both"/>
        <w:rPr>
          <w:rFonts w:ascii="Times New Roman" w:hAnsi="Times New Roman" w:cs="Times New Roman"/>
          <w:sz w:val="24"/>
          <w:szCs w:val="24"/>
        </w:rPr>
      </w:pPr>
    </w:p>
    <w:p w:rsidR="0087104E" w:rsidRDefault="0087104E" w:rsidP="00A444BA">
      <w:pPr>
        <w:jc w:val="both"/>
        <w:rPr>
          <w:rFonts w:ascii="Times New Roman" w:hAnsi="Times New Roman" w:cs="Times New Roman"/>
          <w:sz w:val="24"/>
          <w:szCs w:val="24"/>
        </w:rPr>
      </w:pPr>
    </w:p>
    <w:p w:rsidR="0087104E" w:rsidRDefault="0087104E" w:rsidP="00A444BA">
      <w:pPr>
        <w:jc w:val="both"/>
        <w:rPr>
          <w:rFonts w:ascii="Times New Roman" w:hAnsi="Times New Roman" w:cs="Times New Roman"/>
          <w:sz w:val="24"/>
          <w:szCs w:val="24"/>
        </w:rPr>
      </w:pPr>
    </w:p>
    <w:p w:rsidR="0087104E" w:rsidRDefault="0087104E" w:rsidP="00A444BA">
      <w:pPr>
        <w:jc w:val="both"/>
        <w:rPr>
          <w:rFonts w:ascii="Times New Roman" w:hAnsi="Times New Roman" w:cs="Times New Roman"/>
          <w:sz w:val="24"/>
          <w:szCs w:val="24"/>
        </w:rPr>
      </w:pPr>
    </w:p>
    <w:p w:rsidR="0087104E" w:rsidRPr="0084751D" w:rsidRDefault="0087104E" w:rsidP="00A444BA">
      <w:pPr>
        <w:jc w:val="both"/>
        <w:rPr>
          <w:rFonts w:ascii="Times New Roman" w:hAnsi="Times New Roman" w:cs="Times New Roman"/>
          <w:sz w:val="24"/>
          <w:szCs w:val="24"/>
        </w:rPr>
      </w:pPr>
    </w:p>
    <w:p w:rsidR="005A15E6" w:rsidRPr="0084751D" w:rsidRDefault="005A15E6" w:rsidP="005A15E6">
      <w:pPr>
        <w:jc w:val="center"/>
        <w:rPr>
          <w:rFonts w:ascii="Times New Roman" w:hAnsi="Times New Roman" w:cs="Times New Roman"/>
          <w:sz w:val="24"/>
          <w:szCs w:val="24"/>
        </w:rPr>
      </w:pPr>
      <w:r w:rsidRPr="00A35F6E">
        <w:rPr>
          <w:rFonts w:ascii="Times New Roman" w:hAnsi="Times New Roman" w:cs="Times New Roman"/>
          <w:b/>
          <w:bCs/>
          <w:sz w:val="24"/>
          <w:szCs w:val="24"/>
        </w:rPr>
        <w:t>Table 3</w:t>
      </w:r>
      <w:r>
        <w:rPr>
          <w:rFonts w:ascii="Times New Roman" w:hAnsi="Times New Roman" w:cs="Times New Roman"/>
          <w:sz w:val="24"/>
          <w:szCs w:val="24"/>
        </w:rPr>
        <w:t>: Summary of polymorphic markers</w:t>
      </w:r>
    </w:p>
    <w:tbl>
      <w:tblPr>
        <w:tblStyle w:val="TableGrid"/>
        <w:tblW w:w="9659" w:type="dxa"/>
        <w:jc w:val="center"/>
        <w:tblBorders>
          <w:left w:val="none" w:sz="0" w:space="0" w:color="auto"/>
          <w:right w:val="none" w:sz="0" w:space="0" w:color="auto"/>
          <w:insideH w:val="none" w:sz="0" w:space="0" w:color="auto"/>
          <w:insideV w:val="none" w:sz="0" w:space="0" w:color="auto"/>
        </w:tblBorders>
        <w:tblLook w:val="0420"/>
      </w:tblPr>
      <w:tblGrid>
        <w:gridCol w:w="643"/>
        <w:gridCol w:w="1561"/>
        <w:gridCol w:w="1536"/>
        <w:gridCol w:w="2067"/>
        <w:gridCol w:w="1102"/>
        <w:gridCol w:w="1749"/>
        <w:gridCol w:w="1001"/>
      </w:tblGrid>
      <w:tr w:rsidR="005A15E6" w:rsidRPr="0084751D" w:rsidTr="006D6A37">
        <w:trPr>
          <w:trHeight w:val="819"/>
          <w:jc w:val="center"/>
        </w:trPr>
        <w:tc>
          <w:tcPr>
            <w:tcW w:w="643" w:type="dxa"/>
            <w:tcBorders>
              <w:top w:val="single" w:sz="4" w:space="0" w:color="auto"/>
              <w:bottom w:val="single" w:sz="4" w:space="0" w:color="auto"/>
            </w:tcBorders>
            <w:shd w:val="clear" w:color="auto" w:fill="000000" w:themeFill="text1"/>
            <w:vAlign w:val="center"/>
            <w:hideMark/>
          </w:tcPr>
          <w:p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SN</w:t>
            </w:r>
          </w:p>
        </w:tc>
        <w:tc>
          <w:tcPr>
            <w:tcW w:w="1561" w:type="dxa"/>
            <w:tcBorders>
              <w:top w:val="single" w:sz="4" w:space="0" w:color="auto"/>
              <w:bottom w:val="single" w:sz="4" w:space="0" w:color="auto"/>
            </w:tcBorders>
            <w:shd w:val="clear" w:color="auto" w:fill="000000" w:themeFill="text1"/>
            <w:vAlign w:val="center"/>
            <w:hideMark/>
          </w:tcPr>
          <w:p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Primer</w:t>
            </w:r>
          </w:p>
        </w:tc>
        <w:tc>
          <w:tcPr>
            <w:tcW w:w="1536" w:type="dxa"/>
            <w:tcBorders>
              <w:top w:val="single" w:sz="4" w:space="0" w:color="auto"/>
              <w:bottom w:val="single" w:sz="4" w:space="0" w:color="auto"/>
            </w:tcBorders>
            <w:shd w:val="clear" w:color="auto" w:fill="000000" w:themeFill="text1"/>
            <w:vAlign w:val="center"/>
            <w:hideMark/>
          </w:tcPr>
          <w:p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Total Numberof alleles</w:t>
            </w:r>
          </w:p>
        </w:tc>
        <w:tc>
          <w:tcPr>
            <w:tcW w:w="2067" w:type="dxa"/>
            <w:tcBorders>
              <w:top w:val="single" w:sz="4" w:space="0" w:color="auto"/>
              <w:bottom w:val="single" w:sz="4" w:space="0" w:color="auto"/>
            </w:tcBorders>
            <w:shd w:val="clear" w:color="auto" w:fill="000000" w:themeFill="text1"/>
            <w:vAlign w:val="center"/>
            <w:hideMark/>
          </w:tcPr>
          <w:p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Total Number of Polymorphic alleles</w:t>
            </w:r>
          </w:p>
        </w:tc>
        <w:tc>
          <w:tcPr>
            <w:tcW w:w="1102" w:type="dxa"/>
            <w:tcBorders>
              <w:top w:val="single" w:sz="4" w:space="0" w:color="auto"/>
              <w:bottom w:val="single" w:sz="4" w:space="0" w:color="auto"/>
            </w:tcBorders>
            <w:shd w:val="clear" w:color="auto" w:fill="000000" w:themeFill="text1"/>
            <w:vAlign w:val="center"/>
            <w:hideMark/>
          </w:tcPr>
          <w:p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Range</w:t>
            </w:r>
          </w:p>
        </w:tc>
        <w:tc>
          <w:tcPr>
            <w:tcW w:w="1749" w:type="dxa"/>
            <w:tcBorders>
              <w:top w:val="single" w:sz="4" w:space="0" w:color="auto"/>
              <w:bottom w:val="single" w:sz="4" w:space="0" w:color="auto"/>
            </w:tcBorders>
            <w:shd w:val="clear" w:color="auto" w:fill="000000" w:themeFill="text1"/>
            <w:vAlign w:val="center"/>
            <w:hideMark/>
          </w:tcPr>
          <w:p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Heterozygosity</w:t>
            </w:r>
          </w:p>
        </w:tc>
        <w:tc>
          <w:tcPr>
            <w:tcW w:w="1001" w:type="dxa"/>
            <w:tcBorders>
              <w:top w:val="single" w:sz="4" w:space="0" w:color="auto"/>
              <w:bottom w:val="single" w:sz="4" w:space="0" w:color="auto"/>
            </w:tcBorders>
            <w:shd w:val="clear" w:color="auto" w:fill="000000" w:themeFill="text1"/>
            <w:vAlign w:val="center"/>
            <w:hideMark/>
          </w:tcPr>
          <w:p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PIC Value</w:t>
            </w:r>
          </w:p>
        </w:tc>
      </w:tr>
      <w:tr w:rsidR="005A15E6" w:rsidRPr="0084751D" w:rsidTr="00DB635B">
        <w:trPr>
          <w:trHeight w:val="494"/>
          <w:jc w:val="center"/>
        </w:trPr>
        <w:tc>
          <w:tcPr>
            <w:tcW w:w="643" w:type="dxa"/>
            <w:tcBorders>
              <w:top w:val="single" w:sz="4" w:space="0" w:color="auto"/>
            </w:tcBorders>
            <w:vAlign w:val="center"/>
            <w:hideMark/>
          </w:tcPr>
          <w:p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1</w:t>
            </w:r>
          </w:p>
        </w:tc>
        <w:tc>
          <w:tcPr>
            <w:tcW w:w="1561" w:type="dxa"/>
            <w:tcBorders>
              <w:top w:val="single" w:sz="4" w:space="0" w:color="auto"/>
            </w:tcBorders>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EM107</w:t>
            </w:r>
          </w:p>
        </w:tc>
        <w:tc>
          <w:tcPr>
            <w:tcW w:w="1536" w:type="dxa"/>
            <w:tcBorders>
              <w:top w:val="single" w:sz="4" w:space="0" w:color="auto"/>
            </w:tcBorders>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tcBorders>
              <w:top w:val="single" w:sz="4" w:space="0" w:color="auto"/>
            </w:tcBorders>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tcBorders>
              <w:top w:val="single" w:sz="4" w:space="0" w:color="auto"/>
            </w:tcBorders>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210-190</w:t>
            </w:r>
          </w:p>
        </w:tc>
        <w:tc>
          <w:tcPr>
            <w:tcW w:w="1749" w:type="dxa"/>
            <w:tcBorders>
              <w:top w:val="single" w:sz="4" w:space="0" w:color="auto"/>
            </w:tcBorders>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02659</w:t>
            </w:r>
          </w:p>
        </w:tc>
        <w:tc>
          <w:tcPr>
            <w:tcW w:w="1001" w:type="dxa"/>
            <w:tcBorders>
              <w:top w:val="single" w:sz="4" w:space="0" w:color="auto"/>
            </w:tcBorders>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02306</w:t>
            </w:r>
          </w:p>
        </w:tc>
      </w:tr>
      <w:tr w:rsidR="005A15E6" w:rsidRPr="0084751D" w:rsidTr="00DB635B">
        <w:trPr>
          <w:trHeight w:val="482"/>
          <w:jc w:val="center"/>
        </w:trPr>
        <w:tc>
          <w:tcPr>
            <w:tcW w:w="643" w:type="dxa"/>
            <w:vAlign w:val="center"/>
            <w:hideMark/>
          </w:tcPr>
          <w:p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2</w:t>
            </w:r>
          </w:p>
        </w:tc>
        <w:tc>
          <w:tcPr>
            <w:tcW w:w="1561"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EM114</w:t>
            </w:r>
          </w:p>
        </w:tc>
        <w:tc>
          <w:tcPr>
            <w:tcW w:w="1536"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210-200</w:t>
            </w:r>
          </w:p>
        </w:tc>
        <w:tc>
          <w:tcPr>
            <w:tcW w:w="1749"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00997</w:t>
            </w:r>
          </w:p>
        </w:tc>
        <w:tc>
          <w:tcPr>
            <w:tcW w:w="1001"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00948</w:t>
            </w:r>
          </w:p>
        </w:tc>
      </w:tr>
      <w:tr w:rsidR="005A15E6" w:rsidRPr="0084751D" w:rsidTr="00DB635B">
        <w:trPr>
          <w:trHeight w:val="482"/>
          <w:jc w:val="center"/>
        </w:trPr>
        <w:tc>
          <w:tcPr>
            <w:tcW w:w="643" w:type="dxa"/>
            <w:vAlign w:val="center"/>
            <w:hideMark/>
          </w:tcPr>
          <w:p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3</w:t>
            </w:r>
          </w:p>
        </w:tc>
        <w:tc>
          <w:tcPr>
            <w:tcW w:w="1561"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EM133</w:t>
            </w:r>
          </w:p>
        </w:tc>
        <w:tc>
          <w:tcPr>
            <w:tcW w:w="1536"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190-180</w:t>
            </w:r>
          </w:p>
        </w:tc>
        <w:tc>
          <w:tcPr>
            <w:tcW w:w="1749"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02659</w:t>
            </w:r>
          </w:p>
        </w:tc>
        <w:tc>
          <w:tcPr>
            <w:tcW w:w="1001"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02306</w:t>
            </w:r>
          </w:p>
        </w:tc>
      </w:tr>
      <w:tr w:rsidR="005A15E6" w:rsidRPr="0084751D" w:rsidTr="00DB635B">
        <w:trPr>
          <w:trHeight w:val="482"/>
          <w:jc w:val="center"/>
        </w:trPr>
        <w:tc>
          <w:tcPr>
            <w:tcW w:w="643" w:type="dxa"/>
            <w:vAlign w:val="center"/>
            <w:hideMark/>
          </w:tcPr>
          <w:p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4</w:t>
            </w:r>
          </w:p>
        </w:tc>
        <w:tc>
          <w:tcPr>
            <w:tcW w:w="1561"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EM140</w:t>
            </w:r>
          </w:p>
        </w:tc>
        <w:tc>
          <w:tcPr>
            <w:tcW w:w="1536"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280-210</w:t>
            </w:r>
          </w:p>
        </w:tc>
        <w:tc>
          <w:tcPr>
            <w:tcW w:w="1749"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03878</w:t>
            </w:r>
          </w:p>
        </w:tc>
        <w:tc>
          <w:tcPr>
            <w:tcW w:w="1001"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03126</w:t>
            </w:r>
          </w:p>
        </w:tc>
      </w:tr>
      <w:tr w:rsidR="005A15E6" w:rsidRPr="0084751D" w:rsidTr="00DB635B">
        <w:trPr>
          <w:trHeight w:val="482"/>
          <w:jc w:val="center"/>
        </w:trPr>
        <w:tc>
          <w:tcPr>
            <w:tcW w:w="643" w:type="dxa"/>
            <w:vAlign w:val="center"/>
            <w:hideMark/>
          </w:tcPr>
          <w:p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lastRenderedPageBreak/>
              <w:t>5</w:t>
            </w:r>
          </w:p>
        </w:tc>
        <w:tc>
          <w:tcPr>
            <w:tcW w:w="1561"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EM145</w:t>
            </w:r>
          </w:p>
        </w:tc>
        <w:tc>
          <w:tcPr>
            <w:tcW w:w="1536"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190-180</w:t>
            </w:r>
          </w:p>
        </w:tc>
        <w:tc>
          <w:tcPr>
            <w:tcW w:w="1749"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01884</w:t>
            </w:r>
          </w:p>
        </w:tc>
        <w:tc>
          <w:tcPr>
            <w:tcW w:w="1001"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01706</w:t>
            </w:r>
          </w:p>
        </w:tc>
      </w:tr>
      <w:tr w:rsidR="005A15E6" w:rsidRPr="0084751D" w:rsidTr="00DB635B">
        <w:trPr>
          <w:trHeight w:val="482"/>
          <w:jc w:val="center"/>
        </w:trPr>
        <w:tc>
          <w:tcPr>
            <w:tcW w:w="643" w:type="dxa"/>
            <w:vAlign w:val="center"/>
            <w:hideMark/>
          </w:tcPr>
          <w:p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6</w:t>
            </w:r>
          </w:p>
        </w:tc>
        <w:tc>
          <w:tcPr>
            <w:tcW w:w="1561"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EMB01D10</w:t>
            </w:r>
          </w:p>
        </w:tc>
        <w:tc>
          <w:tcPr>
            <w:tcW w:w="1536"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3</w:t>
            </w:r>
          </w:p>
        </w:tc>
        <w:tc>
          <w:tcPr>
            <w:tcW w:w="2067"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3</w:t>
            </w:r>
          </w:p>
        </w:tc>
        <w:tc>
          <w:tcPr>
            <w:tcW w:w="1102"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300-200</w:t>
            </w:r>
          </w:p>
        </w:tc>
        <w:tc>
          <w:tcPr>
            <w:tcW w:w="1749"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05088</w:t>
            </w:r>
          </w:p>
        </w:tc>
        <w:tc>
          <w:tcPr>
            <w:tcW w:w="1001"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04139</w:t>
            </w:r>
          </w:p>
        </w:tc>
      </w:tr>
      <w:tr w:rsidR="005A15E6" w:rsidRPr="0084751D" w:rsidTr="00DB635B">
        <w:trPr>
          <w:trHeight w:val="482"/>
          <w:jc w:val="center"/>
        </w:trPr>
        <w:tc>
          <w:tcPr>
            <w:tcW w:w="643" w:type="dxa"/>
            <w:vAlign w:val="center"/>
            <w:hideMark/>
          </w:tcPr>
          <w:p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7</w:t>
            </w:r>
          </w:p>
        </w:tc>
        <w:tc>
          <w:tcPr>
            <w:tcW w:w="1561"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EMB01I13</w:t>
            </w:r>
          </w:p>
        </w:tc>
        <w:tc>
          <w:tcPr>
            <w:tcW w:w="1536"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210-200</w:t>
            </w:r>
          </w:p>
        </w:tc>
        <w:tc>
          <w:tcPr>
            <w:tcW w:w="1749"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02659</w:t>
            </w:r>
          </w:p>
        </w:tc>
        <w:tc>
          <w:tcPr>
            <w:tcW w:w="1001"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02306</w:t>
            </w:r>
          </w:p>
        </w:tc>
      </w:tr>
      <w:tr w:rsidR="005A15E6" w:rsidRPr="0084751D" w:rsidTr="00DB635B">
        <w:trPr>
          <w:trHeight w:val="505"/>
          <w:jc w:val="center"/>
        </w:trPr>
        <w:tc>
          <w:tcPr>
            <w:tcW w:w="643" w:type="dxa"/>
            <w:vAlign w:val="center"/>
            <w:hideMark/>
          </w:tcPr>
          <w:p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8</w:t>
            </w:r>
          </w:p>
        </w:tc>
        <w:tc>
          <w:tcPr>
            <w:tcW w:w="1561"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EMK03O04</w:t>
            </w:r>
          </w:p>
        </w:tc>
        <w:tc>
          <w:tcPr>
            <w:tcW w:w="1536"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3</w:t>
            </w:r>
          </w:p>
        </w:tc>
        <w:tc>
          <w:tcPr>
            <w:tcW w:w="2067"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3</w:t>
            </w:r>
          </w:p>
        </w:tc>
        <w:tc>
          <w:tcPr>
            <w:tcW w:w="1102"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200-130</w:t>
            </w:r>
          </w:p>
        </w:tc>
        <w:tc>
          <w:tcPr>
            <w:tcW w:w="1749"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04383</w:t>
            </w:r>
          </w:p>
        </w:tc>
        <w:tc>
          <w:tcPr>
            <w:tcW w:w="1001" w:type="dxa"/>
            <w:vAlign w:val="center"/>
            <w:hideMark/>
          </w:tcPr>
          <w:p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03957</w:t>
            </w:r>
          </w:p>
        </w:tc>
      </w:tr>
    </w:tbl>
    <w:p w:rsidR="003D6201" w:rsidRDefault="003D6201" w:rsidP="0084751D">
      <w:pPr>
        <w:jc w:val="both"/>
        <w:rPr>
          <w:rFonts w:ascii="Times New Roman" w:hAnsi="Times New Roman" w:cs="Times New Roman"/>
          <w:color w:val="222222"/>
          <w:sz w:val="24"/>
          <w:szCs w:val="24"/>
          <w:shd w:val="clear" w:color="auto" w:fill="FFFFFF"/>
        </w:rPr>
      </w:pPr>
    </w:p>
    <w:p w:rsidR="005A15E6" w:rsidRDefault="005A15E6" w:rsidP="0084751D">
      <w:pPr>
        <w:jc w:val="both"/>
        <w:rPr>
          <w:rFonts w:ascii="Times New Roman" w:hAnsi="Times New Roman" w:cs="Times New Roman"/>
          <w:color w:val="222222"/>
          <w:sz w:val="24"/>
          <w:szCs w:val="24"/>
          <w:shd w:val="clear" w:color="auto" w:fill="FFFFFF"/>
        </w:rPr>
      </w:pPr>
    </w:p>
    <w:p w:rsidR="005A15E6" w:rsidRDefault="005A15E6" w:rsidP="005A15E6">
      <w:pPr>
        <w:rPr>
          <w:rFonts w:ascii="Times New Roman" w:hAnsi="Times New Roman" w:cs="Times New Roman"/>
          <w:sz w:val="24"/>
          <w:szCs w:val="24"/>
        </w:rPr>
      </w:pPr>
    </w:p>
    <w:p w:rsidR="005A15E6" w:rsidRDefault="005A15E6" w:rsidP="005A15E6">
      <w:pPr>
        <w:jc w:val="center"/>
        <w:rPr>
          <w:rFonts w:ascii="Times New Roman" w:hAnsi="Times New Roman" w:cs="Times New Roman"/>
          <w:sz w:val="24"/>
          <w:szCs w:val="24"/>
        </w:rPr>
      </w:pPr>
    </w:p>
    <w:p w:rsidR="005A15E6" w:rsidRDefault="005A15E6" w:rsidP="005A15E6">
      <w:pPr>
        <w:rPr>
          <w:rFonts w:ascii="Times New Roman" w:hAnsi="Times New Roman" w:cs="Times New Roman"/>
          <w:sz w:val="24"/>
          <w:szCs w:val="24"/>
        </w:rPr>
      </w:pPr>
    </w:p>
    <w:p w:rsidR="005A15E6" w:rsidRPr="005A15E6" w:rsidRDefault="005A15E6" w:rsidP="005A15E6">
      <w:pPr>
        <w:rPr>
          <w:rFonts w:ascii="Times New Roman" w:hAnsi="Times New Roman" w:cs="Times New Roman"/>
          <w:sz w:val="24"/>
          <w:szCs w:val="24"/>
        </w:rPr>
        <w:sectPr w:rsidR="005A15E6" w:rsidRPr="005A15E6" w:rsidSect="00E25AF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rsidR="003D6201" w:rsidRDefault="003D6201" w:rsidP="0084751D">
      <w:pPr>
        <w:jc w:val="both"/>
        <w:rPr>
          <w:rFonts w:ascii="Times New Roman" w:hAnsi="Times New Roman" w:cs="Times New Roman"/>
          <w:color w:val="222222"/>
          <w:sz w:val="24"/>
          <w:szCs w:val="24"/>
          <w:shd w:val="clear" w:color="auto" w:fill="FFFFFF"/>
        </w:rPr>
      </w:pPr>
    </w:p>
    <w:p w:rsidR="0087104E" w:rsidRDefault="003D6201" w:rsidP="00E57544">
      <w:pPr>
        <w:spacing w:line="360" w:lineRule="auto"/>
        <w:jc w:val="center"/>
        <w:rPr>
          <w:rFonts w:ascii="Times New Roman" w:hAnsi="Times New Roman" w:cs="Times New Roman"/>
          <w:sz w:val="24"/>
          <w:szCs w:val="24"/>
        </w:rPr>
        <w:sectPr w:rsidR="0087104E" w:rsidSect="003D6201">
          <w:pgSz w:w="16838" w:h="11906" w:orient="landscape"/>
          <w:pgMar w:top="1440" w:right="1440" w:bottom="1440" w:left="1440" w:header="708" w:footer="708" w:gutter="0"/>
          <w:cols w:space="708"/>
          <w:docGrid w:linePitch="360"/>
        </w:sectPr>
      </w:pPr>
      <w:r>
        <w:rPr>
          <w:rFonts w:ascii="Times New Roman" w:hAnsi="Times New Roman" w:cs="Times New Roman"/>
          <w:b/>
          <w:bCs/>
          <w:noProof/>
          <w:sz w:val="24"/>
          <w:szCs w:val="24"/>
          <w:lang w:eastAsia="en-IN"/>
        </w:rPr>
        <w:drawing>
          <wp:anchor distT="0" distB="0" distL="114300" distR="114300" simplePos="0" relativeHeight="251659264" behindDoc="1" locked="0" layoutInCell="1" allowOverlap="1">
            <wp:simplePos x="0" y="0"/>
            <wp:positionH relativeFrom="margin">
              <wp:posOffset>-463550</wp:posOffset>
            </wp:positionH>
            <wp:positionV relativeFrom="paragraph">
              <wp:posOffset>-482600</wp:posOffset>
            </wp:positionV>
            <wp:extent cx="9740900" cy="5245100"/>
            <wp:effectExtent l="19050" t="0" r="0" b="0"/>
            <wp:wrapTight wrapText="bothSides">
              <wp:wrapPolygon edited="0">
                <wp:start x="-42" y="157"/>
                <wp:lineTo x="-42" y="21417"/>
                <wp:lineTo x="21586" y="21417"/>
                <wp:lineTo x="21586" y="157"/>
                <wp:lineTo x="-42" y="157"/>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40900" cy="5245100"/>
                    </a:xfrm>
                    <a:prstGeom prst="rect">
                      <a:avLst/>
                    </a:prstGeom>
                    <a:noFill/>
                  </pic:spPr>
                </pic:pic>
              </a:graphicData>
            </a:graphic>
          </wp:anchor>
        </w:drawing>
      </w:r>
      <w:r>
        <w:rPr>
          <w:rFonts w:ascii="Times New Roman" w:hAnsi="Times New Roman" w:cs="Times New Roman"/>
          <w:b/>
          <w:bCs/>
          <w:sz w:val="24"/>
          <w:szCs w:val="24"/>
        </w:rPr>
        <w:t xml:space="preserve">Figure 1: </w:t>
      </w:r>
      <w:r w:rsidRPr="00E25AFF">
        <w:rPr>
          <w:rFonts w:ascii="Times New Roman" w:hAnsi="Times New Roman" w:cs="Times New Roman"/>
          <w:sz w:val="24"/>
          <w:szCs w:val="24"/>
        </w:rPr>
        <w:t>Distance matrix based on Jaccard coefficient (UPGMA</w:t>
      </w:r>
      <w:r>
        <w:rPr>
          <w:rFonts w:ascii="Times New Roman" w:hAnsi="Times New Roman" w:cs="Times New Roman"/>
          <w:sz w:val="24"/>
          <w:szCs w:val="24"/>
        </w:rPr>
        <w:t>)</w:t>
      </w:r>
    </w:p>
    <w:p w:rsidR="003D6201" w:rsidRDefault="003D6201" w:rsidP="00E57544">
      <w:pPr>
        <w:spacing w:line="360" w:lineRule="auto"/>
        <w:jc w:val="center"/>
        <w:rPr>
          <w:rFonts w:ascii="Times New Roman" w:hAnsi="Times New Roman" w:cs="Times New Roman"/>
          <w:color w:val="222222"/>
          <w:sz w:val="24"/>
          <w:szCs w:val="24"/>
          <w:shd w:val="clear" w:color="auto" w:fill="FFFFFF"/>
        </w:rPr>
      </w:pPr>
    </w:p>
    <w:p w:rsidR="0087104E" w:rsidRDefault="0087104E" w:rsidP="00E57544">
      <w:pPr>
        <w:spacing w:line="360" w:lineRule="auto"/>
        <w:jc w:val="center"/>
        <w:rPr>
          <w:rFonts w:ascii="Times New Roman" w:hAnsi="Times New Roman" w:cs="Times New Roman"/>
          <w:color w:val="222222"/>
          <w:sz w:val="24"/>
          <w:szCs w:val="24"/>
          <w:shd w:val="clear" w:color="auto" w:fill="FFFFFF"/>
        </w:rPr>
      </w:pPr>
    </w:p>
    <w:p w:rsidR="0087104E" w:rsidRDefault="0087104E" w:rsidP="00E57544">
      <w:pPr>
        <w:spacing w:line="360" w:lineRule="auto"/>
        <w:jc w:val="center"/>
        <w:rPr>
          <w:rFonts w:ascii="Times New Roman" w:hAnsi="Times New Roman" w:cs="Times New Roman"/>
          <w:color w:val="222222"/>
          <w:sz w:val="24"/>
          <w:szCs w:val="24"/>
          <w:shd w:val="clear" w:color="auto" w:fill="FFFFFF"/>
        </w:rPr>
      </w:pPr>
      <w:r w:rsidRPr="0087104E">
        <w:rPr>
          <w:rFonts w:ascii="Times New Roman" w:hAnsi="Times New Roman" w:cs="Times New Roman"/>
          <w:noProof/>
          <w:color w:val="222222"/>
          <w:sz w:val="24"/>
          <w:szCs w:val="24"/>
          <w:shd w:val="clear" w:color="auto" w:fill="FFFFFF"/>
          <w:lang w:eastAsia="en-IN"/>
        </w:rPr>
        <w:drawing>
          <wp:inline distT="0" distB="0" distL="0" distR="0">
            <wp:extent cx="5592074" cy="3024285"/>
            <wp:effectExtent l="19050" t="19050" r="27676" b="2371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4777" cy="3031155"/>
                    </a:xfrm>
                    <a:prstGeom prst="rect">
                      <a:avLst/>
                    </a:prstGeom>
                    <a:ln w="3175" cap="sq">
                      <a:solidFill>
                        <a:schemeClr val="tx1"/>
                      </a:solidFill>
                      <a:prstDash val="solid"/>
                      <a:miter lim="800000"/>
                    </a:ln>
                    <a:effectLst/>
                  </pic:spPr>
                </pic:pic>
              </a:graphicData>
            </a:graphic>
          </wp:inline>
        </w:drawing>
      </w:r>
    </w:p>
    <w:p w:rsidR="0087104E" w:rsidRPr="0087104E" w:rsidRDefault="0087104E" w:rsidP="0087104E">
      <w:pPr>
        <w:jc w:val="center"/>
        <w:rPr>
          <w:rFonts w:ascii="Times New Roman" w:hAnsi="Times New Roman" w:cs="Times New Roman"/>
          <w:sz w:val="24"/>
          <w:szCs w:val="24"/>
        </w:rPr>
      </w:pPr>
      <w:r w:rsidRPr="0084751D">
        <w:rPr>
          <w:rFonts w:ascii="Times New Roman" w:hAnsi="Times New Roman" w:cs="Times New Roman"/>
          <w:b/>
          <w:bCs/>
          <w:sz w:val="24"/>
          <w:szCs w:val="24"/>
        </w:rPr>
        <w:t>Fig</w:t>
      </w:r>
      <w:r>
        <w:rPr>
          <w:rFonts w:ascii="Times New Roman" w:hAnsi="Times New Roman" w:cs="Times New Roman"/>
          <w:b/>
          <w:bCs/>
          <w:sz w:val="24"/>
          <w:szCs w:val="24"/>
        </w:rPr>
        <w:t>ure 2</w:t>
      </w:r>
      <w:r w:rsidRPr="0084751D">
        <w:rPr>
          <w:rFonts w:ascii="Times New Roman" w:hAnsi="Times New Roman" w:cs="Times New Roman"/>
          <w:b/>
          <w:bCs/>
          <w:sz w:val="24"/>
          <w:szCs w:val="24"/>
        </w:rPr>
        <w:t>: clustering of brinjal genotypes by UPGMA using molecular data</w:t>
      </w:r>
    </w:p>
    <w:sectPr w:rsidR="0087104E" w:rsidRPr="0087104E" w:rsidSect="0087104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E0C" w:rsidRDefault="00141E0C" w:rsidP="009E2615">
      <w:pPr>
        <w:spacing w:after="0" w:line="240" w:lineRule="auto"/>
      </w:pPr>
      <w:r>
        <w:separator/>
      </w:r>
    </w:p>
  </w:endnote>
  <w:endnote w:type="continuationSeparator" w:id="1">
    <w:p w:rsidR="00141E0C" w:rsidRDefault="00141E0C" w:rsidP="009E2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A8" w:rsidRDefault="00E715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A8" w:rsidRDefault="00E715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A8" w:rsidRDefault="00E715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E0C" w:rsidRDefault="00141E0C" w:rsidP="009E2615">
      <w:pPr>
        <w:spacing w:after="0" w:line="240" w:lineRule="auto"/>
      </w:pPr>
      <w:r>
        <w:separator/>
      </w:r>
    </w:p>
  </w:footnote>
  <w:footnote w:type="continuationSeparator" w:id="1">
    <w:p w:rsidR="00141E0C" w:rsidRDefault="00141E0C" w:rsidP="009E26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A8" w:rsidRDefault="00F770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152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A8" w:rsidRDefault="00F770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152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A8" w:rsidRDefault="00F770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152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5351"/>
    <w:multiLevelType w:val="hybridMultilevel"/>
    <w:tmpl w:val="13E21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B3C1A"/>
    <w:multiLevelType w:val="hybridMultilevel"/>
    <w:tmpl w:val="5066AAAE"/>
    <w:lvl w:ilvl="0" w:tplc="4096459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C972BFA"/>
    <w:multiLevelType w:val="hybridMultilevel"/>
    <w:tmpl w:val="96B64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20482"/>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MDAzNDU0MTKyNDGwMLNU0lEKTi0uzszPAykwrAUA8LdLICwAAAA="/>
  </w:docVars>
  <w:rsids>
    <w:rsidRoot w:val="009E752B"/>
    <w:rsid w:val="00002D51"/>
    <w:rsid w:val="0000735C"/>
    <w:rsid w:val="00021250"/>
    <w:rsid w:val="00022537"/>
    <w:rsid w:val="000231FA"/>
    <w:rsid w:val="00040DAA"/>
    <w:rsid w:val="0006531A"/>
    <w:rsid w:val="00073ADB"/>
    <w:rsid w:val="00084DC9"/>
    <w:rsid w:val="00091B06"/>
    <w:rsid w:val="0009629A"/>
    <w:rsid w:val="000A1E35"/>
    <w:rsid w:val="000D29F6"/>
    <w:rsid w:val="000D3D4A"/>
    <w:rsid w:val="000F17E8"/>
    <w:rsid w:val="000F28EB"/>
    <w:rsid w:val="000F3BAF"/>
    <w:rsid w:val="00103676"/>
    <w:rsid w:val="00113863"/>
    <w:rsid w:val="00113ACB"/>
    <w:rsid w:val="001376A0"/>
    <w:rsid w:val="00141E0C"/>
    <w:rsid w:val="00146794"/>
    <w:rsid w:val="00166AC9"/>
    <w:rsid w:val="001704A9"/>
    <w:rsid w:val="00174C5E"/>
    <w:rsid w:val="00174C79"/>
    <w:rsid w:val="0017539A"/>
    <w:rsid w:val="001868C5"/>
    <w:rsid w:val="00190709"/>
    <w:rsid w:val="001A22D1"/>
    <w:rsid w:val="001B0A6D"/>
    <w:rsid w:val="001C246F"/>
    <w:rsid w:val="001D7EBD"/>
    <w:rsid w:val="001E31D7"/>
    <w:rsid w:val="001F442A"/>
    <w:rsid w:val="00200CAA"/>
    <w:rsid w:val="002079B5"/>
    <w:rsid w:val="00214A55"/>
    <w:rsid w:val="00215074"/>
    <w:rsid w:val="00246BB2"/>
    <w:rsid w:val="00257710"/>
    <w:rsid w:val="00257F68"/>
    <w:rsid w:val="00265B9E"/>
    <w:rsid w:val="00276A52"/>
    <w:rsid w:val="0028454C"/>
    <w:rsid w:val="002B10D8"/>
    <w:rsid w:val="002C61FB"/>
    <w:rsid w:val="002D354A"/>
    <w:rsid w:val="002F5447"/>
    <w:rsid w:val="00303362"/>
    <w:rsid w:val="00336029"/>
    <w:rsid w:val="00384A17"/>
    <w:rsid w:val="00394410"/>
    <w:rsid w:val="00394803"/>
    <w:rsid w:val="00394BEF"/>
    <w:rsid w:val="003B3E64"/>
    <w:rsid w:val="003C36B5"/>
    <w:rsid w:val="003C5600"/>
    <w:rsid w:val="003C770C"/>
    <w:rsid w:val="003D0662"/>
    <w:rsid w:val="003D6201"/>
    <w:rsid w:val="003E3FD3"/>
    <w:rsid w:val="0040077B"/>
    <w:rsid w:val="0041685F"/>
    <w:rsid w:val="004209F6"/>
    <w:rsid w:val="00453FEB"/>
    <w:rsid w:val="004719F8"/>
    <w:rsid w:val="00483387"/>
    <w:rsid w:val="004A2016"/>
    <w:rsid w:val="004D203B"/>
    <w:rsid w:val="004D77D8"/>
    <w:rsid w:val="004E42AC"/>
    <w:rsid w:val="004F0EDE"/>
    <w:rsid w:val="00500766"/>
    <w:rsid w:val="00503869"/>
    <w:rsid w:val="00525E61"/>
    <w:rsid w:val="00530D16"/>
    <w:rsid w:val="00531D5E"/>
    <w:rsid w:val="00534B39"/>
    <w:rsid w:val="00547435"/>
    <w:rsid w:val="00586891"/>
    <w:rsid w:val="005918ED"/>
    <w:rsid w:val="005A153A"/>
    <w:rsid w:val="005A15E6"/>
    <w:rsid w:val="005A1A85"/>
    <w:rsid w:val="005C0C85"/>
    <w:rsid w:val="005C275B"/>
    <w:rsid w:val="005C7596"/>
    <w:rsid w:val="005D73BA"/>
    <w:rsid w:val="005E5B14"/>
    <w:rsid w:val="005F3B64"/>
    <w:rsid w:val="00603534"/>
    <w:rsid w:val="00611DA2"/>
    <w:rsid w:val="00616EBD"/>
    <w:rsid w:val="00627278"/>
    <w:rsid w:val="006307CF"/>
    <w:rsid w:val="00647343"/>
    <w:rsid w:val="00671530"/>
    <w:rsid w:val="006928C7"/>
    <w:rsid w:val="006A0F8D"/>
    <w:rsid w:val="006B04D4"/>
    <w:rsid w:val="006C54AB"/>
    <w:rsid w:val="006D1826"/>
    <w:rsid w:val="006D6A37"/>
    <w:rsid w:val="006E6E5C"/>
    <w:rsid w:val="006F4CC5"/>
    <w:rsid w:val="0071413D"/>
    <w:rsid w:val="007332F8"/>
    <w:rsid w:val="00735779"/>
    <w:rsid w:val="00742654"/>
    <w:rsid w:val="0075024C"/>
    <w:rsid w:val="00750E52"/>
    <w:rsid w:val="007522C8"/>
    <w:rsid w:val="0076017C"/>
    <w:rsid w:val="007673CF"/>
    <w:rsid w:val="0076771F"/>
    <w:rsid w:val="007767A6"/>
    <w:rsid w:val="00783A51"/>
    <w:rsid w:val="007B7F78"/>
    <w:rsid w:val="007D11B0"/>
    <w:rsid w:val="007D323E"/>
    <w:rsid w:val="007D797C"/>
    <w:rsid w:val="007E69F6"/>
    <w:rsid w:val="00820076"/>
    <w:rsid w:val="00821A66"/>
    <w:rsid w:val="00826210"/>
    <w:rsid w:val="0083319B"/>
    <w:rsid w:val="0084580A"/>
    <w:rsid w:val="00845D61"/>
    <w:rsid w:val="00846E74"/>
    <w:rsid w:val="0084751D"/>
    <w:rsid w:val="00847D02"/>
    <w:rsid w:val="008527E5"/>
    <w:rsid w:val="0085417D"/>
    <w:rsid w:val="00856CEB"/>
    <w:rsid w:val="0087104E"/>
    <w:rsid w:val="00875DED"/>
    <w:rsid w:val="00875F69"/>
    <w:rsid w:val="00890129"/>
    <w:rsid w:val="008929C9"/>
    <w:rsid w:val="00895974"/>
    <w:rsid w:val="008A27EE"/>
    <w:rsid w:val="008C29AB"/>
    <w:rsid w:val="008C2AA4"/>
    <w:rsid w:val="008E1311"/>
    <w:rsid w:val="008E4670"/>
    <w:rsid w:val="008F401E"/>
    <w:rsid w:val="00900CAE"/>
    <w:rsid w:val="009338DB"/>
    <w:rsid w:val="00935755"/>
    <w:rsid w:val="0094208E"/>
    <w:rsid w:val="00943FCC"/>
    <w:rsid w:val="00953954"/>
    <w:rsid w:val="00956272"/>
    <w:rsid w:val="009915A8"/>
    <w:rsid w:val="009953C5"/>
    <w:rsid w:val="009A4FAD"/>
    <w:rsid w:val="009B0516"/>
    <w:rsid w:val="009C6CDF"/>
    <w:rsid w:val="009E2615"/>
    <w:rsid w:val="009E752B"/>
    <w:rsid w:val="009F482E"/>
    <w:rsid w:val="00A163CE"/>
    <w:rsid w:val="00A16871"/>
    <w:rsid w:val="00A21CDE"/>
    <w:rsid w:val="00A24401"/>
    <w:rsid w:val="00A24B37"/>
    <w:rsid w:val="00A35F6E"/>
    <w:rsid w:val="00A4355A"/>
    <w:rsid w:val="00A444BA"/>
    <w:rsid w:val="00A62065"/>
    <w:rsid w:val="00A751CB"/>
    <w:rsid w:val="00A81C39"/>
    <w:rsid w:val="00A81ECB"/>
    <w:rsid w:val="00A90932"/>
    <w:rsid w:val="00AB7840"/>
    <w:rsid w:val="00AC080D"/>
    <w:rsid w:val="00AC3A17"/>
    <w:rsid w:val="00AD68A0"/>
    <w:rsid w:val="00AD6991"/>
    <w:rsid w:val="00AE26DD"/>
    <w:rsid w:val="00AE3EAB"/>
    <w:rsid w:val="00B02912"/>
    <w:rsid w:val="00B1002C"/>
    <w:rsid w:val="00B22483"/>
    <w:rsid w:val="00B32113"/>
    <w:rsid w:val="00B401BF"/>
    <w:rsid w:val="00B45899"/>
    <w:rsid w:val="00B70CFA"/>
    <w:rsid w:val="00B72802"/>
    <w:rsid w:val="00BA07C4"/>
    <w:rsid w:val="00BA6C6D"/>
    <w:rsid w:val="00BA7D15"/>
    <w:rsid w:val="00BB040D"/>
    <w:rsid w:val="00BB5E73"/>
    <w:rsid w:val="00BC29F8"/>
    <w:rsid w:val="00BC61C1"/>
    <w:rsid w:val="00BD069C"/>
    <w:rsid w:val="00BE2BCC"/>
    <w:rsid w:val="00BE450C"/>
    <w:rsid w:val="00C1092A"/>
    <w:rsid w:val="00C117E5"/>
    <w:rsid w:val="00C232C9"/>
    <w:rsid w:val="00C30680"/>
    <w:rsid w:val="00C30E98"/>
    <w:rsid w:val="00C3151E"/>
    <w:rsid w:val="00C6500C"/>
    <w:rsid w:val="00C773DC"/>
    <w:rsid w:val="00CA34F9"/>
    <w:rsid w:val="00CE2396"/>
    <w:rsid w:val="00CE5639"/>
    <w:rsid w:val="00CF1301"/>
    <w:rsid w:val="00CF1768"/>
    <w:rsid w:val="00D11361"/>
    <w:rsid w:val="00D142AA"/>
    <w:rsid w:val="00D35D6E"/>
    <w:rsid w:val="00D45ECD"/>
    <w:rsid w:val="00D62F00"/>
    <w:rsid w:val="00D96E50"/>
    <w:rsid w:val="00DA58BF"/>
    <w:rsid w:val="00DA64F0"/>
    <w:rsid w:val="00DB1169"/>
    <w:rsid w:val="00DB158A"/>
    <w:rsid w:val="00DB635B"/>
    <w:rsid w:val="00DB68F6"/>
    <w:rsid w:val="00DB7597"/>
    <w:rsid w:val="00DD67DE"/>
    <w:rsid w:val="00E060DE"/>
    <w:rsid w:val="00E179E1"/>
    <w:rsid w:val="00E25AFF"/>
    <w:rsid w:val="00E525D4"/>
    <w:rsid w:val="00E57544"/>
    <w:rsid w:val="00E615D8"/>
    <w:rsid w:val="00E715A8"/>
    <w:rsid w:val="00E82C13"/>
    <w:rsid w:val="00E83CE0"/>
    <w:rsid w:val="00E87DEB"/>
    <w:rsid w:val="00E916AF"/>
    <w:rsid w:val="00EC5807"/>
    <w:rsid w:val="00ED0171"/>
    <w:rsid w:val="00ED1CAD"/>
    <w:rsid w:val="00ED3C48"/>
    <w:rsid w:val="00ED40AD"/>
    <w:rsid w:val="00EE6553"/>
    <w:rsid w:val="00F0388C"/>
    <w:rsid w:val="00F132D9"/>
    <w:rsid w:val="00F21A70"/>
    <w:rsid w:val="00F27E8E"/>
    <w:rsid w:val="00F53484"/>
    <w:rsid w:val="00F5485B"/>
    <w:rsid w:val="00F60DA1"/>
    <w:rsid w:val="00F62BAD"/>
    <w:rsid w:val="00F7708F"/>
    <w:rsid w:val="00F8524C"/>
    <w:rsid w:val="00FC63C3"/>
    <w:rsid w:val="00FD0F12"/>
    <w:rsid w:val="00FD6FEE"/>
    <w:rsid w:val="00FD7D8C"/>
    <w:rsid w:val="00FF3E1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5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2615"/>
    <w:pPr>
      <w:ind w:left="720"/>
      <w:contextualSpacing/>
    </w:pPr>
  </w:style>
  <w:style w:type="paragraph" w:styleId="Header">
    <w:name w:val="header"/>
    <w:basedOn w:val="Normal"/>
    <w:link w:val="HeaderChar"/>
    <w:uiPriority w:val="99"/>
    <w:unhideWhenUsed/>
    <w:rsid w:val="00586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891"/>
  </w:style>
  <w:style w:type="paragraph" w:styleId="Footer">
    <w:name w:val="footer"/>
    <w:basedOn w:val="Normal"/>
    <w:link w:val="FooterChar"/>
    <w:uiPriority w:val="99"/>
    <w:unhideWhenUsed/>
    <w:rsid w:val="00586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891"/>
  </w:style>
  <w:style w:type="character" w:styleId="Hyperlink">
    <w:name w:val="Hyperlink"/>
    <w:basedOn w:val="DefaultParagraphFont"/>
    <w:uiPriority w:val="99"/>
    <w:unhideWhenUsed/>
    <w:rsid w:val="0006531A"/>
    <w:rPr>
      <w:color w:val="0563C1" w:themeColor="hyperlink"/>
      <w:u w:val="single"/>
    </w:rPr>
  </w:style>
  <w:style w:type="character" w:customStyle="1" w:styleId="UnresolvedMention1">
    <w:name w:val="Unresolved Mention1"/>
    <w:basedOn w:val="DefaultParagraphFont"/>
    <w:uiPriority w:val="99"/>
    <w:semiHidden/>
    <w:unhideWhenUsed/>
    <w:rsid w:val="0006531A"/>
    <w:rPr>
      <w:color w:val="605E5C"/>
      <w:shd w:val="clear" w:color="auto" w:fill="E1DFDD"/>
    </w:rPr>
  </w:style>
  <w:style w:type="character" w:styleId="Emphasis">
    <w:name w:val="Emphasis"/>
    <w:basedOn w:val="DefaultParagraphFont"/>
    <w:uiPriority w:val="20"/>
    <w:qFormat/>
    <w:rsid w:val="00846E74"/>
    <w:rPr>
      <w:i/>
      <w:iCs/>
    </w:rPr>
  </w:style>
  <w:style w:type="paragraph" w:styleId="NormalWeb">
    <w:name w:val="Normal (Web)"/>
    <w:basedOn w:val="Normal"/>
    <w:uiPriority w:val="99"/>
    <w:semiHidden/>
    <w:unhideWhenUsed/>
    <w:rsid w:val="00846E7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E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311"/>
    <w:rPr>
      <w:rFonts w:ascii="Tahoma" w:hAnsi="Tahoma" w:cs="Tahoma"/>
      <w:sz w:val="16"/>
      <w:szCs w:val="16"/>
    </w:rPr>
  </w:style>
  <w:style w:type="character" w:customStyle="1" w:styleId="truncate">
    <w:name w:val="truncate"/>
    <w:basedOn w:val="DefaultParagraphFont"/>
    <w:rsid w:val="0084580A"/>
  </w:style>
</w:styles>
</file>

<file path=word/webSettings.xml><?xml version="1.0" encoding="utf-8"?>
<w:webSettings xmlns:r="http://schemas.openxmlformats.org/officeDocument/2006/relationships" xmlns:w="http://schemas.openxmlformats.org/wordprocessingml/2006/main">
  <w:divs>
    <w:div w:id="47920666">
      <w:bodyDiv w:val="1"/>
      <w:marLeft w:val="0"/>
      <w:marRight w:val="0"/>
      <w:marTop w:val="0"/>
      <w:marBottom w:val="0"/>
      <w:divBdr>
        <w:top w:val="none" w:sz="0" w:space="0" w:color="auto"/>
        <w:left w:val="none" w:sz="0" w:space="0" w:color="auto"/>
        <w:bottom w:val="none" w:sz="0" w:space="0" w:color="auto"/>
        <w:right w:val="none" w:sz="0" w:space="0" w:color="auto"/>
      </w:divBdr>
    </w:div>
    <w:div w:id="312222920">
      <w:bodyDiv w:val="1"/>
      <w:marLeft w:val="0"/>
      <w:marRight w:val="0"/>
      <w:marTop w:val="0"/>
      <w:marBottom w:val="0"/>
      <w:divBdr>
        <w:top w:val="none" w:sz="0" w:space="0" w:color="auto"/>
        <w:left w:val="none" w:sz="0" w:space="0" w:color="auto"/>
        <w:bottom w:val="none" w:sz="0" w:space="0" w:color="auto"/>
        <w:right w:val="none" w:sz="0" w:space="0" w:color="auto"/>
      </w:divBdr>
    </w:div>
    <w:div w:id="341125566">
      <w:bodyDiv w:val="1"/>
      <w:marLeft w:val="0"/>
      <w:marRight w:val="0"/>
      <w:marTop w:val="0"/>
      <w:marBottom w:val="0"/>
      <w:divBdr>
        <w:top w:val="none" w:sz="0" w:space="0" w:color="auto"/>
        <w:left w:val="none" w:sz="0" w:space="0" w:color="auto"/>
        <w:bottom w:val="none" w:sz="0" w:space="0" w:color="auto"/>
        <w:right w:val="none" w:sz="0" w:space="0" w:color="auto"/>
      </w:divBdr>
    </w:div>
    <w:div w:id="355039263">
      <w:bodyDiv w:val="1"/>
      <w:marLeft w:val="0"/>
      <w:marRight w:val="0"/>
      <w:marTop w:val="0"/>
      <w:marBottom w:val="0"/>
      <w:divBdr>
        <w:top w:val="none" w:sz="0" w:space="0" w:color="auto"/>
        <w:left w:val="none" w:sz="0" w:space="0" w:color="auto"/>
        <w:bottom w:val="none" w:sz="0" w:space="0" w:color="auto"/>
        <w:right w:val="none" w:sz="0" w:space="0" w:color="auto"/>
      </w:divBdr>
    </w:div>
    <w:div w:id="356005365">
      <w:bodyDiv w:val="1"/>
      <w:marLeft w:val="0"/>
      <w:marRight w:val="0"/>
      <w:marTop w:val="0"/>
      <w:marBottom w:val="0"/>
      <w:divBdr>
        <w:top w:val="none" w:sz="0" w:space="0" w:color="auto"/>
        <w:left w:val="none" w:sz="0" w:space="0" w:color="auto"/>
        <w:bottom w:val="none" w:sz="0" w:space="0" w:color="auto"/>
        <w:right w:val="none" w:sz="0" w:space="0" w:color="auto"/>
      </w:divBdr>
    </w:div>
    <w:div w:id="470248837">
      <w:bodyDiv w:val="1"/>
      <w:marLeft w:val="0"/>
      <w:marRight w:val="0"/>
      <w:marTop w:val="0"/>
      <w:marBottom w:val="0"/>
      <w:divBdr>
        <w:top w:val="none" w:sz="0" w:space="0" w:color="auto"/>
        <w:left w:val="none" w:sz="0" w:space="0" w:color="auto"/>
        <w:bottom w:val="none" w:sz="0" w:space="0" w:color="auto"/>
        <w:right w:val="none" w:sz="0" w:space="0" w:color="auto"/>
      </w:divBdr>
      <w:divsChild>
        <w:div w:id="806894907">
          <w:marLeft w:val="0"/>
          <w:marRight w:val="0"/>
          <w:marTop w:val="0"/>
          <w:marBottom w:val="0"/>
          <w:divBdr>
            <w:top w:val="none" w:sz="0" w:space="0" w:color="auto"/>
            <w:left w:val="none" w:sz="0" w:space="0" w:color="auto"/>
            <w:bottom w:val="none" w:sz="0" w:space="0" w:color="auto"/>
            <w:right w:val="none" w:sz="0" w:space="0" w:color="auto"/>
          </w:divBdr>
          <w:divsChild>
            <w:div w:id="1805199327">
              <w:marLeft w:val="0"/>
              <w:marRight w:val="0"/>
              <w:marTop w:val="0"/>
              <w:marBottom w:val="0"/>
              <w:divBdr>
                <w:top w:val="none" w:sz="0" w:space="0" w:color="auto"/>
                <w:left w:val="none" w:sz="0" w:space="0" w:color="auto"/>
                <w:bottom w:val="none" w:sz="0" w:space="0" w:color="auto"/>
                <w:right w:val="none" w:sz="0" w:space="0" w:color="auto"/>
              </w:divBdr>
              <w:divsChild>
                <w:div w:id="1875606686">
                  <w:marLeft w:val="0"/>
                  <w:marRight w:val="0"/>
                  <w:marTop w:val="0"/>
                  <w:marBottom w:val="0"/>
                  <w:divBdr>
                    <w:top w:val="none" w:sz="0" w:space="0" w:color="auto"/>
                    <w:left w:val="none" w:sz="0" w:space="0" w:color="auto"/>
                    <w:bottom w:val="none" w:sz="0" w:space="0" w:color="auto"/>
                    <w:right w:val="none" w:sz="0" w:space="0" w:color="auto"/>
                  </w:divBdr>
                  <w:divsChild>
                    <w:div w:id="380906839">
                      <w:marLeft w:val="0"/>
                      <w:marRight w:val="0"/>
                      <w:marTop w:val="0"/>
                      <w:marBottom w:val="0"/>
                      <w:divBdr>
                        <w:top w:val="none" w:sz="0" w:space="0" w:color="auto"/>
                        <w:left w:val="none" w:sz="0" w:space="0" w:color="auto"/>
                        <w:bottom w:val="none" w:sz="0" w:space="0" w:color="auto"/>
                        <w:right w:val="none" w:sz="0" w:space="0" w:color="auto"/>
                      </w:divBdr>
                      <w:divsChild>
                        <w:div w:id="1182476078">
                          <w:marLeft w:val="0"/>
                          <w:marRight w:val="0"/>
                          <w:marTop w:val="0"/>
                          <w:marBottom w:val="0"/>
                          <w:divBdr>
                            <w:top w:val="none" w:sz="0" w:space="0" w:color="auto"/>
                            <w:left w:val="none" w:sz="0" w:space="0" w:color="auto"/>
                            <w:bottom w:val="none" w:sz="0" w:space="0" w:color="auto"/>
                            <w:right w:val="none" w:sz="0" w:space="0" w:color="auto"/>
                          </w:divBdr>
                          <w:divsChild>
                            <w:div w:id="641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900665">
      <w:bodyDiv w:val="1"/>
      <w:marLeft w:val="0"/>
      <w:marRight w:val="0"/>
      <w:marTop w:val="0"/>
      <w:marBottom w:val="0"/>
      <w:divBdr>
        <w:top w:val="none" w:sz="0" w:space="0" w:color="auto"/>
        <w:left w:val="none" w:sz="0" w:space="0" w:color="auto"/>
        <w:bottom w:val="none" w:sz="0" w:space="0" w:color="auto"/>
        <w:right w:val="none" w:sz="0" w:space="0" w:color="auto"/>
      </w:divBdr>
    </w:div>
    <w:div w:id="650451587">
      <w:bodyDiv w:val="1"/>
      <w:marLeft w:val="0"/>
      <w:marRight w:val="0"/>
      <w:marTop w:val="0"/>
      <w:marBottom w:val="0"/>
      <w:divBdr>
        <w:top w:val="none" w:sz="0" w:space="0" w:color="auto"/>
        <w:left w:val="none" w:sz="0" w:space="0" w:color="auto"/>
        <w:bottom w:val="none" w:sz="0" w:space="0" w:color="auto"/>
        <w:right w:val="none" w:sz="0" w:space="0" w:color="auto"/>
      </w:divBdr>
    </w:div>
    <w:div w:id="671951635">
      <w:bodyDiv w:val="1"/>
      <w:marLeft w:val="0"/>
      <w:marRight w:val="0"/>
      <w:marTop w:val="0"/>
      <w:marBottom w:val="0"/>
      <w:divBdr>
        <w:top w:val="none" w:sz="0" w:space="0" w:color="auto"/>
        <w:left w:val="none" w:sz="0" w:space="0" w:color="auto"/>
        <w:bottom w:val="none" w:sz="0" w:space="0" w:color="auto"/>
        <w:right w:val="none" w:sz="0" w:space="0" w:color="auto"/>
      </w:divBdr>
    </w:div>
    <w:div w:id="694497990">
      <w:bodyDiv w:val="1"/>
      <w:marLeft w:val="0"/>
      <w:marRight w:val="0"/>
      <w:marTop w:val="0"/>
      <w:marBottom w:val="0"/>
      <w:divBdr>
        <w:top w:val="none" w:sz="0" w:space="0" w:color="auto"/>
        <w:left w:val="none" w:sz="0" w:space="0" w:color="auto"/>
        <w:bottom w:val="none" w:sz="0" w:space="0" w:color="auto"/>
        <w:right w:val="none" w:sz="0" w:space="0" w:color="auto"/>
      </w:divBdr>
    </w:div>
    <w:div w:id="811366133">
      <w:bodyDiv w:val="1"/>
      <w:marLeft w:val="0"/>
      <w:marRight w:val="0"/>
      <w:marTop w:val="0"/>
      <w:marBottom w:val="0"/>
      <w:divBdr>
        <w:top w:val="none" w:sz="0" w:space="0" w:color="auto"/>
        <w:left w:val="none" w:sz="0" w:space="0" w:color="auto"/>
        <w:bottom w:val="none" w:sz="0" w:space="0" w:color="auto"/>
        <w:right w:val="none" w:sz="0" w:space="0" w:color="auto"/>
      </w:divBdr>
    </w:div>
    <w:div w:id="894126461">
      <w:bodyDiv w:val="1"/>
      <w:marLeft w:val="0"/>
      <w:marRight w:val="0"/>
      <w:marTop w:val="0"/>
      <w:marBottom w:val="0"/>
      <w:divBdr>
        <w:top w:val="none" w:sz="0" w:space="0" w:color="auto"/>
        <w:left w:val="none" w:sz="0" w:space="0" w:color="auto"/>
        <w:bottom w:val="none" w:sz="0" w:space="0" w:color="auto"/>
        <w:right w:val="none" w:sz="0" w:space="0" w:color="auto"/>
      </w:divBdr>
    </w:div>
    <w:div w:id="967855600">
      <w:bodyDiv w:val="1"/>
      <w:marLeft w:val="0"/>
      <w:marRight w:val="0"/>
      <w:marTop w:val="0"/>
      <w:marBottom w:val="0"/>
      <w:divBdr>
        <w:top w:val="none" w:sz="0" w:space="0" w:color="auto"/>
        <w:left w:val="none" w:sz="0" w:space="0" w:color="auto"/>
        <w:bottom w:val="none" w:sz="0" w:space="0" w:color="auto"/>
        <w:right w:val="none" w:sz="0" w:space="0" w:color="auto"/>
      </w:divBdr>
    </w:div>
    <w:div w:id="1014109903">
      <w:bodyDiv w:val="1"/>
      <w:marLeft w:val="0"/>
      <w:marRight w:val="0"/>
      <w:marTop w:val="0"/>
      <w:marBottom w:val="0"/>
      <w:divBdr>
        <w:top w:val="none" w:sz="0" w:space="0" w:color="auto"/>
        <w:left w:val="none" w:sz="0" w:space="0" w:color="auto"/>
        <w:bottom w:val="none" w:sz="0" w:space="0" w:color="auto"/>
        <w:right w:val="none" w:sz="0" w:space="0" w:color="auto"/>
      </w:divBdr>
    </w:div>
    <w:div w:id="1080444097">
      <w:bodyDiv w:val="1"/>
      <w:marLeft w:val="0"/>
      <w:marRight w:val="0"/>
      <w:marTop w:val="0"/>
      <w:marBottom w:val="0"/>
      <w:divBdr>
        <w:top w:val="none" w:sz="0" w:space="0" w:color="auto"/>
        <w:left w:val="none" w:sz="0" w:space="0" w:color="auto"/>
        <w:bottom w:val="none" w:sz="0" w:space="0" w:color="auto"/>
        <w:right w:val="none" w:sz="0" w:space="0" w:color="auto"/>
      </w:divBdr>
    </w:div>
    <w:div w:id="1081633749">
      <w:bodyDiv w:val="1"/>
      <w:marLeft w:val="0"/>
      <w:marRight w:val="0"/>
      <w:marTop w:val="0"/>
      <w:marBottom w:val="0"/>
      <w:divBdr>
        <w:top w:val="none" w:sz="0" w:space="0" w:color="auto"/>
        <w:left w:val="none" w:sz="0" w:space="0" w:color="auto"/>
        <w:bottom w:val="none" w:sz="0" w:space="0" w:color="auto"/>
        <w:right w:val="none" w:sz="0" w:space="0" w:color="auto"/>
      </w:divBdr>
      <w:divsChild>
        <w:div w:id="959914074">
          <w:marLeft w:val="0"/>
          <w:marRight w:val="0"/>
          <w:marTop w:val="0"/>
          <w:marBottom w:val="0"/>
          <w:divBdr>
            <w:top w:val="none" w:sz="0" w:space="0" w:color="auto"/>
            <w:left w:val="none" w:sz="0" w:space="0" w:color="auto"/>
            <w:bottom w:val="none" w:sz="0" w:space="0" w:color="auto"/>
            <w:right w:val="none" w:sz="0" w:space="0" w:color="auto"/>
          </w:divBdr>
        </w:div>
      </w:divsChild>
    </w:div>
    <w:div w:id="1266419749">
      <w:bodyDiv w:val="1"/>
      <w:marLeft w:val="0"/>
      <w:marRight w:val="0"/>
      <w:marTop w:val="0"/>
      <w:marBottom w:val="0"/>
      <w:divBdr>
        <w:top w:val="none" w:sz="0" w:space="0" w:color="auto"/>
        <w:left w:val="none" w:sz="0" w:space="0" w:color="auto"/>
        <w:bottom w:val="none" w:sz="0" w:space="0" w:color="auto"/>
        <w:right w:val="none" w:sz="0" w:space="0" w:color="auto"/>
      </w:divBdr>
    </w:div>
    <w:div w:id="1350109938">
      <w:bodyDiv w:val="1"/>
      <w:marLeft w:val="0"/>
      <w:marRight w:val="0"/>
      <w:marTop w:val="0"/>
      <w:marBottom w:val="0"/>
      <w:divBdr>
        <w:top w:val="none" w:sz="0" w:space="0" w:color="auto"/>
        <w:left w:val="none" w:sz="0" w:space="0" w:color="auto"/>
        <w:bottom w:val="none" w:sz="0" w:space="0" w:color="auto"/>
        <w:right w:val="none" w:sz="0" w:space="0" w:color="auto"/>
      </w:divBdr>
    </w:div>
    <w:div w:id="1376084042">
      <w:bodyDiv w:val="1"/>
      <w:marLeft w:val="0"/>
      <w:marRight w:val="0"/>
      <w:marTop w:val="0"/>
      <w:marBottom w:val="0"/>
      <w:divBdr>
        <w:top w:val="none" w:sz="0" w:space="0" w:color="auto"/>
        <w:left w:val="none" w:sz="0" w:space="0" w:color="auto"/>
        <w:bottom w:val="none" w:sz="0" w:space="0" w:color="auto"/>
        <w:right w:val="none" w:sz="0" w:space="0" w:color="auto"/>
      </w:divBdr>
    </w:div>
    <w:div w:id="1984188649">
      <w:bodyDiv w:val="1"/>
      <w:marLeft w:val="0"/>
      <w:marRight w:val="0"/>
      <w:marTop w:val="0"/>
      <w:marBottom w:val="0"/>
      <w:divBdr>
        <w:top w:val="none" w:sz="0" w:space="0" w:color="auto"/>
        <w:left w:val="none" w:sz="0" w:space="0" w:color="auto"/>
        <w:bottom w:val="none" w:sz="0" w:space="0" w:color="auto"/>
        <w:right w:val="none" w:sz="0" w:space="0" w:color="auto"/>
      </w:divBdr>
    </w:div>
    <w:div w:id="2067482594">
      <w:bodyDiv w:val="1"/>
      <w:marLeft w:val="0"/>
      <w:marRight w:val="0"/>
      <w:marTop w:val="0"/>
      <w:marBottom w:val="0"/>
      <w:divBdr>
        <w:top w:val="none" w:sz="0" w:space="0" w:color="auto"/>
        <w:left w:val="none" w:sz="0" w:space="0" w:color="auto"/>
        <w:bottom w:val="none" w:sz="0" w:space="0" w:color="auto"/>
        <w:right w:val="none" w:sz="0" w:space="0" w:color="auto"/>
      </w:divBdr>
    </w:div>
    <w:div w:id="213590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faostat/en/"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urnalijecc.com/index.php/IJECC/article/view/405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DEC74-D1C4-457C-B024-AF86C409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4270</Words>
  <Characters>24344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Zeba Quaiyum</dc:creator>
  <cp:lastModifiedBy>DELL</cp:lastModifiedBy>
  <cp:revision>2</cp:revision>
  <dcterms:created xsi:type="dcterms:W3CDTF">2025-06-25T10:45:00Z</dcterms:created>
  <dcterms:modified xsi:type="dcterms:W3CDTF">2025-06-25T10:45:00Z</dcterms:modified>
</cp:coreProperties>
</file>