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679F7" w14:textId="77777777" w:rsidR="00EA1EDD" w:rsidRPr="00EA1EDD" w:rsidRDefault="00EA1EDD" w:rsidP="00EA1EDD">
      <w:pPr>
        <w:spacing w:before="100" w:beforeAutospacing="1" w:after="100" w:afterAutospacing="1" w:line="240" w:lineRule="auto"/>
        <w:outlineLvl w:val="2"/>
        <w:rPr>
          <w:rFonts w:ascii="Times New Roman" w:eastAsia="Times New Roman" w:hAnsi="Times New Roman" w:cs="Times New Roman"/>
          <w:b/>
          <w:bCs/>
          <w:i/>
          <w:iCs/>
          <w:sz w:val="24"/>
          <w:szCs w:val="24"/>
          <w:u w:val="single"/>
        </w:rPr>
      </w:pPr>
      <w:r w:rsidRPr="00EA1EDD">
        <w:rPr>
          <w:rFonts w:ascii="Times New Roman" w:eastAsia="Times New Roman" w:hAnsi="Times New Roman" w:cs="Times New Roman"/>
          <w:b/>
          <w:bCs/>
          <w:i/>
          <w:iCs/>
          <w:sz w:val="24"/>
          <w:szCs w:val="24"/>
          <w:u w:val="single"/>
        </w:rPr>
        <w:t>Review Article</w:t>
      </w:r>
    </w:p>
    <w:p w14:paraId="0DE764C7" w14:textId="77777777" w:rsidR="00EA1EDD" w:rsidRPr="00EA1EDD" w:rsidRDefault="00EA1EDD" w:rsidP="00103130">
      <w:pPr>
        <w:spacing w:before="100" w:beforeAutospacing="1" w:after="100" w:afterAutospacing="1" w:line="240" w:lineRule="auto"/>
        <w:outlineLvl w:val="2"/>
        <w:rPr>
          <w:rFonts w:ascii="Times New Roman" w:eastAsia="Times New Roman" w:hAnsi="Times New Roman" w:cs="Times New Roman"/>
          <w:b/>
          <w:bCs/>
          <w:i/>
          <w:iCs/>
          <w:sz w:val="24"/>
          <w:szCs w:val="24"/>
        </w:rPr>
      </w:pPr>
    </w:p>
    <w:p w14:paraId="756EC4B1" w14:textId="7ADC81C9" w:rsidR="00DC2ED7" w:rsidRPr="00DC2ED7" w:rsidRDefault="00DC2ED7" w:rsidP="00103130">
      <w:pPr>
        <w:spacing w:before="100" w:beforeAutospacing="1" w:after="100" w:afterAutospacing="1" w:line="240" w:lineRule="auto"/>
        <w:outlineLvl w:val="2"/>
        <w:rPr>
          <w:rFonts w:ascii="Times New Roman" w:eastAsia="Times New Roman" w:hAnsi="Times New Roman" w:cs="Times New Roman"/>
          <w:b/>
          <w:bCs/>
          <w:i/>
          <w:iCs/>
          <w:sz w:val="24"/>
          <w:szCs w:val="24"/>
        </w:rPr>
      </w:pPr>
      <w:r w:rsidRPr="00DC2ED7">
        <w:rPr>
          <w:b/>
          <w:bCs/>
          <w:sz w:val="20"/>
          <w:szCs w:val="20"/>
          <w:lang w:val="en-GB"/>
        </w:rPr>
        <w:t>Code Against Contagion: The Role of Health Information Technology in Transforming Public Health Surveillance during Pandemics</w:t>
      </w:r>
    </w:p>
    <w:p w14:paraId="269F3881" w14:textId="77777777" w:rsidR="00DF21D0" w:rsidRPr="00EA1EDD" w:rsidRDefault="00DF21D0" w:rsidP="00103130">
      <w:pPr>
        <w:spacing w:before="100" w:beforeAutospacing="1" w:after="100" w:afterAutospacing="1" w:line="240" w:lineRule="auto"/>
        <w:outlineLvl w:val="2"/>
        <w:rPr>
          <w:rFonts w:ascii="Times New Roman" w:eastAsia="Times New Roman" w:hAnsi="Times New Roman" w:cs="Times New Roman"/>
          <w:b/>
          <w:bCs/>
          <w:sz w:val="24"/>
          <w:szCs w:val="24"/>
        </w:rPr>
      </w:pPr>
    </w:p>
    <w:p w14:paraId="1ABA463E" w14:textId="1E7FC46C" w:rsidR="00103130" w:rsidRPr="00EA1EDD" w:rsidRDefault="00103130" w:rsidP="00103130">
      <w:pPr>
        <w:spacing w:before="100" w:beforeAutospacing="1" w:after="100" w:afterAutospacing="1" w:line="240" w:lineRule="auto"/>
        <w:outlineLvl w:val="2"/>
        <w:rPr>
          <w:rFonts w:ascii="Times New Roman" w:eastAsia="Times New Roman" w:hAnsi="Times New Roman" w:cs="Times New Roman"/>
          <w:b/>
          <w:bCs/>
          <w:sz w:val="24"/>
          <w:szCs w:val="24"/>
        </w:rPr>
      </w:pPr>
      <w:r w:rsidRPr="00EA1EDD">
        <w:rPr>
          <w:rFonts w:ascii="Times New Roman" w:eastAsia="Times New Roman" w:hAnsi="Times New Roman" w:cs="Times New Roman"/>
          <w:b/>
          <w:bCs/>
          <w:sz w:val="24"/>
          <w:szCs w:val="24"/>
        </w:rPr>
        <w:t>Abstract</w:t>
      </w:r>
    </w:p>
    <w:p w14:paraId="337F217E" w14:textId="26036C9E" w:rsidR="009C687D" w:rsidRPr="009C687D" w:rsidRDefault="009C687D" w:rsidP="009C687D">
      <w:pPr>
        <w:spacing w:before="100" w:beforeAutospacing="1" w:after="100" w:afterAutospacing="1" w:line="240" w:lineRule="auto"/>
        <w:rPr>
          <w:rFonts w:ascii="Times New Roman" w:eastAsia="Times New Roman" w:hAnsi="Times New Roman" w:cs="Times New Roman"/>
          <w:sz w:val="24"/>
          <w:szCs w:val="24"/>
        </w:rPr>
      </w:pPr>
      <w:r w:rsidRPr="009C687D">
        <w:rPr>
          <w:rFonts w:ascii="Times New Roman" w:eastAsia="Times New Roman" w:hAnsi="Times New Roman" w:cs="Times New Roman"/>
          <w:sz w:val="24"/>
          <w:szCs w:val="24"/>
        </w:rPr>
        <w:t>The COVID-19 pandemic served as a global stress test for public health surveillance systems, revealing critical weaknesses in data timeliness, coordination, and analytic capacity. This review examines how Health Information Technology (Health IT) is transforming epidemic intelligence in the post-pandemic era. Drawing on case studies and literature from global sources, the paper explores three core themes: technical integration (e.g., interoperable data systems and standards like HL7 FHIR), ethical governance (balancing privacy with public health goals), and institutional sustainability (including workforce development and long-term investment). The analysis synthesizes examples from countries such as South Korea, Singapore, and the United Kingdom to illustrate the opportunities and challenges of digital surveillance. The review highlights that while digital tools enabled faster and more predictive responses during COVID-19, their long-term impact depends on strategic coordination, ethical safeguards, and global equity. Ultimately, embedding digital capacity into core public health infrastructure is essential for future pandemic preparedness.</w:t>
      </w:r>
    </w:p>
    <w:p w14:paraId="7223434D" w14:textId="3F5C7D16" w:rsidR="00F679F7" w:rsidRPr="00EA1EDD" w:rsidRDefault="00F679F7" w:rsidP="00F679F7">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b/>
          <w:bCs/>
          <w:sz w:val="24"/>
          <w:szCs w:val="24"/>
        </w:rPr>
        <w:t xml:space="preserve">1.0. Introduction </w:t>
      </w:r>
    </w:p>
    <w:p w14:paraId="4DD9E48C" w14:textId="133CBB08" w:rsidR="00F679F7" w:rsidRPr="00EA1EDD" w:rsidRDefault="00F679F7" w:rsidP="00F679F7">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The COVID-19 pandemic marked a critical inflection point for global public health, exposing longstanding weaknesses in disease surveillance systems and revealing the urgent need for modernization. As SARS-CoV-2 spread rapidly across borders, the limitations of traditional public health infrastructure—built largely on manual reporting, siloed data systems, and delayed laboratory confirmations—became glaringly evident. These analog systems, while historically adequate for slower-moving outbreaks, proved ill-equipped to detect and respond to a fast-evolving global pandemic. The reactive nature of such surveillance approaches hindered timely containment, limited situational awareness, and exacerbated disparities in data capacity and coordination both between and within countries</w:t>
      </w:r>
      <w:r w:rsidR="006B4242" w:rsidRPr="00EA1EDD">
        <w:rPr>
          <w:rFonts w:ascii="Times New Roman" w:eastAsia="Times New Roman" w:hAnsi="Times New Roman" w:cs="Times New Roman"/>
          <w:sz w:val="24"/>
          <w:szCs w:val="24"/>
        </w:rPr>
        <w:fldChar w:fldCharType="begin"/>
      </w:r>
      <w:r w:rsidR="006B4242" w:rsidRPr="00EA1EDD">
        <w:rPr>
          <w:rFonts w:ascii="Times New Roman" w:eastAsia="Times New Roman" w:hAnsi="Times New Roman" w:cs="Times New Roman"/>
          <w:sz w:val="24"/>
          <w:szCs w:val="24"/>
        </w:rPr>
        <w:instrText xml:space="preserve"> ADDIN ZOTERO_ITEM CSL_CITATION {"citationID":"UZtv2F3F","properties":{"formattedCitation":"[1,2]","plainCitation":"[1,2]","noteIndex":0},"citationItems":[{"id":4247,"uris":["http://zotero.org/users/16652950/items/5LF2CH4J"],"itemData":{"id":4247,"type":"article-journal","container-title":"American Journal of Public Health","DOI":"10.2105/AJPH.2021.306551","ISSN":"0090-0036","issue":"12","journalAbbreviation":"Am J Public Health","note":"PMID: 34878884\nPMCID: PMC8667853","page":"2118-2121","source":"PubMed Central","title":"Impact of the COVID-19 Pandemic on Public Health Surveillance and Survey Data Collections in the United States","volume":"111","author":[{"family":"Lau","given":"Denys T."},{"family":"Sosa","given":"Paulina"},{"family":"Dasgupta","given":"Nabarun"},{"family":"He","given":"Hua"}],"issued":{"date-parts":[["2021",12]]}}},{"id":4254,"uris":["http://zotero.org/users/16652950/items/47P9NAHQ"],"itemData":{"id":4254,"type":"webpage","abstract":"Gains in life expectancy and quality of life over the course of American history can be attributed to forward-looking investments in public health","language":"en-US","title":"Public Health COVID-19 Impact Assessment: Lessons Learned and Compelling Needs - NAM","title-short":"Public Health COVID-19 Impact Assessment","URL":"https://nam.edu/perspectives/public-health-covid-19-impact-assessment-lessons-learned-and-compelling-needs/","accessed":{"date-parts":[["2025",7,9]]}}}],"schema":"https://github.com/citation-style-language/schema/raw/master/csl-citation.json"} </w:instrText>
      </w:r>
      <w:r w:rsidR="006B4242" w:rsidRPr="00EA1EDD">
        <w:rPr>
          <w:rFonts w:ascii="Times New Roman" w:eastAsia="Times New Roman" w:hAnsi="Times New Roman" w:cs="Times New Roman"/>
          <w:sz w:val="24"/>
          <w:szCs w:val="24"/>
        </w:rPr>
        <w:fldChar w:fldCharType="separate"/>
      </w:r>
      <w:r w:rsidR="006B4242" w:rsidRPr="00EA1EDD">
        <w:rPr>
          <w:rFonts w:ascii="Times New Roman" w:hAnsi="Times New Roman" w:cs="Times New Roman"/>
          <w:sz w:val="24"/>
        </w:rPr>
        <w:t>[1,2]</w:t>
      </w:r>
      <w:r w:rsidR="006B4242"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3B21A733" w14:textId="3C819C3A" w:rsidR="00F679F7" w:rsidRPr="00EA1EDD" w:rsidRDefault="00F679F7" w:rsidP="00F679F7">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 xml:space="preserve">In the early stages of the pandemic, even foundational epidemiological questions such as where infections were increasing, which populations were most vulnerable, or whether hospitals were approaching capacity remained difficult to answer. This was largely due to fragmented data </w:t>
      </w:r>
      <w:r w:rsidRPr="00EA1EDD">
        <w:rPr>
          <w:rFonts w:ascii="Times New Roman" w:eastAsia="Times New Roman" w:hAnsi="Times New Roman" w:cs="Times New Roman"/>
          <w:sz w:val="24"/>
          <w:szCs w:val="24"/>
        </w:rPr>
        <w:lastRenderedPageBreak/>
        <w:t>collection across jurisdictions, institutions, and care settings. Inconsistent reporting formats and delayed case confirmations further hampered efforts to model transmission dynamics, allocate resources, and implement evidence-based interventions. Although some surveillance systems were theoretically robust, the absence of interoperability, automation, and real-time analytics meant they could not keep pace with the virus's trajectory</w:t>
      </w:r>
      <w:r w:rsidR="00D0386D" w:rsidRPr="00EA1EDD">
        <w:rPr>
          <w:rFonts w:ascii="Times New Roman" w:eastAsia="Times New Roman" w:hAnsi="Times New Roman" w:cs="Times New Roman"/>
          <w:sz w:val="24"/>
          <w:szCs w:val="24"/>
        </w:rPr>
        <w:fldChar w:fldCharType="begin"/>
      </w:r>
      <w:r w:rsidR="00D0386D" w:rsidRPr="00EA1EDD">
        <w:rPr>
          <w:rFonts w:ascii="Times New Roman" w:eastAsia="Times New Roman" w:hAnsi="Times New Roman" w:cs="Times New Roman"/>
          <w:sz w:val="24"/>
          <w:szCs w:val="24"/>
        </w:rPr>
        <w:instrText xml:space="preserve"> ADDIN ZOTERO_ITEM CSL_CITATION {"citationID":"c8aeNK13","properties":{"formattedCitation":"[3]","plainCitation":"[3]","noteIndex":0},"citationItems":[{"id":4260,"uris":["http://zotero.org/users/16652950/items/GCQKUHVK"],"itemData":{"id":4260,"type":"chapter","abstract":"Emerging infections are clinically distinct conditions whose incidence in humans has been shown to be increasing (IOM, 1992). These diseases continue to disrupt the health care system, and successful detection and treatment of these diseases is becoming increasingly complicated. The public health system also is continually challenged by unexpected disease outbreaks, whether an influenza epidemic or an act of bioterrorism. To be prepared and responsive to these infections and outbreaks, the public health infrastructure requires attention and resources.","container-title":"Public Health Systems and Emerging Infections: Assessing the Capabilities of the Public and Private Sectors: Workshop Summary","language":"en","publisher":"National Academies Press (US)","source":"www.ncbi.nlm.nih.gov","title":"Summary and Assessment","URL":"https://www.ncbi.nlm.nih.gov/books/NBK100244/","author":[{"family":"Lederberg","given":"Joshua"}],"accessed":{"date-parts":[["2025",7,9]]},"issued":{"date-parts":[["2000"]]}}}],"schema":"https://github.com/citation-style-language/schema/raw/master/csl-citation.json"} </w:instrText>
      </w:r>
      <w:r w:rsidR="00D0386D" w:rsidRPr="00EA1EDD">
        <w:rPr>
          <w:rFonts w:ascii="Times New Roman" w:eastAsia="Times New Roman" w:hAnsi="Times New Roman" w:cs="Times New Roman"/>
          <w:sz w:val="24"/>
          <w:szCs w:val="24"/>
        </w:rPr>
        <w:fldChar w:fldCharType="separate"/>
      </w:r>
      <w:r w:rsidR="00D0386D" w:rsidRPr="00EA1EDD">
        <w:rPr>
          <w:rFonts w:ascii="Times New Roman" w:hAnsi="Times New Roman" w:cs="Times New Roman"/>
          <w:sz w:val="24"/>
        </w:rPr>
        <w:t>[3]</w:t>
      </w:r>
      <w:r w:rsidR="00D0386D"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15182F4A" w14:textId="29DC8030" w:rsidR="00F679F7" w:rsidRPr="00EA1EDD" w:rsidRDefault="00F679F7" w:rsidP="00F679F7">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It was within this strained landscape that digital health technologies emerged as indispensable components of the global response. Tools such as electronic health records, cloud-based data warehouses, mobile contact tracing applications, and artificial intelligence-driven analytics were deployed with unprecedented speed and scale. These technologies augmented and, in some cases, replaced conventional surveillance methods by enabling faster case identification, large-scale symptom tracking, and the integration of clinical, demographic, and behavioral data in near real-time. Perhaps most critically, they opened the door to predictive modeling and automated alert systems, which traditional surveillance methods were largely incapable of supporting</w:t>
      </w:r>
      <w:r w:rsidR="00D0386D" w:rsidRPr="00EA1EDD">
        <w:rPr>
          <w:rFonts w:ascii="Times New Roman" w:eastAsia="Times New Roman" w:hAnsi="Times New Roman" w:cs="Times New Roman"/>
          <w:sz w:val="24"/>
          <w:szCs w:val="24"/>
        </w:rPr>
        <w:fldChar w:fldCharType="begin"/>
      </w:r>
      <w:r w:rsidR="00D0386D" w:rsidRPr="00EA1EDD">
        <w:rPr>
          <w:rFonts w:ascii="Times New Roman" w:eastAsia="Times New Roman" w:hAnsi="Times New Roman" w:cs="Times New Roman"/>
          <w:sz w:val="24"/>
          <w:szCs w:val="24"/>
        </w:rPr>
        <w:instrText xml:space="preserve"> ADDIN ZOTERO_ITEM CSL_CITATION {"citationID":"xwlxs9Kq","properties":{"formattedCitation":"[4,5]","plainCitation":"[4,5]","noteIndex":0},"citationItems":[{"id":4257,"uris":["http://zotero.org/users/16652950/items/RAFQF6DZ"],"itemData":{"id":4257,"type":"article-journal","abstract":"Digital health innovations are reshaping global healthcare systems by enhancing access, efficiency, and quality of care. Technologies such as artificial intelligence, telemedicine, mobile health applications, and big data analytics have been widely ...","container-title":"Healthcare","DOI":"10.3390/healthcare13091060","issue":"9","language":"en","note":"PMID: 40361838","page":"1060","source":"pmc.ncbi.nlm.nih.gov","title":"Integrating Digital Health Innovations to Achieve Universal Health Coverage: Promoting Health Outcomes and Quality Through Global Public Health Equity","title-short":"Integrating Digital Health Innovations to Achieve Universal Health Coverage","volume":"13","author":[{"family":"Ahmed","given":"Mohamed Mustaf"},{"family":"Okesanya","given":"Olalekan John"},{"family":"Olaleke","given":"Noah Olabode"},{"family":"Adigun","given":"Olaniyi Abideen"},{"family":"Adebayo","given":"Uthman Okikiola"},{"family":"Oso","given":"Tolutope Adebimpe"},{"family":"Eshun","given":"Gilbert"},{"family":"Don Eliseo Lucero-Prisno","given":"I. I. I."}],"issued":{"date-parts":[["2025",5,5]]}}},{"id":4265,"uris":["http://zotero.org/users/16652950/items/58DPNMIN"],"itemData":{"id":4265,"type":"article-journal","abstract":"Artificial intelligence (AI) is a powerful and disruptive area of computer science, with the potential to fundamentally transform the practice of medicine and the delivery of healthcare. In this review article, we outline recent breakthroughs in the application of AI in healthcare, describe a roadmap to building effective, reliable and safe AI systems, and discuss the possible future direction of AI augmented healthcare systems.","container-title":"Future Healthcare Journal","DOI":"10.7861/fhj.2021-0095","ISSN":"2514-6645","issue":"2","journalAbbreviation":"Future Healthc J","note":"PMID: 34286183\nPMCID: PMC8285156","page":"e188-e194","source":"PubMed Central","title":"Artificial intelligence in healthcare: transforming the practice of medicine","title-short":"Artificial intelligence in healthcare","volume":"8","author":[{"family":"Bajwa","given":"Junaid"},{"family":"Munir","given":"Usman"},{"family":"Nori","given":"Aditya"},{"family":"Williams","given":"Bryan"}],"issued":{"date-parts":[["2021",7]]}}}],"schema":"https://github.com/citation-style-language/schema/raw/master/csl-citation.json"} </w:instrText>
      </w:r>
      <w:r w:rsidR="00D0386D" w:rsidRPr="00EA1EDD">
        <w:rPr>
          <w:rFonts w:ascii="Times New Roman" w:eastAsia="Times New Roman" w:hAnsi="Times New Roman" w:cs="Times New Roman"/>
          <w:sz w:val="24"/>
          <w:szCs w:val="24"/>
        </w:rPr>
        <w:fldChar w:fldCharType="separate"/>
      </w:r>
      <w:r w:rsidR="00D0386D" w:rsidRPr="00EA1EDD">
        <w:rPr>
          <w:rFonts w:ascii="Times New Roman" w:hAnsi="Times New Roman" w:cs="Times New Roman"/>
          <w:sz w:val="24"/>
        </w:rPr>
        <w:t>[4,5]</w:t>
      </w:r>
      <w:r w:rsidR="00D0386D"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5BDAE29A" w14:textId="6FEE65ED" w:rsidR="00F679F7" w:rsidRPr="00EA1EDD" w:rsidRDefault="00F679F7" w:rsidP="00F679F7">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In retrospect, the pandemic functioned as a global stress test for public health surveillance, a moment in which outdated systems faltered and digital innovations proved their worth. The experience demonstrated that digital health technologies are no longer optional enhancements but essential components of a resilient public health infrastructure. As governments and institutions shift from emergency response to long-term preparedness, it has become clear that Health Information Technology must be treated as a fundamental element of 21st-century epidemic intelligence and health security</w:t>
      </w:r>
      <w:r w:rsidR="00D0386D" w:rsidRPr="00EA1EDD">
        <w:rPr>
          <w:rFonts w:ascii="Times New Roman" w:eastAsia="Times New Roman" w:hAnsi="Times New Roman" w:cs="Times New Roman"/>
          <w:sz w:val="24"/>
          <w:szCs w:val="24"/>
        </w:rPr>
        <w:fldChar w:fldCharType="begin"/>
      </w:r>
      <w:r w:rsidR="00D0386D" w:rsidRPr="00EA1EDD">
        <w:rPr>
          <w:rFonts w:ascii="Times New Roman" w:eastAsia="Times New Roman" w:hAnsi="Times New Roman" w:cs="Times New Roman"/>
          <w:sz w:val="24"/>
          <w:szCs w:val="24"/>
        </w:rPr>
        <w:instrText xml:space="preserve"> ADDIN ZOTERO_ITEM CSL_CITATION {"citationID":"JabzCV52","properties":{"formattedCitation":"[6]","plainCitation":"[6]","noteIndex":0},"citationItems":[{"id":4268,"uris":["http://zotero.org/users/16652950/items/YJGK62WS"],"itemData":{"id":4268,"type":"article-journal","abstract":"Background\nDigital health technologies, such as mobile applications, wearable devices, and electronic health record systems, have significantly enhanced global health security by enabling timely data collection and analysis, identifying infectious disease trends, and reducing infection risk through remote services.\n\nObjective\nThis study assesses the role of digital health in pandemic preparedness and global health security response. It examines the application of digital health to early detection, surveillance, and data management in patient care.\n\nMethods\nWe gathered data from scholarly articles published between 2019 and 2024 (found in PubMed, Science Direct, Google Scholar, and Web of Science), reports from the WHO, and case studies of recent pandemics. Topics discussed include digital health technologies, their use, benefits, and issues. We paid special attention to gathering the informed opinions and perspectives of specialists from various fields, including public health, technology, and government. The commentary synthesises these findings to offer suggestions for incorporating digital health into future pandemic preparedness and response.\n\nResults\nDigital tools improve communication, combat fake news, and reach the public, but data protection and public health remain challenges. Integration requires extensive research and collaboration between governments and the private sector.\n\nConclusion\nThe COVID-19 outbreak demonstrated the importance of digital technology in outbreak management, patient care, communication, and data sharing. As the world transitions into the post-pandemic phase, it will be important to build on these innovations and prepare for the challenges ahead in order to strengthen healthcare systems for future pandemics.\n\nMain finding\nDigital health technology services like mobile health, big data analytics, and artificial intelligence are essential components of pandemic preparedness and response.\n\nAdded knowledge\nThis commentary integrates COVID-19 lessons and examines digital health’s development in the global health security system, highlighting shortcomings and opportunities for further discoveries.\n\nGlobal health impact for policy and action\nThis commentary highlights priorities for digital health in public health preparedness and makes the case for investment in infrastructure, workforce, and technology access. It highlights the need for international collaboration in combating global health threats and advancing a collaborative, equitable strategy for pandemic readiness.","container-title":"Global Health Action","DOI":"10.1080/16549716.2024.2419694","ISSN":"1654-9716","issue":"1","journalAbbreviation":"Glob Health Action","note":"PMID: 39435565\nPMCID: PMC11497569","page":"2419694","source":"PubMed Central","title":"The role of digital health in pandemic preparedness and response: securing global health?","title-short":"The role of digital health in pandemic preparedness and response","volume":"17","author":[{"family":"Ezenwaji","given":"Chisom Ogochukwu"},{"family":"Alum","given":"Esther Ugo"},{"family":"Ugwu","given":"Okechukwu Paul-Chima"}]}}],"schema":"https://github.com/citation-style-language/schema/raw/master/csl-citation.json"} </w:instrText>
      </w:r>
      <w:r w:rsidR="00D0386D" w:rsidRPr="00EA1EDD">
        <w:rPr>
          <w:rFonts w:ascii="Times New Roman" w:eastAsia="Times New Roman" w:hAnsi="Times New Roman" w:cs="Times New Roman"/>
          <w:sz w:val="24"/>
          <w:szCs w:val="24"/>
        </w:rPr>
        <w:fldChar w:fldCharType="separate"/>
      </w:r>
      <w:r w:rsidR="00D0386D" w:rsidRPr="00EA1EDD">
        <w:rPr>
          <w:rFonts w:ascii="Times New Roman" w:hAnsi="Times New Roman" w:cs="Times New Roman"/>
          <w:sz w:val="24"/>
        </w:rPr>
        <w:t>[6]</w:t>
      </w:r>
      <w:r w:rsidR="00D0386D"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000C856E" w14:textId="2425EB30" w:rsidR="00F679F7" w:rsidRPr="00EA1EDD" w:rsidRDefault="00F679F7" w:rsidP="00F679F7">
      <w:pPr>
        <w:spacing w:before="100" w:beforeAutospacing="1" w:after="100" w:afterAutospacing="1" w:line="360" w:lineRule="auto"/>
        <w:rPr>
          <w:rFonts w:ascii="Times New Roman" w:eastAsia="Times New Roman" w:hAnsi="Times New Roman" w:cs="Times New Roman"/>
          <w:b/>
          <w:bCs/>
          <w:sz w:val="24"/>
          <w:szCs w:val="24"/>
        </w:rPr>
      </w:pPr>
      <w:r w:rsidRPr="00EA1EDD">
        <w:rPr>
          <w:rFonts w:ascii="Times New Roman" w:eastAsia="Times New Roman" w:hAnsi="Times New Roman" w:cs="Times New Roman"/>
          <w:b/>
          <w:bCs/>
          <w:sz w:val="24"/>
          <w:szCs w:val="24"/>
        </w:rPr>
        <w:t>2.</w:t>
      </w:r>
      <w:r w:rsidR="000B0BE8" w:rsidRPr="00EA1EDD">
        <w:rPr>
          <w:rFonts w:ascii="Times New Roman" w:eastAsia="Times New Roman" w:hAnsi="Times New Roman" w:cs="Times New Roman"/>
          <w:b/>
          <w:bCs/>
          <w:sz w:val="24"/>
          <w:szCs w:val="24"/>
        </w:rPr>
        <w:t xml:space="preserve"> </w:t>
      </w:r>
      <w:r w:rsidRPr="00EA1EDD">
        <w:rPr>
          <w:rFonts w:ascii="Times New Roman" w:eastAsia="Times New Roman" w:hAnsi="Times New Roman" w:cs="Times New Roman"/>
          <w:b/>
          <w:bCs/>
          <w:sz w:val="24"/>
          <w:szCs w:val="24"/>
        </w:rPr>
        <w:t>Digital Innovations in Real-Time Surveillance</w:t>
      </w:r>
    </w:p>
    <w:p w14:paraId="7B67871B" w14:textId="2B7E9174" w:rsidR="00F679F7" w:rsidRPr="00EA1EDD" w:rsidRDefault="00F679F7" w:rsidP="00F679F7">
      <w:pPr>
        <w:spacing w:before="100" w:beforeAutospacing="1" w:after="100" w:afterAutospacing="1" w:line="360" w:lineRule="auto"/>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 xml:space="preserve">The urgency of the COVID-19 pandemic triggered a global surge in digital innovation, fundamentally reshaping how public health surveillance operates in real time. As traditional manually driven systems struggled under the pressure of rapidly escalating case numbers, governments and health institutions increasingly turned to Health Information Technology (Health IT) to close critical gaps. These tools were designed to improve data collection, enhance situational awareness, and enable more agile and responsive decision-making. Deployed at </w:t>
      </w:r>
      <w:r w:rsidRPr="00EA1EDD">
        <w:rPr>
          <w:rFonts w:ascii="Times New Roman" w:eastAsia="Times New Roman" w:hAnsi="Times New Roman" w:cs="Times New Roman"/>
          <w:sz w:val="24"/>
          <w:szCs w:val="24"/>
        </w:rPr>
        <w:lastRenderedPageBreak/>
        <w:t>unprecedented speed, these digital interventions marked a pivotal transformation in the monitoring, prediction, and control of infectious disease outbreaks</w:t>
      </w:r>
      <w:r w:rsidR="00D0386D" w:rsidRPr="00EA1EDD">
        <w:rPr>
          <w:rFonts w:ascii="Times New Roman" w:eastAsia="Times New Roman" w:hAnsi="Times New Roman" w:cs="Times New Roman"/>
          <w:sz w:val="24"/>
          <w:szCs w:val="24"/>
        </w:rPr>
        <w:fldChar w:fldCharType="begin"/>
      </w:r>
      <w:r w:rsidR="00D0386D" w:rsidRPr="00EA1EDD">
        <w:rPr>
          <w:rFonts w:ascii="Times New Roman" w:eastAsia="Times New Roman" w:hAnsi="Times New Roman" w:cs="Times New Roman"/>
          <w:sz w:val="24"/>
          <w:szCs w:val="24"/>
        </w:rPr>
        <w:instrText xml:space="preserve"> ADDIN ZOTERO_ITEM CSL_CITATION {"citationID":"ZX9RZOs3","properties":{"formattedCitation":"[1,7]","plainCitation":"[1,7]","noteIndex":0},"citationItems":[{"id":4247,"uris":["http://zotero.org/users/16652950/items/5LF2CH4J"],"itemData":{"id":4247,"type":"article-journal","container-title":"American Journal of Public Health","DOI":"10.2105/AJPH.2021.306551","ISSN":"0090-0036","issue":"12","journalAbbreviation":"Am J Public Health","note":"PMID: 34878884\nPMCID: PMC8667853","page":"2118-2121","source":"PubMed Central","title":"Impact of the COVID-19 Pandemic on Public Health Surveillance and Survey Data Collections in the United States","volume":"111","author":[{"family":"Lau","given":"Denys T."},{"family":"Sosa","given":"Paulina"},{"family":"Dasgupta","given":"Nabarun"},{"family":"He","given":"Hua"}],"issued":{"date-parts":[["2021",12]]}}},{"id":4274,"uris":["http://zotero.org/users/16652950/items/7FEQR6E5"],"itemData":{"id":4274,"type":"article-journal","abstract":"Beginning in December 2019, the world faced a critical new public health stressor with the emergence of SARS-CoV-2. Its spread was extraordinarily rapid, and in a matter of weeks countries across the world were affected, notably in their ability to manage health care needs. While many sectors of public structures were impacted by the pandemic, it particularly highlighted shortcomings in medical care infrastructures around the world that underscored the need to reorganize medical systems, as they were vastly unprepared and ill-equipped to manage a pandemic and simultaneously provide general and specialized medical care. This paper presents modalities in approaches to the pandemic by various countries, and the triaged reorganization of medical sections not considered first-line in the pandemic that was in many cases transformed into wards for treating COVID-19 cases. As new viruses and structural variants emerge, it is important to find solutions to streamline medical care in hospitals, which includes the expansion of digital network medicine (i.e., telemedicine and mobile health apps) for patients to continue to receive appropriate care without risking exposure to contagions. Mobile health app development continues to evolve with specialized diagnostics capabilities via external attachments that can provide rapid information sharing between patients and care providers while eliminating the need for office visits. Telemedicine, still in the early stages of adoption, especially in the developing world, can ensure access to medical information and contact with care providers, with the potential to release emergency rooms from excessive cases, and offer multidisciplinary access for patients and care providers that can also be a means to avoid contact during a pandemic. As this pandemic illustrated, an overhaul to streamline health care is essential, and a move towards greater use of mobile health and telemedicine will greatly benefit public health to control the spread of new variants and future outbreaks.","container-title":"Journal of Personalized Medicine","DOI":"10.3390/jpm12081295","ISSN":"2075-4426","issue":"8","journalAbbreviation":"J Pers Med","note":"PMID: 36013244\nPMCID: PMC9409667","page":"1295","source":"PubMed Central","title":"Global Challenges to Public Health Care Systems during the COVID-19 Pandemic: A Review of Pandemic Measures and Problems","title-short":"Global Challenges to Public Health Care Systems during the COVID-19 Pandemic","volume":"12","author":[{"family":"Filip","given":"Roxana"},{"family":"Gheorghita Puscaselu","given":"Roxana"},{"family":"Anchidin-Norocel","given":"Liliana"},{"family":"Dimian","given":"Mihai"},{"family":"Savage","given":"Wesley K."}],"issued":{"date-parts":[["2022",8,7]]}}}],"schema":"https://github.com/citation-style-language/schema/raw/master/csl-citation.json"} </w:instrText>
      </w:r>
      <w:r w:rsidR="00D0386D" w:rsidRPr="00EA1EDD">
        <w:rPr>
          <w:rFonts w:ascii="Times New Roman" w:eastAsia="Times New Roman" w:hAnsi="Times New Roman" w:cs="Times New Roman"/>
          <w:sz w:val="24"/>
          <w:szCs w:val="24"/>
        </w:rPr>
        <w:fldChar w:fldCharType="separate"/>
      </w:r>
      <w:r w:rsidR="00D0386D" w:rsidRPr="00EA1EDD">
        <w:rPr>
          <w:rFonts w:ascii="Times New Roman" w:hAnsi="Times New Roman" w:cs="Times New Roman"/>
          <w:sz w:val="24"/>
        </w:rPr>
        <w:t>[1,7]</w:t>
      </w:r>
      <w:r w:rsidR="00D0386D"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4DB705D9" w14:textId="73643651" w:rsidR="00F679F7" w:rsidRPr="00EA1EDD" w:rsidRDefault="00F679F7" w:rsidP="00F679F7">
      <w:pPr>
        <w:spacing w:before="100" w:beforeAutospacing="1" w:after="100" w:afterAutospacing="1" w:line="360" w:lineRule="auto"/>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One of the most consequential changes during the pandemic was the integration of electronic health record (EHR) data into public health reporting workflows. Automating the flow of clinical data into national surveillance databases allowed health authorities to bypass conventional reporting delays and gain near-instantaneous visibility into COVID-19 testing, hospitalization rates, and intensive care unit utilization</w:t>
      </w:r>
      <w:r w:rsidR="0072225B" w:rsidRPr="00EA1EDD">
        <w:rPr>
          <w:rFonts w:ascii="Times New Roman" w:eastAsia="Times New Roman" w:hAnsi="Times New Roman" w:cs="Times New Roman"/>
          <w:sz w:val="24"/>
          <w:szCs w:val="24"/>
        </w:rPr>
        <w:fldChar w:fldCharType="begin"/>
      </w:r>
      <w:r w:rsidR="0072225B" w:rsidRPr="00EA1EDD">
        <w:rPr>
          <w:rFonts w:ascii="Times New Roman" w:eastAsia="Times New Roman" w:hAnsi="Times New Roman" w:cs="Times New Roman"/>
          <w:sz w:val="24"/>
          <w:szCs w:val="24"/>
        </w:rPr>
        <w:instrText xml:space="preserve"> ADDIN ZOTERO_ITEM CSL_CITATION {"citationID":"ga35rC6G","properties":{"formattedCitation":"[8]","plainCitation":"[8]","noteIndex":0},"citationItems":[{"id":2397,"uris":["http://zotero.org/users/16652950/items/JXYZEQD2"],"itemData":{"id":2397,"type":"article-journal","abstract":"Despite the advancements that have been made in other countries regarding care and management, Diabetes Mellitus remains a serious concern to the public in Nigeria; its prevalence keeps increasing, and modern care methods remain inaccessible. The invention of the automated insulin delivery system is an approach that seems hopeful for enhancing glycemic control. However, adopting it in Nigeria is disadvantaged by high cost, inadequate health care facilities, and even the patients. This review mainly focuses on the important perceptions regarding the management of diabetes in Nigeria’s health care, such as the handiness and approachability of Continuous Glucose Monitors (CGMs) and insulin pumps. Economic limitations, technological backwardness, and gaps in regulation are all major factors contributing to the problem in the adoption automated insulin delivery system. We strongly recommend local manufacturing of low-cost diabetic equipment, governmental changes to improve access and incorporate the automated insulin delivery system into the healthcare programs, and collaboration between public and private health sectors to improve access and make these modern care methods affordable for diabetes patients. Future directions should be focused on manufacturing low-cost, AI-driven diabetes equipment for managing diabetes and should be tailored to the needs of Nigeria’s health care. Policymakers should focus primarily on providing insurance that covers these technology-driven treatment plans, efforts should be made to provide adequate training to healthcare professionals, and sensitization programs to inform patients. By doing these, Nigeria can advance to incorporating an automated insulin delivery system into diabetes care, positively impacting patient outcomes and quality of life.","container-title":"Journal of Medical Science, Biology, and Chemistry","DOI":"10.69739/jmsbc.v2i1.501","ISSN":"3079-2576","issue":"1","language":"en","license":"Copyright (c) 2025 Olabisi Promse Lawal, Aransiola Favour Taiye, Chibuike Emmanuel Okafor, Kelechi Wisdom Elechi, Enibokun Theresa Orobator, Toluwanimi Janet Kolapo, Aliyu Olanrewaju Olaniyi, Madhumati Mandal, Happiness Ifedolapo Olaniyi (Author)","note":"number: 1","page":"64-74","source":"journals.stecab.com","title":"The Automated Insulin Delivery System in Nigeria: Advances, Challenges, And Future Prospects in Closed-Loop Insulin Delivery Systems","title-short":"The Automated Insulin Delivery System in Nigeria","volume":"2","author":[{"family":"Lawal","given":"Olabisi Promse"},{"family":"Taiye","given":"Aransiola Favour"},{"family":"Okafor","given":"Chibuike Emmanuel"},{"family":"Elechi","given":"Kelechi Wisdom"},{"family":"Orobator","given":"Enibokun Theresa"},{"family":"Kolapo","given":"Toluwanimi Janet"},{"family":"Olaniyi","given":"Aliyu Olanrewaju"},{"family":"Mandal","given":"Madhumati"},{"family":"Olaniyi","given":"Happiness Ifedolapo"}],"issued":{"date-parts":[["2025",6,30]]}}}],"schema":"https://github.com/citation-style-language/schema/raw/master/csl-citation.json"} </w:instrText>
      </w:r>
      <w:r w:rsidR="0072225B" w:rsidRPr="00EA1EDD">
        <w:rPr>
          <w:rFonts w:ascii="Times New Roman" w:eastAsia="Times New Roman" w:hAnsi="Times New Roman" w:cs="Times New Roman"/>
          <w:sz w:val="24"/>
          <w:szCs w:val="24"/>
        </w:rPr>
        <w:fldChar w:fldCharType="separate"/>
      </w:r>
      <w:r w:rsidR="0072225B" w:rsidRPr="00EA1EDD">
        <w:rPr>
          <w:rFonts w:ascii="Times New Roman" w:hAnsi="Times New Roman" w:cs="Times New Roman"/>
          <w:sz w:val="24"/>
        </w:rPr>
        <w:t>[8]</w:t>
      </w:r>
      <w:r w:rsidR="0072225B"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 In the United Kingdom, the NHS COVID-19 Data Store aggregated information from EHRs, laboratory systems, and logistics chains to power a central dashboard used for resource allocation and policy planning. Similarly, in the United States, the HHS Protect platform integrated data from over 200 sources to support forecasting models and inform federal response strategies</w:t>
      </w:r>
      <w:r w:rsidR="00D0386D" w:rsidRPr="00EA1EDD">
        <w:rPr>
          <w:rFonts w:ascii="Times New Roman" w:eastAsia="Times New Roman" w:hAnsi="Times New Roman" w:cs="Times New Roman"/>
          <w:sz w:val="24"/>
          <w:szCs w:val="24"/>
        </w:rPr>
        <w:fldChar w:fldCharType="begin"/>
      </w:r>
      <w:r w:rsidR="0072225B" w:rsidRPr="00EA1EDD">
        <w:rPr>
          <w:rFonts w:ascii="Times New Roman" w:eastAsia="Times New Roman" w:hAnsi="Times New Roman" w:cs="Times New Roman"/>
          <w:sz w:val="24"/>
          <w:szCs w:val="24"/>
        </w:rPr>
        <w:instrText xml:space="preserve"> ADDIN ZOTERO_ITEM CSL_CITATION {"citationID":"9WpBaeul","properties":{"formattedCitation":"[9\\uc0\\u8211{}11]","plainCitation":"[9–11]","noteIndex":0},"citationItems":[{"id":4277,"uris":["http://zotero.org/users/16652950/items/NS7UBQ7Y"],"itemData":{"id":4277,"type":"article-journal","abstract":"The coronavirus disease 2019 (COVID-19) pandemic continues its global spread. Coordinated effort on a vast scale is required to halt its progression and to save lives. Electronic health record (EHR) data are a valuable resource to mitigate the COVID-19 pandemic. We review how the EHR could be used for disease surveillance and contact tracing. When linked to “omics” data, the EHR could facilitate identification of genetic susceptibility variants, leading to insights into risk factors, disease complications, and drug repurposing. Real-time monitoring of patients could enable early detection of potential complications, informing appropriate interventions and therapy. We reviewed relevant articles from PubMed, MEDLINE, and Google Scholar searches as well as preprint servers, given the rapidly evolving understanding of the COVID-19 pandemic.","container-title":"Mayo Clinic Proceedings","DOI":"10.1016/j.mayocp.2021.04.008","ISSN":"0025-6196","issue":"6","journalAbbreviation":"Mayo Clin Proc","note":"PMID: 34088418\nPMCID: PMC8059945","page":"1592-1608","source":"PubMed Central","title":"Leveraging the Electronic Health Record to Address the COVID-19 Pandemic","volume":"96","author":[{"family":"Satterfield","given":"Benjamin A."},{"family":"Dikilitas","given":"Ozan"},{"family":"Kullo","given":"Iftikhar J."}],"issued":{"date-parts":[["2021",6]]}}},{"id":4280,"uris":["http://zotero.org/users/16652950/items/C4USZQ75"],"itemData":{"id":4280,"type":"article-journal","abstract":"Electronic health information systems can reshape the practice of public health including public health surveillance, disease and injury investigation and control, decision making, quality assurance, and policy development. While these opportunities are potentially transformative, and the federal program for the Meaningful Use (MU) of electronic health records (EHRs) has included important public health components, significant barriers remain. Unlike incentives in the clinical care system, scant funding is available to public health departments to develop the necessary information infrastructure and workforce capacity to capitalize on EHRs, personal health records, or Big Data. Current EHR systems are primarily built to serve clinical systems and practice rather than being structured for public health use. In addition, there are policy issues concerning how broadly the data can be used by public health officials. As these issues are resolved and workable solutions emerge, they should yield a more efficient and effective public health system.","container-title":"eGEMs","DOI":"10.13063/2327-9214.1019","ISSN":"2327-9214","issue":"2","journalAbbreviation":"EGEMS (Wash DC)","note":"PMID: 25848571\nPMCID: PMC4371418","page":"1019","source":"PubMed Central","title":"Applications of Electronic Health Information in Public Health: Uses, Opportunities &amp; Barriers","title-short":"Applications of Electronic Health Information in Public Health","volume":"1","author":[{"family":"Tomines","given":"Alan"},{"family":"Readhead","given":"Heather"},{"family":"Readhead","given":"Adam"},{"family":"Teutsch","given":"Steven"}],"issued":{"date-parts":[["2013",10,28]]}}},{"id":4284,"uris":["http://zotero.org/users/16652950/items/8JFLT4F5"],"itemData":{"id":4284,"type":"article-journal","abstract":"One of the main objectives of Electronic Health Records (EHRs) is to enhance collaboration among healthcare professionals. However, our knowledge of how EHRs actually affect collaborative practices is limited. This study examines how an EHR facilitates and constrains collaboration in five outpatient clinics.","container-title":"BMC Health Services Research","DOI":"10.1186/s12913-020-05542-6","ISSN":"1472-6963","issue":"1","journalAbbreviation":"BMC Health Services Research","page":"676","source":"BioMed Central","title":"The influence of electronic health record use on collaboration among medical specialties","volume":"20","author":[{"family":"Vos","given":"Janita F. J."},{"family":"Boonstra","given":"Albert"},{"family":"Kooistra","given":"Arjen"},{"family":"Seelen","given":"Marc"},{"family":"Offenbeek","given":"Marjolein","non-dropping-particle":"van"}],"issued":{"date-parts":[["2020",7,22]]}}}],"schema":"https://github.com/citation-style-language/schema/raw/master/csl-citation.json"} </w:instrText>
      </w:r>
      <w:r w:rsidR="00D0386D" w:rsidRPr="00EA1EDD">
        <w:rPr>
          <w:rFonts w:ascii="Times New Roman" w:eastAsia="Times New Roman" w:hAnsi="Times New Roman" w:cs="Times New Roman"/>
          <w:sz w:val="24"/>
          <w:szCs w:val="24"/>
        </w:rPr>
        <w:fldChar w:fldCharType="separate"/>
      </w:r>
      <w:r w:rsidR="0072225B" w:rsidRPr="00EA1EDD">
        <w:rPr>
          <w:rFonts w:ascii="Times New Roman" w:hAnsi="Times New Roman" w:cs="Times New Roman"/>
          <w:sz w:val="24"/>
          <w:szCs w:val="24"/>
        </w:rPr>
        <w:t>[9–11]</w:t>
      </w:r>
      <w:r w:rsidR="00D0386D"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1389BBB7" w14:textId="65327A92" w:rsidR="00F679F7" w:rsidRPr="00EA1EDD" w:rsidRDefault="00F679F7" w:rsidP="00F679F7">
      <w:pPr>
        <w:spacing w:before="100" w:beforeAutospacing="1" w:after="100" w:afterAutospacing="1" w:line="360" w:lineRule="auto"/>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Mobile technologies also played a crucial role in expanding the reach, speed, and granularity of surveillance activities. Digital contact tracing applications such as Singapore’s TraceTogether and South Korea’s cell-tower-based tracking system enabled authorities to quickly identify and notify individuals potentially exposed to the virus. Often supplemented with QR code-based venue check-ins and real-time mobility data, these tools allowed for targeted containment strategies that avoided the economic and social costs of full-scale lockdowns. In parallel, symptom monitoring and self-assessment platforms such as the UK’s COVID Symptom Study app collected population-level health data that helped identify emerging transmission clusters and patterns in near real time</w:t>
      </w:r>
      <w:r w:rsidR="00D0386D" w:rsidRPr="00EA1EDD">
        <w:rPr>
          <w:rFonts w:ascii="Times New Roman" w:eastAsia="Times New Roman" w:hAnsi="Times New Roman" w:cs="Times New Roman"/>
          <w:sz w:val="24"/>
          <w:szCs w:val="24"/>
        </w:rPr>
        <w:fldChar w:fldCharType="begin"/>
      </w:r>
      <w:r w:rsidR="0072225B" w:rsidRPr="00EA1EDD">
        <w:rPr>
          <w:rFonts w:ascii="Times New Roman" w:eastAsia="Times New Roman" w:hAnsi="Times New Roman" w:cs="Times New Roman"/>
          <w:sz w:val="24"/>
          <w:szCs w:val="24"/>
        </w:rPr>
        <w:instrText xml:space="preserve"> ADDIN ZOTERO_ITEM CSL_CITATION {"citationID":"NnWKRhgY","properties":{"formattedCitation":"[12,13]","plainCitation":"[12,13]","noteIndex":0},"citationItems":[{"id":4287,"uris":["http://zotero.org/users/16652950/items/RQX6WMGE"],"itemData":{"id":4287,"type":"article-journal","abstract":"Contact tracing has been essential to reducing spread of COVID-19. Singapore leveraged technology to assist with contact tracing efforts using a Bluetooth-based app and token platform called ‘TraceTogether’.","container-title":"BMC Public Health","DOI":"10.1186/s12889-023-17150-0","ISSN":"1471-2458","issue":"1","journalAbbreviation":"BMC Public Health","page":"2253","source":"BioMed Central","title":"Use of a digital contact tracing system in Singapore to mitigate COVID-19 spread","volume":"23","author":[{"family":"Chow","given":"Bryan W. K."},{"family":"Lim","given":"Yi Ding"},{"family":"Poh","given":"Richard C. H."},{"family":"Ko","given":"Amy"},{"family":"Hong","given":"Guo Hao"},{"family":"Zou","given":"Steffen W. L."},{"family":"Cheah","given":"Joshua"},{"family":"Ho","given":"Shaowei"},{"family":"Lee","given":"Vernon J. M."},{"family":"Ho","given":"Marc Z. J."}],"issued":{"date-parts":[["2023",11,16]]}}},{"id":4290,"uris":["http://zotero.org/users/16652950/items/XMZG56NQ"],"itemData":{"id":4290,"type":"article-journal","abstract":"The global and national response to the COVID-19 pandemic has been inadequate due to a collective lack of preparation and a shortage of available tools for responding to a large-scale pandemic. By applying lessons learned to create better preventative methods and speedier interventions, the harm of a future pandemic may be dramatically reduced. One potential measure is the widespread use of contact tracing apps. While such apps were designed to combat the COVID-19 pandemic, the time scale in which these apps were deployed proved a significant barrier to efficacy. Many companies and governments sprinted to deploy contact tracing apps that were not properly vetted for performance, privacy, or security issues. The hasty development of incomplete contact tracing apps undermined public trust and negatively influenced perceptions of app efficacy. As a result, many of these apps had poor voluntary public uptake, which greatly decreased the apps’ efficacy. Now, with lessons learned from this pandemic, groups can better design and test apps in preparation for the future. In this viewpoint, we outline common strategies employed for contact tracing apps, detail the successes and shortcomings of several prominent apps, and describe lessons learned that may be used to shape effective contact tracing apps for the present and future. Future app designers can keep these lessons in mind to create a version that is suitable for their local culture, especially with regard to local attitudes toward privacy-utility tradeoffs during public health crises.","container-title":"JMIR Medical Informatics","DOI":"10.2196/27449","ISSN":"2291-9694","issue":"7","journalAbbreviation":"JMIR Med Inform","note":"PMID: 34254937\nPMCID: PMC8291141","page":"e27449","source":"PubMed Central","title":"Contact Tracing Apps: Lessons Learned on Privacy, Autonomy, and the Need for Detailed and Thoughtful Implementation","title-short":"Contact Tracing Apps","volume":"9","author":[{"family":"Hogan","given":"Katie"},{"family":"Macedo","given":"Briana"},{"family":"Macha","given":"Venkata"},{"family":"Barman","given":"Arko"},{"family":"Jiang","given":"Xiaoqian"}],"issued":{"date-parts":[["2021",7,19]]}}}],"schema":"https://github.com/citation-style-language/schema/raw/master/csl-citation.json"} </w:instrText>
      </w:r>
      <w:r w:rsidR="00D0386D" w:rsidRPr="00EA1EDD">
        <w:rPr>
          <w:rFonts w:ascii="Times New Roman" w:eastAsia="Times New Roman" w:hAnsi="Times New Roman" w:cs="Times New Roman"/>
          <w:sz w:val="24"/>
          <w:szCs w:val="24"/>
        </w:rPr>
        <w:fldChar w:fldCharType="separate"/>
      </w:r>
      <w:r w:rsidR="0072225B" w:rsidRPr="00EA1EDD">
        <w:rPr>
          <w:rFonts w:ascii="Times New Roman" w:hAnsi="Times New Roman" w:cs="Times New Roman"/>
          <w:sz w:val="24"/>
        </w:rPr>
        <w:t>[12,13]</w:t>
      </w:r>
      <w:r w:rsidR="00D0386D"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 In addition to improving detection and monitoring, artificial intelligence (AI) and machine learning (ML) technologies were used to anticipate outbreak dynamics and inform clinical decision-making. For example, South Korea employed AI systems that analyzed mobility and contact data to predict potential superspreading events. In the United States, researchers leveraged natural language processing to identify early syndromic trends from free-text clinical notes in EHRs, offering earlier warnings of respiratory illness spikes. Other machine learning models were used to support hospital triage, estimating patient deterioration risk based on vital signs and comorbidities in real time</w:t>
      </w:r>
      <w:r w:rsidR="00541131" w:rsidRPr="00EA1EDD">
        <w:rPr>
          <w:rFonts w:ascii="Times New Roman" w:eastAsia="Times New Roman" w:hAnsi="Times New Roman" w:cs="Times New Roman"/>
          <w:sz w:val="24"/>
          <w:szCs w:val="24"/>
        </w:rPr>
        <w:fldChar w:fldCharType="begin"/>
      </w:r>
      <w:r w:rsidR="0072225B" w:rsidRPr="00EA1EDD">
        <w:rPr>
          <w:rFonts w:ascii="Times New Roman" w:eastAsia="Times New Roman" w:hAnsi="Times New Roman" w:cs="Times New Roman"/>
          <w:sz w:val="24"/>
          <w:szCs w:val="24"/>
        </w:rPr>
        <w:instrText xml:space="preserve"> ADDIN ZOTERO_ITEM CSL_CITATION {"citationID":"71RqUPps","properties":{"formattedCitation":"[14]","plainCitation":"[14]","noteIndex":0},"citationItems":[{"id":4296,"uris":["http://zotero.org/users/16652950/items/UZKHI96A"],"itemData":{"id":4296,"type":"article-journal","abstract":"At the beginning of the COVID-19 pandemic, analog tools such as nasopharyngeal swabs for PCR tests were center stage and the major prevention tactics of masking and physical distancing were a throwback to the 1918 influenza pandemic. Overall, there has been scant regard for digital tools, particularly those based on smartphone apps, which is surprising given the ubiquity of smartphones across the globe. Smartphone apps, given accessibility in the time of physical distancing, were widely used for tracking, tracing and educating the public about COVID-19. Despite limitations, such as concerns around data privacy, data security, digital health illiteracy and structural inequities, there is ample evidence that apps are beneficial for understanding outbreak epidemiology, individual screening and contact tracing. While there were successes and failures in each category, outbreak epidemiology and individual screening were substantially enhanced by the reach of smartphone apps and accessory wearables. Continued use of apps within the digital infrastructure promises to provide an important tool for rigorous investigation of outcomes both in the ongoing outbreak and in future epidemics.","container-title":"Nature Biotechnology","DOI":"10.1038/s41587-022-01350-x","ISSN":"1546-1696","issue":"7","journalAbbreviation":"Nat Biotechnol","language":"en","license":"2022 Springer Nature America, Inc.","note":"publisher: Nature Publishing Group","page":"1013-1022","source":"www.nature.com","title":"Smartphone apps in the COVID-19 pandemic","volume":"40","author":[{"family":"Pandit","given":"Jay A."},{"family":"Radin","given":"Jennifer M."},{"family":"Quer","given":"Giorgio"},{"family":"Topol","given":"Eric J."}],"issued":{"date-parts":[["2022",7]]}}}],"schema":"https://github.com/citation-style-language/schema/raw/master/csl-citation.json"} </w:instrText>
      </w:r>
      <w:r w:rsidR="00541131" w:rsidRPr="00EA1EDD">
        <w:rPr>
          <w:rFonts w:ascii="Times New Roman" w:eastAsia="Times New Roman" w:hAnsi="Times New Roman" w:cs="Times New Roman"/>
          <w:sz w:val="24"/>
          <w:szCs w:val="24"/>
        </w:rPr>
        <w:fldChar w:fldCharType="separate"/>
      </w:r>
      <w:r w:rsidR="0072225B" w:rsidRPr="00EA1EDD">
        <w:rPr>
          <w:rFonts w:ascii="Times New Roman" w:hAnsi="Times New Roman" w:cs="Times New Roman"/>
          <w:sz w:val="24"/>
        </w:rPr>
        <w:t>[14]</w:t>
      </w:r>
      <w:r w:rsidR="00541131"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1DA41DD2" w14:textId="06662222" w:rsidR="009C687D" w:rsidRPr="009C687D" w:rsidRDefault="00F679F7" w:rsidP="009C687D">
      <w:pPr>
        <w:pStyle w:val="NormalWeb"/>
      </w:pPr>
      <w:r w:rsidRPr="00EA1EDD">
        <w:t xml:space="preserve"> </w:t>
      </w:r>
      <w:r w:rsidRPr="00EA1EDD">
        <w:tab/>
        <w:t xml:space="preserve">Despite the clear benefits of these innovations, their effectiveness varied significantly across settings, revealing important contextual factors. First, digital readiness—including the presence of robust infrastructure, skilled personnel, and regulatory flexibility—was essential for </w:t>
      </w:r>
      <w:r w:rsidRPr="00EA1EDD">
        <w:lastRenderedPageBreak/>
        <w:t>rapid implementation. Countries with pre-existing integrated health data systems were far better positioned to scale up digital surveillance tools. Second, effective governance was key</w:t>
      </w:r>
      <w:r w:rsidR="00541131" w:rsidRPr="00EA1EDD">
        <w:fldChar w:fldCharType="begin"/>
      </w:r>
      <w:r w:rsidR="0072225B" w:rsidRPr="00EA1EDD">
        <w:instrText xml:space="preserve"> ADDIN ZOTERO_ITEM CSL_CITATION {"citationID":"bS9MwZx4","properties":{"formattedCitation":"[15]","plainCitation":"[15]","noteIndex":0},"citationItems":[{"id":4299,"uris":["http://zotero.org/users/16652950/items/J8Z4VQNK"],"itemData":{"id":4299,"type":"article-journal","abstract":"In the face of rapid technological advancement, the pharmacy sector is undergoing a significant digital transformation. This review explores the transformative impact of digitalization in the global pharmacy sector. We illustrated how advancements in technologies like artificial intelligence, blockchain, and online platforms are reshaping pharmacy services and education. The paper provides a comprehensive overview of the growth of online pharmacy platforms and the pivotal role of telepharmacy and telehealth during the COVID-19 pandemic. Additionally, it discusses the burgeoning cosmeceutical market within online pharmacies, the regulatory challenges faced globally, and the private sector’s influence on healthcare technology. Conclusively, the paper highlights future trends and technological innovations, underscoring the dynamic evolution of the pharmacy landscape in response to digital transformation.","container-title":"Journal of Health, Population and Nutrition","DOI":"10.1186/s41043-024-00550-2","ISSN":"2072-1315","issue":"1","journalAbbreviation":"Journal of Health, Population and Nutrition","page":"60","source":"BioMed Central","title":"The digital transformation in pharmacy: embracing online platforms and the cosmeceutical paradigm shift","title-short":"The digital transformation in pharmacy","volume":"43","author":[{"family":"Almeman","given":"Ahmad"}],"issued":{"date-parts":[["2024",5,8]]}}}],"schema":"https://github.com/citation-style-language/schema/raw/master/csl-citation.json"} </w:instrText>
      </w:r>
      <w:r w:rsidR="00541131" w:rsidRPr="00EA1EDD">
        <w:fldChar w:fldCharType="separate"/>
      </w:r>
      <w:r w:rsidR="0072225B" w:rsidRPr="00EA1EDD">
        <w:t>[15]</w:t>
      </w:r>
      <w:r w:rsidR="00541131" w:rsidRPr="00EA1EDD">
        <w:fldChar w:fldCharType="end"/>
      </w:r>
      <w:r w:rsidRPr="00EA1EDD">
        <w:t>. Where oversight mechanisms were transparent and policies ensured equitable access, public engagement and tool uptake were higher. Third, public trust proved indispensable. The legitimacy of surveillance tools depended heavily on how they were introduced and managed, particularly in societies with histories of data misuse or limited privacy protections. Moreover, digital surveillance did not replace traditional epidemiology but rather enhanced its reach, precision, and timeliness</w:t>
      </w:r>
      <w:r w:rsidR="001D5347">
        <w:fldChar w:fldCharType="begin"/>
      </w:r>
      <w:r w:rsidR="001D5347">
        <w:instrText xml:space="preserve"> ADDIN ZOTERO_ITEM CSL_CITATION {"citationID":"61Bs3NY8","properties":{"formattedCitation":"[16]","plainCitation":"[16]","noteIndex":0},"citationItems":[{"id":4717,"uris":["http://zotero.org/users/16652950/items/ALTHQK7F"],"itemData":{"id":4717,"type":"article-journal","container-title":"The Lancet Regional Health. Western Pacific","DOI":"10.1016/j.lanwpc.2021.100354","ISSN":"2666-6065","journalAbbreviation":"Lancet Reg Health West Pac","language":"eng","note":"PMID: 35005667\nPMCID: PMC8720239","page":"100354","source":"PubMed","title":"Characterisation of COVID-19 deaths by vaccination types and status in Malaysia between February and September 2021","volume":"18","author":[{"family":"Abdul Taib","given":"Nur Asheila"},{"family":"Baha Raja","given":"Dhesi"},{"family":"Teo","given":"Alvin Kuo Jing"},{"family":"Kamarulzaman","given":"Adeeba"},{"family":"William","given":"Timothy"},{"family":"Hs","given":"Arvinder-Singh"},{"family":"Mokhtar","given":"Siti Aisah"},{"family":"Ting","given":"Choo-Yee"},{"family":"Yap","given":"Wei Aun"},{"family":"Kim","given":"Michelle Chan Yoon"},{"family":"Edwin Amir","given":"Lidwina"}],"issued":{"date-parts":[["2022",1]]}}}],"schema":"https://github.com/citation-style-language/schema/raw/master/csl-citation.json"} </w:instrText>
      </w:r>
      <w:r w:rsidR="001D5347">
        <w:fldChar w:fldCharType="separate"/>
      </w:r>
      <w:r w:rsidR="001D5347" w:rsidRPr="001D5347">
        <w:t>[16]</w:t>
      </w:r>
      <w:r w:rsidR="001D5347">
        <w:fldChar w:fldCharType="end"/>
      </w:r>
      <w:r w:rsidRPr="00EA1EDD">
        <w:t>. These innovations enabled public health responses that were far more dynamic and data-driven than would have been possible under legacy systems</w:t>
      </w:r>
      <w:r w:rsidR="00541131" w:rsidRPr="00EA1EDD">
        <w:fldChar w:fldCharType="begin"/>
      </w:r>
      <w:r w:rsidR="001D5347">
        <w:instrText xml:space="preserve"> ADDIN ZOTERO_ITEM CSL_CITATION {"citationID":"0Bp1GAoY","properties":{"formattedCitation":"[17]","plainCitation":"[17]","noteIndex":0},"citationItems":[{"id":4304,"uris":["http://zotero.org/users/16652950/items/W66RMA7U"],"itemData":{"id":4304,"type":"article-journal","abstract":"Background: This systematic review will address the influence of Information and Communication Technologies (ICTs) on democratic processes and citizens’ participation, which is enabled by such tools as social media, e-voting systems, e-government initiatives, and e-participation platforms. Methods: Based on an in-depth analysis of 46 peer-reviewed articles published between 1999 and 2024, this review emphasizes how ICTs have improved democratic engagement quality, efficiency, and transparency, but highlights key challenges and research gaps. Results: From this angle, ICT tools have great potential to nurture civic engagement and good governance through transparency. Challenges persist with the ethical and social implications of surveillance technologies, security concerns about digital voting systems, and the widening digital divide disproportionately affecting marginalized populations. The current regulatory framework dealing with privacy and misinformation issues is relatively weak, and there is also a lack of understanding about ICTs’ long-term effects on democratic governance. Conclusions: This review underlines the duality of the roles played by ICT as both an enabler and a challenge to democratic processes. It calls for regulatory measures to protect privacy, fight disinformation, and reduce the digital divide. Future research in this area should focus on the long-term effects of ICTs and how they can be equitably and efficiently integrated into democratic systems, with strategies aimed at maximizing benefits while minimizing risks.","container-title":"Societies","DOI":"10.3390/soc15020040","ISSN":"2075-4698","issue":"2","language":"en","license":"http://creativecommons.org/licenses/by/3.0/","note":"number: 2\npublisher: Multidisciplinary Digital Publishing Institute","page":"40","source":"www.mdpi.com","title":"Impact of Information and Communication Technologies on Democratic Processes and Citizen Participation","volume":"15","author":[{"family":"Asimakopoulos","given":"George"},{"family":"Antonopoulou","given":"Hera"},{"family":"Giotopoulos","given":"Konstantinos"},{"family":"Halkiopoulos","given":"Constantinos"}],"issued":{"date-parts":[["2025",2]]}}}],"schema":"https://github.com/citation-style-language/schema/raw/master/csl-citation.json"} </w:instrText>
      </w:r>
      <w:r w:rsidR="00541131" w:rsidRPr="00EA1EDD">
        <w:fldChar w:fldCharType="separate"/>
      </w:r>
      <w:r w:rsidR="001D5347" w:rsidRPr="001D5347">
        <w:t>[17]</w:t>
      </w:r>
      <w:r w:rsidR="00541131" w:rsidRPr="00EA1EDD">
        <w:fldChar w:fldCharType="end"/>
      </w:r>
      <w:r w:rsidRPr="00EA1EDD">
        <w:t>. However, their rapid adoption also surfaced new challenges including data standardization issues, questions about ethical use, and concerns over technological equity that must be addressed as digital tools transition from emergency response mechanisms to permanent features of the public health landscape</w:t>
      </w:r>
      <w:r w:rsidR="00437C5F" w:rsidRPr="00EA1EDD">
        <w:fldChar w:fldCharType="begin"/>
      </w:r>
      <w:r w:rsidR="001D5347">
        <w:instrText xml:space="preserve"> ADDIN ZOTERO_ITEM CSL_CITATION {"citationID":"weqqY01A","properties":{"formattedCitation":"[18]","plainCitation":"[18]","noteIndex":0},"citationItems":[{"id":4306,"uris":["http://zotero.org/users/16652950/items/7Z79CV8E"],"itemData":{"id":4306,"type":"article-journal","abstract":"In recent times, the growth of the Internet of Things (IoT), artificial intelligence (AI), and Blockchain technologies have quickly gained pace as a new study niche in numerous collegiate and industrial sectors, notably in the healthcare sector. ...","container-title":"Healthcare","DOI":"10.3390/healthcare10101940","issue":"10","language":"en","note":"PMID: 36292387","page":"1940","source":"pmc.ncbi.nlm.nih.gov","title":"Recent Advancements in Emerging Technologies for Healthcare Management Systems: A Survey","title-short":"Recent Advancements in Emerging Technologies for Healthcare Management Systems","volume":"10","author":[{"family":"Junaid","given":"Sahalu Balarabe"},{"family":"Imam","given":"Abdullahi Abubakar"},{"family":"Balogun","given":"Abdullateef Oluwagbemiga"},{"family":"Silva","given":"Liyanage Chandratilak De"},{"family":"Surakat","given":"Yusuf Alhaji"},{"family":"Kumar","given":"Ganesh"},{"family":"Abdulkarim","given":"Muhammad"},{"family":"Shuaibu","given":"Aliyu Nuhu"},{"family":"Garba","given":"Aliyu"},{"family":"Sahalu","given":"Yusra"},{"family":"Mohammed","given":"Abdullahi"},{"family":"Mohammed","given":"Tanko Yahaya"},{"family":"Abdulkadir","given":"Bashir Abubakar"},{"family":"Abba","given":"Abdallah Alkali"},{"family":"Kakumi","given":"Nana Aliyu Iliyasu"},{"family":"Mahamad","given":"Saipunidzam"}],"issued":{"date-parts":[["2022",10,3]]}}}],"schema":"https://github.com/citation-style-language/schema/raw/master/csl-citation.json"} </w:instrText>
      </w:r>
      <w:r w:rsidR="00437C5F" w:rsidRPr="00EA1EDD">
        <w:fldChar w:fldCharType="separate"/>
      </w:r>
      <w:r w:rsidR="001D5347" w:rsidRPr="001D5347">
        <w:t>[18]</w:t>
      </w:r>
      <w:r w:rsidR="00437C5F" w:rsidRPr="00EA1EDD">
        <w:fldChar w:fldCharType="end"/>
      </w:r>
      <w:r w:rsidRPr="00EA1EDD">
        <w:t>.</w:t>
      </w:r>
      <w:r w:rsidR="009C687D" w:rsidRPr="009C687D">
        <w:t xml:space="preserve">As summarized in Table </w:t>
      </w:r>
      <w:r w:rsidR="009C687D">
        <w:t>1</w:t>
      </w:r>
      <w:r w:rsidR="009C687D" w:rsidRPr="009C687D">
        <w:t>, different countries deployed a variety of digital tools during the COVID-19 pandemic, each yielding distinct public health outcomes. This comparative mapping underscores how digital readiness and governance shaped the effectiveness of technological interventions.</w:t>
      </w:r>
    </w:p>
    <w:p w14:paraId="32C8F509" w14:textId="31227A0C" w:rsidR="009C687D" w:rsidRPr="009C687D" w:rsidRDefault="009C687D" w:rsidP="009C687D">
      <w:pPr>
        <w:pStyle w:val="NormalWeb"/>
      </w:pPr>
      <w:r w:rsidRPr="009C687D">
        <w:rPr>
          <w:b/>
          <w:bCs/>
          <w:sz w:val="27"/>
          <w:szCs w:val="27"/>
        </w:rPr>
        <w:t xml:space="preserve">Table </w:t>
      </w:r>
      <w:r>
        <w:rPr>
          <w:b/>
          <w:bCs/>
          <w:sz w:val="27"/>
          <w:szCs w:val="27"/>
        </w:rPr>
        <w:t>1</w:t>
      </w:r>
      <w:r w:rsidRPr="009C687D">
        <w:rPr>
          <w:b/>
          <w:bCs/>
          <w:sz w:val="27"/>
          <w:szCs w:val="27"/>
        </w:rPr>
        <w:t>: Mapping of Digital Tools, Countries, and Public Health Outcomes</w:t>
      </w:r>
      <w:r>
        <w:rPr>
          <w:b/>
          <w:bCs/>
        </w:rPr>
        <w:t xml:space="preserve">. </w:t>
      </w:r>
      <w:r w:rsidRPr="009C687D">
        <w:t>A comparative summary table outlining key types of digital tools used for public health surveillance during the COVID-19 pandemic, the countries that implemented them, and the resulting public health outcomes. This table highlights the diversity of digital responses and their effectiveness across national contexts.</w:t>
      </w:r>
    </w:p>
    <w:p w14:paraId="4EB6E09D" w14:textId="2623917F" w:rsidR="009C687D" w:rsidRPr="009C687D" w:rsidRDefault="009C687D" w:rsidP="009C687D">
      <w:pPr>
        <w:spacing w:before="100" w:beforeAutospacing="1" w:after="100" w:afterAutospacing="1" w:line="240" w:lineRule="auto"/>
        <w:outlineLvl w:val="2"/>
        <w:rPr>
          <w:rFonts w:ascii="Times New Roman" w:eastAsia="Times New Roman" w:hAnsi="Times New Roman" w:cs="Times New Roman"/>
          <w:b/>
          <w:bCs/>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8"/>
        <w:gridCol w:w="3029"/>
        <w:gridCol w:w="3773"/>
      </w:tblGrid>
      <w:tr w:rsidR="009C687D" w:rsidRPr="009C687D" w14:paraId="398963A5" w14:textId="77777777" w:rsidTr="009C687D">
        <w:trPr>
          <w:tblHeader/>
          <w:tblCellSpacing w:w="15" w:type="dxa"/>
        </w:trPr>
        <w:tc>
          <w:tcPr>
            <w:tcW w:w="0" w:type="auto"/>
            <w:vAlign w:val="center"/>
            <w:hideMark/>
          </w:tcPr>
          <w:p w14:paraId="58D3C824" w14:textId="77777777" w:rsidR="009C687D" w:rsidRPr="009C687D" w:rsidRDefault="009C687D" w:rsidP="009C687D">
            <w:pPr>
              <w:spacing w:after="0" w:line="240" w:lineRule="auto"/>
              <w:jc w:val="center"/>
              <w:rPr>
                <w:rFonts w:ascii="Times New Roman" w:eastAsia="Times New Roman" w:hAnsi="Times New Roman" w:cs="Times New Roman"/>
                <w:b/>
                <w:bCs/>
                <w:sz w:val="24"/>
                <w:szCs w:val="24"/>
              </w:rPr>
            </w:pPr>
            <w:r w:rsidRPr="009C687D">
              <w:rPr>
                <w:rFonts w:ascii="Times New Roman" w:eastAsia="Times New Roman" w:hAnsi="Times New Roman" w:cs="Times New Roman"/>
                <w:b/>
                <w:bCs/>
                <w:sz w:val="24"/>
                <w:szCs w:val="24"/>
              </w:rPr>
              <w:t>Type of Digital Tool</w:t>
            </w:r>
          </w:p>
        </w:tc>
        <w:tc>
          <w:tcPr>
            <w:tcW w:w="0" w:type="auto"/>
            <w:vAlign w:val="center"/>
            <w:hideMark/>
          </w:tcPr>
          <w:p w14:paraId="4FB1F680" w14:textId="77777777" w:rsidR="009C687D" w:rsidRPr="009C687D" w:rsidRDefault="009C687D" w:rsidP="009C687D">
            <w:pPr>
              <w:spacing w:after="0" w:line="240" w:lineRule="auto"/>
              <w:jc w:val="center"/>
              <w:rPr>
                <w:rFonts w:ascii="Times New Roman" w:eastAsia="Times New Roman" w:hAnsi="Times New Roman" w:cs="Times New Roman"/>
                <w:b/>
                <w:bCs/>
                <w:sz w:val="24"/>
                <w:szCs w:val="24"/>
              </w:rPr>
            </w:pPr>
            <w:r w:rsidRPr="009C687D">
              <w:rPr>
                <w:rFonts w:ascii="Times New Roman" w:eastAsia="Times New Roman" w:hAnsi="Times New Roman" w:cs="Times New Roman"/>
                <w:b/>
                <w:bCs/>
                <w:sz w:val="24"/>
                <w:szCs w:val="24"/>
              </w:rPr>
              <w:t>Example Country</w:t>
            </w:r>
          </w:p>
        </w:tc>
        <w:tc>
          <w:tcPr>
            <w:tcW w:w="0" w:type="auto"/>
            <w:vAlign w:val="center"/>
            <w:hideMark/>
          </w:tcPr>
          <w:p w14:paraId="794A7C24" w14:textId="77777777" w:rsidR="009C687D" w:rsidRPr="009C687D" w:rsidRDefault="009C687D" w:rsidP="009C687D">
            <w:pPr>
              <w:spacing w:after="0" w:line="240" w:lineRule="auto"/>
              <w:jc w:val="center"/>
              <w:rPr>
                <w:rFonts w:ascii="Times New Roman" w:eastAsia="Times New Roman" w:hAnsi="Times New Roman" w:cs="Times New Roman"/>
                <w:b/>
                <w:bCs/>
                <w:sz w:val="24"/>
                <w:szCs w:val="24"/>
              </w:rPr>
            </w:pPr>
            <w:r w:rsidRPr="009C687D">
              <w:rPr>
                <w:rFonts w:ascii="Times New Roman" w:eastAsia="Times New Roman" w:hAnsi="Times New Roman" w:cs="Times New Roman"/>
                <w:b/>
                <w:bCs/>
                <w:sz w:val="24"/>
                <w:szCs w:val="24"/>
              </w:rPr>
              <w:t>Key Public Health Outcomes</w:t>
            </w:r>
          </w:p>
        </w:tc>
      </w:tr>
      <w:tr w:rsidR="009C687D" w:rsidRPr="009C687D" w14:paraId="4010F587" w14:textId="77777777" w:rsidTr="009C687D">
        <w:trPr>
          <w:tblCellSpacing w:w="15" w:type="dxa"/>
        </w:trPr>
        <w:tc>
          <w:tcPr>
            <w:tcW w:w="0" w:type="auto"/>
            <w:vAlign w:val="center"/>
            <w:hideMark/>
          </w:tcPr>
          <w:p w14:paraId="66C08070" w14:textId="77777777" w:rsidR="009C687D" w:rsidRPr="009C687D" w:rsidRDefault="009C687D" w:rsidP="009C687D">
            <w:pPr>
              <w:spacing w:after="0" w:line="240" w:lineRule="auto"/>
              <w:rPr>
                <w:rFonts w:ascii="Times New Roman" w:eastAsia="Times New Roman" w:hAnsi="Times New Roman" w:cs="Times New Roman"/>
                <w:sz w:val="24"/>
                <w:szCs w:val="24"/>
              </w:rPr>
            </w:pPr>
            <w:r w:rsidRPr="009C687D">
              <w:rPr>
                <w:rFonts w:ascii="Times New Roman" w:eastAsia="Times New Roman" w:hAnsi="Times New Roman" w:cs="Times New Roman"/>
                <w:sz w:val="24"/>
                <w:szCs w:val="24"/>
              </w:rPr>
              <w:t>Electronic Health Records (EHR) Integration</w:t>
            </w:r>
          </w:p>
        </w:tc>
        <w:tc>
          <w:tcPr>
            <w:tcW w:w="0" w:type="auto"/>
            <w:vAlign w:val="center"/>
            <w:hideMark/>
          </w:tcPr>
          <w:p w14:paraId="020C3E2E" w14:textId="77777777" w:rsidR="009C687D" w:rsidRPr="009C687D" w:rsidRDefault="009C687D" w:rsidP="009C687D">
            <w:pPr>
              <w:spacing w:after="0" w:line="240" w:lineRule="auto"/>
              <w:rPr>
                <w:rFonts w:ascii="Times New Roman" w:eastAsia="Times New Roman" w:hAnsi="Times New Roman" w:cs="Times New Roman"/>
                <w:sz w:val="24"/>
                <w:szCs w:val="24"/>
              </w:rPr>
            </w:pPr>
            <w:r w:rsidRPr="009C687D">
              <w:rPr>
                <w:rFonts w:ascii="Times New Roman" w:eastAsia="Times New Roman" w:hAnsi="Times New Roman" w:cs="Times New Roman"/>
                <w:sz w:val="24"/>
                <w:szCs w:val="24"/>
              </w:rPr>
              <w:t>United States (HHS Protect), UK (NHS Data Store)</w:t>
            </w:r>
          </w:p>
        </w:tc>
        <w:tc>
          <w:tcPr>
            <w:tcW w:w="0" w:type="auto"/>
            <w:vAlign w:val="center"/>
            <w:hideMark/>
          </w:tcPr>
          <w:p w14:paraId="2ABA16FF" w14:textId="77777777" w:rsidR="009C687D" w:rsidRPr="009C687D" w:rsidRDefault="009C687D" w:rsidP="009C687D">
            <w:pPr>
              <w:spacing w:after="0" w:line="240" w:lineRule="auto"/>
              <w:rPr>
                <w:rFonts w:ascii="Times New Roman" w:eastAsia="Times New Roman" w:hAnsi="Times New Roman" w:cs="Times New Roman"/>
                <w:sz w:val="24"/>
                <w:szCs w:val="24"/>
              </w:rPr>
            </w:pPr>
            <w:r w:rsidRPr="009C687D">
              <w:rPr>
                <w:rFonts w:ascii="Times New Roman" w:eastAsia="Times New Roman" w:hAnsi="Times New Roman" w:cs="Times New Roman"/>
                <w:sz w:val="24"/>
                <w:szCs w:val="24"/>
              </w:rPr>
              <w:t>Real-time tracking of cases, hospital capacity, and resource allocation</w:t>
            </w:r>
          </w:p>
        </w:tc>
      </w:tr>
      <w:tr w:rsidR="009C687D" w:rsidRPr="009C687D" w14:paraId="1CA03ED3" w14:textId="77777777" w:rsidTr="009C687D">
        <w:trPr>
          <w:tblCellSpacing w:w="15" w:type="dxa"/>
        </w:trPr>
        <w:tc>
          <w:tcPr>
            <w:tcW w:w="0" w:type="auto"/>
            <w:vAlign w:val="center"/>
            <w:hideMark/>
          </w:tcPr>
          <w:p w14:paraId="65A8120F" w14:textId="77777777" w:rsidR="009C687D" w:rsidRPr="009C687D" w:rsidRDefault="009C687D" w:rsidP="009C687D">
            <w:pPr>
              <w:spacing w:after="0" w:line="240" w:lineRule="auto"/>
              <w:rPr>
                <w:rFonts w:ascii="Times New Roman" w:eastAsia="Times New Roman" w:hAnsi="Times New Roman" w:cs="Times New Roman"/>
                <w:sz w:val="24"/>
                <w:szCs w:val="24"/>
              </w:rPr>
            </w:pPr>
            <w:r w:rsidRPr="009C687D">
              <w:rPr>
                <w:rFonts w:ascii="Times New Roman" w:eastAsia="Times New Roman" w:hAnsi="Times New Roman" w:cs="Times New Roman"/>
                <w:sz w:val="24"/>
                <w:szCs w:val="24"/>
              </w:rPr>
              <w:t>Mobile Contact Tracing Apps</w:t>
            </w:r>
          </w:p>
        </w:tc>
        <w:tc>
          <w:tcPr>
            <w:tcW w:w="0" w:type="auto"/>
            <w:vAlign w:val="center"/>
            <w:hideMark/>
          </w:tcPr>
          <w:p w14:paraId="7BC9B75E" w14:textId="77777777" w:rsidR="009C687D" w:rsidRPr="009C687D" w:rsidRDefault="009C687D" w:rsidP="009C687D">
            <w:pPr>
              <w:spacing w:after="0" w:line="240" w:lineRule="auto"/>
              <w:rPr>
                <w:rFonts w:ascii="Times New Roman" w:eastAsia="Times New Roman" w:hAnsi="Times New Roman" w:cs="Times New Roman"/>
                <w:sz w:val="24"/>
                <w:szCs w:val="24"/>
              </w:rPr>
            </w:pPr>
            <w:r w:rsidRPr="009C687D">
              <w:rPr>
                <w:rFonts w:ascii="Times New Roman" w:eastAsia="Times New Roman" w:hAnsi="Times New Roman" w:cs="Times New Roman"/>
                <w:sz w:val="24"/>
                <w:szCs w:val="24"/>
              </w:rPr>
              <w:t>Singapore (TraceTogether), South Korea</w:t>
            </w:r>
          </w:p>
        </w:tc>
        <w:tc>
          <w:tcPr>
            <w:tcW w:w="0" w:type="auto"/>
            <w:vAlign w:val="center"/>
            <w:hideMark/>
          </w:tcPr>
          <w:p w14:paraId="048C7CE6" w14:textId="77777777" w:rsidR="009C687D" w:rsidRPr="009C687D" w:rsidRDefault="009C687D" w:rsidP="009C687D">
            <w:pPr>
              <w:spacing w:after="0" w:line="240" w:lineRule="auto"/>
              <w:rPr>
                <w:rFonts w:ascii="Times New Roman" w:eastAsia="Times New Roman" w:hAnsi="Times New Roman" w:cs="Times New Roman"/>
                <w:sz w:val="24"/>
                <w:szCs w:val="24"/>
              </w:rPr>
            </w:pPr>
            <w:r w:rsidRPr="009C687D">
              <w:rPr>
                <w:rFonts w:ascii="Times New Roman" w:eastAsia="Times New Roman" w:hAnsi="Times New Roman" w:cs="Times New Roman"/>
                <w:sz w:val="24"/>
                <w:szCs w:val="24"/>
              </w:rPr>
              <w:t>Early exposure notification, targeted quarantine, reduced transmission chains</w:t>
            </w:r>
          </w:p>
        </w:tc>
      </w:tr>
      <w:tr w:rsidR="009C687D" w:rsidRPr="009C687D" w14:paraId="4B9CF29B" w14:textId="77777777" w:rsidTr="009C687D">
        <w:trPr>
          <w:tblCellSpacing w:w="15" w:type="dxa"/>
        </w:trPr>
        <w:tc>
          <w:tcPr>
            <w:tcW w:w="0" w:type="auto"/>
            <w:vAlign w:val="center"/>
            <w:hideMark/>
          </w:tcPr>
          <w:p w14:paraId="4A96F221" w14:textId="77777777" w:rsidR="009C687D" w:rsidRPr="009C687D" w:rsidRDefault="009C687D" w:rsidP="009C687D">
            <w:pPr>
              <w:spacing w:after="0" w:line="240" w:lineRule="auto"/>
              <w:rPr>
                <w:rFonts w:ascii="Times New Roman" w:eastAsia="Times New Roman" w:hAnsi="Times New Roman" w:cs="Times New Roman"/>
                <w:sz w:val="24"/>
                <w:szCs w:val="24"/>
              </w:rPr>
            </w:pPr>
            <w:r w:rsidRPr="009C687D">
              <w:rPr>
                <w:rFonts w:ascii="Times New Roman" w:eastAsia="Times New Roman" w:hAnsi="Times New Roman" w:cs="Times New Roman"/>
                <w:sz w:val="24"/>
                <w:szCs w:val="24"/>
              </w:rPr>
              <w:t>Symptom Monitoring Platforms</w:t>
            </w:r>
          </w:p>
        </w:tc>
        <w:tc>
          <w:tcPr>
            <w:tcW w:w="0" w:type="auto"/>
            <w:vAlign w:val="center"/>
            <w:hideMark/>
          </w:tcPr>
          <w:p w14:paraId="1BD3AEC9" w14:textId="77777777" w:rsidR="009C687D" w:rsidRPr="009C687D" w:rsidRDefault="009C687D" w:rsidP="009C687D">
            <w:pPr>
              <w:spacing w:after="0" w:line="240" w:lineRule="auto"/>
              <w:rPr>
                <w:rFonts w:ascii="Times New Roman" w:eastAsia="Times New Roman" w:hAnsi="Times New Roman" w:cs="Times New Roman"/>
                <w:sz w:val="24"/>
                <w:szCs w:val="24"/>
              </w:rPr>
            </w:pPr>
            <w:r w:rsidRPr="009C687D">
              <w:rPr>
                <w:rFonts w:ascii="Times New Roman" w:eastAsia="Times New Roman" w:hAnsi="Times New Roman" w:cs="Times New Roman"/>
                <w:sz w:val="24"/>
                <w:szCs w:val="24"/>
              </w:rPr>
              <w:t>United Kingdom (COVID Symptom Study App)</w:t>
            </w:r>
          </w:p>
        </w:tc>
        <w:tc>
          <w:tcPr>
            <w:tcW w:w="0" w:type="auto"/>
            <w:vAlign w:val="center"/>
            <w:hideMark/>
          </w:tcPr>
          <w:p w14:paraId="22E523D9" w14:textId="77777777" w:rsidR="009C687D" w:rsidRPr="009C687D" w:rsidRDefault="009C687D" w:rsidP="009C687D">
            <w:pPr>
              <w:spacing w:after="0" w:line="240" w:lineRule="auto"/>
              <w:rPr>
                <w:rFonts w:ascii="Times New Roman" w:eastAsia="Times New Roman" w:hAnsi="Times New Roman" w:cs="Times New Roman"/>
                <w:sz w:val="24"/>
                <w:szCs w:val="24"/>
              </w:rPr>
            </w:pPr>
            <w:r w:rsidRPr="009C687D">
              <w:rPr>
                <w:rFonts w:ascii="Times New Roman" w:eastAsia="Times New Roman" w:hAnsi="Times New Roman" w:cs="Times New Roman"/>
                <w:sz w:val="24"/>
                <w:szCs w:val="24"/>
              </w:rPr>
              <w:t>Community-level surveillance, detection of hotspots</w:t>
            </w:r>
          </w:p>
        </w:tc>
      </w:tr>
      <w:tr w:rsidR="009C687D" w:rsidRPr="009C687D" w14:paraId="1CC17B6F" w14:textId="77777777" w:rsidTr="009C687D">
        <w:trPr>
          <w:tblCellSpacing w:w="15" w:type="dxa"/>
        </w:trPr>
        <w:tc>
          <w:tcPr>
            <w:tcW w:w="0" w:type="auto"/>
            <w:vAlign w:val="center"/>
            <w:hideMark/>
          </w:tcPr>
          <w:p w14:paraId="5F13F5AE" w14:textId="77777777" w:rsidR="009C687D" w:rsidRPr="009C687D" w:rsidRDefault="009C687D" w:rsidP="009C687D">
            <w:pPr>
              <w:spacing w:after="0" w:line="240" w:lineRule="auto"/>
              <w:rPr>
                <w:rFonts w:ascii="Times New Roman" w:eastAsia="Times New Roman" w:hAnsi="Times New Roman" w:cs="Times New Roman"/>
                <w:sz w:val="24"/>
                <w:szCs w:val="24"/>
              </w:rPr>
            </w:pPr>
            <w:r w:rsidRPr="009C687D">
              <w:rPr>
                <w:rFonts w:ascii="Times New Roman" w:eastAsia="Times New Roman" w:hAnsi="Times New Roman" w:cs="Times New Roman"/>
                <w:sz w:val="24"/>
                <w:szCs w:val="24"/>
              </w:rPr>
              <w:t>AI/ML for Outbreak Prediction</w:t>
            </w:r>
          </w:p>
        </w:tc>
        <w:tc>
          <w:tcPr>
            <w:tcW w:w="0" w:type="auto"/>
            <w:vAlign w:val="center"/>
            <w:hideMark/>
          </w:tcPr>
          <w:p w14:paraId="1BC4F818" w14:textId="77777777" w:rsidR="009C687D" w:rsidRPr="009C687D" w:rsidRDefault="009C687D" w:rsidP="009C687D">
            <w:pPr>
              <w:spacing w:after="0" w:line="240" w:lineRule="auto"/>
              <w:rPr>
                <w:rFonts w:ascii="Times New Roman" w:eastAsia="Times New Roman" w:hAnsi="Times New Roman" w:cs="Times New Roman"/>
                <w:sz w:val="24"/>
                <w:szCs w:val="24"/>
              </w:rPr>
            </w:pPr>
            <w:r w:rsidRPr="009C687D">
              <w:rPr>
                <w:rFonts w:ascii="Times New Roman" w:eastAsia="Times New Roman" w:hAnsi="Times New Roman" w:cs="Times New Roman"/>
                <w:sz w:val="24"/>
                <w:szCs w:val="24"/>
              </w:rPr>
              <w:t>South Korea, United States</w:t>
            </w:r>
          </w:p>
        </w:tc>
        <w:tc>
          <w:tcPr>
            <w:tcW w:w="0" w:type="auto"/>
            <w:vAlign w:val="center"/>
            <w:hideMark/>
          </w:tcPr>
          <w:p w14:paraId="6E6E6910" w14:textId="77777777" w:rsidR="009C687D" w:rsidRPr="009C687D" w:rsidRDefault="009C687D" w:rsidP="009C687D">
            <w:pPr>
              <w:spacing w:after="0" w:line="240" w:lineRule="auto"/>
              <w:rPr>
                <w:rFonts w:ascii="Times New Roman" w:eastAsia="Times New Roman" w:hAnsi="Times New Roman" w:cs="Times New Roman"/>
                <w:sz w:val="24"/>
                <w:szCs w:val="24"/>
              </w:rPr>
            </w:pPr>
            <w:r w:rsidRPr="009C687D">
              <w:rPr>
                <w:rFonts w:ascii="Times New Roman" w:eastAsia="Times New Roman" w:hAnsi="Times New Roman" w:cs="Times New Roman"/>
                <w:sz w:val="24"/>
                <w:szCs w:val="24"/>
              </w:rPr>
              <w:t>Forecasting spread, risk stratification for triage and resource deployment</w:t>
            </w:r>
          </w:p>
        </w:tc>
      </w:tr>
      <w:tr w:rsidR="009C687D" w:rsidRPr="009C687D" w14:paraId="5C62BC6A" w14:textId="77777777" w:rsidTr="009C687D">
        <w:trPr>
          <w:tblCellSpacing w:w="15" w:type="dxa"/>
        </w:trPr>
        <w:tc>
          <w:tcPr>
            <w:tcW w:w="0" w:type="auto"/>
            <w:vAlign w:val="center"/>
            <w:hideMark/>
          </w:tcPr>
          <w:p w14:paraId="45A9051A" w14:textId="77777777" w:rsidR="009C687D" w:rsidRPr="009C687D" w:rsidRDefault="009C687D" w:rsidP="009C687D">
            <w:pPr>
              <w:spacing w:after="0" w:line="240" w:lineRule="auto"/>
              <w:rPr>
                <w:rFonts w:ascii="Times New Roman" w:eastAsia="Times New Roman" w:hAnsi="Times New Roman" w:cs="Times New Roman"/>
                <w:sz w:val="24"/>
                <w:szCs w:val="24"/>
              </w:rPr>
            </w:pPr>
            <w:r w:rsidRPr="009C687D">
              <w:rPr>
                <w:rFonts w:ascii="Times New Roman" w:eastAsia="Times New Roman" w:hAnsi="Times New Roman" w:cs="Times New Roman"/>
                <w:sz w:val="24"/>
                <w:szCs w:val="24"/>
              </w:rPr>
              <w:t>Cloud-Based Dashboards &amp; Analytics</w:t>
            </w:r>
          </w:p>
        </w:tc>
        <w:tc>
          <w:tcPr>
            <w:tcW w:w="0" w:type="auto"/>
            <w:vAlign w:val="center"/>
            <w:hideMark/>
          </w:tcPr>
          <w:p w14:paraId="00357DA2" w14:textId="77777777" w:rsidR="009C687D" w:rsidRPr="009C687D" w:rsidRDefault="009C687D" w:rsidP="009C687D">
            <w:pPr>
              <w:spacing w:after="0" w:line="240" w:lineRule="auto"/>
              <w:rPr>
                <w:rFonts w:ascii="Times New Roman" w:eastAsia="Times New Roman" w:hAnsi="Times New Roman" w:cs="Times New Roman"/>
                <w:sz w:val="24"/>
                <w:szCs w:val="24"/>
              </w:rPr>
            </w:pPr>
            <w:r w:rsidRPr="009C687D">
              <w:rPr>
                <w:rFonts w:ascii="Times New Roman" w:eastAsia="Times New Roman" w:hAnsi="Times New Roman" w:cs="Times New Roman"/>
                <w:sz w:val="24"/>
                <w:szCs w:val="24"/>
              </w:rPr>
              <w:t>Germany, Canada, UK</w:t>
            </w:r>
          </w:p>
        </w:tc>
        <w:tc>
          <w:tcPr>
            <w:tcW w:w="0" w:type="auto"/>
            <w:vAlign w:val="center"/>
            <w:hideMark/>
          </w:tcPr>
          <w:p w14:paraId="1F215265" w14:textId="77777777" w:rsidR="009C687D" w:rsidRPr="009C687D" w:rsidRDefault="009C687D" w:rsidP="009C687D">
            <w:pPr>
              <w:spacing w:after="0" w:line="240" w:lineRule="auto"/>
              <w:rPr>
                <w:rFonts w:ascii="Times New Roman" w:eastAsia="Times New Roman" w:hAnsi="Times New Roman" w:cs="Times New Roman"/>
                <w:sz w:val="24"/>
                <w:szCs w:val="24"/>
              </w:rPr>
            </w:pPr>
            <w:r w:rsidRPr="009C687D">
              <w:rPr>
                <w:rFonts w:ascii="Times New Roman" w:eastAsia="Times New Roman" w:hAnsi="Times New Roman" w:cs="Times New Roman"/>
                <w:sz w:val="24"/>
                <w:szCs w:val="24"/>
              </w:rPr>
              <w:t>Enhanced situational awareness, data-informed decision making</w:t>
            </w:r>
          </w:p>
        </w:tc>
      </w:tr>
      <w:tr w:rsidR="009C687D" w:rsidRPr="009C687D" w14:paraId="1A43AFEC" w14:textId="77777777" w:rsidTr="009C687D">
        <w:trPr>
          <w:tblCellSpacing w:w="15" w:type="dxa"/>
        </w:trPr>
        <w:tc>
          <w:tcPr>
            <w:tcW w:w="0" w:type="auto"/>
            <w:vAlign w:val="center"/>
            <w:hideMark/>
          </w:tcPr>
          <w:p w14:paraId="52E320EC" w14:textId="77777777" w:rsidR="009C687D" w:rsidRPr="009C687D" w:rsidRDefault="009C687D" w:rsidP="009C687D">
            <w:pPr>
              <w:spacing w:after="0" w:line="240" w:lineRule="auto"/>
              <w:rPr>
                <w:rFonts w:ascii="Times New Roman" w:eastAsia="Times New Roman" w:hAnsi="Times New Roman" w:cs="Times New Roman"/>
                <w:sz w:val="24"/>
                <w:szCs w:val="24"/>
              </w:rPr>
            </w:pPr>
            <w:r w:rsidRPr="009C687D">
              <w:rPr>
                <w:rFonts w:ascii="Times New Roman" w:eastAsia="Times New Roman" w:hAnsi="Times New Roman" w:cs="Times New Roman"/>
                <w:sz w:val="24"/>
                <w:szCs w:val="24"/>
              </w:rPr>
              <w:t>Digital Quarantine Enforcement</w:t>
            </w:r>
          </w:p>
        </w:tc>
        <w:tc>
          <w:tcPr>
            <w:tcW w:w="0" w:type="auto"/>
            <w:vAlign w:val="center"/>
            <w:hideMark/>
          </w:tcPr>
          <w:p w14:paraId="6E72E595" w14:textId="77777777" w:rsidR="009C687D" w:rsidRPr="009C687D" w:rsidRDefault="009C687D" w:rsidP="009C687D">
            <w:pPr>
              <w:spacing w:after="0" w:line="240" w:lineRule="auto"/>
              <w:rPr>
                <w:rFonts w:ascii="Times New Roman" w:eastAsia="Times New Roman" w:hAnsi="Times New Roman" w:cs="Times New Roman"/>
                <w:sz w:val="24"/>
                <w:szCs w:val="24"/>
              </w:rPr>
            </w:pPr>
            <w:r w:rsidRPr="009C687D">
              <w:rPr>
                <w:rFonts w:ascii="Times New Roman" w:eastAsia="Times New Roman" w:hAnsi="Times New Roman" w:cs="Times New Roman"/>
                <w:sz w:val="24"/>
                <w:szCs w:val="24"/>
              </w:rPr>
              <w:t>Taiwan, South Korea</w:t>
            </w:r>
          </w:p>
        </w:tc>
        <w:tc>
          <w:tcPr>
            <w:tcW w:w="0" w:type="auto"/>
            <w:vAlign w:val="center"/>
            <w:hideMark/>
          </w:tcPr>
          <w:p w14:paraId="48DE7BE4" w14:textId="77777777" w:rsidR="009C687D" w:rsidRPr="009C687D" w:rsidRDefault="009C687D" w:rsidP="009C687D">
            <w:pPr>
              <w:spacing w:after="0" w:line="240" w:lineRule="auto"/>
              <w:rPr>
                <w:rFonts w:ascii="Times New Roman" w:eastAsia="Times New Roman" w:hAnsi="Times New Roman" w:cs="Times New Roman"/>
                <w:sz w:val="24"/>
                <w:szCs w:val="24"/>
              </w:rPr>
            </w:pPr>
            <w:r w:rsidRPr="009C687D">
              <w:rPr>
                <w:rFonts w:ascii="Times New Roman" w:eastAsia="Times New Roman" w:hAnsi="Times New Roman" w:cs="Times New Roman"/>
                <w:sz w:val="24"/>
                <w:szCs w:val="24"/>
              </w:rPr>
              <w:t>Improved compliance with isolation measures</w:t>
            </w:r>
          </w:p>
        </w:tc>
      </w:tr>
      <w:tr w:rsidR="009C687D" w:rsidRPr="009C687D" w14:paraId="5659B9DA" w14:textId="77777777" w:rsidTr="009C687D">
        <w:trPr>
          <w:tblCellSpacing w:w="15" w:type="dxa"/>
        </w:trPr>
        <w:tc>
          <w:tcPr>
            <w:tcW w:w="0" w:type="auto"/>
            <w:vAlign w:val="center"/>
            <w:hideMark/>
          </w:tcPr>
          <w:p w14:paraId="31C0BF43" w14:textId="77777777" w:rsidR="009C687D" w:rsidRPr="009C687D" w:rsidRDefault="009C687D" w:rsidP="009C687D">
            <w:pPr>
              <w:spacing w:after="0" w:line="240" w:lineRule="auto"/>
              <w:rPr>
                <w:rFonts w:ascii="Times New Roman" w:eastAsia="Times New Roman" w:hAnsi="Times New Roman" w:cs="Times New Roman"/>
                <w:sz w:val="24"/>
                <w:szCs w:val="24"/>
              </w:rPr>
            </w:pPr>
            <w:r w:rsidRPr="009C687D">
              <w:rPr>
                <w:rFonts w:ascii="Times New Roman" w:eastAsia="Times New Roman" w:hAnsi="Times New Roman" w:cs="Times New Roman"/>
                <w:sz w:val="24"/>
                <w:szCs w:val="24"/>
              </w:rPr>
              <w:t>Open-Source Surveillance Platforms</w:t>
            </w:r>
          </w:p>
        </w:tc>
        <w:tc>
          <w:tcPr>
            <w:tcW w:w="0" w:type="auto"/>
            <w:vAlign w:val="center"/>
            <w:hideMark/>
          </w:tcPr>
          <w:p w14:paraId="4A762E9A" w14:textId="77777777" w:rsidR="009C687D" w:rsidRPr="009C687D" w:rsidRDefault="009C687D" w:rsidP="009C687D">
            <w:pPr>
              <w:spacing w:after="0" w:line="240" w:lineRule="auto"/>
              <w:rPr>
                <w:rFonts w:ascii="Times New Roman" w:eastAsia="Times New Roman" w:hAnsi="Times New Roman" w:cs="Times New Roman"/>
                <w:sz w:val="24"/>
                <w:szCs w:val="24"/>
              </w:rPr>
            </w:pPr>
            <w:r w:rsidRPr="009C687D">
              <w:rPr>
                <w:rFonts w:ascii="Times New Roman" w:eastAsia="Times New Roman" w:hAnsi="Times New Roman" w:cs="Times New Roman"/>
                <w:sz w:val="24"/>
                <w:szCs w:val="24"/>
              </w:rPr>
              <w:t>WHO (EIOS Platform)</w:t>
            </w:r>
          </w:p>
        </w:tc>
        <w:tc>
          <w:tcPr>
            <w:tcW w:w="0" w:type="auto"/>
            <w:vAlign w:val="center"/>
            <w:hideMark/>
          </w:tcPr>
          <w:p w14:paraId="32E6ABCE" w14:textId="77777777" w:rsidR="009C687D" w:rsidRPr="009C687D" w:rsidRDefault="009C687D" w:rsidP="009C687D">
            <w:pPr>
              <w:spacing w:after="0" w:line="240" w:lineRule="auto"/>
              <w:rPr>
                <w:rFonts w:ascii="Times New Roman" w:eastAsia="Times New Roman" w:hAnsi="Times New Roman" w:cs="Times New Roman"/>
                <w:sz w:val="24"/>
                <w:szCs w:val="24"/>
              </w:rPr>
            </w:pPr>
            <w:r w:rsidRPr="009C687D">
              <w:rPr>
                <w:rFonts w:ascii="Times New Roman" w:eastAsia="Times New Roman" w:hAnsi="Times New Roman" w:cs="Times New Roman"/>
                <w:sz w:val="24"/>
                <w:szCs w:val="24"/>
              </w:rPr>
              <w:t>Early detection of international outbreaks, cross-border information sharing</w:t>
            </w:r>
          </w:p>
        </w:tc>
      </w:tr>
    </w:tbl>
    <w:p w14:paraId="77107B81" w14:textId="07F93653" w:rsidR="00F679F7" w:rsidRDefault="00F679F7" w:rsidP="00F679F7">
      <w:pPr>
        <w:spacing w:before="100" w:beforeAutospacing="1" w:after="100" w:afterAutospacing="1" w:line="360" w:lineRule="auto"/>
        <w:rPr>
          <w:rFonts w:ascii="Times New Roman" w:eastAsia="Times New Roman" w:hAnsi="Times New Roman" w:cs="Times New Roman"/>
          <w:sz w:val="24"/>
          <w:szCs w:val="24"/>
        </w:rPr>
      </w:pPr>
    </w:p>
    <w:p w14:paraId="7EA5BFAD" w14:textId="77777777" w:rsidR="009C687D" w:rsidRPr="00EA1EDD" w:rsidRDefault="009C687D" w:rsidP="00F679F7">
      <w:pPr>
        <w:spacing w:before="100" w:beforeAutospacing="1" w:after="100" w:afterAutospacing="1" w:line="360" w:lineRule="auto"/>
        <w:rPr>
          <w:rFonts w:ascii="Times New Roman" w:eastAsia="Times New Roman" w:hAnsi="Times New Roman" w:cs="Times New Roman"/>
          <w:sz w:val="24"/>
          <w:szCs w:val="24"/>
        </w:rPr>
      </w:pPr>
    </w:p>
    <w:p w14:paraId="4E5EFB09" w14:textId="611F3207" w:rsidR="00F679F7" w:rsidRPr="00EA1EDD" w:rsidRDefault="00F679F7" w:rsidP="00F679F7">
      <w:pPr>
        <w:spacing w:before="100" w:beforeAutospacing="1" w:after="100" w:afterAutospacing="1" w:line="360" w:lineRule="auto"/>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As illustrated in Figure 1, modern public health surveillance is increasingly characterized by its capacity to synthesize multiple digital data streams in real time, enabling predictive modeling, responsive intervention, and evidence-based policy-making at scale</w:t>
      </w:r>
      <w:r w:rsidR="0079135E" w:rsidRPr="00EA1EDD">
        <w:rPr>
          <w:rFonts w:ascii="Times New Roman" w:eastAsia="Times New Roman" w:hAnsi="Times New Roman" w:cs="Times New Roman"/>
          <w:sz w:val="24"/>
          <w:szCs w:val="24"/>
        </w:rPr>
        <w:fldChar w:fldCharType="begin"/>
      </w:r>
      <w:r w:rsidR="001D5347">
        <w:rPr>
          <w:rFonts w:ascii="Times New Roman" w:eastAsia="Times New Roman" w:hAnsi="Times New Roman" w:cs="Times New Roman"/>
          <w:sz w:val="24"/>
          <w:szCs w:val="24"/>
        </w:rPr>
        <w:instrText xml:space="preserve"> ADDIN ZOTERO_ITEM CSL_CITATION {"citationID":"1lIqpNPW","properties":{"formattedCitation":"[19]","plainCitation":"[19]","noteIndex":0},"citationItems":[{"id":4309,"uris":["http://zotero.org/users/16652950/items/L98RETJD"],"itemData":{"id":4309,"type":"article-journal","abstract":"Artificial intelligence (AI) techniques have been widely applied to infectious disease outbreak detection and early warning, trend prediction, and public health response modeling and assessment. Such public health surveillance and response tasks of ...","container-title":"Artificial Intelligence in Medicine","DOI":"10.1016/B978-0-12-821259-2.00022-3","language":"en","page":"437","source":"pmc.ncbi.nlm.nih.gov","title":"Artificial intelligence–enabled public health surveillance—from local detection to global epidemic monitoring and control","author":[{"family":"Zeng","given":"Daniel"},{"family":"Cao","given":"Zhidong"},{"family":"Neill","given":"Daniel B."}],"issued":{"date-parts":[["2020",9,11]]}}}],"schema":"https://github.com/citation-style-language/schema/raw/master/csl-citation.json"} </w:instrText>
      </w:r>
      <w:r w:rsidR="0079135E" w:rsidRPr="00EA1EDD">
        <w:rPr>
          <w:rFonts w:ascii="Times New Roman" w:eastAsia="Times New Roman" w:hAnsi="Times New Roman" w:cs="Times New Roman"/>
          <w:sz w:val="24"/>
          <w:szCs w:val="24"/>
        </w:rPr>
        <w:fldChar w:fldCharType="separate"/>
      </w:r>
      <w:r w:rsidR="001D5347" w:rsidRPr="001D5347">
        <w:rPr>
          <w:rFonts w:ascii="Times New Roman" w:hAnsi="Times New Roman" w:cs="Times New Roman"/>
          <w:sz w:val="24"/>
        </w:rPr>
        <w:t>[19]</w:t>
      </w:r>
      <w:r w:rsidR="0079135E"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73296BB5" w14:textId="0AD8C43F" w:rsidR="00103130" w:rsidRPr="00EA1EDD" w:rsidRDefault="0026451C" w:rsidP="00103130">
      <w:pPr>
        <w:spacing w:before="100" w:beforeAutospacing="1" w:after="100" w:afterAutospacing="1" w:line="240" w:lineRule="auto"/>
        <w:rPr>
          <w:rFonts w:ascii="Times New Roman" w:eastAsia="Times New Roman" w:hAnsi="Times New Roman" w:cs="Times New Roman"/>
          <w:sz w:val="24"/>
          <w:szCs w:val="24"/>
        </w:rPr>
      </w:pPr>
      <w:r w:rsidRPr="00EA1EDD">
        <w:rPr>
          <w:rFonts w:ascii="Times New Roman" w:eastAsia="Times New Roman" w:hAnsi="Times New Roman" w:cs="Times New Roman"/>
          <w:noProof/>
          <w:sz w:val="24"/>
          <w:szCs w:val="24"/>
        </w:rPr>
        <w:drawing>
          <wp:inline distT="0" distB="0" distL="0" distR="0" wp14:anchorId="3B013335" wp14:editId="2C2CDBAD">
            <wp:extent cx="4086225" cy="4086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Jul 7, 2025, 11_10_58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86225" cy="4086225"/>
                    </a:xfrm>
                    <a:prstGeom prst="rect">
                      <a:avLst/>
                    </a:prstGeom>
                  </pic:spPr>
                </pic:pic>
              </a:graphicData>
            </a:graphic>
          </wp:inline>
        </w:drawing>
      </w:r>
    </w:p>
    <w:p w14:paraId="07EEC218" w14:textId="6C977969" w:rsidR="0026451C" w:rsidRPr="00EA1EDD" w:rsidRDefault="0026451C" w:rsidP="0026451C">
      <w:pPr>
        <w:spacing w:before="100" w:beforeAutospacing="1" w:after="100" w:afterAutospacing="1" w:line="240" w:lineRule="auto"/>
        <w:rPr>
          <w:rFonts w:ascii="Times New Roman" w:eastAsia="Times New Roman" w:hAnsi="Times New Roman" w:cs="Times New Roman"/>
          <w:sz w:val="24"/>
          <w:szCs w:val="24"/>
        </w:rPr>
      </w:pPr>
      <w:r w:rsidRPr="00EA1EDD">
        <w:rPr>
          <w:rFonts w:ascii="Times New Roman" w:eastAsia="Times New Roman" w:hAnsi="Times New Roman" w:cs="Times New Roman"/>
          <w:b/>
          <w:bCs/>
          <w:sz w:val="24"/>
          <w:szCs w:val="24"/>
        </w:rPr>
        <w:t>Figure 1. The Digital Public Health Surveillance Ecosystem</w:t>
      </w:r>
      <w:r w:rsidRPr="00EA1EDD">
        <w:rPr>
          <w:rFonts w:ascii="Times New Roman" w:eastAsia="Times New Roman" w:hAnsi="Times New Roman" w:cs="Times New Roman"/>
          <w:sz w:val="24"/>
          <w:szCs w:val="24"/>
        </w:rPr>
        <w:t>. A conceptual framework illustrating how diverse data sources—including electronic health records, laboratory systems, mobile apps, and social media—feed into an integrated surveillance system via interoperability standards (e.g., HL7, FHIR) and advanced analytics (AI/ML). The outputs support public health decision-making through dashboards, alerts, outbreak modeling, and policy tools.</w:t>
      </w:r>
    </w:p>
    <w:p w14:paraId="48183F24" w14:textId="0843CF75" w:rsidR="003768A0" w:rsidRPr="00EA1EDD" w:rsidRDefault="003768A0" w:rsidP="003768A0">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b/>
          <w:bCs/>
          <w:sz w:val="24"/>
          <w:szCs w:val="24"/>
        </w:rPr>
        <w:t xml:space="preserve"> 3 Data Integration and Interoperability</w:t>
      </w:r>
    </w:p>
    <w:p w14:paraId="653B30D3" w14:textId="2EEC0FD4" w:rsidR="003768A0" w:rsidRPr="00EA1EDD" w:rsidRDefault="003768A0" w:rsidP="003768A0">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 xml:space="preserve">The effectiveness of pandemic surveillance depends not only on data collection but also on the ability to integrate, interpret, and act upon information from diverse sources in real time. </w:t>
      </w:r>
      <w:r w:rsidRPr="00EA1EDD">
        <w:rPr>
          <w:rFonts w:ascii="Times New Roman" w:eastAsia="Times New Roman" w:hAnsi="Times New Roman" w:cs="Times New Roman"/>
          <w:sz w:val="24"/>
          <w:szCs w:val="24"/>
        </w:rPr>
        <w:lastRenderedPageBreak/>
        <w:t>During the COVID-19 crisis, Health Information Technology (Health IT) played a central role in enabling this integration. However, the process was far from seamless. The global emergency revealed both the potential and the persistent challenges of cross-system data harmonization, highlighting the urgent need for robust interoperability frameworks and widely adopted data standards</w:t>
      </w:r>
      <w:r w:rsidR="0063323F" w:rsidRPr="00EA1EDD">
        <w:rPr>
          <w:rFonts w:ascii="Times New Roman" w:eastAsia="Times New Roman" w:hAnsi="Times New Roman" w:cs="Times New Roman"/>
          <w:sz w:val="24"/>
          <w:szCs w:val="24"/>
        </w:rPr>
        <w:fldChar w:fldCharType="begin"/>
      </w:r>
      <w:r w:rsidR="001D5347">
        <w:rPr>
          <w:rFonts w:ascii="Times New Roman" w:eastAsia="Times New Roman" w:hAnsi="Times New Roman" w:cs="Times New Roman"/>
          <w:sz w:val="24"/>
          <w:szCs w:val="24"/>
        </w:rPr>
        <w:instrText xml:space="preserve"> ADDIN ZOTERO_ITEM CSL_CITATION {"citationID":"OZdwJlTc","properties":{"formattedCitation":"[20]","plainCitation":"[20]","noteIndex":0},"citationItems":[{"id":4316,"uris":["http://zotero.org/users/16652950/items/QCBXJMFH"],"itemData":{"id":4316,"type":"article-journal","abstract":"Background\nThe standard Fast Healthcare Interoperability Resources (FHIR) is widely used in health information technology. However, its use as a standard for health research is still less prevalent. To use existing data sources more efficiently for health research, data interoperability becomes increasingly important. FHIR provides solutions by offering resource domains such as “Public Health &amp; Research” and “Evidence-Based Medicine” while using already established web technologies. Therefore, FHIR could help standardize data across different data sources and improve interoperability in health research.\n\nObjective\nThe aim of our study was to provide a systematic review of existing literature and determine the current state of FHIR implementations in health research and possible future directions.\n\nMethods\nWe searched the PubMed/MEDLINE, Embase, Web of Science, IEEE Xplore, and Cochrane Library databases for studies published from 2011 to 2022. Studies investigating the use of FHIR in health research were included. Articles published before 2011, abstracts, reviews, editorials, and expert opinions were excluded. We followed the PRISMA (Preferred Reporting Items for Systematic Reviews and Meta-Analyses) guidelines and registered this study with PROSPERO (CRD42021235393). Data synthesis was done in tables and figures.\n\nResults\nWe identified a total of 998 studies, of which 49 studies were eligible for inclusion. Of the 49 studies, most (73%, n=36) covered the domain of clinical research, whereas the remaining studies focused on public health or epidemiology (6%, n=3) or did not specify their research domain (20%, n=10). Studies used FHIR for data capture (29%, n=14), standardization of data (41%, n=20), analysis (12%, n=6), recruitment (14%, n=7), and consent management (4%, n=2). Most (55%, 27/49) of the studies had a generic approach, and 55% (12/22) of the studies focusing on specific medical specialties (infectious disease, genomics, oncology, environmental health, imaging, and pulmonary hypertension) reported their solutions to be conferrable to other use cases. Most (63%, 31/49) of the studies reported using additional data models or terminologies: Systematized Nomenclature of Medicine Clinical Terms (29%, n=14), Logical Observation Identifiers Names and Codes (37%, n=18), International Classification of Diseases 10th Revision (18%, n=9), Observational Medical Outcomes Partnership common data model (12%, n=6), and others (43%, n=21). Only 4 (8%) studies used a FHIR resource from the domain “Public Health &amp; Research.” Limitations using FHIR included the possible change in the content of FHIR resources, safety, legal matters, and the need for a FHIR server.\n\nConclusions\nOur review found that FHIR can be implemented in health research, and the areas of application are broad and generalizable in most use cases. The implementation of international terminologies was common, and other standards such as the Observational Medical Outcomes Partnership common data model could be used as a complement to FHIR. Limitations such as the change of FHIR content, lack of FHIR implementation, safety, and legal matters need to be addressed in future releases to expand the use of FHIR and, therefore, interoperability in health research.","container-title":"JMIR Medical Informatics","DOI":"10.2196/35724","ISSN":"2291-9694","issue":"7","journalAbbreviation":"JMIR Med Inform","note":"PMID: 35852842\nPMCID: PMC9346559","page":"e35724","source":"PubMed Central","title":"Fast Healthcare Interoperability Resources (FHIR) for Interoperability in Health Research: Systematic Review","title-short":"Fast Healthcare Interoperability Resources (FHIR) for Interoperability in Health Research","volume":"10","author":[{"family":"Vorisek","given":"Carina Nina"},{"family":"Lehne","given":"Moritz"},{"family":"Klopfenstein","given":"Sophie Anne Ines"},{"family":"Mayer","given":"Paula Josephine"},{"family":"Bartschke","given":"Alexander"},{"family":"Haese","given":"Thomas"},{"family":"Thun","given":"Sylvia"}],"issued":{"date-parts":[["2022",7,19]]}}}],"schema":"https://github.com/citation-style-language/schema/raw/master/csl-citation.json"} </w:instrText>
      </w:r>
      <w:r w:rsidR="0063323F" w:rsidRPr="00EA1EDD">
        <w:rPr>
          <w:rFonts w:ascii="Times New Roman" w:eastAsia="Times New Roman" w:hAnsi="Times New Roman" w:cs="Times New Roman"/>
          <w:sz w:val="24"/>
          <w:szCs w:val="24"/>
        </w:rPr>
        <w:fldChar w:fldCharType="separate"/>
      </w:r>
      <w:r w:rsidR="001D5347" w:rsidRPr="001D5347">
        <w:rPr>
          <w:rFonts w:ascii="Times New Roman" w:hAnsi="Times New Roman" w:cs="Times New Roman"/>
          <w:sz w:val="24"/>
        </w:rPr>
        <w:t>[20]</w:t>
      </w:r>
      <w:r w:rsidR="0063323F"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2ACD0C4F" w14:textId="00939CEF" w:rsidR="003768A0" w:rsidRPr="00EA1EDD" w:rsidRDefault="003768A0" w:rsidP="003768A0">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Interoperability, defined as the capacity of disparate systems and organizations to exchange, interpret, and use data in a cohesive manner, emerged as a critical determinant of surveillance responsiveness. International standards such as Health Level Seven (HL7) and Fast Healthcare Interoperability Resources (FHIR) offered foundational tools to align clinical and public health data. These standards enabled better communication among electronic health records (EHRs), laboratory information systems, and public health databases</w:t>
      </w:r>
      <w:r w:rsidR="0063323F" w:rsidRPr="00EA1EDD">
        <w:rPr>
          <w:rFonts w:ascii="Times New Roman" w:eastAsia="Times New Roman" w:hAnsi="Times New Roman" w:cs="Times New Roman"/>
          <w:sz w:val="24"/>
          <w:szCs w:val="24"/>
        </w:rPr>
        <w:fldChar w:fldCharType="begin"/>
      </w:r>
      <w:r w:rsidR="001D5347">
        <w:rPr>
          <w:rFonts w:ascii="Times New Roman" w:eastAsia="Times New Roman" w:hAnsi="Times New Roman" w:cs="Times New Roman"/>
          <w:sz w:val="24"/>
          <w:szCs w:val="24"/>
        </w:rPr>
        <w:instrText xml:space="preserve"> ADDIN ZOTERO_ITEM CSL_CITATION {"citationID":"fYZDcsQo","properties":{"formattedCitation":"[21]","plainCitation":"[21]","noteIndex":0},"citationItems":[{"id":1548,"uris":["http://zotero.org/users/16652950/items/ULK2BCL3"],"itemData":{"id":1548,"type":"article-journal","abstract":"Background\nThe lack of interoperability between health information systems reduces the quality of care provided to patients and wastes resources. Accordingly, there is an urgent need to develop integration mechanisms among the various health information systems. The aim of this review was to investigate the interoperability requirements for heterogeneous health information systems and to summarize and present them.\n\nMethods\nIn accordance with the PRISMA guideline, a broad electronic search of all literature was conducted on the topic through six databases, including PubMed, Web of science, Scopus, MEDLINE, Cochrane Library and Embase to 25 July 2022. The inclusion criteria were to select English-written articles available in full text with the closest objectives. 36 articles were selected for further analysis.\n\nResults\nInteroperability has been raised in the field of health information systems from 2003 and now it is one of the topics of interest to researchers. The projects done in this field are mostly in the national scope and to achieve the electronic health record. HL7 FHIR, CDA, HIPAA and SNOMED-CT, SOA, RIM, XML, API, JAVA and SQL are among the most important requirements for implementing interoperability. In order to guarantee the concept of data exchange, semantic interaction is the best choice because the systems can recognize and process semantically similar information homogeneously.\n\nConclusions\nThe health industry has become more complex and has new needs. Interoperability meets this needs by communicating between the output and input of processor systems and making easier to access the data in the required formats.\n\nSupplementary Information\nThe online version contains supplementary material available at 10.1186/s12911-023-02115-5.","container-title":"BMC Medical Informatics and Decision Making","DOI":"10.1186/s12911-023-02115-5","ISSN":"1472-6947","journalAbbreviation":"BMC Med Inform Decis Mak","note":"PMID: 36694161\nPMCID: PMC9875417","page":"18","source":"PubMed Central","title":"Interoperability of heterogeneous health information systems: a systematic literature review","title-short":"Interoperability of heterogeneous health information systems","volume":"23","author":[{"family":"Torab-Miandoab","given":"Amir"},{"family":"Samad-Soltani","given":"Taha"},{"family":"Jodati","given":"Ahmadreza"},{"family":"Rezaei-Hachesu","given":"Peyman"}],"issued":{"date-parts":[["2023",1,24]]}}}],"schema":"https://github.com/citation-style-language/schema/raw/master/csl-citation.json"} </w:instrText>
      </w:r>
      <w:r w:rsidR="0063323F" w:rsidRPr="00EA1EDD">
        <w:rPr>
          <w:rFonts w:ascii="Times New Roman" w:eastAsia="Times New Roman" w:hAnsi="Times New Roman" w:cs="Times New Roman"/>
          <w:sz w:val="24"/>
          <w:szCs w:val="24"/>
        </w:rPr>
        <w:fldChar w:fldCharType="separate"/>
      </w:r>
      <w:r w:rsidR="001D5347" w:rsidRPr="001D5347">
        <w:rPr>
          <w:rFonts w:ascii="Times New Roman" w:hAnsi="Times New Roman" w:cs="Times New Roman"/>
          <w:sz w:val="24"/>
        </w:rPr>
        <w:t>[21]</w:t>
      </w:r>
      <w:r w:rsidR="0063323F"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 In the United States, FHIR-based application programming interfaces (APIs) facilitated the real-time exchange of structured data into centralized surveillance systems like HHS Protect, which consolidated hospital capacity, case numbers, testing outcomes, and supply chain data from over 6,000 healthcare institutions. Similarly, the World Health Organization’s Epidemic Intelligence from Open Sources (EIOS) platform aggregated data from news outlets, social media, and official health reports to generate early signals of outbreaks worldwide</w:t>
      </w:r>
      <w:r w:rsidR="0063323F" w:rsidRPr="00EA1EDD">
        <w:rPr>
          <w:rFonts w:ascii="Times New Roman" w:eastAsia="Times New Roman" w:hAnsi="Times New Roman" w:cs="Times New Roman"/>
          <w:sz w:val="24"/>
          <w:szCs w:val="24"/>
        </w:rPr>
        <w:fldChar w:fldCharType="begin"/>
      </w:r>
      <w:r w:rsidR="001D5347">
        <w:rPr>
          <w:rFonts w:ascii="Times New Roman" w:eastAsia="Times New Roman" w:hAnsi="Times New Roman" w:cs="Times New Roman"/>
          <w:sz w:val="24"/>
          <w:szCs w:val="24"/>
        </w:rPr>
        <w:instrText xml:space="preserve"> ADDIN ZOTERO_ITEM CSL_CITATION {"citationID":"k6v1tEMb","properties":{"formattedCitation":"[22,23]","plainCitation":"[22,23]","noteIndex":0},"citationItems":[{"id":2838,"uris":["http://zotero.org/users/16652950/items/L83HE2BB"],"itemData":{"id":2838,"type":"article-journal","abstract":"As one of the deadliest viruses, Ebola virus (EBOV) causes lethal hemorrhagic fevers in humans and nonhuman primates. The suppression of innate immunity leads to robust systemic virus replication of EBOV, leading to enhanced transmission. However, the mechanism of EBOV-host interaction is not fully understood. Here, we identified multiple dysregulated genes in early stage of EBOV infection through transcriptomic analysis, which are highly clustered to Jak-STAT signaling. EBOV VP35 and VP30 were found to inhibit type I interferon (IFN) signaling. Moreover, exogenous expression of VP35 blocks the phosphorylation of endogenous STAT1, and suppresses nuclear translocation of STAT1. Using serial truncated mutations of VP35, N-terminal 1–220 amino acid residues of VP35 were identified to be essential for blocking on type I IFN signaling. Remarkably, VP35 of EBOV suppresses type I IFN signaling more efficiently than those of Bundibugyo virus (BDBV) and Marburg virus (MARV), resulting in stable replication to facilitate the pathogenesis. Altogether, this study enriches understanding on EBOV evasion of innate immune response, and provides insights into the interplay between filoviruses and host., •A temporal atlas of the transcriptome in early stage of EBOV infection is reported.•VP35 and VP30 of EBOV antagonize type I interferon signaling.•VP35 of different filoviruses inhibits type I interferon signaling with different efficacies.•VP35 hijacks the host immune system to establish stable viral replication at early stage during EBOV infection.","container-title":"Virologica Sinica","DOI":"10.1016/j.virs.2023.10.004","ISSN":"1674-0769","issue":"6","journalAbbreviation":"Virol Sin","note":"PMID: 37839549\nPMCID: PMC10786653","page":"922-930","source":"PubMed Central","title":"Ebola virus VP35 perturbs type I interferon signaling to facilitate viral replication","volume":"38","author":[{"family":"Cao","given":"Zengguo"},{"family":"Liu","given":"Chenchen"},{"family":"Peng","given":"Cheng"},{"family":"Ran","given":"Yong"},{"family":"Yao","given":"Yulin"},{"family":"Xiao","given":"Gengfu"},{"family":"Li","given":"Entao"},{"family":"Chen","given":"Zixi"},{"family":"Chuai","given":"Xia"},{"family":"Chiu","given":"Sandra"}],"issued":{"date-parts":[["2023",10,13]]}}},{"id":4322,"uris":["http://zotero.org/users/16652950/items/MEDH9XKV"],"itemData":{"id":4322,"type":"article-journal","abstract":"A pandemic poses particular challenges to decision-making because of the need to continuously adapt decisions to rapidly changing evidence and available data. For example, which countermeasures are appropriate at a particular stage of the pandemic? How can the severity of the pandemic be measured? What is the effect of vaccination in the population and which groups should be vaccinated first? The process of decision-making starts with data collection and modeling and continues to the dissemination of results and the subsequent decisions taken. The goal of this paper is to give an overview of this process and to provide recommendations for the different steps from a statistical perspective. In particular, we discuss a range of modeling techniques including mathematical, statistical and decision-analytic models along with their applications in the COVID-19 context. With this overview, we aim to foster the understanding of the goals of these modeling approaches and the specific data requirements that are essential for the interpretation of results and for successful interdisciplinary collaborations. A special focus is on the role played by data in these different models, and we incorporate into the discussion the importance of statistical literacy and of effective dissemination and communication of findings.","container-title":"AStA Advances in Statistical Analysis","DOI":"10.1007/s10182-022-00439-7","ISSN":"1863-818X","issue":"3","journalAbbreviation":"AStA Adv Stat Anal","language":"en","page":"349-382","source":"Springer Link","title":"On the role of data, statistics and decisions in a pandemic","volume":"106","author":[{"family":"Jahn","given":"Beate"},{"family":"Friedrich","given":"Sarah"},{"family":"Behnke","given":"Joachim"},{"family":"Engel","given":"Joachim"},{"family":"Garczarek","given":"Ursula"},{"family":"Münnich","given":"Ralf"},{"family":"Pauly","given":"Markus"},{"family":"Wilhelm","given":"Adalbert"},{"family":"Wolkenhauer","given":"Olaf"},{"family":"Zwick","given":"Markus"},{"family":"Siebert","given":"Uwe"},{"family":"Friede","given":"Tim"}],"issued":{"date-parts":[["2022",9,1]]}}}],"schema":"https://github.com/citation-style-language/schema/raw/master/csl-citation.json"} </w:instrText>
      </w:r>
      <w:r w:rsidR="0063323F" w:rsidRPr="00EA1EDD">
        <w:rPr>
          <w:rFonts w:ascii="Times New Roman" w:eastAsia="Times New Roman" w:hAnsi="Times New Roman" w:cs="Times New Roman"/>
          <w:sz w:val="24"/>
          <w:szCs w:val="24"/>
        </w:rPr>
        <w:fldChar w:fldCharType="separate"/>
      </w:r>
      <w:r w:rsidR="001D5347" w:rsidRPr="001D5347">
        <w:rPr>
          <w:rFonts w:ascii="Times New Roman" w:hAnsi="Times New Roman" w:cs="Times New Roman"/>
          <w:sz w:val="24"/>
        </w:rPr>
        <w:t>[22,23]</w:t>
      </w:r>
      <w:r w:rsidR="0063323F"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0BD7D58B" w14:textId="096E4743" w:rsidR="003768A0" w:rsidRPr="00EA1EDD" w:rsidRDefault="000B0BE8" w:rsidP="003768A0">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r>
      <w:r w:rsidR="003768A0" w:rsidRPr="00EA1EDD">
        <w:rPr>
          <w:rFonts w:ascii="Times New Roman" w:eastAsia="Times New Roman" w:hAnsi="Times New Roman" w:cs="Times New Roman"/>
          <w:sz w:val="24"/>
          <w:szCs w:val="24"/>
        </w:rPr>
        <w:t>Integrated platforms like these offered numerous advantages. They significantly reduced delays in reporting, improved situational awareness of disease progression, and enabled more accurate predictive modeling. By linking EHR data to geospatial and demographic information, health authorities could identify emerging hotspots, assess the effectiveness of interventions, and make data-informed decisions about vaccine distribution. Interoperability also contributed to data quality by minimizing duplicate entries and improving the resolution of individual case records across systems</w:t>
      </w:r>
      <w:r w:rsidR="0063323F" w:rsidRPr="00EA1EDD">
        <w:rPr>
          <w:rFonts w:ascii="Times New Roman" w:eastAsia="Times New Roman" w:hAnsi="Times New Roman" w:cs="Times New Roman"/>
          <w:sz w:val="24"/>
          <w:szCs w:val="24"/>
        </w:rPr>
        <w:fldChar w:fldCharType="begin"/>
      </w:r>
      <w:r w:rsidR="001D5347">
        <w:rPr>
          <w:rFonts w:ascii="Times New Roman" w:eastAsia="Times New Roman" w:hAnsi="Times New Roman" w:cs="Times New Roman"/>
          <w:sz w:val="24"/>
          <w:szCs w:val="24"/>
        </w:rPr>
        <w:instrText xml:space="preserve"> ADDIN ZOTERO_ITEM CSL_CITATION {"citationID":"2YNCUaDD","properties":{"formattedCitation":"[24]","plainCitation":"[24]","noteIndex":0},"citationItems":[{"id":4324,"uris":["http://zotero.org/users/16652950/items/QJ6JWGQF"],"itemData":{"id":4324,"type":"article-journal","abstract":"Despite the great advances in the field of electronic health records (EHRs) over the past 25 years, implementation and adoption challenges persist, and the benefits realized remain below expectations. This scoping review aimed to present current knowledge about the effects of EHR implementation and the barriers to EHR adoption and use. A literature search was conducted in PubMed, Web of Science, IEEE Xplore Digital Library and ACM Digital Library for studies published between January 2005 and May 2020. In total, 7641 studies were identified of which 142 met the criteria and attained the consensus of all researchers on inclusion. Most studies (n = 91) were published between 2017 and 2019 and 81 studies had the United States as the country of origin. Both positive and negative effects of EHR implementation were identified, relating to clinical work, data and information, patient care and economic impact. Resource constraints, poor/insufficient training and technical/educational support for users, as well as poor literacy and skills in technology were the identified barriers to adoption and use that occurred frequently. Although this review did not conduct a quality analysis of the included papers, the lack of uniformity in the use of EHR definitions and detailed contextual information concerning the study settings could be observed.","container-title":"Life","DOI":"10.3390/life10120327","ISSN":"2075-1729","issue":"12","journalAbbreviation":"Life (Basel)","note":"PMID: 33291615\nPMCID: PMC7761950","page":"327","source":"PubMed Central","title":"Effects of Electronic Health Record Implementation and Barriers to Adoption and Use: A Scoping Review and Qualitative Analysis of the Content","title-short":"Effects of Electronic Health Record Implementation and Barriers to Adoption and Use","volume":"10","author":[{"family":"Tsai","given":"Chen Hsi"},{"family":"Eghdam","given":"Aboozar"},{"family":"Davoody","given":"Nadia"},{"family":"Wright","given":"Graham"},{"family":"Flowerday","given":"Stephen"},{"family":"Koch","given":"Sabine"}],"issued":{"date-parts":[["2020",12,4]]}}}],"schema":"https://github.com/citation-style-language/schema/raw/master/csl-citation.json"} </w:instrText>
      </w:r>
      <w:r w:rsidR="0063323F" w:rsidRPr="00EA1EDD">
        <w:rPr>
          <w:rFonts w:ascii="Times New Roman" w:eastAsia="Times New Roman" w:hAnsi="Times New Roman" w:cs="Times New Roman"/>
          <w:sz w:val="24"/>
          <w:szCs w:val="24"/>
        </w:rPr>
        <w:fldChar w:fldCharType="separate"/>
      </w:r>
      <w:r w:rsidR="001D5347" w:rsidRPr="001D5347">
        <w:rPr>
          <w:rFonts w:ascii="Times New Roman" w:hAnsi="Times New Roman" w:cs="Times New Roman"/>
          <w:sz w:val="24"/>
        </w:rPr>
        <w:t>[24]</w:t>
      </w:r>
      <w:r w:rsidR="0063323F" w:rsidRPr="00EA1EDD">
        <w:rPr>
          <w:rFonts w:ascii="Times New Roman" w:eastAsia="Times New Roman" w:hAnsi="Times New Roman" w:cs="Times New Roman"/>
          <w:sz w:val="24"/>
          <w:szCs w:val="24"/>
        </w:rPr>
        <w:fldChar w:fldCharType="end"/>
      </w:r>
      <w:r w:rsidR="003768A0" w:rsidRPr="00EA1EDD">
        <w:rPr>
          <w:rFonts w:ascii="Times New Roman" w:eastAsia="Times New Roman" w:hAnsi="Times New Roman" w:cs="Times New Roman"/>
          <w:sz w:val="24"/>
          <w:szCs w:val="24"/>
        </w:rPr>
        <w:t xml:space="preserve">. Nevertheless, these advances were constrained by major technical and institutional hurdles. One persistent challenge was semantic heterogeneity, or the inconsistency in how health conditions, procedures, and laboratory results were coded across different systems. In the absence of universal terminologies or standardized value sets such as SNOMED CT and LOINC, the process of aggregating data often required labor-intensive cleaning, manual mapping, and reconciliation. Compounding this issue, many public health </w:t>
      </w:r>
      <w:r w:rsidR="003768A0" w:rsidRPr="00EA1EDD">
        <w:rPr>
          <w:rFonts w:ascii="Times New Roman" w:eastAsia="Times New Roman" w:hAnsi="Times New Roman" w:cs="Times New Roman"/>
          <w:sz w:val="24"/>
          <w:szCs w:val="24"/>
        </w:rPr>
        <w:lastRenderedPageBreak/>
        <w:t>agencies lacked the digital infrastructure or trained personnel needed to implement new data standards quickly, which led to significant delays and bottlenecks in integration efforts</w:t>
      </w:r>
      <w:r w:rsidR="0063323F" w:rsidRPr="00EA1EDD">
        <w:rPr>
          <w:rFonts w:ascii="Times New Roman" w:eastAsia="Times New Roman" w:hAnsi="Times New Roman" w:cs="Times New Roman"/>
          <w:sz w:val="24"/>
          <w:szCs w:val="24"/>
        </w:rPr>
        <w:fldChar w:fldCharType="begin"/>
      </w:r>
      <w:r w:rsidR="001D5347">
        <w:rPr>
          <w:rFonts w:ascii="Times New Roman" w:eastAsia="Times New Roman" w:hAnsi="Times New Roman" w:cs="Times New Roman"/>
          <w:sz w:val="24"/>
          <w:szCs w:val="24"/>
        </w:rPr>
        <w:instrText xml:space="preserve"> ADDIN ZOTERO_ITEM CSL_CITATION {"citationID":"vN4bmYzg","properties":{"formattedCitation":"[21,25]","plainCitation":"[21,25]","noteIndex":0},"citationItems":[{"id":1548,"uris":["http://zotero.org/users/16652950/items/ULK2BCL3"],"itemData":{"id":1548,"type":"article-journal","abstract":"Background\nThe lack of interoperability between health information systems reduces the quality of care provided to patients and wastes resources. Accordingly, there is an urgent need to develop integration mechanisms among the various health information systems. The aim of this review was to investigate the interoperability requirements for heterogeneous health information systems and to summarize and present them.\n\nMethods\nIn accordance with the PRISMA guideline, a broad electronic search of all literature was conducted on the topic through six databases, including PubMed, Web of science, Scopus, MEDLINE, Cochrane Library and Embase to 25 July 2022. The inclusion criteria were to select English-written articles available in full text with the closest objectives. 36 articles were selected for further analysis.\n\nResults\nInteroperability has been raised in the field of health information systems from 2003 and now it is one of the topics of interest to researchers. The projects done in this field are mostly in the national scope and to achieve the electronic health record. HL7 FHIR, CDA, HIPAA and SNOMED-CT, SOA, RIM, XML, API, JAVA and SQL are among the most important requirements for implementing interoperability. In order to guarantee the concept of data exchange, semantic interaction is the best choice because the systems can recognize and process semantically similar information homogeneously.\n\nConclusions\nThe health industry has become more complex and has new needs. Interoperability meets this needs by communicating between the output and input of processor systems and making easier to access the data in the required formats.\n\nSupplementary Information\nThe online version contains supplementary material available at 10.1186/s12911-023-02115-5.","container-title":"BMC Medical Informatics and Decision Making","DOI":"10.1186/s12911-023-02115-5","ISSN":"1472-6947","journalAbbreviation":"BMC Med Inform Decis Mak","note":"PMID: 36694161\nPMCID: PMC9875417","page":"18","source":"PubMed Central","title":"Interoperability of heterogeneous health information systems: a systematic literature review","title-short":"Interoperability of heterogeneous health information systems","volume":"23","author":[{"family":"Torab-Miandoab","given":"Amir"},{"family":"Samad-Soltani","given":"Taha"},{"family":"Jodati","given":"Ahmadreza"},{"family":"Rezaei-Hachesu","given":"Peyman"}],"issued":{"date-parts":[["2023",1,24]]}}},{"id":4327,"uris":["http://zotero.org/users/16652950/items/66I6GE5E"],"itemData":{"id":4327,"type":"article-journal","abstract":"Objectives\nDescribe the state of Electronic Health Records (EHRs) in 1992 and their evolution by 2015 and where EHRs are expected to be in 25 years. Further to discuss the expectations for EHRs in 1992 and explore which of them were realized and what events accelerated or disrupted/derailed how EHRs evolved.\n\nMethods\nLiterature search based on “Electronic Health Record”, “Medical Record”, and “Medical Chart” using Medline, Google, Wikipedia Medical, and Cochrane Libraries resulted in an initial review of 2,356 abstracts and other information in papers and books. Additional papers and books were identified through the review of references cited in the initial review.\n\nResults\nBy 1992, hardware had become more affordable, powerful, and compact and the use of personal computers, local area networks, and the Internet provided faster and easier access to medical information. EHRs were initially developed and used at academic medical facilities but since most have been replaced by large vendor EHRs. While EHR use has increased and clinicians are being prepared to practice in an EHR-mediated world, technical issues have been overshadowed by procedural, professional, social, political, and especially ethical issues as well as the need for compliance with standards and information security. There have been enormous advancements that have taken place, but many of the early expectations for EHRs have not been realized and current EHRs still do not meet the needs of today’s rapidly changing healthcare environment.\n\nConclusion\nThe current use of EHRs initiated by new technology would have been hard to foresee. Current and new EHR technology will help to provide international standards for interoperable applications that use health, social, economic, behavioral, and environmental data to communicate, interpret, and act intelligently upon complex healthcare information to foster precision medicine and a learning health system.","container-title":"Yearbook of Medical Informatics","DOI":"10.15265/IYS-2016-s006","ISSN":"0943-4747","issue":"Suppl 1","journalAbbreviation":"Yearb Med Inform","note":"PMID: 27199197\nPMCID: PMC5171496","page":"S48-S61","source":"PubMed Central","title":"Electronic Health Records: Then, Now, and in the Future","title-short":"Electronic Health Records","author":[{"family":"Evans","given":"R. S."}],"issued":{"date-parts":[["2016",5,20]]}}}],"schema":"https://github.com/citation-style-language/schema/raw/master/csl-citation.json"} </w:instrText>
      </w:r>
      <w:r w:rsidR="0063323F" w:rsidRPr="00EA1EDD">
        <w:rPr>
          <w:rFonts w:ascii="Times New Roman" w:eastAsia="Times New Roman" w:hAnsi="Times New Roman" w:cs="Times New Roman"/>
          <w:sz w:val="24"/>
          <w:szCs w:val="24"/>
        </w:rPr>
        <w:fldChar w:fldCharType="separate"/>
      </w:r>
      <w:r w:rsidR="001D5347" w:rsidRPr="001D5347">
        <w:rPr>
          <w:rFonts w:ascii="Times New Roman" w:hAnsi="Times New Roman" w:cs="Times New Roman"/>
          <w:sz w:val="24"/>
        </w:rPr>
        <w:t>[21,25]</w:t>
      </w:r>
      <w:r w:rsidR="0063323F" w:rsidRPr="00EA1EDD">
        <w:rPr>
          <w:rFonts w:ascii="Times New Roman" w:eastAsia="Times New Roman" w:hAnsi="Times New Roman" w:cs="Times New Roman"/>
          <w:sz w:val="24"/>
          <w:szCs w:val="24"/>
        </w:rPr>
        <w:fldChar w:fldCharType="end"/>
      </w:r>
      <w:r w:rsidR="003768A0" w:rsidRPr="00EA1EDD">
        <w:rPr>
          <w:rFonts w:ascii="Times New Roman" w:eastAsia="Times New Roman" w:hAnsi="Times New Roman" w:cs="Times New Roman"/>
          <w:sz w:val="24"/>
          <w:szCs w:val="24"/>
        </w:rPr>
        <w:t>.</w:t>
      </w:r>
    </w:p>
    <w:p w14:paraId="023AF1F3" w14:textId="07CBC748" w:rsidR="003768A0" w:rsidRPr="00EA1EDD" w:rsidRDefault="000B0BE8" w:rsidP="003768A0">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r>
      <w:r w:rsidR="003768A0" w:rsidRPr="00EA1EDD">
        <w:rPr>
          <w:rFonts w:ascii="Times New Roman" w:eastAsia="Times New Roman" w:hAnsi="Times New Roman" w:cs="Times New Roman"/>
          <w:sz w:val="24"/>
          <w:szCs w:val="24"/>
        </w:rPr>
        <w:t>Non-standardized reporting protocols across jurisdictions further complicated both national and global coordination. While some countries operated under centralized data governance models that facilitated uniform data flow, others had highly decentralized systems where data collection and reporting varied widely. These inconsistencies created fragmented and unreliable data landscapes. Efforts to build real-time dashboards were often hindered by incomplete, infrequent, or overly aggregated data, which undermined the ability to conduct timely and granular analyses</w:t>
      </w:r>
      <w:r w:rsidR="0063323F" w:rsidRPr="00EA1EDD">
        <w:rPr>
          <w:rFonts w:ascii="Times New Roman" w:eastAsia="Times New Roman" w:hAnsi="Times New Roman" w:cs="Times New Roman"/>
          <w:sz w:val="24"/>
          <w:szCs w:val="24"/>
        </w:rPr>
        <w:fldChar w:fldCharType="begin"/>
      </w:r>
      <w:r w:rsidR="001D5347">
        <w:rPr>
          <w:rFonts w:ascii="Times New Roman" w:eastAsia="Times New Roman" w:hAnsi="Times New Roman" w:cs="Times New Roman"/>
          <w:sz w:val="24"/>
          <w:szCs w:val="24"/>
        </w:rPr>
        <w:instrText xml:space="preserve"> ADDIN ZOTERO_ITEM CSL_CITATION {"citationID":"pabcCB8J","properties":{"formattedCitation":"[26]","plainCitation":"[26]","noteIndex":0},"citationItems":[{"id":4330,"uris":["http://zotero.org/users/16652950/items/3TRCRSYG"],"itemData":{"id":4330,"type":"article-journal","abstract":"As the adoption of digital health accelerates health research increasingly relies on large quantities of biomedical data. Research institutions scattered across a large number of jurisdictions collaborate in producing and analyzing biomedical big data. National data protection legislation, for its part, grows increasingly complex and localized. To respond to heterogeneous legal requirements arising in numerous jurisdictions, decentralized health consortia must develop scalable organizational and 6 technological arrangements that enable data flows across jurisdictional boundaries. In this article, proposals are made to enable health sector organisations to align established biomedical ethics process and data analysis practices to shifting data protection norms through both public law co-regulation, private law tools, and design-oriented approaches.","container-title":"Journal of Law and the Biosciences","DOI":"10.1093/jlb/lsac005","ISSN":"2053-9711","issue":"1","journalAbbreviation":"J Law Biosci","note":"PMID: 35382430\nPMCID: PMC8977111","page":"lsac005","source":"PubMed Central","title":"The international data governance landscape","volume":"9","author":[{"family":"Bernier","given":"Alexander"},{"family":"Molnár-Gábor","given":"Fruzsina"},{"family":"Knoppers","given":"Bartha Maria"}],"issued":{"date-parts":[["2022",4,4]]}}}],"schema":"https://github.com/citation-style-language/schema/raw/master/csl-citation.json"} </w:instrText>
      </w:r>
      <w:r w:rsidR="0063323F" w:rsidRPr="00EA1EDD">
        <w:rPr>
          <w:rFonts w:ascii="Times New Roman" w:eastAsia="Times New Roman" w:hAnsi="Times New Roman" w:cs="Times New Roman"/>
          <w:sz w:val="24"/>
          <w:szCs w:val="24"/>
        </w:rPr>
        <w:fldChar w:fldCharType="separate"/>
      </w:r>
      <w:r w:rsidR="001D5347" w:rsidRPr="001D5347">
        <w:rPr>
          <w:rFonts w:ascii="Times New Roman" w:hAnsi="Times New Roman" w:cs="Times New Roman"/>
          <w:sz w:val="24"/>
        </w:rPr>
        <w:t>[26]</w:t>
      </w:r>
      <w:r w:rsidR="0063323F" w:rsidRPr="00EA1EDD">
        <w:rPr>
          <w:rFonts w:ascii="Times New Roman" w:eastAsia="Times New Roman" w:hAnsi="Times New Roman" w:cs="Times New Roman"/>
          <w:sz w:val="24"/>
          <w:szCs w:val="24"/>
        </w:rPr>
        <w:fldChar w:fldCharType="end"/>
      </w:r>
      <w:r w:rsidR="003768A0" w:rsidRPr="00EA1EDD">
        <w:rPr>
          <w:rFonts w:ascii="Times New Roman" w:eastAsia="Times New Roman" w:hAnsi="Times New Roman" w:cs="Times New Roman"/>
          <w:sz w:val="24"/>
          <w:szCs w:val="24"/>
        </w:rPr>
        <w:t>. Additionally, the pandemic also exposed the fact that interoperability is as much a matter of governance as it is of technology. Many countries lacked clear policies regarding data ownership, access rights, and stewardship responsibilities. In several instances, the absence of legal frameworks and data-sharing agreements delayed the exchange of vital information during key phases of the outbreak response. In some contexts, bureaucratic barriers were even more obstructive than technical limitations, impeding the seamless flow of critical data</w:t>
      </w:r>
      <w:r w:rsidR="0063323F" w:rsidRPr="00EA1EDD">
        <w:rPr>
          <w:rFonts w:ascii="Times New Roman" w:eastAsia="Times New Roman" w:hAnsi="Times New Roman" w:cs="Times New Roman"/>
          <w:sz w:val="24"/>
          <w:szCs w:val="24"/>
        </w:rPr>
        <w:fldChar w:fldCharType="begin"/>
      </w:r>
      <w:r w:rsidR="001D5347">
        <w:rPr>
          <w:rFonts w:ascii="Times New Roman" w:eastAsia="Times New Roman" w:hAnsi="Times New Roman" w:cs="Times New Roman"/>
          <w:sz w:val="24"/>
          <w:szCs w:val="24"/>
        </w:rPr>
        <w:instrText xml:space="preserve"> ADDIN ZOTERO_ITEM CSL_CITATION {"citationID":"ba2BEYXm","properties":{"formattedCitation":"[27]","plainCitation":"[27]","noteIndex":0},"citationItems":[{"id":4333,"uris":["http://zotero.org/users/16652950/items/69889FAT"],"itemData":{"id":4333,"type":"article-journal","abstract":"The COVID-19 pandemic saw a massive investment into collaborative research projects with a focus on producing data to support public health decisions. We relay our direct experience of four projects funded under the Horizon2020 programme, namely ReCoDID, ORCHESTRA, unCoVer and SYNCHROS. The projects provide insight into the complexities of sharing patient level data from observational cohorts. We focus on compliance with the General Data Protection Regulation (GDPR) and ethics approvals when sharing data across national borders. We discuss procedures for data mapping; submission of new international codes to standards organisation; federated approach; and centralised data curation. Finally, we put forward recommendations for the development of guidelines for the application of GDPR in case of major public health threats; mandatory standards for data collection in funding frameworks; training and capacity building for data owners; cataloguing of international use of metadata standards; and dedicated funding for identified critical areas.","container-title":"The Lancet Regional Health - Europe","DOI":"10.1016/j.lanepe.2022.100467","ISSN":"2666-7762","journalAbbreviation":"The Lancet Regional Health - Europe","page":"100467","source":"ScienceDirect","title":"Challenges of data sharing in European Covid-19 projects: A learning opportunity for advancing pandemic preparedness and response","title-short":"Challenges of data sharing in European Covid-19 projects","volume":"21","author":[{"family":"Tacconelli","given":"Evelina"},{"family":"Gorska","given":"Anna"},{"family":"Carrara","given":"Elena"},{"family":"Davis","given":"Ruth Joanna"},{"family":"Bonten","given":"Marc"},{"family":"Friedrich","given":"Alex W."},{"family":"Glasner","given":"Corinna"},{"family":"Goossens","given":"Herman"},{"family":"Hasenauer","given":"Jan"},{"family":"Abad","given":"Josep Maria Haro"},{"family":"Peñalvo","given":"José L."},{"family":"Sanchez-Niubo","given":"Albert"},{"family":"Sialm","given":"Anastassja"},{"family":"Scipione","given":"Gabriella"},{"family":"Soriano","given":"Gloria"},{"family":"Yazdanpanah","given":"Yazdan"},{"family":"Vorstenbosch","given":"Ellen"},{"family":"Jaenisch","given":"Thomas"}],"issued":{"date-parts":[["2022",10,1]]}}}],"schema":"https://github.com/citation-style-language/schema/raw/master/csl-citation.json"} </w:instrText>
      </w:r>
      <w:r w:rsidR="0063323F" w:rsidRPr="00EA1EDD">
        <w:rPr>
          <w:rFonts w:ascii="Times New Roman" w:eastAsia="Times New Roman" w:hAnsi="Times New Roman" w:cs="Times New Roman"/>
          <w:sz w:val="24"/>
          <w:szCs w:val="24"/>
        </w:rPr>
        <w:fldChar w:fldCharType="separate"/>
      </w:r>
      <w:r w:rsidR="001D5347" w:rsidRPr="001D5347">
        <w:rPr>
          <w:rFonts w:ascii="Times New Roman" w:hAnsi="Times New Roman" w:cs="Times New Roman"/>
          <w:sz w:val="24"/>
        </w:rPr>
        <w:t>[27]</w:t>
      </w:r>
      <w:r w:rsidR="0063323F" w:rsidRPr="00EA1EDD">
        <w:rPr>
          <w:rFonts w:ascii="Times New Roman" w:eastAsia="Times New Roman" w:hAnsi="Times New Roman" w:cs="Times New Roman"/>
          <w:sz w:val="24"/>
          <w:szCs w:val="24"/>
        </w:rPr>
        <w:fldChar w:fldCharType="end"/>
      </w:r>
      <w:r w:rsidR="003768A0" w:rsidRPr="00EA1EDD">
        <w:rPr>
          <w:rFonts w:ascii="Times New Roman" w:eastAsia="Times New Roman" w:hAnsi="Times New Roman" w:cs="Times New Roman"/>
          <w:sz w:val="24"/>
          <w:szCs w:val="24"/>
        </w:rPr>
        <w:t>.</w:t>
      </w:r>
    </w:p>
    <w:p w14:paraId="2A60A702" w14:textId="0CC6EA8E" w:rsidR="003768A0" w:rsidRPr="00EA1EDD" w:rsidRDefault="000B0BE8" w:rsidP="003768A0">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r>
      <w:r w:rsidR="003768A0" w:rsidRPr="00EA1EDD">
        <w:rPr>
          <w:rFonts w:ascii="Times New Roman" w:eastAsia="Times New Roman" w:hAnsi="Times New Roman" w:cs="Times New Roman"/>
          <w:sz w:val="24"/>
          <w:szCs w:val="24"/>
        </w:rPr>
        <w:t>Despite these challenges, the COVID-19 experience underscored that integrated data systems are not optional but essential for pandemic preparedness and response. Building a resilient and equitable surveillance infrastructure for the future will require sustained investment in interoperability tools, universal data vocabularies, and coordinated cross-sector partnerships. Only through such efforts can health systems ensure that they are equipped to respond swiftly, transparently, and effectively to the next global health crisis</w:t>
      </w:r>
      <w:r w:rsidR="0063323F" w:rsidRPr="00EA1EDD">
        <w:rPr>
          <w:rFonts w:ascii="Times New Roman" w:eastAsia="Times New Roman" w:hAnsi="Times New Roman" w:cs="Times New Roman"/>
          <w:sz w:val="24"/>
          <w:szCs w:val="24"/>
        </w:rPr>
        <w:fldChar w:fldCharType="begin"/>
      </w:r>
      <w:r w:rsidR="001D5347">
        <w:rPr>
          <w:rFonts w:ascii="Times New Roman" w:eastAsia="Times New Roman" w:hAnsi="Times New Roman" w:cs="Times New Roman"/>
          <w:sz w:val="24"/>
          <w:szCs w:val="24"/>
        </w:rPr>
        <w:instrText xml:space="preserve"> ADDIN ZOTERO_ITEM CSL_CITATION {"citationID":"c0rupHa5","properties":{"formattedCitation":"[28,29]","plainCitation":"[28,29]","noteIndex":0},"citationItems":[{"id":4336,"uris":["http://zotero.org/users/16652950/items/AAUSHYPJ"],"itemData":{"id":4336,"type":"article-journal","abstract":"In response to the COVID-19 pandemic, several international initiatives have been developed to strengthen and reform the global architecture for pandemic preparedness and response, including proposals for a pandemic treaty, a Pandemic Fund, and mechanisms for equitable access to medical countermeasures. These initiatives seek to make use of crucial lessons gleaned from the ongoing pandemic by addressing gaps in health security and traditional public health functions. However, there has been insufficient consideration of the vital role of universal health coverage in sustainably mitigating outbreaks, and the importance of robust primary health care in equitably and efficiently safeguarding communities from future health threats. The international community should not repeat the mistakes of past health security efforts that ultimately contributed to the rapid spread of the COVID-19 pandemic and disproportionately affected vulnerable and marginalised populations, especially by overlooking the importance of coherent, multisectoral health systems. This Health Policy paper outlines major (although often neglected) gaps in pandemic preparedness and response, which are applicable to broader health emergency preparedness and response efforts, and identifies opportunities to reconceptualise health security by scaling up universal health coverage. We then offer a comprehensive set of recommendations to help inform the development of key pandemic preparedness and response proposals across three themes—governance, financing, and supporting initiatives. By identifying approaches that simultaneously strengthen health systems through global health security and universal health coverage, we aim to provide tangible solutions that equitably meet the needs of all communities while ensuring resilience to future pandemic threats.","container-title":"The Lancet. Global Health","DOI":"10.1016/S2214-109X(22)00341-2","ISSN":"2214-109X","issue":"11","journalAbbreviation":"Lancet Glob Health","note":"PMID: 36179734\nPMCID: PMC9514836","page":"e1675-e1683","source":"PubMed Central","title":"Pandemic preparedness and response: exploring the role of universal health coverage within the global health security architecture","title-short":"Pandemic preparedness and response","volume":"10","author":[{"family":"Lal","given":"Arush"},{"family":"Abdalla","given":"Salma M"},{"family":"Chattu","given":"Vijay Kumar"},{"family":"Erondu","given":"Ngozi Adaeze"},{"family":"Lee","given":"Tsung-Ling"},{"family":"Singh","given":"Sudhvir"},{"family":"Abou-Taleb","given":"Hala"},{"family":"Vega Morales","given":"Jeanette"},{"family":"Phelan","given":"Alexandra"}],"issued":{"date-parts":[["2022",11]]}}},{"id":1551,"uris":["http://zotero.org/users/16652950/items/APARYYQI"],"itemData":{"id":1551,"type":"article-journal","abstract":"Antimicrobial resistance (AMR) represents a growing public health challenge in Nigeria. The pervasive misuse of antibiotics, insufficient regulatory frameworks, and inadequate surveillance systems exacerbate this issue. The existing methods for antibiotic monitoring are fragmented and inefficient, hindering the ability to detect real-time resistance patterns. This review delves into the role of digital surveillance technologies in combating AMR, taking advantage of electronic medical records (EMRs), mobile health (mHealth) applications, AI-powered analytics, and cloud-based databases to enhance data collection, prescription tracking, and policy interventions. Research conducted in low- and middle-income countries (LMICs), including India and Kenya, demonstrates digital tools' efficacy in addressing antimicrobial resistance (AMR). Despite these advantages, Nigeria continues to face significant challenges related to data privacy, infrastructure limitations, financial sustainability, and a digital divide between urban and rural regions. Addressing these limitations requires implementing strategic investments in health technology, establishing robust regulatory frameworks, and fostering multi-sectoral collaboration among government agencies, private sector stakeholders, healthcare institutions, and research organisations. In this review, we strongly advocate for an approach that integrates a data-driven antimicrobial resistance (AMR) surveillance system, facilitating real-time monitoring and policy-driven strategies. Nigeria can enhance antibiotic stewardship, mitigate resistance, and protect public health by evolving into a robust digital health ecosystem.","container-title":"Path of Science","DOI":"10.22178/pos.115-25","ISSN":"2413-9009, 2413-9009","issue":"3","language":"en","license":"Copyright (c) 2025 Olabisi Promise Lawal, Emmanuel Cherechi Egwuatu, Kunle O. Akanbi, Enibokun Theresa Orobator, Oluwadabira Zoe Eweje, Elizabeth Omotola Omotayo, Christopher Igbokwe, Oluwafunmilayo Ogundeko-Olugbami, Shadrack Barffour Awuah, Eze Samson Chibueze","note":"number: 3","page":"1009-1017","source":"pathofscience.org","title":"Fighting Resistance With Data: Leveraging Digital Surveillance to Address Antibiotic Misuse in Nigeria","title-short":"Fighting Resistance With Data","volume":"11","author":[{"family":"Lawal","given":"Olabisi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Samson"}],"issued":{"date-parts":[["2025",3,31]]}}}],"schema":"https://github.com/citation-style-language/schema/raw/master/csl-citation.json"} </w:instrText>
      </w:r>
      <w:r w:rsidR="0063323F" w:rsidRPr="00EA1EDD">
        <w:rPr>
          <w:rFonts w:ascii="Times New Roman" w:eastAsia="Times New Roman" w:hAnsi="Times New Roman" w:cs="Times New Roman"/>
          <w:sz w:val="24"/>
          <w:szCs w:val="24"/>
        </w:rPr>
        <w:fldChar w:fldCharType="separate"/>
      </w:r>
      <w:r w:rsidR="001D5347" w:rsidRPr="001D5347">
        <w:rPr>
          <w:rFonts w:ascii="Times New Roman" w:hAnsi="Times New Roman" w:cs="Times New Roman"/>
          <w:sz w:val="24"/>
        </w:rPr>
        <w:t>[28,29]</w:t>
      </w:r>
      <w:r w:rsidR="0063323F" w:rsidRPr="00EA1EDD">
        <w:rPr>
          <w:rFonts w:ascii="Times New Roman" w:eastAsia="Times New Roman" w:hAnsi="Times New Roman" w:cs="Times New Roman"/>
          <w:sz w:val="24"/>
          <w:szCs w:val="24"/>
        </w:rPr>
        <w:fldChar w:fldCharType="end"/>
      </w:r>
      <w:r w:rsidR="003768A0" w:rsidRPr="00EA1EDD">
        <w:rPr>
          <w:rFonts w:ascii="Times New Roman" w:eastAsia="Times New Roman" w:hAnsi="Times New Roman" w:cs="Times New Roman"/>
          <w:sz w:val="24"/>
          <w:szCs w:val="24"/>
        </w:rPr>
        <w:t>.</w:t>
      </w:r>
    </w:p>
    <w:p w14:paraId="1322184F" w14:textId="77777777" w:rsidR="003768A0" w:rsidRPr="00EA1EDD" w:rsidRDefault="003768A0" w:rsidP="003768A0">
      <w:pPr>
        <w:spacing w:before="100" w:beforeAutospacing="1" w:after="100" w:afterAutospacing="1" w:line="360" w:lineRule="auto"/>
        <w:rPr>
          <w:rFonts w:ascii="Times New Roman" w:eastAsia="Times New Roman" w:hAnsi="Times New Roman" w:cs="Times New Roman"/>
          <w:b/>
          <w:bCs/>
          <w:sz w:val="24"/>
          <w:szCs w:val="24"/>
        </w:rPr>
      </w:pPr>
      <w:r w:rsidRPr="00EA1EDD">
        <w:rPr>
          <w:rFonts w:ascii="Times New Roman" w:eastAsia="Times New Roman" w:hAnsi="Times New Roman" w:cs="Times New Roman"/>
          <w:b/>
          <w:bCs/>
          <w:sz w:val="24"/>
          <w:szCs w:val="24"/>
        </w:rPr>
        <w:t>4.0. Ethics, Privacy, and Public Trust</w:t>
      </w:r>
    </w:p>
    <w:p w14:paraId="1E0B409B" w14:textId="18477179" w:rsidR="003768A0" w:rsidRPr="00EA1EDD" w:rsidRDefault="003768A0" w:rsidP="003768A0">
      <w:pPr>
        <w:spacing w:before="100" w:beforeAutospacing="1" w:after="100" w:afterAutospacing="1" w:line="360" w:lineRule="auto"/>
        <w:rPr>
          <w:rFonts w:ascii="Times New Roman" w:eastAsia="Times New Roman" w:hAnsi="Times New Roman" w:cs="Times New Roman"/>
          <w:sz w:val="24"/>
          <w:szCs w:val="24"/>
        </w:rPr>
      </w:pPr>
      <w:r w:rsidRPr="00EA1EDD">
        <w:rPr>
          <w:rFonts w:ascii="Times New Roman" w:eastAsia="Times New Roman" w:hAnsi="Times New Roman" w:cs="Times New Roman"/>
          <w:b/>
          <w:bCs/>
          <w:sz w:val="24"/>
          <w:szCs w:val="24"/>
        </w:rPr>
        <w:t xml:space="preserve"> </w:t>
      </w:r>
      <w:r w:rsidRPr="00EA1EDD">
        <w:rPr>
          <w:rFonts w:ascii="Times New Roman" w:eastAsia="Times New Roman" w:hAnsi="Times New Roman" w:cs="Times New Roman"/>
          <w:b/>
          <w:bCs/>
          <w:sz w:val="24"/>
          <w:szCs w:val="24"/>
        </w:rPr>
        <w:tab/>
      </w:r>
      <w:r w:rsidRPr="00EA1EDD">
        <w:rPr>
          <w:rFonts w:ascii="Times New Roman" w:eastAsia="Times New Roman" w:hAnsi="Times New Roman" w:cs="Times New Roman"/>
          <w:sz w:val="24"/>
          <w:szCs w:val="24"/>
        </w:rPr>
        <w:t>The rapid deployment of digital surveillance technologies during the COVID-19 pandemic brought urgent ethical concerns to the forefront, particularly regarding the balance between public health protection and individual civil liberties. Although these technologies were instrumental in tracking virus transmission, predicting outbreaks, and guiding public health interventions, they also introduced significant risks related to personal privacy, informed consent, and social trust</w:t>
      </w:r>
      <w:r w:rsidR="00CE3FFF" w:rsidRPr="00EA1EDD">
        <w:rPr>
          <w:rFonts w:ascii="Times New Roman" w:eastAsia="Times New Roman" w:hAnsi="Times New Roman" w:cs="Times New Roman"/>
          <w:sz w:val="24"/>
          <w:szCs w:val="24"/>
        </w:rPr>
        <w:fldChar w:fldCharType="begin"/>
      </w:r>
      <w:r w:rsidR="001D5347">
        <w:rPr>
          <w:rFonts w:ascii="Times New Roman" w:eastAsia="Times New Roman" w:hAnsi="Times New Roman" w:cs="Times New Roman"/>
          <w:sz w:val="24"/>
          <w:szCs w:val="24"/>
        </w:rPr>
        <w:instrText xml:space="preserve"> ADDIN ZOTERO_ITEM CSL_CITATION {"citationID":"aF8UMAnp","properties":{"formattedCitation":"[30]","plainCitation":"[30]","noteIndex":0},"citationItems":[{"id":4339,"uris":["http://zotero.org/users/16652950/items/AB7VU6V5"],"itemData":{"id":4339,"type":"article-journal","abstract":"Throughout the COVID-19 pandemic, a variety of digital technologies have been\nleveraged for public health surveillance worldwide. However, concerns remain\naround the rapid development and deployment of digital technologies, how these\ntechnologies have been used, and their efficacy in supporting public health\ngoals. Following the five-stage scoping review framework, we conducted a scoping\nreview of the peer-reviewed and grey literature to identify the types and nature\nof digital technologies used for surveillance during the COVID-19 pandemic and\nthe success of these measures. We conducted a search of the peer-reviewed and\ngrey literature published between 1 December 2019 and 31 December 2020 to\nprovide a snapshot of questions, concerns, discussions, and findings emerging at\nthis pivotal time. A total of 147 peer-reviewed and 79 grey literature\npublications reporting on digital technology use for surveillance across 90\ncountries and regions were retained for analysis. The most frequently used\ntechnologies included mobile phone devices and applications, location tracking\ntechnologies, drones, temperature scanning technologies, and wearable devices.\nThe utility of digital technologies for public health surveillance was impacted\nby factors including uptake of digital technologies across targeted populations,\ntechnological capacity and errors, scope, validity and accuracy of data, guiding\nlegal frameworks, and infrastructure to support technology use. Our findings\nraise important questions around the value of digital surveillance for public\nhealth and how to ensure successful use of technologies while mitigating\npotential harms not only in the context of the COVID-19 pandemic, but also\nduring other infectious disease outbreaks, epidemics, and pandemics.","container-title":"Digital Health","DOI":"10.1177/20552076231173220","ISSN":"2055-2076","journalAbbreviation":"Digit Health","note":"PMID: 37214658\nPMCID: PMC10196539","page":"20552076231173220","source":"PubMed Central","title":"Use of digital technologies for public health surveillance during the COVID-19 pandemic: A scoping review","title-short":"Use of digital technologies for public health surveillance during the COVID-19 pandemic","volume":"9","author":[{"family":"Donelle","given":"Lorie"},{"family":"Comer","given":"Leigha"},{"family":"Hiebert","given":"Brad"},{"family":"Hall","given":"Jodi"},{"family":"Shelley","given":"Jacob J."},{"family":"Smith","given":"Maxwell J."},{"family":"Kothari","given":"Anita"},{"family":"Burkell","given":"Jacquelyn"},{"family":"Stranges","given":"Saverio"},{"family":"Cooke","given":"Tommy"},{"family":"Shelley","given":"James M."},{"family":"Gilliland","given":"Jason"},{"family":"Ngole","given":"Marionette"},{"family":"Facca","given":"Danica"}],"issued":{"date-parts":[["2023",5,17]]}}}],"schema":"https://github.com/citation-style-language/schema/raw/master/csl-citation.json"} </w:instrText>
      </w:r>
      <w:r w:rsidR="00CE3FFF" w:rsidRPr="00EA1EDD">
        <w:rPr>
          <w:rFonts w:ascii="Times New Roman" w:eastAsia="Times New Roman" w:hAnsi="Times New Roman" w:cs="Times New Roman"/>
          <w:sz w:val="24"/>
          <w:szCs w:val="24"/>
        </w:rPr>
        <w:fldChar w:fldCharType="separate"/>
      </w:r>
      <w:r w:rsidR="001D5347" w:rsidRPr="001D5347">
        <w:rPr>
          <w:rFonts w:ascii="Times New Roman" w:hAnsi="Times New Roman" w:cs="Times New Roman"/>
          <w:sz w:val="24"/>
        </w:rPr>
        <w:t>[30]</w:t>
      </w:r>
      <w:r w:rsidR="00CE3FFF"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 xml:space="preserve">. The global experience emphasized a critical truth: technological </w:t>
      </w:r>
      <w:r w:rsidRPr="00EA1EDD">
        <w:rPr>
          <w:rFonts w:ascii="Times New Roman" w:eastAsia="Times New Roman" w:hAnsi="Times New Roman" w:cs="Times New Roman"/>
          <w:sz w:val="24"/>
          <w:szCs w:val="24"/>
        </w:rPr>
        <w:lastRenderedPageBreak/>
        <w:t>effectiveness alone is insufficient. For surveillance systems to succeed, they must also be ethically sound and socially legitimate</w:t>
      </w:r>
      <w:r w:rsidR="00CE3FFF" w:rsidRPr="00EA1EDD">
        <w:rPr>
          <w:rFonts w:ascii="Times New Roman" w:eastAsia="Times New Roman" w:hAnsi="Times New Roman" w:cs="Times New Roman"/>
          <w:sz w:val="24"/>
          <w:szCs w:val="24"/>
        </w:rPr>
        <w:fldChar w:fldCharType="begin"/>
      </w:r>
      <w:r w:rsidR="001D5347">
        <w:rPr>
          <w:rFonts w:ascii="Times New Roman" w:eastAsia="Times New Roman" w:hAnsi="Times New Roman" w:cs="Times New Roman"/>
          <w:sz w:val="24"/>
          <w:szCs w:val="24"/>
        </w:rPr>
        <w:instrText xml:space="preserve"> ADDIN ZOTERO_ITEM CSL_CITATION {"citationID":"kCPmjUQ7","properties":{"formattedCitation":"[31]","plainCitation":"[31]","noteIndex":0},"citationItems":[{"id":3124,"uris":["http://zotero.org/users/16652950/items/JYB3GDYV"],"itemData":{"id":3124,"type":"article-journal","abstract":"The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Biotechnology","DOI":"10.56557/ajmab/2025/v10i19371","ISSN":"2456-8341","issue":"1","language":"en","page":"147-163","source":"ikprress.org","title":"Integrating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 E."},{"family":"Orobator","given":"Enibokun Theresa"}],"issued":{"date-parts":[["2025",5,28]]}}}],"schema":"https://github.com/citation-style-language/schema/raw/master/csl-citation.json"} </w:instrText>
      </w:r>
      <w:r w:rsidR="00CE3FFF" w:rsidRPr="00EA1EDD">
        <w:rPr>
          <w:rFonts w:ascii="Times New Roman" w:eastAsia="Times New Roman" w:hAnsi="Times New Roman" w:cs="Times New Roman"/>
          <w:sz w:val="24"/>
          <w:szCs w:val="24"/>
        </w:rPr>
        <w:fldChar w:fldCharType="separate"/>
      </w:r>
      <w:r w:rsidR="001D5347" w:rsidRPr="001D5347">
        <w:rPr>
          <w:rFonts w:ascii="Times New Roman" w:hAnsi="Times New Roman" w:cs="Times New Roman"/>
          <w:sz w:val="24"/>
        </w:rPr>
        <w:t>[31]</w:t>
      </w:r>
      <w:r w:rsidR="00CE3FFF"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71530B80" w14:textId="65B0F64C" w:rsidR="003768A0" w:rsidRPr="00EA1EDD" w:rsidRDefault="003768A0" w:rsidP="003768A0">
      <w:pPr>
        <w:spacing w:before="100" w:beforeAutospacing="1" w:after="100" w:afterAutospacing="1" w:line="360" w:lineRule="auto"/>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At the core of these concerns lies a fundamental tension between public safety and personal privacy</w:t>
      </w:r>
      <w:r w:rsidR="00CE3FFF" w:rsidRPr="00EA1EDD">
        <w:rPr>
          <w:rFonts w:ascii="Times New Roman" w:eastAsia="Times New Roman" w:hAnsi="Times New Roman" w:cs="Times New Roman"/>
          <w:sz w:val="24"/>
          <w:szCs w:val="24"/>
        </w:rPr>
        <w:fldChar w:fldCharType="begin"/>
      </w:r>
      <w:r w:rsidR="001D5347">
        <w:rPr>
          <w:rFonts w:ascii="Times New Roman" w:eastAsia="Times New Roman" w:hAnsi="Times New Roman" w:cs="Times New Roman"/>
          <w:sz w:val="24"/>
          <w:szCs w:val="24"/>
        </w:rPr>
        <w:instrText xml:space="preserve"> ADDIN ZOTERO_ITEM CSL_CITATION {"citationID":"jYBGdGy6","properties":{"formattedCitation":"[32]","plainCitation":"[32]","noteIndex":0},"citationItems":[{"id":4342,"uris":["http://zotero.org/users/16652950/items/9Q6DP5DP"],"itemData":{"id":4342,"type":"article-journal","abstract":"The global and national response to the COVID-19 pandemic has been inadequate due to a collective lack of preparation and a shortage of available tools for responding to a large-scale pandemic. By applying lessons learned to create better preventative methods and speedier interventions, the harm of a future pandemic may be dramatically reduced. One potential measure is the widespread use of contact tracing apps. While such apps were designed to combat the COVID-19 pandemic, the time scale in which these apps were deployed proved a significant barrier to efficacy. Many companies and governments sprinted to deploy contact tracing apps that were not properly vetted for performance, privacy, or security issues. The hasty development of incomplete contact tracing apps undermined public trust and negatively influenced perceptions of app efficacy. As a result, many of these apps had poor voluntary public uptake, which greatly decreased the apps’ efficacy. Now, with lessons learned from this pandemic, groups can better design and test apps in preparation for the future. In this viewpoint, we outline common strategies employed for contact tracing apps, detail the successes and shortcomings of several prominent apps, and describe lessons learned that may be used to shape effective contact tracing apps for the present and future. Future app designers can keep these lessons in mind to create a version that is suitable for their local culture, especially with regard to local attitudes toward privacy-utility tradeoffs during public health crises.","container-title":"JMIR Medical Informatics","DOI":"10.2196/27449","ISSN":"2291-9694","issue":"7","journalAbbreviation":"JMIR Med Inform","note":"PMID: 34254937\nPMCID: PMC8291141","page":"e27449","source":"PubMed Central","title":"Contact Tracing Apps: Lessons Learned on Privacy, Autonomy, and the Need for Detailed and Thoughtful Implementation","title-short":"Contact Tracing Apps","volume":"9","author":[{"family":"Hogan","given":"Katie"},{"family":"Macedo","given":"Briana"},{"family":"Macha","given":"Venkata"},{"family":"Barman","given":"Arko"},{"family":"Jiang","given":"Xiaoqian"}],"issued":{"date-parts":[["2021",7,19]]}}}],"schema":"https://github.com/citation-style-language/schema/raw/master/csl-citation.json"} </w:instrText>
      </w:r>
      <w:r w:rsidR="00CE3FFF" w:rsidRPr="00EA1EDD">
        <w:rPr>
          <w:rFonts w:ascii="Times New Roman" w:eastAsia="Times New Roman" w:hAnsi="Times New Roman" w:cs="Times New Roman"/>
          <w:sz w:val="24"/>
          <w:szCs w:val="24"/>
        </w:rPr>
        <w:fldChar w:fldCharType="separate"/>
      </w:r>
      <w:r w:rsidR="001D5347" w:rsidRPr="001D5347">
        <w:rPr>
          <w:rFonts w:ascii="Times New Roman" w:hAnsi="Times New Roman" w:cs="Times New Roman"/>
          <w:sz w:val="24"/>
        </w:rPr>
        <w:t>[32]</w:t>
      </w:r>
      <w:r w:rsidR="00CE3FFF"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 Tools such as contact tracing applications, digital quarantine enforcement systems, and geolocation tracking mechanisms enabled rapid identification of transmission networks. However, they often required the collection of sensitive data, including users’ locations, proximity histories, and health statuses</w:t>
      </w:r>
      <w:r w:rsidR="00CE3FFF" w:rsidRPr="00EA1EDD">
        <w:rPr>
          <w:rFonts w:ascii="Times New Roman" w:eastAsia="Times New Roman" w:hAnsi="Times New Roman" w:cs="Times New Roman"/>
          <w:sz w:val="24"/>
          <w:szCs w:val="24"/>
        </w:rPr>
        <w:fldChar w:fldCharType="begin"/>
      </w:r>
      <w:r w:rsidR="001D5347">
        <w:rPr>
          <w:rFonts w:ascii="Times New Roman" w:eastAsia="Times New Roman" w:hAnsi="Times New Roman" w:cs="Times New Roman"/>
          <w:sz w:val="24"/>
          <w:szCs w:val="24"/>
        </w:rPr>
        <w:instrText xml:space="preserve"> ADDIN ZOTERO_ITEM CSL_CITATION {"citationID":"qZHPbJtr","properties":{"formattedCitation":"[33]","plainCitation":"[33]","noteIndex":0},"citationItems":[{"id":2027,"uris":["http://zotero.org/users/16652950/items/KK6IBIRA"],"itemData":{"id":2027,"type":"article-journal","abstract":"Nigeria faces a critical public health challenge due to widespread antibiotic misuse, driven by misinformation and inadequate digital health literacy. The proliferation of social media platforms, online health forums, and unregulated digital pharmacies has created an environment where inaccurate health information spreads rapidly, leading to dangerous self-medication practices. Many Nigerians struggle to differentiate between credible medical sources and misleading online content, particularly regarding antibiotic use for viral infections. While digital platforms contribute to misinformation, they also present opportunities for effective health education when properly regulated. Mobile health applications, e-pharmacies, and social media channels can serve as valuable tools for promoting responsible antibiotic use. National eHealth initiatives, partnerships with social media companies, healthcare professional engagement, and culturally adapted education programs offer promising strategies to enhance digital health literacy. However, significant barriers persist, including limited internet access, language diversity, economic constraints, and distrust in formal healthcare systems. It is essential to overcome these challenges through policy reforms, digital inclusion programs, and educational curricula. Strengthening digital health literacy empowers individuals to evaluate online health information critically, reduce antibiotic misuse, and mitigate the growing threat of antimicrobial resistance in Nigeria","container-title":"Journal of Pharma Insights and Research","DOI":"10.69613/dja1jc18","ISSN":"3048-5428","issue":"2","language":"en","license":"Copyright (c) 2025 Journal of Pharma Insights and Research","note":"number: 2","page":"258-269","source":"jopir.in","title":"A Review on Usage of Digital Health Literacy to Combat Antibiotic Misuse and Misinformation in Nigeria: Review Article","title-short":"A Review on Usage of Digital Health Literacy to Combat Antibiotic Misuse and Misinformation in Nigeria","volume":"3","author":[{"family":"Lawal","given":"Olabisi"},{"family":"Oyebamiji","given":"Hafeez Olayiwola"},{"family":"Kelenna","given":"Iregbu John"},{"family":"Chioma","given":"Felix Jessica"},{"family":"Oyefeso","given":"Elizabeth"},{"family":"Adeyemi","given":"Bankole Israel"},{"family":"Foster-Pagaebi","given":"Evelyn"},{"family":"Moses","given":"Emmanuel Fidelix"}],"issued":{"date-parts":[["2025",4,5]]}}}],"schema":"https://github.com/citation-style-language/schema/raw/master/csl-citation.json"} </w:instrText>
      </w:r>
      <w:r w:rsidR="00CE3FFF" w:rsidRPr="00EA1EDD">
        <w:rPr>
          <w:rFonts w:ascii="Times New Roman" w:eastAsia="Times New Roman" w:hAnsi="Times New Roman" w:cs="Times New Roman"/>
          <w:sz w:val="24"/>
          <w:szCs w:val="24"/>
        </w:rPr>
        <w:fldChar w:fldCharType="separate"/>
      </w:r>
      <w:r w:rsidR="001D5347" w:rsidRPr="001D5347">
        <w:rPr>
          <w:rFonts w:ascii="Times New Roman" w:hAnsi="Times New Roman" w:cs="Times New Roman"/>
          <w:sz w:val="24"/>
        </w:rPr>
        <w:t>[33]</w:t>
      </w:r>
      <w:r w:rsidR="00CE3FFF"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 In many countries, these surveillance mechanisms were implemented under emergency legislation with limited public oversight or predefined expiration timelines. The extension of such powers beyond the immediate crisis raised serious concerns about the normalization of intrusive surveillance and the potential for unintended long-term uses</w:t>
      </w:r>
      <w:r w:rsidR="00F05330" w:rsidRPr="00EA1EDD">
        <w:rPr>
          <w:rFonts w:ascii="Times New Roman" w:eastAsia="Times New Roman" w:hAnsi="Times New Roman" w:cs="Times New Roman"/>
          <w:sz w:val="24"/>
          <w:szCs w:val="24"/>
        </w:rPr>
        <w:fldChar w:fldCharType="begin"/>
      </w:r>
      <w:r w:rsidR="001D5347">
        <w:rPr>
          <w:rFonts w:ascii="Times New Roman" w:eastAsia="Times New Roman" w:hAnsi="Times New Roman" w:cs="Times New Roman"/>
          <w:sz w:val="24"/>
          <w:szCs w:val="24"/>
        </w:rPr>
        <w:instrText xml:space="preserve"> ADDIN ZOTERO_ITEM CSL_CITATION {"citationID":"wULyIf6l","properties":{"formattedCitation":"[34]","plainCitation":"[34]","noteIndex":0},"citationItems":[{"id":4111,"uris":["http://zotero.org/users/16652950/items/EKQBK8HZ"],"itemData":{"id":4111,"type":"article-journal","abstract":"Clonal hematopoiesis (CH) serves as a molecular connection between aging and pathological conditions, particularly cardiovascular diseases and hematologic malignancies. Recent progress in genetic sequencing have identified somatic mutations in genes such as TET2, DNMT3A, and JAK2 that drive clonal expansion of hematopoietic stem cells, leading to various systemic effects. These mutations, often termed clonal hematopoiesis of indeterminate potential (CHIP), occur in approximately 10-20% of individuals over 70 years old and significantly impact cardiovascular health through enhanced inflammation and atherosclerosis. Additionally, CHIP mutations serve as precursors to hematologic malignancies, with annual progression rates of 1-2% to conditions such as acute myeloid leukemia and myelodysplastic syndromes. Large cohort studies and animal models have demonstrated that specific mutations in epigenetic regulators and signaling molecules contribute to both cardiovascular pathology and malignant transformation. The relationship between aging, CHIP mutations, and disease progression presents opportunities for novel therapeutic techniques, including targeted anti-inflammatory strategies and epigenetic modulators. These findings have significant implications for risk stratification and early intervention in aging populations, potentially revolutionizing preventive medicine approaches for age-related diseases. Integration of CH screening into clinical practice may enable personalized risk assessment and guide therapeutic decisions, though challenges remain in standardizing detection methods and determining optimal intervention techniques","container-title":"Journal of Pharma Insights and Research","DOI":"10.69613/gexxbw35","ISSN":"3048-5428","issue":"2","language":"en","license":"Copyright (c) 2025 Journal of Pharma Insights and Research","note":"number: 2","page":"358-372","source":"jopir.in","title":"Molecular Mechanisms of Clonal Hematopoiesis in Age-Related Cardiovascular Disease and Hematologic Malignancies: Review Article","title-short":"Molecular Mechanisms of Clonal Hematopoiesis in Age-Related Cardiovascular Disease and Hematologic Malignancies","volume":"3","author":[{"family":"Onwuemelem","given":"Lydia Amarachi"},{"family":"Orobator","given":"Enibokun Theresa"},{"family":"Onyedum","given":"Nwamaka Nneka"},{"family":"Chibueze","given":"Eze Samson"},{"family":"Kanu","given":"Ikechukwu"},{"family":"Christopher","given":"Adegbesan Abiodun"},{"family":"Lawal","given":"Olabisi"},{"family":"Ben-Anioke","given":"Blessing"}],"issued":{"date-parts":[["2025",4,5]]}}}],"schema":"https://github.com/citation-style-language/schema/raw/master/csl-citation.json"} </w:instrText>
      </w:r>
      <w:r w:rsidR="00F05330" w:rsidRPr="00EA1EDD">
        <w:rPr>
          <w:rFonts w:ascii="Times New Roman" w:eastAsia="Times New Roman" w:hAnsi="Times New Roman" w:cs="Times New Roman"/>
          <w:sz w:val="24"/>
          <w:szCs w:val="24"/>
        </w:rPr>
        <w:fldChar w:fldCharType="separate"/>
      </w:r>
      <w:r w:rsidR="001D5347" w:rsidRPr="001D5347">
        <w:rPr>
          <w:rFonts w:ascii="Times New Roman" w:hAnsi="Times New Roman" w:cs="Times New Roman"/>
          <w:sz w:val="24"/>
        </w:rPr>
        <w:t>[34]</w:t>
      </w:r>
      <w:r w:rsidR="00F05330"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 Additionally, Design differences in digital surveillance technologies reflected broader variations in national approaches to privacy governance. Some countries, including Singapore and South Korea, adopted centralized systems where personally identifiable information was stored and managed by state agencies. Others, such as Germany and Switzerland, opted for decentralized models that used the Google-Apple Exposure Notification (GAEN) framework, which emphasized anonymity and local data storage. These architectural choices had significant implications for public trust and adoption. In contexts where governments provided clear communication, involved civil society stakeholders, and implemented safeguards for data use, public acceptance was generally higher</w:t>
      </w:r>
      <w:r w:rsidR="00CE3FFF" w:rsidRPr="00EA1EDD">
        <w:rPr>
          <w:rFonts w:ascii="Times New Roman" w:eastAsia="Times New Roman" w:hAnsi="Times New Roman" w:cs="Times New Roman"/>
          <w:sz w:val="24"/>
          <w:szCs w:val="24"/>
        </w:rPr>
        <w:fldChar w:fldCharType="begin"/>
      </w:r>
      <w:r w:rsidR="001D5347">
        <w:rPr>
          <w:rFonts w:ascii="Times New Roman" w:eastAsia="Times New Roman" w:hAnsi="Times New Roman" w:cs="Times New Roman"/>
          <w:sz w:val="24"/>
          <w:szCs w:val="24"/>
        </w:rPr>
        <w:instrText xml:space="preserve"> ADDIN ZOTERO_ITEM CSL_CITATION {"citationID":"NskQeOUS","properties":{"formattedCitation":"[35]","plainCitation":"[35]","noteIndex":0},"citationItems":[{"id":4345,"uris":["http://zotero.org/users/16652950/items/R2PCDRT2"],"itemData":{"id":4345,"type":"article-journal","abstract":"Background\nSmartphone-based apps designed and deployed to mitigate the COVID-19 pandemic may become infrastructure for postpandemic public health surveillance in the United States. Through the lenses of privacy concerns and user expectations of digital pandemic mitigation techniques, we identified possible long-term sociotechnical implications of such an infrastructure.\n\nObjective\nWe explored how people in the United States perceive the possible routinization of pandemic tracking apps for public health surveillance in general. Our interdisciplinary analysis focused on the interplay between privacy concerns, data practices of surveillance capitalism, and trust in health care providers. We conducted this analysis to achieve a richer understanding of the sociotechnical issues raised by the deployment and use of technology for pandemic mitigation.\n\nMethods\nWe conducted scenario-based, semistructured interviews (n=19) with adults in the United States. The interviews focused on how people perceive the short- and long-term privacy concerns associated with a fictional smart thermometer app deployed to mitigate the “outbreak of a contagious disease.” In order to elicit future-oriented discussions, the scenario indicated that the app would continue functioning “after the disease outbreak has dissipated.” We analyzed interview transcripts using reflexive thematic analysis.\n\nResults\nIn the context of pandemic mitigation technology, including app-based tracking, people perceive a core trade-off between public health and personal privacy. People tend to rationalize this trade-off by invoking the concept of “the greater good.” The interplay between the trade-off and rationalization forms the core of sociotechnical issues that pandemic mitigation technologies raise. Participants routinely expected that data collected through apps related to public health would be shared with unknown third parties for the financial gain of the app makers. This expectation suggests a perceived alignment between an app-based infrastructure for public health surveillance and the broader economics of surveillance capitalism. Our results highlight unintended and unexpected sociotechnical impacts of routinizing app-based tracking on postpandemic life, which are rationalized by invoking a nebulous concept of the greater good.\n\nConclusions\nWhile technologies such as app-based tracking could be useful for pandemic mitigation and preparedness, the routinization of such apps as a form of public health surveillance may have broader, unintentional sociotechnical implications for individuals and the societies in which they live. Although technology has the potential to increase the efficacy of pandemic mitigation, it exists within a broader network of sociotechnical concerns. Therefore, it is necessary to consider the long-term implications of pandemic mitigation technologies beyond the immediate needs of addressing the COVID-19 pandemic. Potential negative consequences include the erosion of patient trust in health care systems and providers, grounded in concerns about privacy violations and overly broad surveillance.","container-title":"JMIR mHealth and uHealth","DOI":"10.2196/30871","ISSN":"2291-5222","issue":"10","journalAbbreviation":"JMIR Mhealth Uhealth","note":"PMID: 34519667\nPMCID: PMC8494069","page":"e30871","source":"PubMed Central","title":"Post-COVID Public Health Surveillance and Privacy Expectations in the United States: Scenario-Based Interview Study","title-short":"Post-COVID Public Health Surveillance and Privacy Expectations in the United States","volume":"9","author":[{"family":"Seberger","given":"John S"},{"family":"Patil","given":"Sameer"}],"issued":{"date-parts":[["2021",10,5]]}}}],"schema":"https://github.com/citation-style-language/schema/raw/master/csl-citation.json"} </w:instrText>
      </w:r>
      <w:r w:rsidR="00CE3FFF" w:rsidRPr="00EA1EDD">
        <w:rPr>
          <w:rFonts w:ascii="Times New Roman" w:eastAsia="Times New Roman" w:hAnsi="Times New Roman" w:cs="Times New Roman"/>
          <w:sz w:val="24"/>
          <w:szCs w:val="24"/>
        </w:rPr>
        <w:fldChar w:fldCharType="separate"/>
      </w:r>
      <w:r w:rsidR="001D5347" w:rsidRPr="001D5347">
        <w:rPr>
          <w:rFonts w:ascii="Times New Roman" w:hAnsi="Times New Roman" w:cs="Times New Roman"/>
          <w:sz w:val="24"/>
        </w:rPr>
        <w:t>[35]</w:t>
      </w:r>
      <w:r w:rsidR="00CE3FFF"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251E8BB8" w14:textId="78D41257" w:rsidR="009A41C3" w:rsidRDefault="003768A0" w:rsidP="009A41C3">
      <w:pPr>
        <w:pStyle w:val="NormalWeb"/>
      </w:pPr>
      <w:r w:rsidRPr="00EA1EDD">
        <w:t xml:space="preserve"> </w:t>
      </w:r>
      <w:r w:rsidRPr="00EA1EDD">
        <w:tab/>
        <w:t>Ethical surveillance requires more than minimal compliance with data protection laws. It must be guided by principles of transparency, proportionality, data minimization, and purpose limitation. Individuals should be clearly informed about the nature of the data being collected, the purposes of its use, the entities with access to it, and the duration of its retention. Data collection should be limited to what is strictly necessary for legitimate public health objectives, and any secondary use—such as for policing or commercial purposes—should only occur with explicit justification and public consent</w:t>
      </w:r>
      <w:r w:rsidR="0072225B" w:rsidRPr="00EA1EDD">
        <w:fldChar w:fldCharType="begin"/>
      </w:r>
      <w:r w:rsidR="001D5347">
        <w:instrText xml:space="preserve"> ADDIN ZOTERO_ITEM CSL_CITATION {"citationID":"xDlaRcbF","properties":{"formattedCitation":"[36,37]","plainCitation":"[36,37]","noteIndex":0},"citationItems":[{"id":4348,"uris":["http://zotero.org/users/16652950/items/7HYCG6PJ"],"itemData":{"id":4348,"type":"article-journal","abstract":"Facial recognition technology (FRT) has emerged as a powerful tool for public governance and security, but its rapid adoption has also raised significant concerns about privacy, civil liberties, and ethical implications. This paper critically examines the current rules and policies governing FRT, highlighting the tensions between state and corporate interests on one hand, and individual rights and ethical considerations on the other. The study also investigates international legal frameworks aimed at protecting individual rights and privacy, arguing that current legislative measures often fall short of robust scholarly standards and international human rights norms. The paper concludes with recommendations for developing principled and adaptable governance frameworks that harness the benefits of FRT while mitigating its risks and negative impacts, underscoring the importance of placing human rights and ethics at the center of regulating this transformative technology.","container-title":"Frontiers in Big Data","DOI":"10.3389/fdata.2024.1337465","ISSN":"2624-909X","journalAbbreviation":"Front Big Data","note":"PMID: 39027377\nPMCID: PMC11256005","page":"1337465","source":"PubMed Central","title":"Beyond surveillance: privacy, ethics, and regulations in face recognition technology","title-short":"Beyond surveillance","volume":"7","author":[{"family":"Wang","given":"Xukang"},{"family":"Wu","given":"Ying Cheng"},{"family":"Zhou","given":"Mengjie"},{"family":"Fu","given":"Hongpeng"}],"issued":{"date-parts":[["2024",7,3]]}}},{"id":4356,"uris":["http://zotero.org/users/16652950/items/CFJ5MJ3G"],"itemData":{"id":4356,"type":"article-journal","abstract":"Aims Nigeria's rapidly aging population presents urgent challenges for the healthcare system, particularly in oral health, which remains an overlooked aspect of well-being. While older adults are especially vulnerable to dental issues such as tooth loss, periodontal disease, and oral pain, access to care remains limited due to systemic, economic, and cultural barriers. This qualitative study explored the lived experiences of older Nigerians in accessing and utilizing dental care, with the goal of identifying key barriers, facilitators, and policy-relevant insights. Methods Fifteen participants aged 50–83 years were purposively selected from urban and peri-urban areas of Ilorin, North-Central Nigeria. Using a semi-structured interview guide, data were collected through face-to-face interviews and analyzed thematically following Braun and Clarke's methodology. Results Three overarching themes emerged: (1) barriers to accessing dental care, including high treatment costs, geographic inaccessibility, mobility challenges, and long waiting times; (2) facilitators of care, such as family support, employment-based insurance, and culturally supportive health beliefs; and (3) perceptions of dental care, with participants recognizing its importance for nutrition, dignity, and overall quality of life. Findings reveal that dental care for older adults in Nigeria is shaped by a combination of structural neglect and individual adaptation. While participants valued preventive care, financial constraints, poor infrastructure, and a lack of geriatric-trained professionals limited consistent access. However, social support networks and respectful provider interactions were critical enablers of care. Conclusions This study points to the need for age-inclusive health policies that integrate dental services into primary healthcare, expand insurance coverage, and strengthen community-based outreach. Addressing these gaps is not only a matter of public health, but of equity, dignity, and the right to age well.","container-title":"Special Care in Dentistry","DOI":"10.1111/scd.70040","ISSN":"1754-4505","issue":"3","language":"en","license":"© 2025 The Author(s). Special Care in Dentistry published by Special Care Dentistry Association and Wiley Periodicals LLC.","note":"_eprint: https://onlinelibrary.wiley.com/doi/pdf/10.1111/scd.70040","page":"e70040","source":"Wiley Online Library","title":"Access to and Utilization of Dental Care Services by Older Adults in Nigeria: Barriers and Facilitators","title-short":"Access to and Utilization of Dental Care Services by Older Adults in Nigeria","volume":"45","author":[{"family":"Folorunsho","given":"Sunkanmi"},{"family":"Ajayi","given":"Victor"},{"family":"Sanmori","given":"Munirat"},{"family":"Suleiman","given":"Medinah"},{"family":"Abdullateef","given":"Raji"},{"family":"Abdulganiyu","given":"Abdulazeez"}],"issued":{"date-parts":[["2025"]]}}}],"schema":"https://github.com/citation-style-language/schema/raw/master/csl-citation.json"} </w:instrText>
      </w:r>
      <w:r w:rsidR="0072225B" w:rsidRPr="00EA1EDD">
        <w:fldChar w:fldCharType="separate"/>
      </w:r>
      <w:r w:rsidR="001D5347" w:rsidRPr="001D5347">
        <w:t>[36,37]</w:t>
      </w:r>
      <w:r w:rsidR="0072225B" w:rsidRPr="00EA1EDD">
        <w:fldChar w:fldCharType="end"/>
      </w:r>
      <w:r w:rsidRPr="00EA1EDD">
        <w:t>.</w:t>
      </w:r>
      <w:r w:rsidR="009A41C3">
        <w:t xml:space="preserve">  </w:t>
      </w:r>
    </w:p>
    <w:p w14:paraId="0590BAAB" w14:textId="04041613" w:rsidR="009A41C3" w:rsidRPr="009A41C3" w:rsidRDefault="009A41C3" w:rsidP="009A41C3">
      <w:pPr>
        <w:pStyle w:val="NormalWeb"/>
      </w:pPr>
      <w:r w:rsidRPr="009A41C3">
        <w:t>In addressing the ethical deployment of digital surveillance tools, it is essential to consider existing data protection frameworks such as the General Data Protection Regulation (GDPR) in the European Union and the Health Insurance Portability and Accountability Act (HIPAA) in the United States. These legal instruments establish critical boundaries for data collection, processing, and sharing, emphasizing principles such as data minimization, user consent, transparency, and accountability</w:t>
      </w:r>
      <w:r>
        <w:fldChar w:fldCharType="begin"/>
      </w:r>
      <w:r w:rsidR="001D5347">
        <w:instrText xml:space="preserve"> ADDIN ZOTERO_ITEM CSL_CITATION {"citationID":"okFxTHju","properties":{"formattedCitation":"[38]","plainCitation":"[38]","noteIndex":0},"citationItems":[{"id":4695,"uris":["http://zotero.org/users/16652950/items/TVRKZCPL"],"itemData":{"id":4695,"type":"article-journal","abstract":"In July 2023, the United States and the European Union introduced the Data Privacy Framework (DPF), introducing the third generation of cross-border data transfer agreements constituting adequacy with respect to personal data transfers under the ...","container-title":"Journal of Law and the Biosciences","DOI":"10.1093/jlb/lsae022","issue":"2","language":"en","note":"PMID: 39346780","page":"lsae022","source":"pmc.ncbi.nlm.nih.gov","title":"The new EU–US data protection framework’s implications for healthcare","volume":"11","author":[{"family":"Tschider","given":"Charlotte"},{"family":"Compagnucci","given":"Marcelo Corrales"},{"family":"Minssen","given":"Timo"}],"issued":{"date-parts":[["2024",9,27]]}}}],"schema":"https://github.com/citation-style-language/schema/raw/master/csl-citation.json"} </w:instrText>
      </w:r>
      <w:r>
        <w:fldChar w:fldCharType="separate"/>
      </w:r>
      <w:r w:rsidR="001D5347" w:rsidRPr="001D5347">
        <w:t>[38]</w:t>
      </w:r>
      <w:r>
        <w:fldChar w:fldCharType="end"/>
      </w:r>
      <w:r w:rsidRPr="009A41C3">
        <w:t xml:space="preserve">. While GDPR mandates strict controls over personal data use with a strong emphasis on user rights, HIPAA regulates the handling of protected health information in healthcare settings. Although designed before the pandemic, both frameworks </w:t>
      </w:r>
      <w:r w:rsidRPr="009A41C3">
        <w:lastRenderedPageBreak/>
        <w:t>have guided national responses and raised questions about how emergency data use can align with long-standing privacy norms. Ensuring that digital public health interventions respect such legal standards is crucial not only for compliance but also for maintaining public trust and ethical legitimacy</w:t>
      </w:r>
      <w:r>
        <w:fldChar w:fldCharType="begin"/>
      </w:r>
      <w:r w:rsidR="001D5347">
        <w:instrText xml:space="preserve"> ADDIN ZOTERO_ITEM CSL_CITATION {"citationID":"nK83Mtq1","properties":{"formattedCitation":"[39]","plainCitation":"[39]","noteIndex":0},"citationItems":[{"id":4698,"uris":["http://zotero.org/users/16652950/items/SM3CRVWR"],"itemData":{"id":4698,"type":"article-journal","abstract":"The National Academy of Medicine has long advocated for a “learning healthcare system” that produces constantly updated reference data during the care process. Moving toward a rapid learning system to solve intractable problems in health demands a balance between protecting patients and making data available to improve health and health care. Public concerns in the U.S. about privacy and the potential for unethical or harmful uses of this data, if not proactively addressed, could upset this balance. New federal laws prioritize sharing health data, including with patient digital tools. U.S. health privacy laws do not cover data collected by many consumer digital technologies and have not been updated to address concerns about the entry of large technology companies into health care. Further, there is increasing recognition that many classes of data not traditionally considered to be healthcare-related, for example consumer credit histories, are indeed predictive of health status and outcomes. We propose a multi-pronged approach to protecting health-relevant data while promoting and supporting beneficial uses and disclosures to improve health and health care for individuals and populations. Such protections should apply to entities collecting health-relevant data regardless of whether they are covered by federal health privacy laws. We focus largely on privacy but also address protections against harms as a critical component of a comprehensive approach to governing health-relevant data. U.S. policymakers and regulators should consider these recommendations in crafting privacy bills and rules. However, our recommendations also can inform best practices even in the absence of new federal requirements.","container-title":"NPJ Digital Medicine","DOI":"10.1038/s41746-020-00362-8","ISSN":"2398-6352","journalAbbreviation":"NPJ Digit Med","note":"PMID: 33398052\nPMCID: PMC7782585","page":"2","source":"PubMed Central","title":"Privacy protections to encourage use of health-relevant digital data in a learning health system","volume":"4","author":[{"family":"McGraw","given":"Deven"},{"family":"Mandl","given":"Kenneth D."}],"issued":{"date-parts":[["2021",1,4]]}}}],"schema":"https://github.com/citation-style-language/schema/raw/master/csl-citation.json"} </w:instrText>
      </w:r>
      <w:r>
        <w:fldChar w:fldCharType="separate"/>
      </w:r>
      <w:r w:rsidR="001D5347" w:rsidRPr="001D5347">
        <w:t>[39]</w:t>
      </w:r>
      <w:r>
        <w:fldChar w:fldCharType="end"/>
      </w:r>
      <w:r w:rsidRPr="009A41C3">
        <w:t>.</w:t>
      </w:r>
    </w:p>
    <w:p w14:paraId="19ED1A39" w14:textId="1F7849BF" w:rsidR="003768A0" w:rsidRPr="00EA1EDD" w:rsidRDefault="003768A0" w:rsidP="003768A0">
      <w:pPr>
        <w:spacing w:before="100" w:beforeAutospacing="1" w:after="100" w:afterAutospacing="1" w:line="360" w:lineRule="auto"/>
        <w:rPr>
          <w:rFonts w:ascii="Times New Roman" w:eastAsia="Times New Roman" w:hAnsi="Times New Roman" w:cs="Times New Roman"/>
          <w:sz w:val="24"/>
          <w:szCs w:val="24"/>
        </w:rPr>
      </w:pPr>
    </w:p>
    <w:p w14:paraId="53A4B549" w14:textId="788606B4" w:rsidR="003768A0" w:rsidRPr="00EA1EDD" w:rsidRDefault="000B0BE8" w:rsidP="00DC2ED7">
      <w:pPr>
        <w:spacing w:before="100" w:beforeAutospacing="1" w:after="100" w:afterAutospacing="1" w:line="360" w:lineRule="auto"/>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r>
      <w:r w:rsidR="003768A0" w:rsidRPr="00EA1EDD">
        <w:rPr>
          <w:rFonts w:ascii="Times New Roman" w:eastAsia="Times New Roman" w:hAnsi="Times New Roman" w:cs="Times New Roman"/>
          <w:sz w:val="24"/>
          <w:szCs w:val="24"/>
        </w:rPr>
        <w:t>Several international frameworks offer valuable guidance for ethical digital health practices. The OECD Principles on Artificial Intelligence, the European Union’s General Data Protection Regulation (GDPR), and the World Health Organization’s Guidance on Ethical Data Use all emphasize key values such as accountability, human rights, and responsible governance by design. Equally important is the incorporation of equity into ethical deliberations</w:t>
      </w:r>
      <w:r w:rsidR="0072225B" w:rsidRPr="00EA1EDD">
        <w:rPr>
          <w:rFonts w:ascii="Times New Roman" w:eastAsia="Times New Roman" w:hAnsi="Times New Roman" w:cs="Times New Roman"/>
          <w:sz w:val="24"/>
          <w:szCs w:val="24"/>
        </w:rPr>
        <w:fldChar w:fldCharType="begin"/>
      </w:r>
      <w:r w:rsidR="001D5347">
        <w:rPr>
          <w:rFonts w:ascii="Times New Roman" w:eastAsia="Times New Roman" w:hAnsi="Times New Roman" w:cs="Times New Roman"/>
          <w:sz w:val="24"/>
          <w:szCs w:val="24"/>
        </w:rPr>
        <w:instrText xml:space="preserve"> ADDIN ZOTERO_ITEM CSL_CITATION {"citationID":"CdLfQC3V","properties":{"formattedCitation":"[40]","plainCitation":"[40]","noteIndex":0},"citationItems":[{"id":4359,"uris":["http://zotero.org/users/16652950/items/27J3KPCZ"],"itemData":{"id":4359,"type":"article-journal","abstract":"AI applications raise complex ethical, legal, and security challenges that demand comprehensive and coordinated governance at multiple levels. In this paper, we examine how key European Union (EU) regulatory frameworks, such as the AI Act, GDPR, and NIS2, interact to set standards for AI security, functionality, and ethical performance. By comparing the objectives and requirements outlined in these regulatory instruments, we identify points of convergence that encourage a holistic approach to creating transparent, accountable, and fair AI systems. This alignment is pivotal for building user trust and mitigating risks associated with data breaches, algorithmic bias, and privacy violations. Moreover, we explore how harmonizing these regulations can maintain the EU’s competitive edge in AI innovation, as clear governance structures help businesses remain agile while protecting consumer interests. Our analysis further addresses the ramifications for global AI governance, emphasizing the significance of a unified, forward-looking strategy to ensure responsible AI development. In doing so, we recommend future harmonization initiatives that promote societal well-being, safeguard human rights, and uphold ethical and technological standards worldwide.","container-title":"AI and Ethics","DOI":"10.1007/s43681-025-00749-x","ISSN":"2730-5961","journalAbbreviation":"AI Ethics","language":"en","source":"Springer Link","title":"Eu regulatory ecosystem for ethical AI","URL":"https://doi.org/10.1007/s43681-025-00749-x","author":[{"family":"Bolgouras","given":"Vaios"},{"family":"Zarras","given":"Apostolis"},{"family":"Leka","given":"Christian"},{"family":"Stylianou","given":"Ioannis"},{"family":"Farao","given":"Aristeidis"},{"family":"Xenakis","given":"Christos"}],"accessed":{"date-parts":[["2025",7,9]]},"issued":{"date-parts":[["2025",6,2]]}}}],"schema":"https://github.com/citation-style-language/schema/raw/master/csl-citation.json"} </w:instrText>
      </w:r>
      <w:r w:rsidR="0072225B" w:rsidRPr="00EA1EDD">
        <w:rPr>
          <w:rFonts w:ascii="Times New Roman" w:eastAsia="Times New Roman" w:hAnsi="Times New Roman" w:cs="Times New Roman"/>
          <w:sz w:val="24"/>
          <w:szCs w:val="24"/>
        </w:rPr>
        <w:fldChar w:fldCharType="separate"/>
      </w:r>
      <w:r w:rsidR="001D5347" w:rsidRPr="001D5347">
        <w:rPr>
          <w:rFonts w:ascii="Times New Roman" w:hAnsi="Times New Roman" w:cs="Times New Roman"/>
          <w:sz w:val="24"/>
        </w:rPr>
        <w:t>[40]</w:t>
      </w:r>
      <w:r w:rsidR="0072225B" w:rsidRPr="00EA1EDD">
        <w:rPr>
          <w:rFonts w:ascii="Times New Roman" w:eastAsia="Times New Roman" w:hAnsi="Times New Roman" w:cs="Times New Roman"/>
          <w:sz w:val="24"/>
          <w:szCs w:val="24"/>
        </w:rPr>
        <w:fldChar w:fldCharType="end"/>
      </w:r>
      <w:r w:rsidR="003768A0" w:rsidRPr="00EA1EDD">
        <w:rPr>
          <w:rFonts w:ascii="Times New Roman" w:eastAsia="Times New Roman" w:hAnsi="Times New Roman" w:cs="Times New Roman"/>
          <w:sz w:val="24"/>
          <w:szCs w:val="24"/>
        </w:rPr>
        <w:t>. Digital tools must be evaluated for their distributional effects, ensuring that marginalized populations are not disproportionately excluded, stigmatized, or misrepresented due to algorithmic bias or data inequities</w:t>
      </w:r>
      <w:r w:rsidR="0072225B" w:rsidRPr="00EA1EDD">
        <w:rPr>
          <w:rFonts w:ascii="Times New Roman" w:eastAsia="Times New Roman" w:hAnsi="Times New Roman" w:cs="Times New Roman"/>
          <w:sz w:val="24"/>
          <w:szCs w:val="24"/>
        </w:rPr>
        <w:fldChar w:fldCharType="begin"/>
      </w:r>
      <w:r w:rsidR="001D5347">
        <w:rPr>
          <w:rFonts w:ascii="Times New Roman" w:eastAsia="Times New Roman" w:hAnsi="Times New Roman" w:cs="Times New Roman"/>
          <w:sz w:val="24"/>
          <w:szCs w:val="24"/>
        </w:rPr>
        <w:instrText xml:space="preserve"> ADDIN ZOTERO_ITEM CSL_CITATION {"citationID":"e8hXksOs","properties":{"formattedCitation":"[33]","plainCitation":"[33]","noteIndex":0},"citationItems":[{"id":2027,"uris":["http://zotero.org/users/16652950/items/KK6IBIRA"],"itemData":{"id":2027,"type":"article-journal","abstract":"Nigeria faces a critical public health challenge due to widespread antibiotic misuse, driven by misinformation and inadequate digital health literacy. The proliferation of social media platforms, online health forums, and unregulated digital pharmacies has created an environment where inaccurate health information spreads rapidly, leading to dangerous self-medication practices. Many Nigerians struggle to differentiate between credible medical sources and misleading online content, particularly regarding antibiotic use for viral infections. While digital platforms contribute to misinformation, they also present opportunities for effective health education when properly regulated. Mobile health applications, e-pharmacies, and social media channels can serve as valuable tools for promoting responsible antibiotic use. National eHealth initiatives, partnerships with social media companies, healthcare professional engagement, and culturally adapted education programs offer promising strategies to enhance digital health literacy. However, significant barriers persist, including limited internet access, language diversity, economic constraints, and distrust in formal healthcare systems. It is essential to overcome these challenges through policy reforms, digital inclusion programs, and educational curricula. Strengthening digital health literacy empowers individuals to evaluate online health information critically, reduce antibiotic misuse, and mitigate the growing threat of antimicrobial resistance in Nigeria","container-title":"Journal of Pharma Insights and Research","DOI":"10.69613/dja1jc18","ISSN":"3048-5428","issue":"2","language":"en","license":"Copyright (c) 2025 Journal of Pharma Insights and Research","note":"number: 2","page":"258-269","source":"jopir.in","title":"A Review on Usage of Digital Health Literacy to Combat Antibiotic Misuse and Misinformation in Nigeria: Review Article","title-short":"A Review on Usage of Digital Health Literacy to Combat Antibiotic Misuse and Misinformation in Nigeria","volume":"3","author":[{"family":"Lawal","given":"Olabisi"},{"family":"Oyebamiji","given":"Hafeez Olayiwola"},{"family":"Kelenna","given":"Iregbu John"},{"family":"Chioma","given":"Felix Jessica"},{"family":"Oyefeso","given":"Elizabeth"},{"family":"Adeyemi","given":"Bankole Israel"},{"family":"Foster-Pagaebi","given":"Evelyn"},{"family":"Moses","given":"Emmanuel Fidelix"}],"issued":{"date-parts":[["2025",4,5]]}}}],"schema":"https://github.com/citation-style-language/schema/raw/master/csl-citation.json"} </w:instrText>
      </w:r>
      <w:r w:rsidR="0072225B" w:rsidRPr="00EA1EDD">
        <w:rPr>
          <w:rFonts w:ascii="Times New Roman" w:eastAsia="Times New Roman" w:hAnsi="Times New Roman" w:cs="Times New Roman"/>
          <w:sz w:val="24"/>
          <w:szCs w:val="24"/>
        </w:rPr>
        <w:fldChar w:fldCharType="separate"/>
      </w:r>
      <w:r w:rsidR="001D5347" w:rsidRPr="001D5347">
        <w:rPr>
          <w:rFonts w:ascii="Times New Roman" w:hAnsi="Times New Roman" w:cs="Times New Roman"/>
          <w:sz w:val="24"/>
        </w:rPr>
        <w:t>[33]</w:t>
      </w:r>
      <w:r w:rsidR="0072225B" w:rsidRPr="00EA1EDD">
        <w:rPr>
          <w:rFonts w:ascii="Times New Roman" w:eastAsia="Times New Roman" w:hAnsi="Times New Roman" w:cs="Times New Roman"/>
          <w:sz w:val="24"/>
          <w:szCs w:val="24"/>
        </w:rPr>
        <w:fldChar w:fldCharType="end"/>
      </w:r>
      <w:r w:rsidR="003768A0" w:rsidRPr="00EA1EDD">
        <w:rPr>
          <w:rFonts w:ascii="Times New Roman" w:eastAsia="Times New Roman" w:hAnsi="Times New Roman" w:cs="Times New Roman"/>
          <w:sz w:val="24"/>
          <w:szCs w:val="24"/>
        </w:rPr>
        <w:t>. Moreover, public trust is not just an ethical ideal; it is a functional necessity for effective surveillance. Systems that are perceived as coercive, opaque, or unaccountable are less likely to garner the public cooperation required for successful implementation. Embedding ethical considerations throughout the full lifecycle of digital surveillance tools—from design and deployment to evaluation and decommissioning—is essential for building lasting public confidence</w:t>
      </w:r>
      <w:r w:rsidR="00252003" w:rsidRPr="00EA1EDD">
        <w:rPr>
          <w:rFonts w:ascii="Times New Roman" w:eastAsia="Times New Roman" w:hAnsi="Times New Roman" w:cs="Times New Roman"/>
          <w:sz w:val="24"/>
          <w:szCs w:val="24"/>
        </w:rPr>
        <w:fldChar w:fldCharType="begin"/>
      </w:r>
      <w:r w:rsidR="001D5347">
        <w:rPr>
          <w:rFonts w:ascii="Times New Roman" w:eastAsia="Times New Roman" w:hAnsi="Times New Roman" w:cs="Times New Roman"/>
          <w:sz w:val="24"/>
          <w:szCs w:val="24"/>
        </w:rPr>
        <w:instrText xml:space="preserve"> ADDIN ZOTERO_ITEM CSL_CITATION {"citationID":"MPHoWh3w","properties":{"formattedCitation":"[41]","plainCitation":"[41]","noteIndex":0},"citationItems":[{"id":4369,"uris":["http://zotero.org/users/16652950/items/8Z3HL76Q"],"itemData":{"id":4369,"type":"article-journal","abstract":"The COVID-19 pandemic has brought the long-standing public health practice of contact tracing into the public spotlight. While contact tracing and case investigation have been carefully designed to protect privacy, the huge volume of tracing which is being carried out as part of the pandemic response in the United States is highlighting potential concerns around privacy, legality, and equity. Contact tracing during the pandemic has gained particular attention for the new use of digital technologies—both on the consumer side in the form of Exposure Notification applications, and for public health agencies as digital case management software systems enable massive scaling of operations. While the consumer application side of digital innovation has dominated the news and academic discourse around privacy, people are likely to interact more intensively with public health agencies and their use of digital case management systems. Effective use of digital case management for contact tracing requires revisiting the existing legal frameworks, privacy protections, and security practices for management of sensitive health data. The scale of these tools and demands of an unprecedented pandemic response are introducing new risks through the collection of huge volumes of data, and expanding requirements for more adept data sharing among jurisdictions. Public health agencies must strengthen their best practices for data collection and protection even in the absence of comprehensive or clear guidance. This requires navigating a difficult balance between rigorous data protection and remaining highly adaptive and agile.","container-title":"Ethics and Information Technology","DOI":"10.1007/s10676-021-09601-2","ISSN":"1388-1957","issue":"4","journalAbbreviation":"Ethics Inf Technol","note":"PMID: 34131391\nPMCID: PMC8192038","page":"855-861","source":"PubMed Central","title":"Digitalization of contact tracing: balancing data privacy with public health benefit","title-short":"Digitalization of contact tracing","volume":"23","author":[{"family":"Wacksman","given":"Jeremy"}],"issued":{"date-parts":[["2021"]]}}}],"schema":"https://github.com/citation-style-language/schema/raw/master/csl-citation.json"} </w:instrText>
      </w:r>
      <w:r w:rsidR="00252003" w:rsidRPr="00EA1EDD">
        <w:rPr>
          <w:rFonts w:ascii="Times New Roman" w:eastAsia="Times New Roman" w:hAnsi="Times New Roman" w:cs="Times New Roman"/>
          <w:sz w:val="24"/>
          <w:szCs w:val="24"/>
        </w:rPr>
        <w:fldChar w:fldCharType="separate"/>
      </w:r>
      <w:r w:rsidR="001D5347" w:rsidRPr="001D5347">
        <w:rPr>
          <w:rFonts w:ascii="Times New Roman" w:hAnsi="Times New Roman" w:cs="Times New Roman"/>
          <w:sz w:val="24"/>
        </w:rPr>
        <w:t>[41]</w:t>
      </w:r>
      <w:r w:rsidR="00252003" w:rsidRPr="00EA1EDD">
        <w:rPr>
          <w:rFonts w:ascii="Times New Roman" w:eastAsia="Times New Roman" w:hAnsi="Times New Roman" w:cs="Times New Roman"/>
          <w:sz w:val="24"/>
          <w:szCs w:val="24"/>
        </w:rPr>
        <w:fldChar w:fldCharType="end"/>
      </w:r>
      <w:r w:rsidR="003768A0" w:rsidRPr="00EA1EDD">
        <w:rPr>
          <w:rFonts w:ascii="Times New Roman" w:eastAsia="Times New Roman" w:hAnsi="Times New Roman" w:cs="Times New Roman"/>
          <w:sz w:val="24"/>
          <w:szCs w:val="24"/>
        </w:rPr>
        <w:t>. This approach will not only enhance pandemic response but also lay the groundwork for resilient and inclusive surveillance systems in the future.</w:t>
      </w:r>
      <w:r w:rsidR="00DC2ED7">
        <w:rPr>
          <w:rFonts w:ascii="Times New Roman" w:eastAsia="Times New Roman" w:hAnsi="Times New Roman" w:cs="Times New Roman"/>
          <w:sz w:val="24"/>
          <w:szCs w:val="24"/>
        </w:rPr>
        <w:t xml:space="preserve"> </w:t>
      </w:r>
      <w:r w:rsidR="003768A0" w:rsidRPr="00EA1EDD">
        <w:rPr>
          <w:rFonts w:ascii="Times New Roman" w:eastAsia="Times New Roman" w:hAnsi="Times New Roman" w:cs="Times New Roman"/>
          <w:sz w:val="24"/>
          <w:szCs w:val="24"/>
        </w:rPr>
        <w:t xml:space="preserve">As illustrated in </w:t>
      </w:r>
      <w:r w:rsidR="00EA1EDD" w:rsidRPr="00EA1EDD">
        <w:rPr>
          <w:rFonts w:ascii="Times New Roman" w:eastAsia="Times New Roman" w:hAnsi="Times New Roman" w:cs="Times New Roman"/>
          <w:sz w:val="24"/>
          <w:szCs w:val="24"/>
        </w:rPr>
        <w:t xml:space="preserve">table </w:t>
      </w:r>
      <w:r w:rsidR="009C687D">
        <w:rPr>
          <w:rFonts w:ascii="Times New Roman" w:eastAsia="Times New Roman" w:hAnsi="Times New Roman" w:cs="Times New Roman"/>
          <w:sz w:val="24"/>
          <w:szCs w:val="24"/>
        </w:rPr>
        <w:t>2</w:t>
      </w:r>
      <w:r w:rsidR="003768A0" w:rsidRPr="00EA1EDD">
        <w:rPr>
          <w:rFonts w:ascii="Times New Roman" w:eastAsia="Times New Roman" w:hAnsi="Times New Roman" w:cs="Times New Roman"/>
          <w:sz w:val="24"/>
          <w:szCs w:val="24"/>
        </w:rPr>
        <w:t>, countries adopted a wide range of privacy models in their digital contact tracing strategies. These models reflect varying degrees of centralized control and individual data sovereignty, underscoring the trade-offs between public health coordination and personal privacy protections.</w:t>
      </w:r>
    </w:p>
    <w:p w14:paraId="7A5201AF" w14:textId="2945B8AD" w:rsidR="00DC2ED7" w:rsidRPr="00DC2ED7" w:rsidRDefault="00DC2ED7" w:rsidP="00DC2ED7">
      <w:pPr>
        <w:spacing w:before="100" w:beforeAutospacing="1" w:after="100" w:afterAutospacing="1" w:line="240" w:lineRule="auto"/>
        <w:rPr>
          <w:rFonts w:ascii="Times New Roman" w:eastAsia="Times New Roman" w:hAnsi="Times New Roman" w:cs="Times New Roman"/>
          <w:sz w:val="24"/>
          <w:szCs w:val="24"/>
        </w:rPr>
      </w:pPr>
      <w:r w:rsidRPr="00DC2ED7">
        <w:rPr>
          <w:rFonts w:ascii="Times New Roman" w:eastAsia="Times New Roman" w:hAnsi="Times New Roman" w:cs="Times New Roman"/>
          <w:b/>
          <w:bCs/>
          <w:sz w:val="24"/>
          <w:szCs w:val="24"/>
        </w:rPr>
        <w:t xml:space="preserve">Table </w:t>
      </w:r>
      <w:r w:rsidR="009C687D">
        <w:rPr>
          <w:rFonts w:ascii="Times New Roman" w:eastAsia="Times New Roman" w:hAnsi="Times New Roman" w:cs="Times New Roman"/>
          <w:b/>
          <w:bCs/>
          <w:sz w:val="24"/>
          <w:szCs w:val="24"/>
        </w:rPr>
        <w:t>2</w:t>
      </w:r>
      <w:r w:rsidRPr="00DC2ED7">
        <w:rPr>
          <w:rFonts w:ascii="Times New Roman" w:eastAsia="Times New Roman" w:hAnsi="Times New Roman" w:cs="Times New Roman"/>
          <w:b/>
          <w:bCs/>
          <w:sz w:val="24"/>
          <w:szCs w:val="24"/>
        </w:rPr>
        <w:t>. Comparative Matrix of Privacy Models in Contact Tracing</w:t>
      </w:r>
      <w:r w:rsidRPr="00DC2ED7">
        <w:rPr>
          <w:rFonts w:ascii="Times New Roman" w:eastAsia="Times New Roman" w:hAnsi="Times New Roman" w:cs="Times New Roman"/>
          <w:sz w:val="24"/>
          <w:szCs w:val="24"/>
        </w:rPr>
        <w:br/>
      </w:r>
      <w:r w:rsidRPr="00DC2ED7">
        <w:rPr>
          <w:rFonts w:ascii="Times New Roman" w:eastAsia="Times New Roman" w:hAnsi="Times New Roman" w:cs="Times New Roman"/>
          <w:i/>
          <w:iCs/>
          <w:sz w:val="24"/>
          <w:szCs w:val="24"/>
        </w:rPr>
        <w:t>A comparative matrix outlining the privacy design choices of four national contact tracing systems—Singapore, South Korea, Germany, and Switzerland—across five key dimensions. Adapted from publicly available national protocols and published analyses, including the MIT Technology Review COVID Tracing Tracker and WHO privacy assessments.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19"/>
        <w:gridCol w:w="1559"/>
        <w:gridCol w:w="1476"/>
        <w:gridCol w:w="1397"/>
        <w:gridCol w:w="1558"/>
        <w:gridCol w:w="2051"/>
      </w:tblGrid>
      <w:tr w:rsidR="00DC2ED7" w:rsidRPr="00DC2ED7" w14:paraId="260C358B" w14:textId="77777777" w:rsidTr="00DC2ED7">
        <w:trPr>
          <w:tblHeader/>
          <w:tblCellSpacing w:w="15" w:type="dxa"/>
        </w:trPr>
        <w:tc>
          <w:tcPr>
            <w:tcW w:w="0" w:type="auto"/>
            <w:vAlign w:val="center"/>
            <w:hideMark/>
          </w:tcPr>
          <w:p w14:paraId="371798A7" w14:textId="77777777" w:rsidR="00DC2ED7" w:rsidRPr="00DC2ED7" w:rsidRDefault="00DC2ED7" w:rsidP="00DC2ED7">
            <w:pPr>
              <w:spacing w:after="0" w:line="240" w:lineRule="auto"/>
              <w:jc w:val="center"/>
              <w:rPr>
                <w:rFonts w:ascii="Times New Roman" w:eastAsia="Times New Roman" w:hAnsi="Times New Roman" w:cs="Times New Roman"/>
                <w:b/>
                <w:bCs/>
                <w:sz w:val="24"/>
                <w:szCs w:val="24"/>
              </w:rPr>
            </w:pPr>
            <w:r w:rsidRPr="00DC2ED7">
              <w:rPr>
                <w:rFonts w:ascii="Times New Roman" w:eastAsia="Times New Roman" w:hAnsi="Times New Roman" w:cs="Times New Roman"/>
                <w:b/>
                <w:bCs/>
                <w:sz w:val="24"/>
                <w:szCs w:val="24"/>
              </w:rPr>
              <w:t>Country</w:t>
            </w:r>
          </w:p>
        </w:tc>
        <w:tc>
          <w:tcPr>
            <w:tcW w:w="0" w:type="auto"/>
            <w:vAlign w:val="center"/>
            <w:hideMark/>
          </w:tcPr>
          <w:p w14:paraId="1F47FEBC" w14:textId="77777777" w:rsidR="00DC2ED7" w:rsidRPr="00DC2ED7" w:rsidRDefault="00DC2ED7" w:rsidP="00DC2ED7">
            <w:pPr>
              <w:spacing w:after="0" w:line="240" w:lineRule="auto"/>
              <w:jc w:val="center"/>
              <w:rPr>
                <w:rFonts w:ascii="Times New Roman" w:eastAsia="Times New Roman" w:hAnsi="Times New Roman" w:cs="Times New Roman"/>
                <w:b/>
                <w:bCs/>
                <w:sz w:val="24"/>
                <w:szCs w:val="24"/>
              </w:rPr>
            </w:pPr>
            <w:r w:rsidRPr="00DC2ED7">
              <w:rPr>
                <w:rFonts w:ascii="Times New Roman" w:eastAsia="Times New Roman" w:hAnsi="Times New Roman" w:cs="Times New Roman"/>
                <w:b/>
                <w:bCs/>
                <w:sz w:val="24"/>
                <w:szCs w:val="24"/>
              </w:rPr>
              <w:t>System Architecture</w:t>
            </w:r>
          </w:p>
        </w:tc>
        <w:tc>
          <w:tcPr>
            <w:tcW w:w="0" w:type="auto"/>
            <w:vAlign w:val="center"/>
            <w:hideMark/>
          </w:tcPr>
          <w:p w14:paraId="28043163" w14:textId="77777777" w:rsidR="00DC2ED7" w:rsidRPr="00DC2ED7" w:rsidRDefault="00DC2ED7" w:rsidP="00DC2ED7">
            <w:pPr>
              <w:spacing w:after="0" w:line="240" w:lineRule="auto"/>
              <w:jc w:val="center"/>
              <w:rPr>
                <w:rFonts w:ascii="Times New Roman" w:eastAsia="Times New Roman" w:hAnsi="Times New Roman" w:cs="Times New Roman"/>
                <w:b/>
                <w:bCs/>
                <w:sz w:val="24"/>
                <w:szCs w:val="24"/>
              </w:rPr>
            </w:pPr>
            <w:r w:rsidRPr="00DC2ED7">
              <w:rPr>
                <w:rFonts w:ascii="Times New Roman" w:eastAsia="Times New Roman" w:hAnsi="Times New Roman" w:cs="Times New Roman"/>
                <w:b/>
                <w:bCs/>
                <w:sz w:val="24"/>
                <w:szCs w:val="24"/>
              </w:rPr>
              <w:t>Data Storage Method</w:t>
            </w:r>
          </w:p>
        </w:tc>
        <w:tc>
          <w:tcPr>
            <w:tcW w:w="0" w:type="auto"/>
            <w:vAlign w:val="center"/>
            <w:hideMark/>
          </w:tcPr>
          <w:p w14:paraId="43E77A8E" w14:textId="77777777" w:rsidR="00DC2ED7" w:rsidRPr="00DC2ED7" w:rsidRDefault="00DC2ED7" w:rsidP="00DC2ED7">
            <w:pPr>
              <w:spacing w:after="0" w:line="240" w:lineRule="auto"/>
              <w:jc w:val="center"/>
              <w:rPr>
                <w:rFonts w:ascii="Times New Roman" w:eastAsia="Times New Roman" w:hAnsi="Times New Roman" w:cs="Times New Roman"/>
                <w:b/>
                <w:bCs/>
                <w:sz w:val="24"/>
                <w:szCs w:val="24"/>
              </w:rPr>
            </w:pPr>
            <w:r w:rsidRPr="00DC2ED7">
              <w:rPr>
                <w:rFonts w:ascii="Times New Roman" w:eastAsia="Times New Roman" w:hAnsi="Times New Roman" w:cs="Times New Roman"/>
                <w:b/>
                <w:bCs/>
                <w:sz w:val="24"/>
                <w:szCs w:val="24"/>
              </w:rPr>
              <w:t>Level of Anonymity</w:t>
            </w:r>
          </w:p>
        </w:tc>
        <w:tc>
          <w:tcPr>
            <w:tcW w:w="0" w:type="auto"/>
            <w:vAlign w:val="center"/>
            <w:hideMark/>
          </w:tcPr>
          <w:p w14:paraId="22558064" w14:textId="77777777" w:rsidR="00DC2ED7" w:rsidRPr="00DC2ED7" w:rsidRDefault="00DC2ED7" w:rsidP="00DC2ED7">
            <w:pPr>
              <w:spacing w:after="0" w:line="240" w:lineRule="auto"/>
              <w:jc w:val="center"/>
              <w:rPr>
                <w:rFonts w:ascii="Times New Roman" w:eastAsia="Times New Roman" w:hAnsi="Times New Roman" w:cs="Times New Roman"/>
                <w:b/>
                <w:bCs/>
                <w:sz w:val="24"/>
                <w:szCs w:val="24"/>
              </w:rPr>
            </w:pPr>
            <w:r w:rsidRPr="00DC2ED7">
              <w:rPr>
                <w:rFonts w:ascii="Times New Roman" w:eastAsia="Times New Roman" w:hAnsi="Times New Roman" w:cs="Times New Roman"/>
                <w:b/>
                <w:bCs/>
                <w:sz w:val="24"/>
                <w:szCs w:val="24"/>
              </w:rPr>
              <w:t>User Consent Mechanism</w:t>
            </w:r>
          </w:p>
        </w:tc>
        <w:tc>
          <w:tcPr>
            <w:tcW w:w="0" w:type="auto"/>
            <w:vAlign w:val="center"/>
            <w:hideMark/>
          </w:tcPr>
          <w:p w14:paraId="452B37E5" w14:textId="77777777" w:rsidR="00DC2ED7" w:rsidRPr="00DC2ED7" w:rsidRDefault="00DC2ED7" w:rsidP="00DC2ED7">
            <w:pPr>
              <w:spacing w:after="0" w:line="240" w:lineRule="auto"/>
              <w:jc w:val="center"/>
              <w:rPr>
                <w:rFonts w:ascii="Times New Roman" w:eastAsia="Times New Roman" w:hAnsi="Times New Roman" w:cs="Times New Roman"/>
                <w:b/>
                <w:bCs/>
                <w:sz w:val="24"/>
                <w:szCs w:val="24"/>
              </w:rPr>
            </w:pPr>
            <w:r w:rsidRPr="00DC2ED7">
              <w:rPr>
                <w:rFonts w:ascii="Times New Roman" w:eastAsia="Times New Roman" w:hAnsi="Times New Roman" w:cs="Times New Roman"/>
                <w:b/>
                <w:bCs/>
                <w:sz w:val="24"/>
                <w:szCs w:val="24"/>
              </w:rPr>
              <w:t>Notes on Privacy Model</w:t>
            </w:r>
          </w:p>
        </w:tc>
      </w:tr>
      <w:tr w:rsidR="00DC2ED7" w:rsidRPr="00DC2ED7" w14:paraId="12E84AE0" w14:textId="77777777" w:rsidTr="00DC2ED7">
        <w:trPr>
          <w:tblCellSpacing w:w="15" w:type="dxa"/>
        </w:trPr>
        <w:tc>
          <w:tcPr>
            <w:tcW w:w="0" w:type="auto"/>
            <w:vAlign w:val="center"/>
            <w:hideMark/>
          </w:tcPr>
          <w:p w14:paraId="3D6ED7CF" w14:textId="77777777" w:rsidR="00DC2ED7" w:rsidRPr="00DC2ED7" w:rsidRDefault="00DC2ED7" w:rsidP="00DC2ED7">
            <w:pPr>
              <w:spacing w:after="0" w:line="240" w:lineRule="auto"/>
              <w:rPr>
                <w:rFonts w:ascii="Times New Roman" w:eastAsia="Times New Roman" w:hAnsi="Times New Roman" w:cs="Times New Roman"/>
                <w:sz w:val="24"/>
                <w:szCs w:val="24"/>
              </w:rPr>
            </w:pPr>
            <w:r w:rsidRPr="00DC2ED7">
              <w:rPr>
                <w:rFonts w:ascii="Times New Roman" w:eastAsia="Times New Roman" w:hAnsi="Times New Roman" w:cs="Times New Roman"/>
                <w:b/>
                <w:bCs/>
                <w:sz w:val="24"/>
                <w:szCs w:val="24"/>
              </w:rPr>
              <w:t>Singapore</w:t>
            </w:r>
          </w:p>
        </w:tc>
        <w:tc>
          <w:tcPr>
            <w:tcW w:w="0" w:type="auto"/>
            <w:vAlign w:val="center"/>
            <w:hideMark/>
          </w:tcPr>
          <w:p w14:paraId="6059F085" w14:textId="77777777" w:rsidR="00DC2ED7" w:rsidRPr="00DC2ED7" w:rsidRDefault="00DC2ED7" w:rsidP="00DC2ED7">
            <w:pPr>
              <w:spacing w:after="0" w:line="240" w:lineRule="auto"/>
              <w:rPr>
                <w:rFonts w:ascii="Times New Roman" w:eastAsia="Times New Roman" w:hAnsi="Times New Roman" w:cs="Times New Roman"/>
                <w:sz w:val="24"/>
                <w:szCs w:val="24"/>
              </w:rPr>
            </w:pPr>
            <w:r w:rsidRPr="00DC2ED7">
              <w:rPr>
                <w:rFonts w:ascii="Times New Roman" w:eastAsia="Times New Roman" w:hAnsi="Times New Roman" w:cs="Times New Roman"/>
                <w:sz w:val="24"/>
                <w:szCs w:val="24"/>
              </w:rPr>
              <w:t>Centralized</w:t>
            </w:r>
          </w:p>
        </w:tc>
        <w:tc>
          <w:tcPr>
            <w:tcW w:w="0" w:type="auto"/>
            <w:vAlign w:val="center"/>
            <w:hideMark/>
          </w:tcPr>
          <w:p w14:paraId="756D13BA" w14:textId="77777777" w:rsidR="00DC2ED7" w:rsidRPr="00DC2ED7" w:rsidRDefault="00DC2ED7" w:rsidP="00DC2ED7">
            <w:pPr>
              <w:spacing w:after="0" w:line="240" w:lineRule="auto"/>
              <w:rPr>
                <w:rFonts w:ascii="Times New Roman" w:eastAsia="Times New Roman" w:hAnsi="Times New Roman" w:cs="Times New Roman"/>
                <w:sz w:val="24"/>
                <w:szCs w:val="24"/>
              </w:rPr>
            </w:pPr>
            <w:r w:rsidRPr="00DC2ED7">
              <w:rPr>
                <w:rFonts w:ascii="Times New Roman" w:eastAsia="Times New Roman" w:hAnsi="Times New Roman" w:cs="Times New Roman"/>
                <w:sz w:val="24"/>
                <w:szCs w:val="24"/>
              </w:rPr>
              <w:t>Government servers</w:t>
            </w:r>
          </w:p>
        </w:tc>
        <w:tc>
          <w:tcPr>
            <w:tcW w:w="0" w:type="auto"/>
            <w:vAlign w:val="center"/>
            <w:hideMark/>
          </w:tcPr>
          <w:p w14:paraId="749AB89C" w14:textId="77777777" w:rsidR="00DC2ED7" w:rsidRPr="00DC2ED7" w:rsidRDefault="00DC2ED7" w:rsidP="00DC2ED7">
            <w:pPr>
              <w:spacing w:after="0" w:line="240" w:lineRule="auto"/>
              <w:rPr>
                <w:rFonts w:ascii="Times New Roman" w:eastAsia="Times New Roman" w:hAnsi="Times New Roman" w:cs="Times New Roman"/>
                <w:sz w:val="24"/>
                <w:szCs w:val="24"/>
              </w:rPr>
            </w:pPr>
            <w:r w:rsidRPr="00DC2ED7">
              <w:rPr>
                <w:rFonts w:ascii="Times New Roman" w:eastAsia="Times New Roman" w:hAnsi="Times New Roman" w:cs="Times New Roman"/>
                <w:sz w:val="24"/>
                <w:szCs w:val="24"/>
              </w:rPr>
              <w:t>Low</w:t>
            </w:r>
          </w:p>
        </w:tc>
        <w:tc>
          <w:tcPr>
            <w:tcW w:w="0" w:type="auto"/>
            <w:vAlign w:val="center"/>
            <w:hideMark/>
          </w:tcPr>
          <w:p w14:paraId="6EA92431" w14:textId="77777777" w:rsidR="00DC2ED7" w:rsidRPr="00DC2ED7" w:rsidRDefault="00DC2ED7" w:rsidP="00DC2ED7">
            <w:pPr>
              <w:spacing w:after="0" w:line="240" w:lineRule="auto"/>
              <w:rPr>
                <w:rFonts w:ascii="Times New Roman" w:eastAsia="Times New Roman" w:hAnsi="Times New Roman" w:cs="Times New Roman"/>
                <w:sz w:val="24"/>
                <w:szCs w:val="24"/>
              </w:rPr>
            </w:pPr>
            <w:r w:rsidRPr="00DC2ED7">
              <w:rPr>
                <w:rFonts w:ascii="Times New Roman" w:eastAsia="Times New Roman" w:hAnsi="Times New Roman" w:cs="Times New Roman"/>
                <w:sz w:val="24"/>
                <w:szCs w:val="24"/>
              </w:rPr>
              <w:t>Mandatory for use</w:t>
            </w:r>
          </w:p>
        </w:tc>
        <w:tc>
          <w:tcPr>
            <w:tcW w:w="0" w:type="auto"/>
            <w:vAlign w:val="center"/>
            <w:hideMark/>
          </w:tcPr>
          <w:p w14:paraId="69DE5ED0" w14:textId="77777777" w:rsidR="00DC2ED7" w:rsidRPr="00DC2ED7" w:rsidRDefault="00DC2ED7" w:rsidP="00DC2ED7">
            <w:pPr>
              <w:spacing w:after="0" w:line="240" w:lineRule="auto"/>
              <w:rPr>
                <w:rFonts w:ascii="Times New Roman" w:eastAsia="Times New Roman" w:hAnsi="Times New Roman" w:cs="Times New Roman"/>
                <w:sz w:val="24"/>
                <w:szCs w:val="24"/>
              </w:rPr>
            </w:pPr>
            <w:r w:rsidRPr="00DC2ED7">
              <w:rPr>
                <w:rFonts w:ascii="Times New Roman" w:eastAsia="Times New Roman" w:hAnsi="Times New Roman" w:cs="Times New Roman"/>
                <w:sz w:val="24"/>
                <w:szCs w:val="24"/>
              </w:rPr>
              <w:t>High efficiency, but limited individual control</w:t>
            </w:r>
          </w:p>
        </w:tc>
      </w:tr>
      <w:tr w:rsidR="00DC2ED7" w:rsidRPr="00DC2ED7" w14:paraId="6B3910ED" w14:textId="77777777" w:rsidTr="00DC2ED7">
        <w:trPr>
          <w:tblCellSpacing w:w="15" w:type="dxa"/>
        </w:trPr>
        <w:tc>
          <w:tcPr>
            <w:tcW w:w="0" w:type="auto"/>
            <w:vAlign w:val="center"/>
            <w:hideMark/>
          </w:tcPr>
          <w:p w14:paraId="748D29C5" w14:textId="77777777" w:rsidR="00DC2ED7" w:rsidRPr="00DC2ED7" w:rsidRDefault="00DC2ED7" w:rsidP="00DC2ED7">
            <w:pPr>
              <w:spacing w:after="0" w:line="240" w:lineRule="auto"/>
              <w:rPr>
                <w:rFonts w:ascii="Times New Roman" w:eastAsia="Times New Roman" w:hAnsi="Times New Roman" w:cs="Times New Roman"/>
                <w:sz w:val="24"/>
                <w:szCs w:val="24"/>
              </w:rPr>
            </w:pPr>
            <w:r w:rsidRPr="00DC2ED7">
              <w:rPr>
                <w:rFonts w:ascii="Times New Roman" w:eastAsia="Times New Roman" w:hAnsi="Times New Roman" w:cs="Times New Roman"/>
                <w:b/>
                <w:bCs/>
                <w:sz w:val="24"/>
                <w:szCs w:val="24"/>
              </w:rPr>
              <w:lastRenderedPageBreak/>
              <w:t>South Korea</w:t>
            </w:r>
          </w:p>
        </w:tc>
        <w:tc>
          <w:tcPr>
            <w:tcW w:w="0" w:type="auto"/>
            <w:vAlign w:val="center"/>
            <w:hideMark/>
          </w:tcPr>
          <w:p w14:paraId="668865D2" w14:textId="77777777" w:rsidR="00DC2ED7" w:rsidRPr="00DC2ED7" w:rsidRDefault="00DC2ED7" w:rsidP="00DC2ED7">
            <w:pPr>
              <w:spacing w:after="0" w:line="240" w:lineRule="auto"/>
              <w:rPr>
                <w:rFonts w:ascii="Times New Roman" w:eastAsia="Times New Roman" w:hAnsi="Times New Roman" w:cs="Times New Roman"/>
                <w:sz w:val="24"/>
                <w:szCs w:val="24"/>
              </w:rPr>
            </w:pPr>
            <w:r w:rsidRPr="00DC2ED7">
              <w:rPr>
                <w:rFonts w:ascii="Times New Roman" w:eastAsia="Times New Roman" w:hAnsi="Times New Roman" w:cs="Times New Roman"/>
                <w:sz w:val="24"/>
                <w:szCs w:val="24"/>
              </w:rPr>
              <w:t>Centralized</w:t>
            </w:r>
          </w:p>
        </w:tc>
        <w:tc>
          <w:tcPr>
            <w:tcW w:w="0" w:type="auto"/>
            <w:vAlign w:val="center"/>
            <w:hideMark/>
          </w:tcPr>
          <w:p w14:paraId="19B721DA" w14:textId="77777777" w:rsidR="00DC2ED7" w:rsidRPr="00DC2ED7" w:rsidRDefault="00DC2ED7" w:rsidP="00DC2ED7">
            <w:pPr>
              <w:spacing w:after="0" w:line="240" w:lineRule="auto"/>
              <w:rPr>
                <w:rFonts w:ascii="Times New Roman" w:eastAsia="Times New Roman" w:hAnsi="Times New Roman" w:cs="Times New Roman"/>
                <w:sz w:val="24"/>
                <w:szCs w:val="24"/>
              </w:rPr>
            </w:pPr>
            <w:r w:rsidRPr="00DC2ED7">
              <w:rPr>
                <w:rFonts w:ascii="Times New Roman" w:eastAsia="Times New Roman" w:hAnsi="Times New Roman" w:cs="Times New Roman"/>
                <w:sz w:val="24"/>
                <w:szCs w:val="24"/>
              </w:rPr>
              <w:t>Telecom and gov. data</w:t>
            </w:r>
          </w:p>
        </w:tc>
        <w:tc>
          <w:tcPr>
            <w:tcW w:w="0" w:type="auto"/>
            <w:vAlign w:val="center"/>
            <w:hideMark/>
          </w:tcPr>
          <w:p w14:paraId="219A65A4" w14:textId="77777777" w:rsidR="00DC2ED7" w:rsidRPr="00DC2ED7" w:rsidRDefault="00DC2ED7" w:rsidP="00DC2ED7">
            <w:pPr>
              <w:spacing w:after="0" w:line="240" w:lineRule="auto"/>
              <w:rPr>
                <w:rFonts w:ascii="Times New Roman" w:eastAsia="Times New Roman" w:hAnsi="Times New Roman" w:cs="Times New Roman"/>
                <w:sz w:val="24"/>
                <w:szCs w:val="24"/>
              </w:rPr>
            </w:pPr>
            <w:r w:rsidRPr="00DC2ED7">
              <w:rPr>
                <w:rFonts w:ascii="Times New Roman" w:eastAsia="Times New Roman" w:hAnsi="Times New Roman" w:cs="Times New Roman"/>
                <w:sz w:val="24"/>
                <w:szCs w:val="24"/>
              </w:rPr>
              <w:t>Low</w:t>
            </w:r>
          </w:p>
        </w:tc>
        <w:tc>
          <w:tcPr>
            <w:tcW w:w="0" w:type="auto"/>
            <w:vAlign w:val="center"/>
            <w:hideMark/>
          </w:tcPr>
          <w:p w14:paraId="3B39F5F5" w14:textId="77777777" w:rsidR="00DC2ED7" w:rsidRPr="00DC2ED7" w:rsidRDefault="00DC2ED7" w:rsidP="00DC2ED7">
            <w:pPr>
              <w:spacing w:after="0" w:line="240" w:lineRule="auto"/>
              <w:rPr>
                <w:rFonts w:ascii="Times New Roman" w:eastAsia="Times New Roman" w:hAnsi="Times New Roman" w:cs="Times New Roman"/>
                <w:sz w:val="24"/>
                <w:szCs w:val="24"/>
              </w:rPr>
            </w:pPr>
            <w:r w:rsidRPr="00DC2ED7">
              <w:rPr>
                <w:rFonts w:ascii="Times New Roman" w:eastAsia="Times New Roman" w:hAnsi="Times New Roman" w:cs="Times New Roman"/>
                <w:sz w:val="24"/>
                <w:szCs w:val="24"/>
              </w:rPr>
              <w:t>Implicit in emergency</w:t>
            </w:r>
          </w:p>
        </w:tc>
        <w:tc>
          <w:tcPr>
            <w:tcW w:w="0" w:type="auto"/>
            <w:vAlign w:val="center"/>
            <w:hideMark/>
          </w:tcPr>
          <w:p w14:paraId="399D8661" w14:textId="77777777" w:rsidR="00DC2ED7" w:rsidRPr="00DC2ED7" w:rsidRDefault="00DC2ED7" w:rsidP="00DC2ED7">
            <w:pPr>
              <w:spacing w:after="0" w:line="240" w:lineRule="auto"/>
              <w:rPr>
                <w:rFonts w:ascii="Times New Roman" w:eastAsia="Times New Roman" w:hAnsi="Times New Roman" w:cs="Times New Roman"/>
                <w:sz w:val="24"/>
                <w:szCs w:val="24"/>
              </w:rPr>
            </w:pPr>
            <w:r w:rsidRPr="00DC2ED7">
              <w:rPr>
                <w:rFonts w:ascii="Times New Roman" w:eastAsia="Times New Roman" w:hAnsi="Times New Roman" w:cs="Times New Roman"/>
                <w:sz w:val="24"/>
                <w:szCs w:val="24"/>
              </w:rPr>
              <w:t>Strong surveillance powers under public health law</w:t>
            </w:r>
          </w:p>
        </w:tc>
      </w:tr>
      <w:tr w:rsidR="00DC2ED7" w:rsidRPr="00DC2ED7" w14:paraId="721642C0" w14:textId="77777777" w:rsidTr="00DC2ED7">
        <w:trPr>
          <w:tblCellSpacing w:w="15" w:type="dxa"/>
        </w:trPr>
        <w:tc>
          <w:tcPr>
            <w:tcW w:w="0" w:type="auto"/>
            <w:vAlign w:val="center"/>
            <w:hideMark/>
          </w:tcPr>
          <w:p w14:paraId="074B3E33" w14:textId="77777777" w:rsidR="00DC2ED7" w:rsidRPr="00DC2ED7" w:rsidRDefault="00DC2ED7" w:rsidP="00DC2ED7">
            <w:pPr>
              <w:spacing w:after="0" w:line="240" w:lineRule="auto"/>
              <w:rPr>
                <w:rFonts w:ascii="Times New Roman" w:eastAsia="Times New Roman" w:hAnsi="Times New Roman" w:cs="Times New Roman"/>
                <w:sz w:val="24"/>
                <w:szCs w:val="24"/>
              </w:rPr>
            </w:pPr>
            <w:r w:rsidRPr="00DC2ED7">
              <w:rPr>
                <w:rFonts w:ascii="Times New Roman" w:eastAsia="Times New Roman" w:hAnsi="Times New Roman" w:cs="Times New Roman"/>
                <w:b/>
                <w:bCs/>
                <w:sz w:val="24"/>
                <w:szCs w:val="24"/>
              </w:rPr>
              <w:t>Germany</w:t>
            </w:r>
          </w:p>
        </w:tc>
        <w:tc>
          <w:tcPr>
            <w:tcW w:w="0" w:type="auto"/>
            <w:vAlign w:val="center"/>
            <w:hideMark/>
          </w:tcPr>
          <w:p w14:paraId="6C9DE5CB" w14:textId="77777777" w:rsidR="00DC2ED7" w:rsidRPr="00DC2ED7" w:rsidRDefault="00DC2ED7" w:rsidP="00DC2ED7">
            <w:pPr>
              <w:spacing w:after="0" w:line="240" w:lineRule="auto"/>
              <w:rPr>
                <w:rFonts w:ascii="Times New Roman" w:eastAsia="Times New Roman" w:hAnsi="Times New Roman" w:cs="Times New Roman"/>
                <w:sz w:val="24"/>
                <w:szCs w:val="24"/>
              </w:rPr>
            </w:pPr>
            <w:r w:rsidRPr="00DC2ED7">
              <w:rPr>
                <w:rFonts w:ascii="Times New Roman" w:eastAsia="Times New Roman" w:hAnsi="Times New Roman" w:cs="Times New Roman"/>
                <w:sz w:val="24"/>
                <w:szCs w:val="24"/>
              </w:rPr>
              <w:t>Decentralized</w:t>
            </w:r>
          </w:p>
        </w:tc>
        <w:tc>
          <w:tcPr>
            <w:tcW w:w="0" w:type="auto"/>
            <w:vAlign w:val="center"/>
            <w:hideMark/>
          </w:tcPr>
          <w:p w14:paraId="00859097" w14:textId="77777777" w:rsidR="00DC2ED7" w:rsidRPr="00DC2ED7" w:rsidRDefault="00DC2ED7" w:rsidP="00DC2ED7">
            <w:pPr>
              <w:spacing w:after="0" w:line="240" w:lineRule="auto"/>
              <w:rPr>
                <w:rFonts w:ascii="Times New Roman" w:eastAsia="Times New Roman" w:hAnsi="Times New Roman" w:cs="Times New Roman"/>
                <w:sz w:val="24"/>
                <w:szCs w:val="24"/>
              </w:rPr>
            </w:pPr>
            <w:r w:rsidRPr="00DC2ED7">
              <w:rPr>
                <w:rFonts w:ascii="Times New Roman" w:eastAsia="Times New Roman" w:hAnsi="Times New Roman" w:cs="Times New Roman"/>
                <w:sz w:val="24"/>
                <w:szCs w:val="24"/>
              </w:rPr>
              <w:t>Local device storage</w:t>
            </w:r>
          </w:p>
        </w:tc>
        <w:tc>
          <w:tcPr>
            <w:tcW w:w="0" w:type="auto"/>
            <w:vAlign w:val="center"/>
            <w:hideMark/>
          </w:tcPr>
          <w:p w14:paraId="1F089D71" w14:textId="77777777" w:rsidR="00DC2ED7" w:rsidRPr="00DC2ED7" w:rsidRDefault="00DC2ED7" w:rsidP="00DC2ED7">
            <w:pPr>
              <w:spacing w:after="0" w:line="240" w:lineRule="auto"/>
              <w:rPr>
                <w:rFonts w:ascii="Times New Roman" w:eastAsia="Times New Roman" w:hAnsi="Times New Roman" w:cs="Times New Roman"/>
                <w:sz w:val="24"/>
                <w:szCs w:val="24"/>
              </w:rPr>
            </w:pPr>
            <w:r w:rsidRPr="00DC2ED7">
              <w:rPr>
                <w:rFonts w:ascii="Times New Roman" w:eastAsia="Times New Roman" w:hAnsi="Times New Roman" w:cs="Times New Roman"/>
                <w:sz w:val="24"/>
                <w:szCs w:val="24"/>
              </w:rPr>
              <w:t>High</w:t>
            </w:r>
          </w:p>
        </w:tc>
        <w:tc>
          <w:tcPr>
            <w:tcW w:w="0" w:type="auto"/>
            <w:vAlign w:val="center"/>
            <w:hideMark/>
          </w:tcPr>
          <w:p w14:paraId="288CAE74" w14:textId="77777777" w:rsidR="00DC2ED7" w:rsidRPr="00DC2ED7" w:rsidRDefault="00DC2ED7" w:rsidP="00DC2ED7">
            <w:pPr>
              <w:spacing w:after="0" w:line="240" w:lineRule="auto"/>
              <w:rPr>
                <w:rFonts w:ascii="Times New Roman" w:eastAsia="Times New Roman" w:hAnsi="Times New Roman" w:cs="Times New Roman"/>
                <w:sz w:val="24"/>
                <w:szCs w:val="24"/>
              </w:rPr>
            </w:pPr>
            <w:r w:rsidRPr="00DC2ED7">
              <w:rPr>
                <w:rFonts w:ascii="Times New Roman" w:eastAsia="Times New Roman" w:hAnsi="Times New Roman" w:cs="Times New Roman"/>
                <w:sz w:val="24"/>
                <w:szCs w:val="24"/>
              </w:rPr>
              <w:t>Voluntary</w:t>
            </w:r>
          </w:p>
        </w:tc>
        <w:tc>
          <w:tcPr>
            <w:tcW w:w="0" w:type="auto"/>
            <w:vAlign w:val="center"/>
            <w:hideMark/>
          </w:tcPr>
          <w:p w14:paraId="380D522C" w14:textId="77777777" w:rsidR="00DC2ED7" w:rsidRPr="00DC2ED7" w:rsidRDefault="00DC2ED7" w:rsidP="00DC2ED7">
            <w:pPr>
              <w:spacing w:after="0" w:line="240" w:lineRule="auto"/>
              <w:rPr>
                <w:rFonts w:ascii="Times New Roman" w:eastAsia="Times New Roman" w:hAnsi="Times New Roman" w:cs="Times New Roman"/>
                <w:sz w:val="24"/>
                <w:szCs w:val="24"/>
              </w:rPr>
            </w:pPr>
            <w:r w:rsidRPr="00DC2ED7">
              <w:rPr>
                <w:rFonts w:ascii="Times New Roman" w:eastAsia="Times New Roman" w:hAnsi="Times New Roman" w:cs="Times New Roman"/>
                <w:sz w:val="24"/>
                <w:szCs w:val="24"/>
              </w:rPr>
              <w:t>Privacy-by-design, low adoption at outset</w:t>
            </w:r>
          </w:p>
        </w:tc>
      </w:tr>
      <w:tr w:rsidR="00DC2ED7" w:rsidRPr="00DC2ED7" w14:paraId="6EF16E6D" w14:textId="77777777" w:rsidTr="00DC2ED7">
        <w:trPr>
          <w:tblCellSpacing w:w="15" w:type="dxa"/>
        </w:trPr>
        <w:tc>
          <w:tcPr>
            <w:tcW w:w="0" w:type="auto"/>
            <w:vAlign w:val="center"/>
            <w:hideMark/>
          </w:tcPr>
          <w:p w14:paraId="5B0BC353" w14:textId="77777777" w:rsidR="00DC2ED7" w:rsidRPr="00DC2ED7" w:rsidRDefault="00DC2ED7" w:rsidP="00DC2ED7">
            <w:pPr>
              <w:spacing w:after="0" w:line="240" w:lineRule="auto"/>
              <w:rPr>
                <w:rFonts w:ascii="Times New Roman" w:eastAsia="Times New Roman" w:hAnsi="Times New Roman" w:cs="Times New Roman"/>
                <w:sz w:val="24"/>
                <w:szCs w:val="24"/>
              </w:rPr>
            </w:pPr>
            <w:r w:rsidRPr="00DC2ED7">
              <w:rPr>
                <w:rFonts w:ascii="Times New Roman" w:eastAsia="Times New Roman" w:hAnsi="Times New Roman" w:cs="Times New Roman"/>
                <w:b/>
                <w:bCs/>
                <w:sz w:val="24"/>
                <w:szCs w:val="24"/>
              </w:rPr>
              <w:t>Switzerland</w:t>
            </w:r>
          </w:p>
        </w:tc>
        <w:tc>
          <w:tcPr>
            <w:tcW w:w="0" w:type="auto"/>
            <w:vAlign w:val="center"/>
            <w:hideMark/>
          </w:tcPr>
          <w:p w14:paraId="6D511F7E" w14:textId="77777777" w:rsidR="00DC2ED7" w:rsidRPr="00DC2ED7" w:rsidRDefault="00DC2ED7" w:rsidP="00DC2ED7">
            <w:pPr>
              <w:spacing w:after="0" w:line="240" w:lineRule="auto"/>
              <w:rPr>
                <w:rFonts w:ascii="Times New Roman" w:eastAsia="Times New Roman" w:hAnsi="Times New Roman" w:cs="Times New Roman"/>
                <w:sz w:val="24"/>
                <w:szCs w:val="24"/>
              </w:rPr>
            </w:pPr>
            <w:r w:rsidRPr="00DC2ED7">
              <w:rPr>
                <w:rFonts w:ascii="Times New Roman" w:eastAsia="Times New Roman" w:hAnsi="Times New Roman" w:cs="Times New Roman"/>
                <w:sz w:val="24"/>
                <w:szCs w:val="24"/>
              </w:rPr>
              <w:t>Decentralized</w:t>
            </w:r>
          </w:p>
        </w:tc>
        <w:tc>
          <w:tcPr>
            <w:tcW w:w="0" w:type="auto"/>
            <w:vAlign w:val="center"/>
            <w:hideMark/>
          </w:tcPr>
          <w:p w14:paraId="5C320488" w14:textId="77777777" w:rsidR="00DC2ED7" w:rsidRPr="00DC2ED7" w:rsidRDefault="00DC2ED7" w:rsidP="00DC2ED7">
            <w:pPr>
              <w:spacing w:after="0" w:line="240" w:lineRule="auto"/>
              <w:rPr>
                <w:rFonts w:ascii="Times New Roman" w:eastAsia="Times New Roman" w:hAnsi="Times New Roman" w:cs="Times New Roman"/>
                <w:sz w:val="24"/>
                <w:szCs w:val="24"/>
              </w:rPr>
            </w:pPr>
            <w:r w:rsidRPr="00DC2ED7">
              <w:rPr>
                <w:rFonts w:ascii="Times New Roman" w:eastAsia="Times New Roman" w:hAnsi="Times New Roman" w:cs="Times New Roman"/>
                <w:sz w:val="24"/>
                <w:szCs w:val="24"/>
              </w:rPr>
              <w:t>Local device storage</w:t>
            </w:r>
          </w:p>
        </w:tc>
        <w:tc>
          <w:tcPr>
            <w:tcW w:w="0" w:type="auto"/>
            <w:vAlign w:val="center"/>
            <w:hideMark/>
          </w:tcPr>
          <w:p w14:paraId="05E4B4A5" w14:textId="77777777" w:rsidR="00DC2ED7" w:rsidRPr="00DC2ED7" w:rsidRDefault="00DC2ED7" w:rsidP="00DC2ED7">
            <w:pPr>
              <w:spacing w:after="0" w:line="240" w:lineRule="auto"/>
              <w:rPr>
                <w:rFonts w:ascii="Times New Roman" w:eastAsia="Times New Roman" w:hAnsi="Times New Roman" w:cs="Times New Roman"/>
                <w:sz w:val="24"/>
                <w:szCs w:val="24"/>
              </w:rPr>
            </w:pPr>
            <w:r w:rsidRPr="00DC2ED7">
              <w:rPr>
                <w:rFonts w:ascii="Times New Roman" w:eastAsia="Times New Roman" w:hAnsi="Times New Roman" w:cs="Times New Roman"/>
                <w:sz w:val="24"/>
                <w:szCs w:val="24"/>
              </w:rPr>
              <w:t>High</w:t>
            </w:r>
          </w:p>
        </w:tc>
        <w:tc>
          <w:tcPr>
            <w:tcW w:w="0" w:type="auto"/>
            <w:vAlign w:val="center"/>
            <w:hideMark/>
          </w:tcPr>
          <w:p w14:paraId="31F2CC40" w14:textId="77777777" w:rsidR="00DC2ED7" w:rsidRPr="00DC2ED7" w:rsidRDefault="00DC2ED7" w:rsidP="00DC2ED7">
            <w:pPr>
              <w:spacing w:after="0" w:line="240" w:lineRule="auto"/>
              <w:rPr>
                <w:rFonts w:ascii="Times New Roman" w:eastAsia="Times New Roman" w:hAnsi="Times New Roman" w:cs="Times New Roman"/>
                <w:sz w:val="24"/>
                <w:szCs w:val="24"/>
              </w:rPr>
            </w:pPr>
            <w:r w:rsidRPr="00DC2ED7">
              <w:rPr>
                <w:rFonts w:ascii="Times New Roman" w:eastAsia="Times New Roman" w:hAnsi="Times New Roman" w:cs="Times New Roman"/>
                <w:sz w:val="24"/>
                <w:szCs w:val="24"/>
              </w:rPr>
              <w:t>Voluntary</w:t>
            </w:r>
          </w:p>
        </w:tc>
        <w:tc>
          <w:tcPr>
            <w:tcW w:w="0" w:type="auto"/>
            <w:vAlign w:val="center"/>
            <w:hideMark/>
          </w:tcPr>
          <w:p w14:paraId="4A927077" w14:textId="77777777" w:rsidR="00DC2ED7" w:rsidRPr="00DC2ED7" w:rsidRDefault="00DC2ED7" w:rsidP="00DC2ED7">
            <w:pPr>
              <w:spacing w:after="0" w:line="240" w:lineRule="auto"/>
              <w:rPr>
                <w:rFonts w:ascii="Times New Roman" w:eastAsia="Times New Roman" w:hAnsi="Times New Roman" w:cs="Times New Roman"/>
                <w:sz w:val="24"/>
                <w:szCs w:val="24"/>
              </w:rPr>
            </w:pPr>
            <w:r w:rsidRPr="00DC2ED7">
              <w:rPr>
                <w:rFonts w:ascii="Times New Roman" w:eastAsia="Times New Roman" w:hAnsi="Times New Roman" w:cs="Times New Roman"/>
                <w:sz w:val="24"/>
                <w:szCs w:val="24"/>
              </w:rPr>
              <w:t>Follows GAEN framework, prioritizes anonymity</w:t>
            </w:r>
          </w:p>
        </w:tc>
      </w:tr>
    </w:tbl>
    <w:p w14:paraId="66860C49" w14:textId="77777777" w:rsidR="004F29EA" w:rsidRPr="00EA1EDD" w:rsidRDefault="004F29EA" w:rsidP="000B0BE8">
      <w:pPr>
        <w:spacing w:before="100" w:beforeAutospacing="1" w:after="100" w:afterAutospacing="1" w:line="240" w:lineRule="auto"/>
        <w:rPr>
          <w:rFonts w:ascii="Times New Roman" w:eastAsia="Times New Roman" w:hAnsi="Times New Roman" w:cs="Times New Roman"/>
          <w:b/>
          <w:bCs/>
          <w:sz w:val="24"/>
          <w:szCs w:val="24"/>
        </w:rPr>
      </w:pPr>
    </w:p>
    <w:p w14:paraId="6A00AD9A" w14:textId="77777777" w:rsidR="004F29EA" w:rsidRPr="00EA1EDD" w:rsidRDefault="004F29EA" w:rsidP="000B0BE8">
      <w:pPr>
        <w:spacing w:before="100" w:beforeAutospacing="1" w:after="100" w:afterAutospacing="1" w:line="240" w:lineRule="auto"/>
        <w:rPr>
          <w:rFonts w:ascii="Times New Roman" w:eastAsia="Times New Roman" w:hAnsi="Times New Roman" w:cs="Times New Roman"/>
          <w:b/>
          <w:bCs/>
          <w:sz w:val="24"/>
          <w:szCs w:val="24"/>
        </w:rPr>
      </w:pPr>
    </w:p>
    <w:p w14:paraId="7EC1BCAE" w14:textId="3F9248D3" w:rsidR="000B0BE8" w:rsidRPr="00EA1EDD" w:rsidRDefault="000B0BE8" w:rsidP="004F29EA">
      <w:pPr>
        <w:spacing w:before="100" w:beforeAutospacing="1" w:after="100" w:afterAutospacing="1" w:line="360" w:lineRule="auto"/>
        <w:rPr>
          <w:rFonts w:ascii="Times New Roman" w:eastAsia="Times New Roman" w:hAnsi="Times New Roman" w:cs="Times New Roman"/>
          <w:b/>
          <w:bCs/>
          <w:sz w:val="24"/>
          <w:szCs w:val="24"/>
        </w:rPr>
      </w:pPr>
      <w:r w:rsidRPr="00EA1EDD">
        <w:rPr>
          <w:rFonts w:ascii="Times New Roman" w:eastAsia="Times New Roman" w:hAnsi="Times New Roman" w:cs="Times New Roman"/>
          <w:b/>
          <w:bCs/>
          <w:sz w:val="24"/>
          <w:szCs w:val="24"/>
        </w:rPr>
        <w:t>5.0. Toward a Resilient Digital Public Health Infrastructure</w:t>
      </w:r>
    </w:p>
    <w:p w14:paraId="69704CFB" w14:textId="288866AB" w:rsidR="000B0BE8" w:rsidRPr="00EA1EDD" w:rsidRDefault="000B0BE8" w:rsidP="004F29EA">
      <w:pPr>
        <w:spacing w:before="100" w:beforeAutospacing="1" w:after="100" w:afterAutospacing="1" w:line="360" w:lineRule="auto"/>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As the acute phase of the COVID-19 pandemic fades, the focus must shift from emergency-driven innovation to long-term institutionalization. The rapid deployment of digital tools during the crisis revealed their transformative potential for disease surveillance and public health decision-making</w:t>
      </w:r>
      <w:r w:rsidR="004E6373">
        <w:rPr>
          <w:rFonts w:ascii="Times New Roman" w:eastAsia="Times New Roman" w:hAnsi="Times New Roman" w:cs="Times New Roman"/>
          <w:sz w:val="24"/>
          <w:szCs w:val="24"/>
        </w:rPr>
        <w:fldChar w:fldCharType="begin"/>
      </w:r>
      <w:r w:rsidR="004E6373">
        <w:rPr>
          <w:rFonts w:ascii="Times New Roman" w:eastAsia="Times New Roman" w:hAnsi="Times New Roman" w:cs="Times New Roman"/>
          <w:sz w:val="24"/>
          <w:szCs w:val="24"/>
        </w:rPr>
        <w:instrText xml:space="preserve"> ADDIN ZOTERO_ITEM CSL_CITATION {"citationID":"K1ZKmmza","properties":{"formattedCitation":"[42]","plainCitation":"[42]","noteIndex":0},"citationItems":[{"id":2692,"uris":["http://zotero.org/users/16652950/items/Q8PMM3JI"],"itemData":{"id":2692,"type":"article-journal","container-title":"Journal of Cancer and Tumor International","DOI":"10.9734/jcti/2025/v15i2294","ISSN":"2454-7360","issue":"2","language":"en","page":"79-96","source":"www.journaljcti.com","title":"From Bench to Bedside: Medicinal Chemistry Strategies in the Development of Kinase Inhibitors for Cancer Therapy","title-short":"From Bench to Bedside","volume":"15","author":[{"family":"Okafor","given":"Chibuike Emmanuel"},{"family":"Egwuatu","given":"Emmanuel Cherechi"},{"family":"Owosagba","given":"Victor Ayoola"},{"family":"Njei","given":"Teckla"},{"family":"Adeyemi","given":"Bankole Israel"},{"family":"Onuche","given":"Philip Ugbede Ojo"},{"family":"Adams","given":"Abdullahi"},{"family":"Ugwuja","given":"Chiamaka Blessing"},{"family":"Chibueze","given":"Eze Samson"},{"family":"Lawal","given":"Olabisi Promise"}],"issued":{"date-parts":[["2025",5,10]]}}}],"schema":"https://github.com/citation-style-language/schema/raw/master/csl-citation.json"} </w:instrText>
      </w:r>
      <w:r w:rsidR="004E6373">
        <w:rPr>
          <w:rFonts w:ascii="Times New Roman" w:eastAsia="Times New Roman" w:hAnsi="Times New Roman" w:cs="Times New Roman"/>
          <w:sz w:val="24"/>
          <w:szCs w:val="24"/>
        </w:rPr>
        <w:fldChar w:fldCharType="separate"/>
      </w:r>
      <w:r w:rsidR="004E6373" w:rsidRPr="004E6373">
        <w:rPr>
          <w:rFonts w:ascii="Times New Roman" w:hAnsi="Times New Roman" w:cs="Times New Roman"/>
          <w:sz w:val="24"/>
        </w:rPr>
        <w:t>[42]</w:t>
      </w:r>
      <w:r w:rsidR="004E6373">
        <w:rPr>
          <w:rFonts w:ascii="Times New Roman" w:eastAsia="Times New Roman" w:hAnsi="Times New Roman" w:cs="Times New Roman"/>
          <w:sz w:val="24"/>
          <w:szCs w:val="24"/>
        </w:rPr>
        <w:fldChar w:fldCharType="end"/>
      </w:r>
      <w:bookmarkStart w:id="0" w:name="_GoBack"/>
      <w:bookmarkEnd w:id="0"/>
      <w:r w:rsidRPr="00EA1EDD">
        <w:rPr>
          <w:rFonts w:ascii="Times New Roman" w:eastAsia="Times New Roman" w:hAnsi="Times New Roman" w:cs="Times New Roman"/>
          <w:sz w:val="24"/>
          <w:szCs w:val="24"/>
        </w:rPr>
        <w:t>. However, many of these technologies were developed as stopgap solutions under crisis conditions. Without sustained investment, policy reform, and structural integration, the momentum of pandemic-era digital innovation could be lost. Building a resilient digital public health infrastructure requires deliberate and coordinated efforts to embed Health Information Technology (Health IT) as a foundational element of both national and global health systems.</w:t>
      </w:r>
      <w:r w:rsidR="00252003" w:rsidRPr="00EA1EDD">
        <w:rPr>
          <w:rFonts w:ascii="Times New Roman" w:eastAsia="Times New Roman" w:hAnsi="Times New Roman" w:cs="Times New Roman"/>
          <w:sz w:val="24"/>
          <w:szCs w:val="24"/>
        </w:rPr>
        <w:fldChar w:fldCharType="begin"/>
      </w:r>
      <w:r w:rsidR="004E6373">
        <w:rPr>
          <w:rFonts w:ascii="Times New Roman" w:eastAsia="Times New Roman" w:hAnsi="Times New Roman" w:cs="Times New Roman"/>
          <w:sz w:val="24"/>
          <w:szCs w:val="24"/>
        </w:rPr>
        <w:instrText xml:space="preserve"> ADDIN ZOTERO_ITEM CSL_CITATION {"citationID":"Xy4F4uAT","properties":{"formattedCitation":"[43]","plainCitation":"[43]","noteIndex":0},"citationItems":[{"id":4372,"uris":["http://zotero.org/users/16652950/items/KGYCGYRG"],"itemData":{"id":4372,"type":"article-journal","abstract":"Objectives: The transformation of healthcare systems during crises, particularly demonstrated during the COVID-19 pandemic, emphasizes the urgent need for effective research methodologies to evaluate digital healthcare innovations. These methodologies are essential in addressing the rapid shift in healthcare service delivery modalities, responding to unprecedented challenges that have revealed both opportunities and barriers within the digital ecosystem. Methods: For this review, research was carried out on the Medline/PubMed, Scopus, and Google Scholar databases to locate articles published from 2015 to 2024, using the search terms digital health, digital technologies, management implications, and digital platforms. The inclusion criteria referred to studies that were directly related to the topic, available in the English language, and published in peer-reviewed scientific journals. The exclusion parameters were as follows: (a) articles not relevant to the topic as defined in the purpose of the review, (b) systematic reviews and meta-analyses, and (c) articles published in a language other than English. Results: Key findings indicate that, while digital health technologies have the potential to mitigate healthcare disparities, they often exacerbate existing inequities, especially among vulnerable populations lacking consistent access to technology. Furthermore, the shift towards digital platforms has revealed significant gaps in workforce training and support, which are essential for effective implementation. Conclusions: This review underscores the financial implications, with expenditures rising significantly due to the increased use of digital services, reflecting a broader trend noted in studies of related health conditions. Moreover, discussions on public health governance suggest a critical need for democratic frameworks to support such digital transformations effectively.","container-title":"Healthcare","DOI":"10.3390/healthcare13080889","ISSN":"2227-9032","issue":"8","journalAbbreviation":"Healthcare (Basel)","note":"PMID: 40281838\nPMCID: PMC12027120","page":"889","source":"PubMed Central","title":"Digital Healthcare Innovative Services in Times of Crisis: A Literature Review","title-short":"Digital Healthcare Innovative Services in Times of Crisis","volume":"13","author":[{"family":"Anastasiadou","given":"Olympia"},{"family":"Tsipouras","given":"Markos"},{"family":"Mpogiatzidis","given":"Panagiotis"},{"family":"Angelidis","given":"Pantelis"}],"issued":{"date-parts":[["2025",4,12]]}}}],"schema":"https://github.com/citation-style-language/schema/raw/master/csl-citation.json"} </w:instrText>
      </w:r>
      <w:r w:rsidR="00252003" w:rsidRPr="00EA1EDD">
        <w:rPr>
          <w:rFonts w:ascii="Times New Roman" w:eastAsia="Times New Roman" w:hAnsi="Times New Roman" w:cs="Times New Roman"/>
          <w:sz w:val="24"/>
          <w:szCs w:val="24"/>
        </w:rPr>
        <w:fldChar w:fldCharType="separate"/>
      </w:r>
      <w:r w:rsidR="004E6373" w:rsidRPr="004E6373">
        <w:rPr>
          <w:rFonts w:ascii="Times New Roman" w:hAnsi="Times New Roman" w:cs="Times New Roman"/>
          <w:sz w:val="24"/>
        </w:rPr>
        <w:t>[43]</w:t>
      </w:r>
      <w:r w:rsidR="00252003" w:rsidRPr="00EA1EDD">
        <w:rPr>
          <w:rFonts w:ascii="Times New Roman" w:eastAsia="Times New Roman" w:hAnsi="Times New Roman" w:cs="Times New Roman"/>
          <w:sz w:val="24"/>
          <w:szCs w:val="24"/>
        </w:rPr>
        <w:fldChar w:fldCharType="end"/>
      </w:r>
    </w:p>
    <w:p w14:paraId="14461712" w14:textId="43FC5132" w:rsidR="000B0BE8" w:rsidRPr="00EA1EDD" w:rsidRDefault="000B0BE8" w:rsidP="004F29EA">
      <w:pPr>
        <w:spacing w:before="100" w:beforeAutospacing="1" w:after="100" w:afterAutospacing="1" w:line="360" w:lineRule="auto"/>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The first priority is to institutionalize digital surveillance platforms. During the pandemic, many countries rapidly created dashboards, data exchanges, and analytic systems tailored to immediate needs</w:t>
      </w:r>
      <w:r w:rsidR="00252003" w:rsidRPr="00EA1EDD">
        <w:rPr>
          <w:rFonts w:ascii="Times New Roman" w:eastAsia="Times New Roman" w:hAnsi="Times New Roman" w:cs="Times New Roman"/>
          <w:sz w:val="24"/>
          <w:szCs w:val="24"/>
        </w:rPr>
        <w:fldChar w:fldCharType="begin"/>
      </w:r>
      <w:r w:rsidR="004E6373">
        <w:rPr>
          <w:rFonts w:ascii="Times New Roman" w:eastAsia="Times New Roman" w:hAnsi="Times New Roman" w:cs="Times New Roman"/>
          <w:sz w:val="24"/>
          <w:szCs w:val="24"/>
        </w:rPr>
        <w:instrText xml:space="preserve"> ADDIN ZOTERO_ITEM CSL_CITATION {"citationID":"aYdAHs5R","properties":{"formattedCitation":"[44,45]","plainCitation":"[44,45]","noteIndex":0},"citationItems":[{"id":1118,"uris":["http://zotero.org/users/16652950/items/IX7XLMV9"],"itemData":{"id":1118,"type":"article-journal","abstract":"Antimicrobial resistance is a growing global health problem, especially in the management of co-infections such as HIV, TB, and malaria. AMR occurs when a pathogen develops resistance against antimicrobial agents, which results in less effective treatments and contributes to increased morbidity and mortality. Co-infections further worsen this condition by introducing complex interactions among pathogens that complicate disease progression and treatment protocols. This review discusses the impact of AMR on co-infection from a multifaceted perspective, considering cases of HIV-TB, HIV-malaria, and TB-malaria. It considers the main factors contributing to the emergence and dissemination of resistant varieties: interactions between pathogens, horizontal gene transfer, and inappropriate antibiotic use. The study has highlighted that comprehensive management strategies, including antimicrobial stewardship, better diagnostics, vaccination, and addressing the basic underlying risks, such as poor sanitation and comorbid conditions, are urgently needed. Advanced diagnostic testing and strong infection control are crucial in lessening the burden of AMR. From a wider perspective, the paper calls for global collaboration in developing new antimicrobials and raising public awareness about using antibiotics judiciously. It concludes by stressing once more the need for integrating global health to address AMR and improve treatment outcomes to protect public health from the compounded threats of antimicrobial resistance and co-infections.","container-title":"International Journal of Pathogen Research","DOI":"10.9734/ijpr/2024/v13i6326","issue":"6","page":"117-128","source":"HAL Archives Ouvertes","title":"The Impact of Antimicrobial Resistance on Co-INFECTIONS: Management Strategies for HIV, TB and Malaria","title-short":"The Impact of Antimicrobial Resistance on Co-INFECTIONS","volume":"13","author":[{"family":"Ayomide","given":"Ilesanmi Taiwo"},{"family":"Promise","given":"Lawal Olabisi"},{"family":"Christopher","given":"Adegbesan Abiodun"},{"family":"Okikiola","given":"Popoola Possible"},{"family":"Esther","given":"Akinola Dolapo"},{"family":"Favour","given":"Ani Charissa"},{"family":"Agbo","given":"Okabeonye Sunday"},{"family":"Sandra","given":"Owusu-Ansah"},{"family":"Chiagozie","given":"Okeke Jennifer"},{"family":"Precious","given":"Ani Chinaemerem"},{"family":"Ugonna","given":"Ugoagwu Kingsley"}],"issued":{"date-parts":[["2024",11]]}}},{"id":4375,"uris":["http://zotero.org/users/16652950/items/FK4LEPHE"],"itemData":{"id":4375,"type":"article-journal","abstract":"When addressing juvenile delinquencies in Nigeria, it is important to consider the roles and effects of parenting styles and family structures. Although, there are no universally accepted parenting styles, evidence and studies have pointed to some parenting styles that expose children to delinquent behaviours. We examined different parenting styles comprehensively in this article and how these styles can influence juvenile delinquencies. We also discussed the association between single-parenting and behavioural outcomes; accounting how single-parenting may increase risks of delinquencies. Furthermore, marital discord was discussed and social learning theory by Albert Bandura was adopted to buttress our positions. We concluded that parenting styles have roles in delinquencies and that while children raised by single parents may be vulnerable to delinquencies, the assumption may not always be true. This study posits that government and appropriate agencies should establish a functional child support systems across Nigeria and family institution should be paid more attention to.","container-title":"African Journal of Social Issues","DOI":"10.4314/ajosi.v7i1.8","ISSN":"2734-3324","issue":"1","language":"en","license":"Copyright (c) 2024","note":"number: 1","page":"116-132","source":"www.ajol.info","title":"Juvenile delinquency as a contemporary issue in Nigeria: understanding the impacts of parenting styles, single parenting and marital discord.","title-short":"Juvenile delinquency as a contemporary issue in Nigeria","volume":"7","author":[{"family":"Folorunsho","given":"Sunkanmi"},{"family":"Ajayi","given":"Victor"},{"family":"Abdulrazaq","given":"Oluwakemi"}],"issued":{"date-parts":[["2024",3,23]]}}}],"schema":"https://github.com/citation-style-language/schema/raw/master/csl-citation.json"} </w:instrText>
      </w:r>
      <w:r w:rsidR="00252003" w:rsidRPr="00EA1EDD">
        <w:rPr>
          <w:rFonts w:ascii="Times New Roman" w:eastAsia="Times New Roman" w:hAnsi="Times New Roman" w:cs="Times New Roman"/>
          <w:sz w:val="24"/>
          <w:szCs w:val="24"/>
        </w:rPr>
        <w:fldChar w:fldCharType="separate"/>
      </w:r>
      <w:r w:rsidR="004E6373" w:rsidRPr="004E6373">
        <w:rPr>
          <w:rFonts w:ascii="Times New Roman" w:hAnsi="Times New Roman" w:cs="Times New Roman"/>
          <w:sz w:val="24"/>
        </w:rPr>
        <w:t>[44,45]</w:t>
      </w:r>
      <w:r w:rsidR="00252003"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 These ad hoc solutions must now be standardized, secured, and integrated into routine public health operations. Institutionalization involves more than technological upgrades</w:t>
      </w:r>
      <w:r w:rsidR="00252003" w:rsidRPr="00EA1EDD">
        <w:rPr>
          <w:rFonts w:ascii="Times New Roman" w:eastAsia="Times New Roman" w:hAnsi="Times New Roman" w:cs="Times New Roman"/>
          <w:sz w:val="24"/>
          <w:szCs w:val="24"/>
        </w:rPr>
        <w:fldChar w:fldCharType="begin"/>
      </w:r>
      <w:r w:rsidR="004E6373">
        <w:rPr>
          <w:rFonts w:ascii="Times New Roman" w:eastAsia="Times New Roman" w:hAnsi="Times New Roman" w:cs="Times New Roman"/>
          <w:sz w:val="24"/>
          <w:szCs w:val="24"/>
        </w:rPr>
        <w:instrText xml:space="preserve"> ADDIN ZOTERO_ITEM CSL_CITATION {"citationID":"VtnUiM8b","properties":{"formattedCitation":"[46]","plainCitation":"[46]","noteIndex":0},"citationItems":[{"id":1364,"uris":["http://zotero.org/users/16652950/items/BNN8KN7E"],"itemData":{"id":1364,"type":"article-journal","abstract":"Vernonia amygdalina Delile, commonly known as “bitter leaf,” is a shrub in the Asteraceae family, widely seen in tropical regions of Africa. Vernonia amygdalina is found to be traditionally used in African medicine. Various parts of this plant, especially the leaves, are utilized to treat ailments such as fever, diabetes, and gastrointestinal issues. Research from multiple researchers has shown a wide range of phytochemical and bioactive compounds present in Vernonia amygdalina; examples are terpenoids, tannins, alkaloids, saponins, flavonoids, steroids, glycosides, etc., which have contributed to the medicinal properties of Vernonia amygdalina.\n\nVernonia amygdalina has shown its therapeutic and remedial potentials due to the presence of phytochemicals which exhibit effects such as anti-microbial, anti-inflammatory, anti-cancer, anti-oxidant, anti-diabetic, anti-hyperglycemic, anti-diarrheal, anti-helminthic, anti-pyretic, and anti-nociceptive effects. In this article, the authors highlight recent progress in using Vernonia amygdalina and its therapeutic effects.\n\nResearch, review, and case study articles were used to write this review. The articles were obtained from academic websites such as Research Gate, Google Scholar, the National Library of Medicine, African journals online, and Semantic journals, and some articles were obtained through a simple Google search. Articles that discussed the medicinal, ethanopharmacological, and therapeutic properties of Vernonia amygdalina were selected for the review. Search terms such as “Vernonia amygdalina,” “bitter leaf,” “phytochemical properties,” and “therapeutic effects” were used to search for relevant articles on the academic databases. Boolean operators such as “AND” and “OR” were used to refine the search further and ensure a comprehensive selection of articles.","container-title":"Asian Journal of Research in Biochemistry","DOI":"10.9734/ajrb/2024/v14i6326","ISSN":"2582-0516","issue":"6","language":"en","note":"number-of-pages: 17\nnumber: 6","page":"41-57","source":"library.go4subs.com","title":"Ethnomedicinal and Phytopharmacological Aspects of Vernonia amygdalina (Bitter Leaf) Utilized as a Traditional Medicinal Herb","volume":"14","author":[{"family":"Oseghale","given":"Ikalo David"},{"family":"Lawal","given":"Olabisi Promise"},{"family":"Ubebe","given":"Daniel Osezuwa"},{"family":"Orjiewulu","given":"Vivian Chidera"},{"family":"Igunma","given":"Aimuanmwosa Andrew"},{"family":"Odey","given":"Omali Patricia"},{"family":"Ajibola","given":"Dorcas Temitope"},{"family":"Chima","given":"Divine Ibecheozor"},{"family":"Tuador","given":"Nwigbo Kiakpugi"},{"family":"Ani","given":"Chinaemerem Precious"}],"issued":{"date-parts":[["2024",10,14]]}}}],"schema":"https://github.com/citation-style-language/schema/raw/master/csl-citation.json"} </w:instrText>
      </w:r>
      <w:r w:rsidR="00252003" w:rsidRPr="00EA1EDD">
        <w:rPr>
          <w:rFonts w:ascii="Times New Roman" w:eastAsia="Times New Roman" w:hAnsi="Times New Roman" w:cs="Times New Roman"/>
          <w:sz w:val="24"/>
          <w:szCs w:val="24"/>
        </w:rPr>
        <w:fldChar w:fldCharType="separate"/>
      </w:r>
      <w:r w:rsidR="004E6373" w:rsidRPr="004E6373">
        <w:rPr>
          <w:rFonts w:ascii="Times New Roman" w:hAnsi="Times New Roman" w:cs="Times New Roman"/>
          <w:sz w:val="24"/>
        </w:rPr>
        <w:t>[46]</w:t>
      </w:r>
      <w:r w:rsidR="00252003"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 xml:space="preserve">. It requires the development of formal governance frameworks that establish oversight responsibilities, data-sharing agreements, and ethical safeguards. Digital surveillance should be recognized as critical public health infrastructure, subject to the same </w:t>
      </w:r>
      <w:r w:rsidRPr="00EA1EDD">
        <w:rPr>
          <w:rFonts w:ascii="Times New Roman" w:eastAsia="Times New Roman" w:hAnsi="Times New Roman" w:cs="Times New Roman"/>
          <w:sz w:val="24"/>
          <w:szCs w:val="24"/>
        </w:rPr>
        <w:lastRenderedPageBreak/>
        <w:t>strategic planning, regulatory oversight, and sustained funding as laboratory networks, emergency stockpiles, and hospital systems</w:t>
      </w:r>
      <w:r w:rsidR="002467D4" w:rsidRPr="00EA1EDD">
        <w:rPr>
          <w:rFonts w:ascii="Times New Roman" w:eastAsia="Times New Roman" w:hAnsi="Times New Roman" w:cs="Times New Roman"/>
          <w:sz w:val="24"/>
          <w:szCs w:val="24"/>
        </w:rPr>
        <w:fldChar w:fldCharType="begin"/>
      </w:r>
      <w:r w:rsidR="004E6373">
        <w:rPr>
          <w:rFonts w:ascii="Times New Roman" w:eastAsia="Times New Roman" w:hAnsi="Times New Roman" w:cs="Times New Roman"/>
          <w:sz w:val="24"/>
          <w:szCs w:val="24"/>
        </w:rPr>
        <w:instrText xml:space="preserve"> ADDIN ZOTERO_ITEM CSL_CITATION {"citationID":"FxW7qBHK","properties":{"formattedCitation":"[47]","plainCitation":"[47]","noteIndex":0},"citationItems":[{"id":4377,"uris":["http://zotero.org/users/16652950/items/FENQQEJY"],"itemData":{"id":4377,"type":"article-journal","abstract":"Background: In order to prevent spread and improve control of infectious diseases, public health experts need to closely monitor human and animal populations. Infectious disease surveillance is an established, routine data collection process essential for early warning, rapid response, and disease control. The quantity of data potentially useful for early warning and surveillance has increased exponentially due to social media and other big data streams. Digital epidemiology is a novel discipline that includes harvesting, analysing, and interpreting data that were not initially collected for healthcare needs to enhance traditional surveillance. During the current COVID-19 pandemic, the importance of digital epidemiology complementing traditional public health approaches has been highlighted., Objective: The aim of this paper is to provide a comprehensive overview for the application of data and digital solutions to support surveillance strategies and draw implications for surveillance in the context of the COVID-19 pandemic and beyond., Methods: A search was conducted in PubMed databases. Articles published between January 2005 and May 2020 on the use of digital solutions to support surveillance strategies in pandemic settings and health emergencies were evaluated., Results: In this paper, we provide a comprehensive overview of digital epidemiology, available data sources, and components of 21st-century digital surveillance, early warning and response, outbreak management and control, and digital interventions., Conclusions: Our main purpose was to highlight the plausible use of new surveillance strategies, with implications for the COVID-19 pandemic strategies and then to identify opportunities and challenges for the successful development and implementation of digital solutions during non-emergency times of routine surveillance, with readiness for early-warning and response for future pandemics. The enhancement of traditional surveillance systems with novel digital surveillance methods opens a direction for the most effective framework for preparedness and response to future pandemics.","container-title":"Frontiers in Digital Health","DOI":"10.3389/fdgth.2021.707902","ISSN":"2673-253X","journalAbbreviation":"Front Digit Health","note":"PMID: 34713179\nPMCID: PMC8522016","page":"707902","source":"PubMed Central","title":"Data and Digital Solutions to Support Surveillance Strategies in the Context of the COVID-19 Pandemic","volume":"3","author":[{"family":"Kostkova","given":"Patty"},{"family":"Saigí-Rubió","given":"Francesc"},{"family":"Eguia","given":"Hans"},{"family":"Borbolla","given":"Damian"},{"family":"Verschuuren","given":"Marieke"},{"family":"Hamilton","given":"Clayton"},{"family":"Azzopardi-Muscat","given":"Natasha"},{"family":"Novillo-Ortiz","given":"David"}],"issued":{"date-parts":[["2021",8,6]]}}}],"schema":"https://github.com/citation-style-language/schema/raw/master/csl-citation.json"} </w:instrText>
      </w:r>
      <w:r w:rsidR="002467D4" w:rsidRPr="00EA1EDD">
        <w:rPr>
          <w:rFonts w:ascii="Times New Roman" w:eastAsia="Times New Roman" w:hAnsi="Times New Roman" w:cs="Times New Roman"/>
          <w:sz w:val="24"/>
          <w:szCs w:val="24"/>
        </w:rPr>
        <w:fldChar w:fldCharType="separate"/>
      </w:r>
      <w:r w:rsidR="004E6373" w:rsidRPr="004E6373">
        <w:rPr>
          <w:rFonts w:ascii="Times New Roman" w:hAnsi="Times New Roman" w:cs="Times New Roman"/>
          <w:sz w:val="24"/>
        </w:rPr>
        <w:t>[47]</w:t>
      </w:r>
      <w:r w:rsidR="002467D4"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5FEFD7DE" w14:textId="574B6731" w:rsidR="000B0BE8" w:rsidRPr="00EA1EDD" w:rsidRDefault="000B0BE8" w:rsidP="004F29EA">
      <w:pPr>
        <w:spacing w:before="100" w:beforeAutospacing="1" w:after="100" w:afterAutospacing="1" w:line="360" w:lineRule="auto"/>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A second pillar of resilience lies in workforce development. The pandemic revealed a global shortage of professionals with the digital and analytical skills necessary to support advanced surveillance efforts. Building a workforce for digital epidemiology will require cross-disciplinary training programs that equip public health practitioners with expertise in data science, machine learning, informatics, and geospatial analysis. Public health must follow the lead of clinical medicine in developing hybrid professional roles—such as the clinician-informatician—who can navigate both technical and domain-specific knowledge. These professionals will serve as vital connectors between data infrastructure and public health action</w:t>
      </w:r>
      <w:r w:rsidR="002467D4" w:rsidRPr="00EA1EDD">
        <w:rPr>
          <w:rFonts w:ascii="Times New Roman" w:eastAsia="Times New Roman" w:hAnsi="Times New Roman" w:cs="Times New Roman"/>
          <w:sz w:val="24"/>
          <w:szCs w:val="24"/>
        </w:rPr>
        <w:fldChar w:fldCharType="begin"/>
      </w:r>
      <w:r w:rsidR="004E6373">
        <w:rPr>
          <w:rFonts w:ascii="Times New Roman" w:eastAsia="Times New Roman" w:hAnsi="Times New Roman" w:cs="Times New Roman"/>
          <w:sz w:val="24"/>
          <w:szCs w:val="24"/>
        </w:rPr>
        <w:instrText xml:space="preserve"> ADDIN ZOTERO_ITEM CSL_CITATION {"citationID":"3Ges3FPW","properties":{"formattedCitation":"[48]","plainCitation":"[48]","noteIndex":0},"citationItems":[{"id":4383,"uris":["http://zotero.org/users/16652950/items/9CCQJEFU"],"itemData":{"id":4383,"type":"article-journal","abstract":"In the interconnected world, safeguarding global health security is vital for maintaining public health and economic upliftment of any nation. Emergency preparedness is considered as the key to control the emerging public health challenges at both ...","container-title":"The Indian Journal of Medical Research","DOI":"10.4103/ijmr.IJMR_653_21","issue":"3","language":"en","note":"PMID: 33906991","page":"287","source":"pmc.ncbi.nlm.nih.gov","title":"Emergency preparedness for public health threats, surveillance, modelling &amp; forecasting","volume":"153","author":[{"family":"Bedi","given":"Jasbir Singh"},{"family":"Vijay","given":"Deepthi"},{"family":"Dhaka","given":"Pankaj"},{"family":"Gill","given":"Jatinder Paul Singh"},{"family":"Barbuddhe","given":"Sukhadeo B."}],"issued":{"date-parts":[["2021",3]]}}}],"schema":"https://github.com/citation-style-language/schema/raw/master/csl-citation.json"} </w:instrText>
      </w:r>
      <w:r w:rsidR="002467D4" w:rsidRPr="00EA1EDD">
        <w:rPr>
          <w:rFonts w:ascii="Times New Roman" w:eastAsia="Times New Roman" w:hAnsi="Times New Roman" w:cs="Times New Roman"/>
          <w:sz w:val="24"/>
          <w:szCs w:val="24"/>
        </w:rPr>
        <w:fldChar w:fldCharType="separate"/>
      </w:r>
      <w:r w:rsidR="004E6373" w:rsidRPr="004E6373">
        <w:rPr>
          <w:rFonts w:ascii="Times New Roman" w:hAnsi="Times New Roman" w:cs="Times New Roman"/>
          <w:sz w:val="24"/>
        </w:rPr>
        <w:t>[48]</w:t>
      </w:r>
      <w:r w:rsidR="002467D4"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0F3940AF" w14:textId="3B49622E" w:rsidR="000B0BE8" w:rsidRPr="00EA1EDD" w:rsidRDefault="000B0BE8" w:rsidP="004F29EA">
      <w:pPr>
        <w:spacing w:before="100" w:beforeAutospacing="1" w:after="100" w:afterAutospacing="1" w:line="360" w:lineRule="auto"/>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 xml:space="preserve">As depicted in Figure </w:t>
      </w:r>
      <w:r w:rsidR="00EA1EDD" w:rsidRPr="00EA1EDD">
        <w:rPr>
          <w:rFonts w:ascii="Times New Roman" w:eastAsia="Times New Roman" w:hAnsi="Times New Roman" w:cs="Times New Roman"/>
          <w:sz w:val="24"/>
          <w:szCs w:val="24"/>
        </w:rPr>
        <w:t>2</w:t>
      </w:r>
      <w:r w:rsidRPr="00EA1EDD">
        <w:rPr>
          <w:rFonts w:ascii="Times New Roman" w:eastAsia="Times New Roman" w:hAnsi="Times New Roman" w:cs="Times New Roman"/>
          <w:sz w:val="24"/>
          <w:szCs w:val="24"/>
        </w:rPr>
        <w:t>, the long-term sustainability of digital surveillance systems depends on four interdependent pillars: institutionalization, workforce development, long-term funding, and interoperability. Each of these components reinforces the system’s capacity to anticipate, detect, and respond to public health threats at scale. Together, they form the foundation for a modernized surveillance architecture that is not only responsive during emergencies but also durable and equitable in routine public health practice.</w:t>
      </w:r>
    </w:p>
    <w:p w14:paraId="49F4523C" w14:textId="1A2D9ABA" w:rsidR="00103130" w:rsidRPr="00EA1EDD" w:rsidRDefault="00782A74" w:rsidP="00103130">
      <w:pPr>
        <w:spacing w:before="100" w:beforeAutospacing="1" w:after="100" w:afterAutospacing="1" w:line="240" w:lineRule="auto"/>
        <w:rPr>
          <w:rFonts w:ascii="Times New Roman" w:eastAsia="Times New Roman" w:hAnsi="Times New Roman" w:cs="Times New Roman"/>
          <w:sz w:val="24"/>
          <w:szCs w:val="24"/>
        </w:rPr>
      </w:pPr>
      <w:r w:rsidRPr="00EA1EDD">
        <w:rPr>
          <w:rFonts w:ascii="Times New Roman" w:eastAsia="Times New Roman" w:hAnsi="Times New Roman" w:cs="Times New Roman"/>
          <w:noProof/>
          <w:sz w:val="24"/>
          <w:szCs w:val="24"/>
        </w:rPr>
        <w:lastRenderedPageBreak/>
        <w:drawing>
          <wp:inline distT="0" distB="0" distL="0" distR="0" wp14:anchorId="645CB376" wp14:editId="5BA06432">
            <wp:extent cx="3676650" cy="3676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tGPT Image Jul 7, 2025, 11_35_20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6650" cy="3676650"/>
                    </a:xfrm>
                    <a:prstGeom prst="rect">
                      <a:avLst/>
                    </a:prstGeom>
                  </pic:spPr>
                </pic:pic>
              </a:graphicData>
            </a:graphic>
          </wp:inline>
        </w:drawing>
      </w:r>
    </w:p>
    <w:p w14:paraId="1E1C61A7" w14:textId="3665F750" w:rsidR="0017520D" w:rsidRPr="00EA1EDD" w:rsidRDefault="0017520D" w:rsidP="0017520D">
      <w:pPr>
        <w:spacing w:before="100" w:beforeAutospacing="1" w:after="100" w:afterAutospacing="1" w:line="240" w:lineRule="auto"/>
        <w:outlineLvl w:val="2"/>
        <w:rPr>
          <w:rFonts w:ascii="Times New Roman" w:eastAsia="Times New Roman" w:hAnsi="Times New Roman" w:cs="Times New Roman"/>
          <w:b/>
          <w:bCs/>
          <w:sz w:val="24"/>
          <w:szCs w:val="24"/>
        </w:rPr>
      </w:pPr>
      <w:r w:rsidRPr="00EA1EDD">
        <w:rPr>
          <w:rFonts w:ascii="Times New Roman" w:eastAsia="Times New Roman" w:hAnsi="Times New Roman" w:cs="Times New Roman"/>
          <w:b/>
          <w:bCs/>
          <w:sz w:val="24"/>
          <w:szCs w:val="24"/>
        </w:rPr>
        <w:t>Figure</w:t>
      </w:r>
      <w:r w:rsidR="00EA1EDD" w:rsidRPr="00EA1EDD">
        <w:rPr>
          <w:rFonts w:ascii="Times New Roman" w:eastAsia="Times New Roman" w:hAnsi="Times New Roman" w:cs="Times New Roman"/>
          <w:b/>
          <w:bCs/>
          <w:sz w:val="24"/>
          <w:szCs w:val="24"/>
        </w:rPr>
        <w:t xml:space="preserve"> 2</w:t>
      </w:r>
      <w:r w:rsidRPr="00EA1EDD">
        <w:rPr>
          <w:rFonts w:ascii="Times New Roman" w:eastAsia="Times New Roman" w:hAnsi="Times New Roman" w:cs="Times New Roman"/>
          <w:b/>
          <w:bCs/>
          <w:sz w:val="24"/>
          <w:szCs w:val="24"/>
        </w:rPr>
        <w:t xml:space="preserve">: </w:t>
      </w:r>
      <w:r w:rsidRPr="00EA1EDD">
        <w:rPr>
          <w:rFonts w:ascii="Times New Roman" w:eastAsia="Times New Roman" w:hAnsi="Times New Roman" w:cs="Times New Roman"/>
          <w:sz w:val="24"/>
          <w:szCs w:val="24"/>
        </w:rPr>
        <w:t>A circular conceptual framework illustrating the four foundational components of a resilient digital public health surveillance system: Institutionalization, Workforce Development, Long-term Funding, and Interoperability. These interconnected elements emphasize the need for structural, financial, and cross-border continuity to sustain digital health surveillance capacity beyond crisis periods.</w:t>
      </w:r>
      <w:r w:rsidR="000B0BE8"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i/>
          <w:iCs/>
          <w:sz w:val="24"/>
          <w:szCs w:val="24"/>
        </w:rPr>
        <w:t>Original figure created by the authors, informed by global digital health infrastructure guidelines and post-COVID policy recommendations.</w:t>
      </w:r>
    </w:p>
    <w:p w14:paraId="3CD9AB07" w14:textId="5FD40DC7" w:rsidR="000B0BE8" w:rsidRPr="00EA1EDD" w:rsidRDefault="000B0BE8" w:rsidP="000B0BE8">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Third, sustainable progress depends on long-term funding and coherent policy alignment. Digital health infrastructure cannot thrive on short-term, crisis-driven financial support. Governments must commit to stable, recurring budget allocations and pursue strategic public-private partnerships to fund infrastructure maintenance, strengthen cybersecurity, enhance platform interoperability, and support ongoing innovation. In parallel, policy frameworks must be aligned to facilitate secure data exchange while upholding individual privacy rights. This is especially important in the context of transboundary health threats, where disjointed regulatory regimes can hinder timely response and coordination</w:t>
      </w:r>
      <w:r w:rsidR="006D5518" w:rsidRPr="00EA1EDD">
        <w:rPr>
          <w:rFonts w:ascii="Times New Roman" w:eastAsia="Times New Roman" w:hAnsi="Times New Roman" w:cs="Times New Roman"/>
          <w:sz w:val="24"/>
          <w:szCs w:val="24"/>
        </w:rPr>
        <w:fldChar w:fldCharType="begin"/>
      </w:r>
      <w:r w:rsidR="004E6373">
        <w:rPr>
          <w:rFonts w:ascii="Times New Roman" w:eastAsia="Times New Roman" w:hAnsi="Times New Roman" w:cs="Times New Roman"/>
          <w:sz w:val="24"/>
          <w:szCs w:val="24"/>
        </w:rPr>
        <w:instrText xml:space="preserve"> ADDIN ZOTERO_ITEM CSL_CITATION {"citationID":"qAZAj54k","properties":{"formattedCitation":"[49]","plainCitation":"[49]","noteIndex":0},"citationItems":[{"id":4391,"uris":["http://zotero.org/users/16652950/items/XK52855E"],"itemData":{"id":4391,"type":"article-journal","container-title":"The Lancet. Global Health","DOI":"10.1016/S2214-109X(18)30386-3","ISSN":"2214-109X","journalAbbreviation":"Lancet Glob Health","note":"PMID: 30196093\nPMCID: PMC7734391","page":"e1196-e1252","source":"PubMed Central","title":"High-quality health systems in the Sustainable Development Goals era: time for a revolution","title-short":"High-quality health systems in the Sustainable Development Goals era","volume":"6","author":[{"family":"Kruk","given":"Margaret E"},{"family":"Gage","given":"Anna D"},{"family":"Arsenault","given":"Catherine"},{"family":"Jordan","given":"Keely"},{"family":"Leslie","given":"Hannah H"},{"family":"Roder-DeWan","given":"Sanam"},{"family":"Adeyi","given":"Olusoji"},{"family":"Barker","given":"Pierre"},{"family":"Daelmans","given":"Bernadette"},{"family":"Doubova","given":"Svetlana V"},{"family":"English","given":"Mike"},{"family":"Elorrio","given":"Ezequiel García"},{"family":"Guanais","given":"Frederico"},{"family":"Gureje","given":"Oye"},{"family":"Hirschhorn","given":"Lisa R"},{"family":"Jiang","given":"Lixin"},{"family":"Kelley","given":"Edward"},{"family":"Lemango","given":"Ephrem Tekle"},{"family":"Liljestrand","given":"Jerker"},{"family":"Malata","given":"Address"},{"family":"Marchant","given":"Tanya"},{"family":"Matsoso","given":"Malebona Precious"},{"family":"Meara","given":"John G"},{"family":"Mohanan","given":"Manoj"},{"family":"Ndiaye","given":"Youssoupha"},{"family":"Norheim","given":"Ole F"},{"family":"Reddy","given":"K Srinath"},{"family":"Rowe","given":"Alexander K"},{"family":"Salomon","given":"Joshua A"},{"family":"Thapa","given":"Gagan"},{"family":"Twum-Danso","given":"Nana A Y"},{"family":"Pate","given":"Muhammad"}],"issued":{"date-parts":[["2018"]]}}}],"schema":"https://github.com/citation-style-language/schema/raw/master/csl-citation.json"} </w:instrText>
      </w:r>
      <w:r w:rsidR="006D5518" w:rsidRPr="00EA1EDD">
        <w:rPr>
          <w:rFonts w:ascii="Times New Roman" w:eastAsia="Times New Roman" w:hAnsi="Times New Roman" w:cs="Times New Roman"/>
          <w:sz w:val="24"/>
          <w:szCs w:val="24"/>
        </w:rPr>
        <w:fldChar w:fldCharType="separate"/>
      </w:r>
      <w:r w:rsidR="004E6373" w:rsidRPr="004E6373">
        <w:rPr>
          <w:rFonts w:ascii="Times New Roman" w:hAnsi="Times New Roman" w:cs="Times New Roman"/>
          <w:sz w:val="24"/>
        </w:rPr>
        <w:t>[49]</w:t>
      </w:r>
      <w:r w:rsidR="006D5518"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0582FAD2" w14:textId="01D9DBC5" w:rsidR="000B0BE8" w:rsidRPr="00EA1EDD" w:rsidRDefault="000B0BE8" w:rsidP="000B0BE8">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Equally essential is the extension of interoperability beyond national borders. The global nature of infectious disease threats demands a transnational digital surveillance architecture capable of enabling real-time, cross-border data sharing and coordinated action</w:t>
      </w:r>
      <w:r w:rsidR="006D5518" w:rsidRPr="00EA1EDD">
        <w:rPr>
          <w:rFonts w:ascii="Times New Roman" w:eastAsia="Times New Roman" w:hAnsi="Times New Roman" w:cs="Times New Roman"/>
          <w:sz w:val="24"/>
          <w:szCs w:val="24"/>
        </w:rPr>
        <w:fldChar w:fldCharType="begin"/>
      </w:r>
      <w:r w:rsidR="004E6373">
        <w:rPr>
          <w:rFonts w:ascii="Times New Roman" w:eastAsia="Times New Roman" w:hAnsi="Times New Roman" w:cs="Times New Roman"/>
          <w:sz w:val="24"/>
          <w:szCs w:val="24"/>
        </w:rPr>
        <w:instrText xml:space="preserve"> ADDIN ZOTERO_ITEM CSL_CITATION {"citationID":"OJNzqfNS","properties":{"formattedCitation":"[50]","plainCitation":"[50]","noteIndex":0},"citationItems":[{"id":2694,"uris":["http://zotero.org/users/16652950/items/QZIY76BU"],"itemData":{"id":2694,"type":"article-journal","abstract":"The emergence of antimicrobial resistance has necessitated the search for novel therapeutic agents from natural sources. This study evaluated the phytochemical composition of Ficus globosa latex and assessed its antimicrobial activity against selected pathogenic microorganisms. Latex was collected, authenticated, and processed through acetone precipitation followed by drying at 60°C for three weeks. Both fresh and dried latex samples underwent phytochemical screening using standard methods, revealing abundant quantities of resins, steroids, and terpenoids; moderate levels of flavonoids; and trace amounts of fats, oils, and hydrolysable glycosides. Antimicrobial activity was evaluated using the agar well diffusion method against eight pathogenic microorganisms. The dried latex demonstrated significant antimicrobial activity with minimum inhibitory concentrations (MICs) of 3.89 mg/mL against Bacillus subtilis, 14.79 mg/mL against Staphylococcus aureus, and 8.13 mg/mL against Aspergillus niger. In contrast, fresh latex showed activity only against B. subtilis. F. globosa latex exhibits promising antimicrobial activity, particularly against gram-positive bacteria, warranting further investigation for therapeutic applications. The presence of multiple bioactive compounds suggests potential mechanisms for its antimicrobial effects.","container-title":"Path of Science","DOI":"10.22178/pos.115-28","ISSN":"2413-9009, 2413-9009","issue":"3","language":"en","license":"Copyright (c) 2025 Kelechi Wisdom Elechi, Chukwuebuka Duke Igboaka, Bashir Bolaji Tiamiyu, Mary-Jane Ezinne Ugbor, Clinton Arthur, Ogochukwu Mercy Ezeh, Emmanuel Adetunji Faderin, Adepeju K Olowookere, Olabisi Promise Lawal","note":"number: 3","page":"9001-9010","source":"pathofscience.org","title":"Phytochemical Screening of Ficus globosa Latex (Moraceae) as a Source of Novel Antimicrobial Compounds","volume":"11","author":[{"family":"Elechi","given":"Kelechi Wisdom"},{"family":"Igboaka","given":"Chukwuebuka Duke"},{"family":"Tiamiyu","given":"Bashir Bolaji"},{"family":"Ugbor","given":"Mary-Jane Ezinne"},{"family":"Arthur","given":"Clinton"},{"family":"Ezeh","given":"Ogochukwu Mercy"},{"family":"Faderin","given":"Emmanuel Adetunji"},{"family":"Olowookere","given":"Adepeju"},{"family":"Lawal","given":"Olabisi Promise"},{"family":"Elechi","given":"Kelechi Wisdom"},{"family":"Igboaka","given":"Chukwuebuka Duke"},{"family":"Tiamiyu","given":"Bashir Bolaji"},{"family":"Ugbor","given":"Mary-Jane Ezinne"},{"family":"Arthur","given":"Clinton"},{"family":"Ezeh","given":"Ogochukwu Mercy"},{"family":"Faderin","given":"Emmanuel Adetunji"},{"family":"Olowookere","given":"Adepeju"},{"family":"Lawal","given":"Olabisi Promise"}],"issued":{"date-parts":[["2025",3,31]]}}}],"schema":"https://github.com/citation-style-language/schema/raw/master/csl-citation.json"} </w:instrText>
      </w:r>
      <w:r w:rsidR="006D5518" w:rsidRPr="00EA1EDD">
        <w:rPr>
          <w:rFonts w:ascii="Times New Roman" w:eastAsia="Times New Roman" w:hAnsi="Times New Roman" w:cs="Times New Roman"/>
          <w:sz w:val="24"/>
          <w:szCs w:val="24"/>
        </w:rPr>
        <w:fldChar w:fldCharType="separate"/>
      </w:r>
      <w:r w:rsidR="004E6373" w:rsidRPr="004E6373">
        <w:rPr>
          <w:rFonts w:ascii="Times New Roman" w:hAnsi="Times New Roman" w:cs="Times New Roman"/>
          <w:sz w:val="24"/>
        </w:rPr>
        <w:t>[50]</w:t>
      </w:r>
      <w:r w:rsidR="006D5518"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 xml:space="preserve">. Achieving </w:t>
      </w:r>
      <w:r w:rsidRPr="00EA1EDD">
        <w:rPr>
          <w:rFonts w:ascii="Times New Roman" w:eastAsia="Times New Roman" w:hAnsi="Times New Roman" w:cs="Times New Roman"/>
          <w:sz w:val="24"/>
          <w:szCs w:val="24"/>
        </w:rPr>
        <w:lastRenderedPageBreak/>
        <w:t>this vision requires the alignment of technical standards such as FHIR (Fast Healthcare Interoperability Resources) and SNOMED CT, as well as the development of legal agreements and ethical frameworks for cross-jurisdictional data governance. Platforms like the World Health Organization’s Epidemic Intelligence from Open Sources (EIOS) offer promising foundations for such global integration. The concept of a global digital public health commons—a federated yet interconnected network of national surveillance capacities—could significantly enhance early warning systems, reduce fragmentation, and improve the equity and efficacy of global health responses</w:t>
      </w:r>
      <w:r w:rsidR="006D5518" w:rsidRPr="00EA1EDD">
        <w:rPr>
          <w:rFonts w:ascii="Times New Roman" w:eastAsia="Times New Roman" w:hAnsi="Times New Roman" w:cs="Times New Roman"/>
          <w:sz w:val="24"/>
          <w:szCs w:val="24"/>
        </w:rPr>
        <w:fldChar w:fldCharType="begin"/>
      </w:r>
      <w:r w:rsidR="004E6373">
        <w:rPr>
          <w:rFonts w:ascii="Times New Roman" w:eastAsia="Times New Roman" w:hAnsi="Times New Roman" w:cs="Times New Roman"/>
          <w:sz w:val="24"/>
          <w:szCs w:val="24"/>
        </w:rPr>
        <w:instrText xml:space="preserve"> ADDIN ZOTERO_ITEM CSL_CITATION {"citationID":"j93s0327","properties":{"formattedCitation":"[51]","plainCitation":"[51]","noteIndex":0},"citationItems":[{"id":4395,"uris":["http://zotero.org/users/16652950/items/EIS64S4W"],"itemData":{"id":4395,"type":"article-journal","abstract":"The rapid global spread of infectious diseases, epitomized by the recent COVID-19 pandemic, has highlighted the critical need for effective cross-border pandemic management strategies. Digital health passports (DHPs), which securely store and facilitate the sharing of critical health information, including vaccination records and test results, have emerged as a promising solution to enable safe travel and access to essential services and economic activities during pandemics. However, the implementation of DHPs faces several significant challenges, both related to geographical disparities and practical considerations, necessitating a comprehensive approach for successful global adoption. In this narrative review article, we identify and elaborate on the critical geographical and practical barriers that hinder global adoption and the effective utilization of DHPs. Geographical barriers are complex, encompassing disparities in vaccine access, regulatory inconsistencies, differences across countries in data security and users' privacy policies, challenges related to interoperability and standardization, and inadequacies in technological infrastructure and limited access to digital technologies. Practical challenges include the possibility of vaccine contraindications and breakthrough infections, uncertainties surrounding natural immunity, and limitations of standard tests in assessing infection risk. To address geographical disparities and enhance the functionality and interoperability of DHPs, we propose a framework that emphasizes international collaboration to achieve equitable access to vaccines and testing resources. Furthermore, we recommend international cooperation to establish unified vaccine regulatory frameworks, adopting globally accepted standards for data privacy and protection, implementing interoperability protocols, and taking steps to bridge the digital divide. Addressing practical challenges requires a meticulous approach to assessing individual risk and augmenting DHP implementation with rigorous health screenings and personal infection prevention measures. Collectively, these initiatives contribute to the development of robust and inclusive cross-border pandemic management strategies, ultimately promoting a safer and more interconnected global community in the face of current and future pandemics.","container-title":"Globalization and Health","DOI":"10.1186/s12992-023-00998-7","ISSN":"1744-8603","issue":"1","journalAbbreviation":"Globalization and Health","page":"98","source":"BioMed Central","title":"Geographical and practical challenges in the implementation of digital health passports for cross-border COVID-19 pandemic management: a narrative review and framework for solutions","title-short":"Geographical and practical challenges in the implementation of digital health passports for cross-border COVID-19 pandemic management","volume":"19","author":[{"family":"Towett","given":"Gideon"},{"family":"Snead","given":"R. Sterling"},{"family":"Grigoryan","given":"Knarik"},{"family":"Marczika","given":"Julia"}],"issued":{"date-parts":[["2023",12,8]]}}}],"schema":"https://github.com/citation-style-language/schema/raw/master/csl-citation.json"} </w:instrText>
      </w:r>
      <w:r w:rsidR="006D5518" w:rsidRPr="00EA1EDD">
        <w:rPr>
          <w:rFonts w:ascii="Times New Roman" w:eastAsia="Times New Roman" w:hAnsi="Times New Roman" w:cs="Times New Roman"/>
          <w:sz w:val="24"/>
          <w:szCs w:val="24"/>
        </w:rPr>
        <w:fldChar w:fldCharType="separate"/>
      </w:r>
      <w:r w:rsidR="004E6373" w:rsidRPr="004E6373">
        <w:rPr>
          <w:rFonts w:ascii="Times New Roman" w:hAnsi="Times New Roman" w:cs="Times New Roman"/>
          <w:sz w:val="24"/>
        </w:rPr>
        <w:t>[51]</w:t>
      </w:r>
      <w:r w:rsidR="006D5518"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0CDD0483" w14:textId="0BF2255F" w:rsidR="000B0BE8" w:rsidRDefault="000B0BE8" w:rsidP="000B0BE8">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However, building this infrastructure is not only a technical endeavor. It is also a deeply political and ethical challenge. Trust must be cultivated among nations, and equity must be embedded in both design and implementation. Many low-resource countries face structural disadvantages in digital readiness, lacking the tools, infrastructure, and workforce needed to fully participate in a globally integrated system. Without deliberate efforts to address these digital divides, digital surveillance risks replicating or even amplifying the inequalities that public health systems seek to overcome</w:t>
      </w:r>
      <w:r w:rsidR="006D5518" w:rsidRPr="00EA1EDD">
        <w:rPr>
          <w:rFonts w:ascii="Times New Roman" w:eastAsia="Times New Roman" w:hAnsi="Times New Roman" w:cs="Times New Roman"/>
          <w:sz w:val="24"/>
          <w:szCs w:val="24"/>
        </w:rPr>
        <w:fldChar w:fldCharType="begin"/>
      </w:r>
      <w:r w:rsidR="004E6373">
        <w:rPr>
          <w:rFonts w:ascii="Times New Roman" w:eastAsia="Times New Roman" w:hAnsi="Times New Roman" w:cs="Times New Roman"/>
          <w:sz w:val="24"/>
          <w:szCs w:val="24"/>
        </w:rPr>
        <w:instrText xml:space="preserve"> ADDIN ZOTERO_ITEM CSL_CITATION {"citationID":"l1RoZL5V","properties":{"formattedCitation":"[52]","plainCitation":"[52]","noteIndex":0},"citationItems":[{"id":4399,"uris":["http://zotero.org/users/16652950/items/5FAI9PN9"],"itemData":{"id":4399,"type":"article-journal","abstract":"This paper delves into the complexities of global AI regulation and governance, emphasizing the socio-economic repercussions of rapid AI development. It scrutinizes the challenges in creating effective governance structures amidst the AI race, considering diverse global perspectives and policies. The discourse moves beyond specific corporate examples, addressing broader implications and sector-wide impacts of AI on employment, truth discernment, and democratic stability. The analysis focuses on contrasting regulatory approaches across key regions—the United States, European Union, Asia, Africa, and the Americas and thus highlighting the variations and commonalities in strategies and implementations. This comparative study reveals the intricacies and hurdles in formulating a cohesive global policy for AI regulation. Central to the paper is the examination of the dynamic between rapid AI innovation and the slower pace of regulatory and ethical standard-setting. It critically evaluates the advantages and drawbacks of shifting regulatory responsibilities between government bodies and the private sector. In response to these challenges, the discussion proposes an innovative and integrated regulatory model. The model advocates for a collaborative network that blends governmental authority with industry expertise, aiming to establish adaptive, responsive regulations (called “dynamic laws”) that can evolve with technological advancements. The novel approach aims to bridge the gap between rapid AI advancements in the industry and the essential democratic processes of law-making.","container-title":"Discover Artificial Intelligence","DOI":"10.1007/s44163-024-00109-4","ISSN":"2731-0809","issue":"1","journalAbbreviation":"Discov Artif Intell","language":"en","page":"14","source":"Springer Link","title":"Managing the race to the moon: Global policy and governance in Artificial Intelligence regulation—A contemporary overview and an analysis of socioeconomic consequences","title-short":"Managing the race to the moon","volume":"4","author":[{"family":"Walter","given":"Yoshija"}],"issued":{"date-parts":[["2024",2,26]]}}}],"schema":"https://github.com/citation-style-language/schema/raw/master/csl-citation.json"} </w:instrText>
      </w:r>
      <w:r w:rsidR="006D5518" w:rsidRPr="00EA1EDD">
        <w:rPr>
          <w:rFonts w:ascii="Times New Roman" w:eastAsia="Times New Roman" w:hAnsi="Times New Roman" w:cs="Times New Roman"/>
          <w:sz w:val="24"/>
          <w:szCs w:val="24"/>
        </w:rPr>
        <w:fldChar w:fldCharType="separate"/>
      </w:r>
      <w:r w:rsidR="004E6373" w:rsidRPr="004E6373">
        <w:rPr>
          <w:rFonts w:ascii="Times New Roman" w:hAnsi="Times New Roman" w:cs="Times New Roman"/>
          <w:sz w:val="24"/>
        </w:rPr>
        <w:t>[52]</w:t>
      </w:r>
      <w:r w:rsidR="006D5518"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027A0EBD" w14:textId="77777777" w:rsidR="009A41C3" w:rsidRDefault="009A41C3" w:rsidP="009A41C3">
      <w:pPr>
        <w:pStyle w:val="NormalWeb"/>
      </w:pPr>
      <w:r>
        <w:rPr>
          <w:rStyle w:val="Strong"/>
        </w:rPr>
        <w:t>6.0. Future Directions: Gaps and Innovation Needs</w:t>
      </w:r>
    </w:p>
    <w:p w14:paraId="12E4A3C2" w14:textId="77777777" w:rsidR="009A41C3" w:rsidRDefault="009A41C3" w:rsidP="009A41C3">
      <w:pPr>
        <w:pStyle w:val="NormalWeb"/>
      </w:pPr>
      <w:r>
        <w:t>Despite rapid advancements in digital surveillance during the COVID-19 pandemic, several critical gaps remain that must be addressed to enhance future pandemic preparedness.</w:t>
      </w:r>
    </w:p>
    <w:p w14:paraId="686B1633" w14:textId="07A10303" w:rsidR="009A41C3" w:rsidRDefault="009A41C3" w:rsidP="009A41C3">
      <w:pPr>
        <w:pStyle w:val="NormalWeb"/>
      </w:pPr>
      <w:r>
        <w:t xml:space="preserve">First, </w:t>
      </w:r>
      <w:r w:rsidRPr="009A41C3">
        <w:rPr>
          <w:rStyle w:val="Strong"/>
          <w:b w:val="0"/>
          <w:bCs w:val="0"/>
        </w:rPr>
        <w:t>data interoperability remains uneven</w:t>
      </w:r>
      <w:r>
        <w:t xml:space="preserve"> across countries and even within health systems. Many regions still lack the infrastructure or policy alignment needed to implement standards like HL7 FHIR or SNOMED CT at scale. Future innovation should focus on creating </w:t>
      </w:r>
      <w:r w:rsidRPr="009A41C3">
        <w:rPr>
          <w:rStyle w:val="Strong"/>
          <w:b w:val="0"/>
          <w:bCs w:val="0"/>
        </w:rPr>
        <w:t>more</w:t>
      </w:r>
      <w:r>
        <w:rPr>
          <w:rStyle w:val="Strong"/>
        </w:rPr>
        <w:t xml:space="preserve"> </w:t>
      </w:r>
      <w:r w:rsidRPr="009A41C3">
        <w:rPr>
          <w:rStyle w:val="Strong"/>
          <w:b w:val="0"/>
          <w:bCs w:val="0"/>
        </w:rPr>
        <w:t>accessible, open-source, and scalable interoperability tools</w:t>
      </w:r>
      <w:r w:rsidRPr="009A41C3">
        <w:rPr>
          <w:b/>
          <w:bCs/>
        </w:rPr>
        <w:t xml:space="preserve">, </w:t>
      </w:r>
      <w:r>
        <w:t>especially for low-resource settings</w:t>
      </w:r>
      <w:r w:rsidR="001F1DD1">
        <w:fldChar w:fldCharType="begin"/>
      </w:r>
      <w:r w:rsidR="004E6373">
        <w:instrText xml:space="preserve"> ADDIN ZOTERO_ITEM CSL_CITATION {"citationID":"KSZpuM7p","properties":{"formattedCitation":"[53]","plainCitation":"[53]","noteIndex":0},"citationItems":[{"id":4707,"uris":["http://zotero.org/users/16652950/items/6KUI5VFA"],"itemData":{"id":4707,"type":"article-journal","abstract":"With the advent of the digital economy and the aging population, the demand for diversified health care services and innovative care delivery models has been overwhelming. This trend has accelerated the urgency to implement effective and efficient ...","container-title":"JMIR Medical Informatics","DOI":"10.2196/44842","language":"en","note":"PMID: 37603388","page":"e44842","source":"pmc.ncbi.nlm.nih.gov","title":"Designing Interoperable Health Care Services Based on Fast Healthcare Interoperability Resources: Literature Review","title-short":"Designing Interoperable Health Care Services Based on Fast Healthcare Interoperability Resources","volume":"11","author":[{"family":"Nan","given":"Jingwen"},{"family":"Xu","given":"Li-Qun"}],"issued":{"date-parts":[["2023",8,21]]}}}],"schema":"https://github.com/citation-style-language/schema/raw/master/csl-citation.json"} </w:instrText>
      </w:r>
      <w:r w:rsidR="001F1DD1">
        <w:fldChar w:fldCharType="separate"/>
      </w:r>
      <w:r w:rsidR="004E6373" w:rsidRPr="004E6373">
        <w:t>[53]</w:t>
      </w:r>
      <w:r w:rsidR="001F1DD1">
        <w:fldChar w:fldCharType="end"/>
      </w:r>
      <w:r>
        <w:t>.</w:t>
      </w:r>
    </w:p>
    <w:p w14:paraId="6F3FA2BA" w14:textId="3463BD00" w:rsidR="009A41C3" w:rsidRDefault="009A41C3" w:rsidP="009A41C3">
      <w:pPr>
        <w:pStyle w:val="NormalWeb"/>
      </w:pPr>
      <w:r>
        <w:t xml:space="preserve">Second, while AI and machine learning have shown promise in outbreak prediction and risk stratification, their </w:t>
      </w:r>
      <w:r w:rsidRPr="009A41C3">
        <w:rPr>
          <w:rStyle w:val="Strong"/>
          <w:b w:val="0"/>
          <w:bCs w:val="0"/>
        </w:rPr>
        <w:t>integration into routine public health workflows remains limited</w:t>
      </w:r>
      <w:r w:rsidRPr="009A41C3">
        <w:rPr>
          <w:b/>
          <w:bCs/>
        </w:rPr>
        <w:t>.</w:t>
      </w:r>
      <w:r>
        <w:t xml:space="preserve"> Innovations in </w:t>
      </w:r>
      <w:r w:rsidRPr="009A41C3">
        <w:rPr>
          <w:rStyle w:val="Strong"/>
          <w:b w:val="0"/>
          <w:bCs w:val="0"/>
        </w:rPr>
        <w:t>explainable AI</w:t>
      </w:r>
      <w:r>
        <w:t xml:space="preserve"> and </w:t>
      </w:r>
      <w:r w:rsidRPr="009A41C3">
        <w:rPr>
          <w:rStyle w:val="Strong"/>
          <w:b w:val="0"/>
          <w:bCs w:val="0"/>
        </w:rPr>
        <w:t>transparent algorithm governance</w:t>
      </w:r>
      <w:r>
        <w:t xml:space="preserve"> are needed to ensure these tools are both effective and ethically sound</w:t>
      </w:r>
      <w:r w:rsidR="001F1DD1">
        <w:fldChar w:fldCharType="begin"/>
      </w:r>
      <w:r w:rsidR="004E6373">
        <w:instrText xml:space="preserve"> ADDIN ZOTERO_ITEM CSL_CITATION {"citationID":"j02M0V4q","properties":{"formattedCitation":"[54]","plainCitation":"[54]","noteIndex":0},"citationItems":[{"id":4704,"uris":["http://zotero.org/users/16652950/items/B9QG4ZHM"],"itemData":{"id":4704,"type":"article-journal","abstract":"This paper explores the transformative potential of integrating artificial intelligence (AI) in the diagnosis and prognosis of infectious diseases. By analyzing diverse datasets, including clinical symptoms, laboratory results, and imaging data, AI algorithms can significantly enhance early detection and personalized treatment strategies. This paper reviews how AI-driven models improve diagnostic accuracy, predict patient outcomes, and contribute to effective disease management. It also addresses the challenges and ethical considerations associated with AI, including data privacy, algorithmic bias, and equitable access to healthcare. Highlighting case studies and recent advancements, the paper underscores AI's role in revolutionizing infectious disease management and its implications for future healthcare delivery.","container-title":"Interdisciplinary Perspectives on Infectious Diseases","DOI":"10.1155/ipid/6816002","ISSN":"1687-708X","journalAbbreviation":"Interdiscip Perspect Infect Dis","note":"PMID: 40225950\nPMCID: PMC11991796","page":"6816002","source":"PubMed Central","title":"A Critical Review of the Prospect of Integrating Artificial Intelligence in Infectious Disease Diagnosis and Prognosis","volume":"2025","author":[{"family":"Hudu","given":"Shuaibu Abdullahi"},{"family":"Alshrari","given":"Ahmed Subeh"},{"family":"Abu-Shoura","given":"Esra'a Jebreel Ibrahim"},{"family":"Osman","given":"Amira"},{"family":"Jimoh","given":"Abdulgafar Olayiwola"}],"issued":{"date-parts":[["2025",3,6]]}}}],"schema":"https://github.com/citation-style-language/schema/raw/master/csl-citation.json"} </w:instrText>
      </w:r>
      <w:r w:rsidR="001F1DD1">
        <w:fldChar w:fldCharType="separate"/>
      </w:r>
      <w:r w:rsidR="004E6373" w:rsidRPr="004E6373">
        <w:t>[54]</w:t>
      </w:r>
      <w:r w:rsidR="001F1DD1">
        <w:fldChar w:fldCharType="end"/>
      </w:r>
      <w:r>
        <w:t>.</w:t>
      </w:r>
    </w:p>
    <w:p w14:paraId="7752B19A" w14:textId="549E332A" w:rsidR="009A41C3" w:rsidRDefault="009A41C3" w:rsidP="009A41C3">
      <w:pPr>
        <w:pStyle w:val="NormalWeb"/>
      </w:pPr>
      <w:r>
        <w:t xml:space="preserve">Third, </w:t>
      </w:r>
      <w:r w:rsidRPr="009A41C3">
        <w:rPr>
          <w:rStyle w:val="Strong"/>
          <w:b w:val="0"/>
          <w:bCs w:val="0"/>
        </w:rPr>
        <w:t>digital equity is a major concern</w:t>
      </w:r>
      <w:r w:rsidRPr="009A41C3">
        <w:rPr>
          <w:b/>
          <w:bCs/>
        </w:rPr>
        <w:t>.</w:t>
      </w:r>
      <w:r>
        <w:t xml:space="preserve"> Many vulnerable populations lack access to mobile technologies, internet connectivity, or digital literacy, which can lead to exclusion from surveillance systems or biased data outputs. Addressing the </w:t>
      </w:r>
      <w:r w:rsidRPr="009A41C3">
        <w:rPr>
          <w:rStyle w:val="Strong"/>
          <w:b w:val="0"/>
          <w:bCs w:val="0"/>
        </w:rPr>
        <w:t>“digital determinants of health”</w:t>
      </w:r>
      <w:r>
        <w:t xml:space="preserve"> will require targeted investments in digital infrastructure, community engagement, and inclusive design</w:t>
      </w:r>
      <w:r w:rsidR="001F1DD1">
        <w:fldChar w:fldCharType="begin"/>
      </w:r>
      <w:r w:rsidR="004E6373">
        <w:instrText xml:space="preserve"> ADDIN ZOTERO_ITEM CSL_CITATION {"citationID":"8JvLC0U4","properties":{"formattedCitation":"[55]","plainCitation":"[55]","noteIndex":0},"citationItems":[{"id":4711,"uris":["http://zotero.org/users/16652950/items/I6G9ZTCK"],"itemData":{"id":4711,"type":"article-journal","abstract":"In recent years, technology has been increasingly incorporated within healthcare for the provision of safe and efficient delivery of services. Although this can be attributed to the benefits that can be harnessed, digital technology has the potential to exacerbate and reinforce preexisting health disparities. Previous work has highlighted how sociodemographic, economic, and political factors affect individuals’ interactions with digital health systems and are termed social determinants of health [SDOH]. But, there is a paucity of literature addressing how the intrinsic design, implementation, and use of technology interact with SDOH to influence health outcomes. Such interactions are termed digital determinants of health [DDOH]. This paper will, for the first time, propose a definition of DDOH and provide a conceptual model characterizing its influence on healthcare outcomes. Specifically, DDOH is implicit in the design of artificial intelligence systems, mobile phone applications, telemedicine, digital health literacy [DHL], and other forms of digital technology. A better appreciation of DDOH by the various stakeholders at the individual and societal levels can be channeled towards policies that are more digitally inclusive. In tandem with ongoing work to minimize the digital divide caused by existing SDOH, further work is necessary to recognize digital determinants as an important and distinct entity.","container-title":"PLOS Digital Health","DOI":"10.1371/journal.pdig.0000346","ISSN":"2767-3170","issue":"1","journalAbbreviation":"PLOS Digit Health","note":"PMID: 38175828\nPMCID: PMC10766177","page":"e0000346","source":"PubMed Central","title":"An introduction to digital determinants of health","volume":"3","author":[{"family":"Chidambaram","given":"Swathikan"},{"family":"Jain","given":"Bhav"},{"family":"Jain","given":"Urvish"},{"family":"Mwavu","given":"Rogers"},{"family":"Baru","given":"Rama"},{"family":"Thomas","given":"Beena"},{"family":"Greaves","given":"Felix"},{"family":"Jayakumar","given":"Shruti"},{"family":"Jain","given":"Pankaj"},{"family":"Rojo","given":"Marina"},{"family":"Battaglino","given":"Marina Ridao"},{"family":"Meara","given":"John G."},{"family":"Sounderajah","given":"Viknesh"},{"family":"Celi","given":"Leo Anthony"},{"family":"Darzi","given":"Ara"}],"issued":{"date-parts":[["2024",1,4]]}}}],"schema":"https://github.com/citation-style-language/schema/raw/master/csl-citation.json"} </w:instrText>
      </w:r>
      <w:r w:rsidR="001F1DD1">
        <w:fldChar w:fldCharType="separate"/>
      </w:r>
      <w:r w:rsidR="004E6373" w:rsidRPr="004E6373">
        <w:t>[55]</w:t>
      </w:r>
      <w:r w:rsidR="001F1DD1">
        <w:fldChar w:fldCharType="end"/>
      </w:r>
      <w:r>
        <w:t>.</w:t>
      </w:r>
    </w:p>
    <w:p w14:paraId="3A7460D9" w14:textId="217262DC" w:rsidR="009A41C3" w:rsidRDefault="009A41C3" w:rsidP="009A41C3">
      <w:pPr>
        <w:pStyle w:val="NormalWeb"/>
      </w:pPr>
      <w:r>
        <w:lastRenderedPageBreak/>
        <w:t xml:space="preserve">Fourth, there is a pressing need to </w:t>
      </w:r>
      <w:r w:rsidRPr="009A41C3">
        <w:rPr>
          <w:rStyle w:val="Strong"/>
          <w:b w:val="0"/>
          <w:bCs w:val="0"/>
        </w:rPr>
        <w:t>strengthen legal and ethical frameworks</w:t>
      </w:r>
      <w:r w:rsidRPr="009A41C3">
        <w:rPr>
          <w:b/>
          <w:bCs/>
        </w:rPr>
        <w:t xml:space="preserve"> </w:t>
      </w:r>
      <w:r>
        <w:t xml:space="preserve">for cross-border data sharing. While platforms like the WHO's EIOS have made strides, the lack of global consensus on data governance continues to limit timely international collaboration. Future efforts should aim to develop </w:t>
      </w:r>
      <w:r w:rsidRPr="009A41C3">
        <w:rPr>
          <w:rStyle w:val="Strong"/>
          <w:b w:val="0"/>
          <w:bCs w:val="0"/>
        </w:rPr>
        <w:t>binding international agreements</w:t>
      </w:r>
      <w:r w:rsidRPr="009A41C3">
        <w:rPr>
          <w:b/>
          <w:bCs/>
        </w:rPr>
        <w:t xml:space="preserve"> </w:t>
      </w:r>
      <w:r w:rsidRPr="009A41C3">
        <w:t>on</w:t>
      </w:r>
      <w:r>
        <w:t xml:space="preserve"> health data governance that balance privacy with the urgency of public health action</w:t>
      </w:r>
      <w:r w:rsidR="001F1DD1">
        <w:fldChar w:fldCharType="begin"/>
      </w:r>
      <w:r w:rsidR="004E6373">
        <w:instrText xml:space="preserve"> ADDIN ZOTERO_ITEM CSL_CITATION {"citationID":"5fzRBO92","properties":{"formattedCitation":"[56]","plainCitation":"[56]","noteIndex":0},"citationItems":[{"id":4714,"uris":["http://zotero.org/users/16652950/items/VY3Y863H"],"itemData":{"id":4714,"type":"article-journal","abstract":"Background\nIn recent years, there has been a notable uptake in genomic and health-related research activities across the African continent. Similarly, there has been increased introduction of data protection legislation that affects the sharing of personal data such as health data and genomic data, including for research. Many of these statutes have stricter requirements when sharing personal data across borders. Consequently, the cross-border sharing of health data that includes genetic data requires careful navigation of the pertinent data protection legislation, in particular concerning the sharing of such data for research purposes. To help researchers navigate these legal frameworks, 12 African countries were analysed to develop country guides on cross-border data sharing.\n\nResults\nOf the 12 countries that were analysed, ten have data protection laws in place (Botswana, Ghana, Kenya, Malawi, Nigeria, Rwanda, South Africa, Tanzania, Uganda, and Zimbabwe), while two countries (Cameroon and The Gambia) do not. With the exception of Ghana, all countries with data protection statutes or bills had additional requirements to be met when sharing personal data across borders. Consent and adequacy are the most common grounds for justifying the sharing of personal data across borders.\n\nConclusion\nGiven the limitations of the current models of consent, consent is not a suitable basis to transfer large quantities of data for research. Adequacy is a common ground, but there are national differences in the implementation of this ground. Researchers must therefore analyse each national legal framework and make decisions on a case-by-case and country-by-country basis.","container-title":"Research Square","DOI":"10.21203/rs.3.rs-4217849/v1","ISSN":"2693-5015","journalAbbreviation":"Res Sq","note":"PMID: 38699320\nPMCID: PMC11065056","page":"rs.3.rs-4217849","source":"PubMed Central","title":"Cross-border data sharing for research in Africa: An analysis of the data protection and research ethics requirements in 12 jurisdictions","title-short":"Cross-border data sharing for research in Africa","author":[{"family":"Staunton","given":"Ciara"},{"family":"Edgcumbe","given":"Aliki"},{"family":"Abdulrauf","given":"Lukman"},{"family":"Gooden","given":"Amy"},{"family":"Ogendi","given":"Paul"},{"family":"Thaldar","given":"Donrich"}],"issued":{"date-parts":[["2024",4,15]]}}}],"schema":"https://github.com/citation-style-language/schema/raw/master/csl-citation.json"} </w:instrText>
      </w:r>
      <w:r w:rsidR="001F1DD1">
        <w:fldChar w:fldCharType="separate"/>
      </w:r>
      <w:r w:rsidR="004E6373" w:rsidRPr="004E6373">
        <w:t>[56]</w:t>
      </w:r>
      <w:r w:rsidR="001F1DD1">
        <w:fldChar w:fldCharType="end"/>
      </w:r>
      <w:r>
        <w:t>.</w:t>
      </w:r>
    </w:p>
    <w:p w14:paraId="27311A05" w14:textId="583C82C8" w:rsidR="009A41C3" w:rsidRDefault="009A41C3" w:rsidP="009A41C3">
      <w:pPr>
        <w:pStyle w:val="NormalWeb"/>
      </w:pPr>
      <w:r>
        <w:t xml:space="preserve">Lastly, </w:t>
      </w:r>
      <w:r w:rsidRPr="009A41C3">
        <w:rPr>
          <w:rStyle w:val="Strong"/>
          <w:b w:val="0"/>
          <w:bCs w:val="0"/>
        </w:rPr>
        <w:t>surveillance fatigue and declining public trust</w:t>
      </w:r>
      <w:r>
        <w:t xml:space="preserve"> post-pandemic pose new challenges. Future innovation must include </w:t>
      </w:r>
      <w:r w:rsidRPr="009A41C3">
        <w:rPr>
          <w:rStyle w:val="Strong"/>
          <w:b w:val="0"/>
          <w:bCs w:val="0"/>
        </w:rPr>
        <w:t>civic technology strategies</w:t>
      </w:r>
      <w:r>
        <w:t xml:space="preserve"> that prioritize </w:t>
      </w:r>
      <w:r w:rsidRPr="009A41C3">
        <w:rPr>
          <w:rStyle w:val="Strong"/>
          <w:b w:val="0"/>
          <w:bCs w:val="0"/>
        </w:rPr>
        <w:t>public transparency, participatory design, and community accountability mechanisms</w:t>
      </w:r>
      <w:r w:rsidRPr="009A41C3">
        <w:rPr>
          <w:b/>
          <w:bCs/>
        </w:rPr>
        <w:t>.</w:t>
      </w:r>
      <w:r>
        <w:t>By addressing these gaps, future digital public health systems can become more resilient, equitable, and adaptive—not only during emergencies, but as part of everyday public health practice.</w:t>
      </w:r>
    </w:p>
    <w:p w14:paraId="691C0CFD" w14:textId="77777777" w:rsidR="009A41C3" w:rsidRPr="00EA1EDD" w:rsidRDefault="009A41C3" w:rsidP="000B0BE8">
      <w:pPr>
        <w:spacing w:before="100" w:beforeAutospacing="1" w:after="100" w:afterAutospacing="1" w:line="360" w:lineRule="auto"/>
        <w:outlineLvl w:val="2"/>
        <w:rPr>
          <w:rFonts w:ascii="Times New Roman" w:eastAsia="Times New Roman" w:hAnsi="Times New Roman" w:cs="Times New Roman"/>
          <w:sz w:val="24"/>
          <w:szCs w:val="24"/>
        </w:rPr>
      </w:pPr>
    </w:p>
    <w:p w14:paraId="20F30EB4" w14:textId="7954ED37" w:rsidR="00103130" w:rsidRPr="00EA1EDD" w:rsidRDefault="000B0BE8" w:rsidP="000B0BE8">
      <w:pPr>
        <w:spacing w:before="100" w:beforeAutospacing="1" w:after="100" w:afterAutospacing="1" w:line="240" w:lineRule="auto"/>
        <w:outlineLvl w:val="2"/>
        <w:rPr>
          <w:rFonts w:ascii="Times New Roman" w:eastAsia="Times New Roman" w:hAnsi="Times New Roman" w:cs="Times New Roman"/>
          <w:b/>
          <w:bCs/>
          <w:sz w:val="24"/>
          <w:szCs w:val="24"/>
        </w:rPr>
      </w:pPr>
      <w:r w:rsidRPr="00EA1EDD">
        <w:rPr>
          <w:rFonts w:ascii="Times New Roman" w:eastAsia="Times New Roman" w:hAnsi="Times New Roman" w:cs="Times New Roman"/>
          <w:b/>
          <w:bCs/>
          <w:sz w:val="24"/>
          <w:szCs w:val="24"/>
        </w:rPr>
        <w:t>C</w:t>
      </w:r>
      <w:r w:rsidR="00103130" w:rsidRPr="00EA1EDD">
        <w:rPr>
          <w:rFonts w:ascii="Times New Roman" w:eastAsia="Times New Roman" w:hAnsi="Times New Roman" w:cs="Times New Roman"/>
          <w:b/>
          <w:bCs/>
          <w:sz w:val="24"/>
          <w:szCs w:val="24"/>
        </w:rPr>
        <w:t xml:space="preserve">onclusion </w:t>
      </w:r>
    </w:p>
    <w:p w14:paraId="264D4DFB" w14:textId="22B5DF98" w:rsidR="00B30BE1" w:rsidRPr="00EA1EDD" w:rsidRDefault="00B30BE1" w:rsidP="00B30BE1">
      <w:pPr>
        <w:spacing w:line="360" w:lineRule="auto"/>
        <w:rPr>
          <w:rFonts w:ascii="Times New Roman" w:hAnsi="Times New Roman" w:cs="Times New Roman"/>
          <w:sz w:val="24"/>
          <w:szCs w:val="24"/>
        </w:rPr>
      </w:pPr>
      <w:r w:rsidRPr="00EA1EDD">
        <w:rPr>
          <w:rFonts w:ascii="Times New Roman" w:hAnsi="Times New Roman" w:cs="Times New Roman"/>
          <w:sz w:val="24"/>
          <w:szCs w:val="24"/>
        </w:rPr>
        <w:t xml:space="preserve"> </w:t>
      </w:r>
      <w:r w:rsidRPr="00EA1EDD">
        <w:rPr>
          <w:rFonts w:ascii="Times New Roman" w:hAnsi="Times New Roman" w:cs="Times New Roman"/>
          <w:sz w:val="24"/>
          <w:szCs w:val="24"/>
        </w:rPr>
        <w:tab/>
        <w:t>The COVID-19 pandemic did not simply disrupt global health systems; it redefined the infrastructure needed to sustain them. Digital innovation played an indispensable role in managing the crisis, from enabling real-time surveillance and predictive modeling to supporting coordinated public health responses. The lesson is clear: digital technologies are no longer optional enhancements. They are foundational components of 21st-century public health systems. However, technology alone cannot guarantee resilience. To ensure that digital tools serve all populations equitably, ethically, and effectively, strategic governance, sustained investment, and robust cross-sector collaboration are essential</w:t>
      </w:r>
      <w:r w:rsidR="006D5518" w:rsidRPr="00EA1EDD">
        <w:rPr>
          <w:rFonts w:ascii="Times New Roman" w:hAnsi="Times New Roman" w:cs="Times New Roman"/>
          <w:sz w:val="24"/>
          <w:szCs w:val="24"/>
        </w:rPr>
        <w:fldChar w:fldCharType="begin"/>
      </w:r>
      <w:r w:rsidR="004E6373">
        <w:rPr>
          <w:rFonts w:ascii="Times New Roman" w:hAnsi="Times New Roman" w:cs="Times New Roman"/>
          <w:sz w:val="24"/>
          <w:szCs w:val="24"/>
        </w:rPr>
        <w:instrText xml:space="preserve"> ADDIN ZOTERO_ITEM CSL_CITATION {"citationID":"Uun0oDYT","properties":{"formattedCitation":"[57]","plainCitation":"[57]","noteIndex":0},"citationItems":[{"id":4401,"uris":["http://zotero.org/users/16652950/items/9XL24CDS"],"itemData":{"id":4401,"type":"article-journal","container-title":"Department of Sociology: Faculty Publications","source":"COinS","title":"Social Determinants of Health and Aging in Africa: Structural Inequality, Vulnerability, and the Future of Care","title-short":"Social Determinants of Health and Aging in Africa","URL":"https://digitalcommons.unl.edu/sociologyfacpub/867","author":[{"family":"Lukman","given":"Aremu"},{"family":"Folorunsho","given":"Sunkanmi"},{"family":"Taofeeq","given":"Abdulrauf"}],"issued":{"date-parts":[["2025",1,1]]}}}],"schema":"https://github.com/citation-style-language/schema/raw/master/csl-citation.json"} </w:instrText>
      </w:r>
      <w:r w:rsidR="006D5518" w:rsidRPr="00EA1EDD">
        <w:rPr>
          <w:rFonts w:ascii="Times New Roman" w:hAnsi="Times New Roman" w:cs="Times New Roman"/>
          <w:sz w:val="24"/>
          <w:szCs w:val="24"/>
        </w:rPr>
        <w:fldChar w:fldCharType="separate"/>
      </w:r>
      <w:r w:rsidR="004E6373" w:rsidRPr="004E6373">
        <w:rPr>
          <w:rFonts w:ascii="Times New Roman" w:hAnsi="Times New Roman" w:cs="Times New Roman"/>
          <w:sz w:val="24"/>
        </w:rPr>
        <w:t>[57]</w:t>
      </w:r>
      <w:r w:rsidR="006D5518" w:rsidRPr="00EA1EDD">
        <w:rPr>
          <w:rFonts w:ascii="Times New Roman" w:hAnsi="Times New Roman" w:cs="Times New Roman"/>
          <w:sz w:val="24"/>
          <w:szCs w:val="24"/>
        </w:rPr>
        <w:fldChar w:fldCharType="end"/>
      </w:r>
      <w:r w:rsidRPr="00EA1EDD">
        <w:rPr>
          <w:rFonts w:ascii="Times New Roman" w:hAnsi="Times New Roman" w:cs="Times New Roman"/>
          <w:sz w:val="24"/>
          <w:szCs w:val="24"/>
        </w:rPr>
        <w:t>. Countries must move beyond fragmented, ad hoc innovation and instead build integrated, interoperable systems grounded in transparency, informed consent, and public trust. This includes addressing persistent global disparities in digital capacity and establishing reliable mechanisms for coordinated data sharing across borders.</w:t>
      </w:r>
    </w:p>
    <w:p w14:paraId="7EB560CF" w14:textId="786BFC55" w:rsidR="00B30BE1" w:rsidRPr="00EA1EDD" w:rsidRDefault="00B30BE1" w:rsidP="00B30BE1">
      <w:pPr>
        <w:spacing w:line="360" w:lineRule="auto"/>
        <w:rPr>
          <w:rFonts w:ascii="Times New Roman" w:hAnsi="Times New Roman" w:cs="Times New Roman"/>
          <w:sz w:val="24"/>
          <w:szCs w:val="24"/>
        </w:rPr>
      </w:pPr>
      <w:r w:rsidRPr="00EA1EDD">
        <w:rPr>
          <w:rFonts w:ascii="Times New Roman" w:hAnsi="Times New Roman" w:cs="Times New Roman"/>
          <w:sz w:val="24"/>
          <w:szCs w:val="24"/>
        </w:rPr>
        <w:t xml:space="preserve"> </w:t>
      </w:r>
      <w:r w:rsidRPr="00EA1EDD">
        <w:rPr>
          <w:rFonts w:ascii="Times New Roman" w:hAnsi="Times New Roman" w:cs="Times New Roman"/>
          <w:sz w:val="24"/>
          <w:szCs w:val="24"/>
        </w:rPr>
        <w:tab/>
        <w:t>Pandemic preparedness must now be fundamentally reframed. Just as vaccines, diagnostics, and clinical infrastructure are viewed as essential elements of health security, so too must digital data systems be recognized as critical public health infrastructure</w:t>
      </w:r>
      <w:r w:rsidR="006D5518" w:rsidRPr="00EA1EDD">
        <w:rPr>
          <w:rFonts w:ascii="Times New Roman" w:hAnsi="Times New Roman" w:cs="Times New Roman"/>
          <w:sz w:val="24"/>
          <w:szCs w:val="24"/>
        </w:rPr>
        <w:fldChar w:fldCharType="begin"/>
      </w:r>
      <w:r w:rsidR="004E6373">
        <w:rPr>
          <w:rFonts w:ascii="Times New Roman" w:hAnsi="Times New Roman" w:cs="Times New Roman"/>
          <w:sz w:val="24"/>
          <w:szCs w:val="24"/>
        </w:rPr>
        <w:instrText xml:space="preserve"> ADDIN ZOTERO_ITEM CSL_CITATION {"citationID":"7IfleIqy","properties":{"formattedCitation":"[58]","plainCitation":"[58]","noteIndex":0},"citationItems":[{"id":4386,"uris":["http://zotero.org/users/16652950/items/68TB5ECZ"],"itemData":{"id":4386,"type":"article-journal","abstract":"Despite extensive research on social determinants of health, gaps remain in understanding how race and disability intersect to shape health disparities among older adults. This essay examines how s...","archive_location":"world","container-title":"Journal of Aging &amp; Social Policy","language":"EN","license":"© 2025 Taylor &amp; Francis Group, LLC","note":"publisher: Routledge","source":"www.tandfonline.com","title":"The Role of Social Determinants of Health in Shaping Racial and Disability Disparities Among Older Adults in the United States","URL":"https://www.tandfonline.com/doi/abs/10.1080/08959420.2025.2528584","author":[{"family":"Folorunsho","given":"Sunkanmi"}],"accessed":{"date-parts":[["2025",7,9]]},"issued":{"date-parts":[["2025",7,4]]}}}],"schema":"https://github.com/citation-style-language/schema/raw/master/csl-citation.json"} </w:instrText>
      </w:r>
      <w:r w:rsidR="006D5518" w:rsidRPr="00EA1EDD">
        <w:rPr>
          <w:rFonts w:ascii="Times New Roman" w:hAnsi="Times New Roman" w:cs="Times New Roman"/>
          <w:sz w:val="24"/>
          <w:szCs w:val="24"/>
        </w:rPr>
        <w:fldChar w:fldCharType="separate"/>
      </w:r>
      <w:r w:rsidR="004E6373" w:rsidRPr="004E6373">
        <w:rPr>
          <w:rFonts w:ascii="Times New Roman" w:hAnsi="Times New Roman" w:cs="Times New Roman"/>
          <w:sz w:val="24"/>
        </w:rPr>
        <w:t>[58]</w:t>
      </w:r>
      <w:r w:rsidR="006D5518" w:rsidRPr="00EA1EDD">
        <w:rPr>
          <w:rFonts w:ascii="Times New Roman" w:hAnsi="Times New Roman" w:cs="Times New Roman"/>
          <w:sz w:val="24"/>
          <w:szCs w:val="24"/>
        </w:rPr>
        <w:fldChar w:fldCharType="end"/>
      </w:r>
      <w:r w:rsidRPr="00EA1EDD">
        <w:rPr>
          <w:rFonts w:ascii="Times New Roman" w:hAnsi="Times New Roman" w:cs="Times New Roman"/>
          <w:sz w:val="24"/>
          <w:szCs w:val="24"/>
        </w:rPr>
        <w:t>. The crises of the future will test not only our clinical capabilities but also our digital readiness. Rewriting the code of preparedness requires designing systems that are as intelligent, inclusive, and adaptive as the public health challenges we are certain to face.</w:t>
      </w:r>
    </w:p>
    <w:p w14:paraId="07D53E70" w14:textId="1AC8F2CE" w:rsidR="0072225B" w:rsidRPr="00EA1EDD" w:rsidRDefault="0072225B" w:rsidP="00B30BE1">
      <w:pPr>
        <w:spacing w:line="360" w:lineRule="auto"/>
        <w:rPr>
          <w:rFonts w:ascii="Times New Roman" w:hAnsi="Times New Roman" w:cs="Times New Roman"/>
          <w:sz w:val="24"/>
          <w:szCs w:val="24"/>
        </w:rPr>
      </w:pPr>
    </w:p>
    <w:p w14:paraId="3720ABC4" w14:textId="77777777" w:rsidR="00BE2709" w:rsidRDefault="00BE2709" w:rsidP="00BE2709">
      <w:pPr>
        <w:tabs>
          <w:tab w:val="left" w:pos="2696"/>
        </w:tabs>
        <w:rPr>
          <w:rFonts w:ascii="Arial" w:hAnsi="Arial" w:cs="Arial"/>
          <w:sz w:val="20"/>
          <w:szCs w:val="20"/>
        </w:rPr>
      </w:pPr>
      <w:bookmarkStart w:id="1" w:name="_Hlk183685723"/>
      <w:bookmarkStart w:id="2" w:name="_Hlk198899984"/>
      <w:bookmarkStart w:id="3" w:name="_Hlk200717662"/>
    </w:p>
    <w:p w14:paraId="7B6A5FE8" w14:textId="77777777" w:rsidR="00BE2709" w:rsidRPr="00FE7640" w:rsidRDefault="00BE2709" w:rsidP="00BE2709">
      <w:pPr>
        <w:rPr>
          <w:rFonts w:ascii="Calibri" w:hAnsi="Calibri"/>
          <w:kern w:val="2"/>
          <w:highlight w:val="yellow"/>
        </w:rPr>
      </w:pPr>
      <w:bookmarkStart w:id="4" w:name="_Hlk193540946"/>
      <w:bookmarkStart w:id="5" w:name="_Hlk180402183"/>
      <w:bookmarkStart w:id="6" w:name="_Hlk183680988"/>
      <w:bookmarkStart w:id="7" w:name="_Hlk197173371"/>
      <w:bookmarkEnd w:id="1"/>
      <w:r w:rsidRPr="00FE7640">
        <w:rPr>
          <w:rFonts w:ascii="Calibri" w:hAnsi="Calibri"/>
          <w:kern w:val="2"/>
          <w:highlight w:val="yellow"/>
        </w:rPr>
        <w:t>Disclaimer (Artificial intelligence)</w:t>
      </w:r>
    </w:p>
    <w:p w14:paraId="60B15C50" w14:textId="77777777" w:rsidR="00BE2709" w:rsidRPr="009C5487" w:rsidRDefault="00BE2709" w:rsidP="00BE2709">
      <w:pPr>
        <w:rPr>
          <w:rFonts w:ascii="Calibri" w:hAnsi="Calibri"/>
          <w:kern w:val="2"/>
          <w:highlight w:val="yellow"/>
        </w:rPr>
      </w:pPr>
      <w:r w:rsidRPr="009C5487">
        <w:rPr>
          <w:rFonts w:ascii="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F2F4C92" w14:textId="77777777" w:rsidR="00BE2709" w:rsidRPr="009C5487" w:rsidRDefault="00BE2709" w:rsidP="00BE2709">
      <w:pPr>
        <w:rPr>
          <w:rFonts w:ascii="Calibri" w:hAnsi="Calibri"/>
          <w:kern w:val="2"/>
          <w:highlight w:val="yellow"/>
        </w:rPr>
      </w:pPr>
      <w:r w:rsidRPr="009C5487">
        <w:rPr>
          <w:rFonts w:ascii="Calibri" w:hAnsi="Calibri"/>
          <w:kern w:val="2"/>
          <w:highlight w:val="yellow"/>
        </w:rPr>
        <w:t>Details of the AI usage are given below:</w:t>
      </w:r>
    </w:p>
    <w:p w14:paraId="594164E3" w14:textId="5F865966" w:rsidR="00BE2709" w:rsidRPr="00B54A8B" w:rsidRDefault="00A6489B" w:rsidP="00B54A8B">
      <w:pPr>
        <w:rPr>
          <w:rFonts w:ascii="Calibri" w:hAnsi="Calibri"/>
          <w:kern w:val="2"/>
          <w:highlight w:val="yellow"/>
        </w:rPr>
      </w:pPr>
      <w:r w:rsidRPr="00B54A8B">
        <w:rPr>
          <w:rStyle w:val="Strong"/>
          <w:b w:val="0"/>
          <w:bCs w:val="0"/>
        </w:rPr>
        <w:t>Extent of Use</w:t>
      </w:r>
      <w:r>
        <w:t xml:space="preserve">: AI was used for drafting and </w:t>
      </w:r>
      <w:r w:rsidR="00B54A8B">
        <w:t xml:space="preserve">reviewer and </w:t>
      </w:r>
      <w:r>
        <w:t>editorial suggestions only. All content was reviewed, edited, and finalized by the</w:t>
      </w:r>
      <w:r w:rsidR="00B54A8B">
        <w:t xml:space="preserve"> </w:t>
      </w:r>
      <w:r>
        <w:t xml:space="preserve"> authors.</w:t>
      </w:r>
      <w:bookmarkEnd w:id="2"/>
      <w:bookmarkEnd w:id="3"/>
      <w:bookmarkEnd w:id="4"/>
      <w:bookmarkEnd w:id="5"/>
      <w:bookmarkEnd w:id="6"/>
      <w:bookmarkEnd w:id="7"/>
    </w:p>
    <w:p w14:paraId="024CDCDC" w14:textId="59C18257" w:rsidR="0072225B" w:rsidRPr="00B54A8B" w:rsidRDefault="0072225B" w:rsidP="00B30BE1">
      <w:pPr>
        <w:spacing w:line="360" w:lineRule="auto"/>
        <w:rPr>
          <w:rFonts w:ascii="Times New Roman" w:hAnsi="Times New Roman" w:cs="Times New Roman"/>
          <w:b/>
          <w:bCs/>
          <w:sz w:val="24"/>
          <w:szCs w:val="24"/>
        </w:rPr>
      </w:pPr>
    </w:p>
    <w:p w14:paraId="6FB23A11" w14:textId="5AA8B221" w:rsidR="0072225B" w:rsidRPr="00B54A8B" w:rsidRDefault="0072225B" w:rsidP="00B30BE1">
      <w:pPr>
        <w:spacing w:line="360" w:lineRule="auto"/>
        <w:rPr>
          <w:rFonts w:ascii="Times New Roman" w:hAnsi="Times New Roman" w:cs="Times New Roman"/>
          <w:b/>
          <w:bCs/>
          <w:sz w:val="24"/>
          <w:szCs w:val="24"/>
        </w:rPr>
      </w:pPr>
      <w:r w:rsidRPr="00B54A8B">
        <w:rPr>
          <w:rFonts w:ascii="Times New Roman" w:hAnsi="Times New Roman" w:cs="Times New Roman"/>
          <w:b/>
          <w:bCs/>
          <w:sz w:val="24"/>
          <w:szCs w:val="24"/>
        </w:rPr>
        <w:t>REFERENCES</w:t>
      </w:r>
    </w:p>
    <w:p w14:paraId="4F3631FD" w14:textId="77777777" w:rsidR="004E6373" w:rsidRDefault="0072225B" w:rsidP="004E6373">
      <w:pPr>
        <w:pStyle w:val="Bibliography"/>
      </w:pPr>
      <w:r w:rsidRPr="00EA1EDD">
        <w:fldChar w:fldCharType="begin"/>
      </w:r>
      <w:r w:rsidRPr="00EA1EDD">
        <w:instrText xml:space="preserve"> ADDIN ZOTERO_BIBL {"uncited":[],"omitted":[],"custom":[]} CSL_BIBLIOGRAPHY </w:instrText>
      </w:r>
      <w:r w:rsidRPr="00EA1EDD">
        <w:fldChar w:fldCharType="separate"/>
      </w:r>
      <w:r w:rsidR="004E6373">
        <w:t xml:space="preserve">1. </w:t>
      </w:r>
      <w:r w:rsidR="004E6373">
        <w:tab/>
        <w:t xml:space="preserve">Lau DT, Sosa P, Dasgupta N, He H. Impact of the COVID-19 Pandemic on Public Health Surveillance and Survey Data Collections in the United States. Am J Public Health. 2021 Dec;111(12):2118–21. </w:t>
      </w:r>
    </w:p>
    <w:p w14:paraId="6D2891CC" w14:textId="77777777" w:rsidR="004E6373" w:rsidRDefault="004E6373" w:rsidP="004E6373">
      <w:pPr>
        <w:pStyle w:val="Bibliography"/>
      </w:pPr>
      <w:r>
        <w:t xml:space="preserve">2. </w:t>
      </w:r>
      <w:r>
        <w:tab/>
        <w:t>Public Health COVID-19 Impact Assessment: Lessons Learned and Compelling Needs - NAM [Internet]. [cited 2025 Jul 9]. Available from: https://nam.edu/perspectives/public-health-covid-19-impact-assessment-lessons-learned-and-compelling-needs/</w:t>
      </w:r>
    </w:p>
    <w:p w14:paraId="486E259C" w14:textId="77777777" w:rsidR="004E6373" w:rsidRDefault="004E6373" w:rsidP="004E6373">
      <w:pPr>
        <w:pStyle w:val="Bibliography"/>
      </w:pPr>
      <w:r>
        <w:t xml:space="preserve">3. </w:t>
      </w:r>
      <w:r>
        <w:tab/>
        <w:t>Lederberg J. Summary and Assessment. In: Public Health Systems and Emerging Infections: Assessing the Capabilities of the Public and Private Sectors: Workshop Summary [Internet]. National Academies Press (US); 2000 [cited 2025 Jul 9]. Available from: https://www.ncbi.nlm.nih.gov/books/NBK100244/</w:t>
      </w:r>
    </w:p>
    <w:p w14:paraId="44A5BE18" w14:textId="77777777" w:rsidR="004E6373" w:rsidRDefault="004E6373" w:rsidP="004E6373">
      <w:pPr>
        <w:pStyle w:val="Bibliography"/>
      </w:pPr>
      <w:r>
        <w:t xml:space="preserve">4. </w:t>
      </w:r>
      <w:r>
        <w:tab/>
        <w:t>Ahmed MM, Okesanya OJ, Olaleke NO,</w:t>
      </w:r>
      <w:r>
        <w:lastRenderedPageBreak/>
        <w:t xml:space="preserve"> Adigun OA, Adebayo UO, Oso TA, et al. Integrating Digital Health Innovations to Achieve Universal Health Coverage: Promoting Health Outcomes and Quality Through Global Public Health Equity. Healthcare. 2025 May 5;13(9):1060. </w:t>
      </w:r>
    </w:p>
    <w:p w14:paraId="257A7231" w14:textId="77777777" w:rsidR="004E6373" w:rsidRDefault="004E6373" w:rsidP="004E6373">
      <w:pPr>
        <w:pStyle w:val="Bibliography"/>
      </w:pPr>
      <w:r>
        <w:t xml:space="preserve">5. </w:t>
      </w:r>
      <w:r>
        <w:tab/>
        <w:t xml:space="preserve">Bajwa J, Munir U, Nori A, Williams B. Artificial intelligence in healthcare: transforming the practice of medicine. Future Healthc J. 2021 Jul;8(2):e188–94. </w:t>
      </w:r>
    </w:p>
    <w:p w14:paraId="657B829D" w14:textId="77777777" w:rsidR="004E6373" w:rsidRDefault="004E6373" w:rsidP="004E6373">
      <w:pPr>
        <w:pStyle w:val="Bibliography"/>
      </w:pPr>
      <w:r>
        <w:t xml:space="preserve">6. </w:t>
      </w:r>
      <w:r>
        <w:tab/>
        <w:t xml:space="preserve">Ezenwaji CO, Alum EU, Ugwu OPC. The role of digital health in pandemic preparedness and response: securing global health? Glob Health Action. 17(1):2419694. </w:t>
      </w:r>
    </w:p>
    <w:p w14:paraId="4E4E9F72" w14:textId="77777777" w:rsidR="004E6373" w:rsidRDefault="004E6373" w:rsidP="004E6373">
      <w:pPr>
        <w:pStyle w:val="Bibliography"/>
      </w:pPr>
      <w:r>
        <w:t xml:space="preserve">7. </w:t>
      </w:r>
      <w:r>
        <w:tab/>
        <w:t xml:space="preserve">Filip R, Gheorghita Puscaselu R, Anchidin-Norocel L, Dimian M, Savage WK. Global Challenges to Public Health Care Systems during the COVID-19 Pandemic: A Review of Pandemic Measures and Problems. J Pers Med. 2022 Aug 7;12(8):1295. </w:t>
      </w:r>
    </w:p>
    <w:p w14:paraId="3947AD29" w14:textId="77777777" w:rsidR="004E6373" w:rsidRDefault="004E6373" w:rsidP="004E6373">
      <w:pPr>
        <w:pStyle w:val="Bibliography"/>
      </w:pPr>
      <w:r>
        <w:t xml:space="preserve">8. </w:t>
      </w:r>
      <w:r>
        <w:tab/>
        <w:t xml:space="preserve">Lawal OP, Taiye AF, Okafor CE, Elechi KW, Orobator ET, Kolapo TJ, et al. The Automated Insulin Delivery System in Nigeria: Advances, Challenges, And Future Prospects in Closed-Loop Insulin Delivery Systems. Journal of Medical Science, Biology, and Chemistry. 2025 Jun 30;2(1):64–74. </w:t>
      </w:r>
    </w:p>
    <w:p w14:paraId="0DCAC215" w14:textId="77777777" w:rsidR="004E6373" w:rsidRDefault="004E6373" w:rsidP="004E6373">
      <w:pPr>
        <w:pStyle w:val="Bibliography"/>
      </w:pPr>
      <w:r>
        <w:t xml:space="preserve">9. </w:t>
      </w:r>
      <w:r>
        <w:tab/>
        <w:t xml:space="preserve">Satterfield BA, Dikilitas O, Kullo IJ. Leveraging the Electronic Health Record to Address the COVID-19 Pandemic. Mayo Clin Proc. 2021 Jun;96(6):1592–608. </w:t>
      </w:r>
    </w:p>
    <w:p w14:paraId="36845E58" w14:textId="77777777" w:rsidR="004E6373" w:rsidRDefault="004E6373" w:rsidP="004E6373">
      <w:pPr>
        <w:pStyle w:val="Bibliography"/>
      </w:pPr>
      <w:r>
        <w:t xml:space="preserve">10. </w:t>
      </w:r>
      <w:r>
        <w:tab/>
        <w:t xml:space="preserve">Tomines A, Readhead H, Readhead A, Teutsch S. Applications of Electronic Health Information in Public Health: Uses, Opportunities &amp; Barriers. EGEMS (Wash DC). 2013 Oct 28;1(2):1019. </w:t>
      </w:r>
    </w:p>
    <w:p w14:paraId="0F243116" w14:textId="77777777" w:rsidR="004E6373" w:rsidRDefault="004E6373" w:rsidP="004E6373">
      <w:pPr>
        <w:pStyle w:val="Bibliography"/>
      </w:pPr>
      <w:r>
        <w:t xml:space="preserve">11. </w:t>
      </w:r>
      <w:r>
        <w:tab/>
        <w:t xml:space="preserve">Vos JFJ, Boonstra A, Kooistra A, Seelen M, van Offenbeek M. The influence of electronic health record use on collaboration among medical specialties. BMC Health Services Research. 2020 Jul 22;20(1):676. </w:t>
      </w:r>
    </w:p>
    <w:p w14:paraId="7A7BC7AB" w14:textId="77777777" w:rsidR="004E6373" w:rsidRDefault="004E6373" w:rsidP="004E6373">
      <w:pPr>
        <w:pStyle w:val="Bibliography"/>
      </w:pPr>
      <w:r>
        <w:t xml:space="preserve">12. </w:t>
      </w:r>
      <w:r>
        <w:tab/>
        <w:t xml:space="preserve">Chow BWK, Lim YD, Poh RCH, Ko A, Hong GH, Zou SWL, et al. Use of a digital contact tracing system in Singapore to mitigate COVID-19 spread. BMC Public Health. 2023 Nov 16;23(1):2253. </w:t>
      </w:r>
    </w:p>
    <w:p w14:paraId="79A7F18A" w14:textId="77777777" w:rsidR="004E6373" w:rsidRDefault="004E6373" w:rsidP="004E6373">
      <w:pPr>
        <w:pStyle w:val="Bibliography"/>
      </w:pPr>
      <w:r>
        <w:t xml:space="preserve">13. </w:t>
      </w:r>
      <w:r>
        <w:tab/>
        <w:t xml:space="preserve">Hogan K, Macedo B, Macha V, Barman A, Jiang X. Contact Tracing Apps: Lessons Learned on Privacy, Autonomy, and the Need for Detailed and Thoughtful Implementation. JMIR Med Inform. 2021 Jul 19;9(7):e27449. </w:t>
      </w:r>
    </w:p>
    <w:p w14:paraId="3AEA363E" w14:textId="77777777" w:rsidR="004E6373" w:rsidRDefault="004E6373" w:rsidP="004E6373">
      <w:pPr>
        <w:pStyle w:val="Bibliography"/>
      </w:pPr>
      <w:r>
        <w:t xml:space="preserve">14. </w:t>
      </w:r>
      <w:r>
        <w:tab/>
        <w:t xml:space="preserve">Pandit JA, Radin JM, Quer G, Topol EJ. Smartphone apps in the COVID-19 pandemic. Nat Biotechnol. 2022 Jul;40(7):1013–22. </w:t>
      </w:r>
    </w:p>
    <w:p w14:paraId="462FACC8" w14:textId="77777777" w:rsidR="004E6373" w:rsidRDefault="004E6373" w:rsidP="004E6373">
      <w:pPr>
        <w:pStyle w:val="Bibliography"/>
      </w:pPr>
      <w:r>
        <w:t xml:space="preserve">15. </w:t>
      </w:r>
      <w:r>
        <w:tab/>
        <w:t xml:space="preserve">Almeman A. The digital transformation in pharmacy: embracing online platforms and the cosmeceutical paradigm shift. Journal of Health, Population and Nutrition. 2024 May 8;43(1):60. </w:t>
      </w:r>
    </w:p>
    <w:p w14:paraId="2E0460B4" w14:textId="77777777" w:rsidR="004E6373" w:rsidRDefault="004E6373" w:rsidP="004E6373">
      <w:pPr>
        <w:pStyle w:val="Bibliography"/>
      </w:pPr>
      <w:r>
        <w:t xml:space="preserve">16. </w:t>
      </w:r>
      <w:r>
        <w:tab/>
        <w:t xml:space="preserve">Abdul Taib NA, Baha Raja D, Teo AKJ, Kamarulzaman A, William T, Hs AS, et al. Characterisation of COVID-19 deaths by vaccination types and status in Malaysia between February and September 2021. Lancet Reg Health West Pac. 2022 Jan;18:100354. </w:t>
      </w:r>
    </w:p>
    <w:p w14:paraId="78FEB061" w14:textId="77777777" w:rsidR="004E6373" w:rsidRDefault="004E6373" w:rsidP="004E6373">
      <w:pPr>
        <w:pStyle w:val="Bibliography"/>
      </w:pPr>
      <w:r>
        <w:t xml:space="preserve">17. </w:t>
      </w:r>
      <w:r>
        <w:tab/>
        <w:t>Asimakopoulos G, Antonopoulou H, Giotopoulos K, Halkiopoulos C. Impact of Information and Communication Technologies on Democratic Processes and Citizen Participation. Societies. 2025 Fe</w:t>
      </w:r>
      <w:r>
        <w:lastRenderedPageBreak/>
        <w:t xml:space="preserve">b;15(2):40. </w:t>
      </w:r>
    </w:p>
    <w:p w14:paraId="5DC17505" w14:textId="77777777" w:rsidR="004E6373" w:rsidRDefault="004E6373" w:rsidP="004E6373">
      <w:pPr>
        <w:pStyle w:val="Bibliography"/>
      </w:pPr>
      <w:r>
        <w:t xml:space="preserve">18. </w:t>
      </w:r>
      <w:r>
        <w:tab/>
        <w:t xml:space="preserve">Junaid SB, Imam AA, Balogun AO, Silva LCD, Surakat YA, Kumar G, et al. Recent Advancements in Emerging Technologies for Healthcare Management Systems: A Survey. Healthcare. 2022 Oct 3;10(10):1940. </w:t>
      </w:r>
    </w:p>
    <w:p w14:paraId="61B31D5A" w14:textId="77777777" w:rsidR="004E6373" w:rsidRDefault="004E6373" w:rsidP="004E6373">
      <w:pPr>
        <w:pStyle w:val="Bibliography"/>
      </w:pPr>
      <w:r>
        <w:t xml:space="preserve">19. </w:t>
      </w:r>
      <w:r>
        <w:tab/>
        <w:t xml:space="preserve">Zeng D, Cao Z, Neill DB. Artificial intelligence–enabled public health surveillance—from local detection to global epidemic monitoring and control. Artificial Intelligence in Medicine. 2020 Sep 11;437. </w:t>
      </w:r>
    </w:p>
    <w:p w14:paraId="2F79EC0C" w14:textId="77777777" w:rsidR="004E6373" w:rsidRDefault="004E6373" w:rsidP="004E6373">
      <w:pPr>
        <w:pStyle w:val="Bibliography"/>
      </w:pPr>
      <w:r>
        <w:t xml:space="preserve">20. </w:t>
      </w:r>
      <w:r>
        <w:tab/>
        <w:t xml:space="preserve">Vorisek CN, Lehne M, Klopfenstein SAI, Mayer PJ, Bartschke A, Haese T, et al. Fast Healthcare Interoperability Resources (FHIR) for Interoperability in Health Research: Systematic Review. JMIR Med Inform. 2022 Jul 19;10(7):e35724. </w:t>
      </w:r>
    </w:p>
    <w:p w14:paraId="736166D7" w14:textId="77777777" w:rsidR="004E6373" w:rsidRDefault="004E6373" w:rsidP="004E6373">
      <w:pPr>
        <w:pStyle w:val="Bibliography"/>
      </w:pPr>
      <w:r>
        <w:t xml:space="preserve">21. </w:t>
      </w:r>
      <w:r>
        <w:tab/>
        <w:t xml:space="preserve">Torab-Miandoab A, Samad-Soltani T, Jodati A, Rezaei-Hachesu P. Interoperability of heterogeneous health information systems: a systematic literature review. BMC Med Inform Decis Mak. 2023 Jan 24;23:18. </w:t>
      </w:r>
    </w:p>
    <w:p w14:paraId="7AB3482D" w14:textId="77777777" w:rsidR="004E6373" w:rsidRDefault="004E6373" w:rsidP="004E6373">
      <w:pPr>
        <w:pStyle w:val="Bibliography"/>
      </w:pPr>
      <w:r>
        <w:t xml:space="preserve">22. </w:t>
      </w:r>
      <w:r>
        <w:tab/>
        <w:t xml:space="preserve">Cao Z, Liu C, Peng C, Ran Y, Yao Y, Xiao G, et al. Ebola virus VP35 perturbs type I interferon signaling to facilitate viral replication. Virol Sin. 2023 Oct 13;38(6):922–30. </w:t>
      </w:r>
    </w:p>
    <w:p w14:paraId="4AE4F323" w14:textId="77777777" w:rsidR="004E6373" w:rsidRDefault="004E6373" w:rsidP="004E6373">
      <w:pPr>
        <w:pStyle w:val="Bibliography"/>
      </w:pPr>
      <w:r>
        <w:t xml:space="preserve">23. </w:t>
      </w:r>
      <w:r>
        <w:tab/>
        <w:t xml:space="preserve">Jahn B, Friedrich S, Behnke J, Engel J, Garczarek U, Münnich R, et al. On the role of data, statistics and decisions in a pandemic. AStA Adv Stat Anal. 2022 Sep 1;106(3):349–82. </w:t>
      </w:r>
    </w:p>
    <w:p w14:paraId="4C506B3E" w14:textId="77777777" w:rsidR="004E6373" w:rsidRDefault="004E6373" w:rsidP="004E6373">
      <w:pPr>
        <w:pStyle w:val="Bibliography"/>
      </w:pPr>
      <w:r>
        <w:t xml:space="preserve">24. </w:t>
      </w:r>
      <w:r>
        <w:tab/>
        <w:t xml:space="preserve">Tsai CH, Eghdam A, Davoody N, Wright G, Flowerday S, Koch S. Effects of Electronic Health Record Implementation and Barriers to Adoption and Use: A Scoping Review and Qualitative Analysis of the Content. Life (Basel). 2020 Dec 4;10(12):327. </w:t>
      </w:r>
    </w:p>
    <w:p w14:paraId="442F0815" w14:textId="77777777" w:rsidR="004E6373" w:rsidRDefault="004E6373" w:rsidP="004E6373">
      <w:pPr>
        <w:pStyle w:val="Bibliography"/>
      </w:pPr>
      <w:r>
        <w:t xml:space="preserve">25. </w:t>
      </w:r>
      <w:r>
        <w:tab/>
        <w:t xml:space="preserve">Evans RS. Electronic Health Records: Then, Now, and in the Future. Yearb Med Inform. 2016 May 20;(Suppl 1):S48–61. </w:t>
      </w:r>
    </w:p>
    <w:p w14:paraId="5B55F04F" w14:textId="77777777" w:rsidR="004E6373" w:rsidRDefault="004E6373" w:rsidP="004E6373">
      <w:pPr>
        <w:pStyle w:val="Bibliography"/>
      </w:pPr>
      <w:r>
        <w:t xml:space="preserve">26. </w:t>
      </w:r>
      <w:r>
        <w:tab/>
        <w:t xml:space="preserve">Bernier A, Molnár-Gábor F, Knoppers BM. The international data governance landscape. J Law Biosci. 2022 Apr 4;9(1):lsac005. </w:t>
      </w:r>
    </w:p>
    <w:p w14:paraId="0AF0E902" w14:textId="77777777" w:rsidR="004E6373" w:rsidRDefault="004E6373" w:rsidP="004E6373">
      <w:pPr>
        <w:pStyle w:val="Bibliography"/>
      </w:pPr>
      <w:r>
        <w:t xml:space="preserve">27. </w:t>
      </w:r>
      <w:r>
        <w:tab/>
        <w:t xml:space="preserve">Tacconelli E, Gorska A, Carrara E, Davis RJ, Bonten M, Friedrich AW, et al. Challenges of data sharing in European Covid-19 projects: A learning opportunity for advancing pandemic preparedness and response. The Lancet Regional Health - Europe. 2022 Oct 1;21:100467. </w:t>
      </w:r>
    </w:p>
    <w:p w14:paraId="5727B131" w14:textId="77777777" w:rsidR="004E6373" w:rsidRDefault="004E6373" w:rsidP="004E6373">
      <w:pPr>
        <w:pStyle w:val="Bibliography"/>
      </w:pPr>
      <w:r>
        <w:t xml:space="preserve">28. </w:t>
      </w:r>
      <w:r>
        <w:tab/>
        <w:t xml:space="preserve">Lal A, Abdalla SM, Chattu VK, Erondu NA, Lee TL, Singh S, et al. Pandemic preparedness and response: exploring the role of universal health coverage within the global health security architecture. Lancet Glob Health. 2022 Nov;10(11):e1675–83. </w:t>
      </w:r>
    </w:p>
    <w:p w14:paraId="28C578DF" w14:textId="77777777" w:rsidR="004E6373" w:rsidRDefault="004E6373" w:rsidP="004E6373">
      <w:pPr>
        <w:pStyle w:val="Bibliography"/>
      </w:pPr>
      <w:r>
        <w:t xml:space="preserve">29. </w:t>
      </w:r>
      <w:r>
        <w:tab/>
        <w:t xml:space="preserve">Lawal OP, Egwuatu EC, Akanbi KO, Orobator ET, Eweje OZ, Omotayo EO, et al. Fighting Resistance With Data: Leveraging Digital Surveillance to Address Antibiotic Misuse in Nigeria. Path of Science. 2025 Mar 31;11(3):1009–17. </w:t>
      </w:r>
    </w:p>
    <w:p w14:paraId="3ABAD535" w14:textId="77777777" w:rsidR="004E6373" w:rsidRDefault="004E6373" w:rsidP="004E6373">
      <w:pPr>
        <w:pStyle w:val="Bibliography"/>
      </w:pPr>
      <w:r>
        <w:t xml:space="preserve">30. </w:t>
      </w:r>
      <w:r>
        <w:tab/>
        <w:t xml:space="preserve">Donelle L, Comer L, Hiebert B, Hall J, Shelley JJ, Smith MJ, et al. Use of digital technologies for public health surveillance during the COVID-19 pandemic: A scoping review. Digit Health. 2023 May 17;9:20552076231173220. </w:t>
      </w:r>
    </w:p>
    <w:p w14:paraId="2C92360F" w14:textId="77777777" w:rsidR="004E6373" w:rsidRDefault="004E6373" w:rsidP="004E6373">
      <w:pPr>
        <w:pStyle w:val="Bibliography"/>
      </w:pPr>
      <w:r>
        <w:t xml:space="preserve">31. </w:t>
      </w:r>
      <w:r>
        <w:tab/>
        <w:t>Lawal OP, Igwe EP, Olosunde A, Chisom EP, Okeh DU, Olowookere AK, et al. Integrating Real-Time Data and Machine Learning in Predicting Infectious Disease Outbreaks: Enhancing</w:t>
      </w:r>
      <w:r>
        <w:lastRenderedPageBreak/>
        <w:t xml:space="preserve"> Response Strategies in Sub-Saharan Africa. Asian Journal of Microbiology and Biotechnology. 2025 May 28;10(1):147–63. </w:t>
      </w:r>
    </w:p>
    <w:p w14:paraId="0030B532" w14:textId="77777777" w:rsidR="004E6373" w:rsidRDefault="004E6373" w:rsidP="004E6373">
      <w:pPr>
        <w:pStyle w:val="Bibliography"/>
      </w:pPr>
      <w:r>
        <w:t xml:space="preserve">32. </w:t>
      </w:r>
      <w:r>
        <w:tab/>
        <w:t xml:space="preserve">Hogan K, Macedo B, Macha V, Barman A, Jiang X. Contact Tracing Apps: Lessons Learned on Privacy, Autonomy, and the Need for Detailed and Thoughtful Implementation. JMIR Med Inform. 2021 Jul 19;9(7):e27449. </w:t>
      </w:r>
    </w:p>
    <w:p w14:paraId="67A3E72C" w14:textId="77777777" w:rsidR="004E6373" w:rsidRDefault="004E6373" w:rsidP="004E6373">
      <w:pPr>
        <w:pStyle w:val="Bibliography"/>
      </w:pPr>
      <w:r>
        <w:t xml:space="preserve">33. </w:t>
      </w:r>
      <w:r>
        <w:tab/>
        <w:t xml:space="preserve">Lawal O, Oyebamiji HO, Kelenna IJ, Chioma FJ, Oyefeso E, Adeyemi BI, et al. A Review on Usage of Digital Health Literacy to Combat Antibiotic Misuse and Misinformation in Nigeria: Review Article. Journal of Pharma Insights and Research. 2025 Apr 5;3(2):258–69. </w:t>
      </w:r>
    </w:p>
    <w:p w14:paraId="15E8830B" w14:textId="77777777" w:rsidR="004E6373" w:rsidRDefault="004E6373" w:rsidP="004E6373">
      <w:pPr>
        <w:pStyle w:val="Bibliography"/>
      </w:pPr>
      <w:r>
        <w:t xml:space="preserve">34. </w:t>
      </w:r>
      <w:r>
        <w:tab/>
        <w:t xml:space="preserve">Onwuemelem LA, Orobator ET, Onyedum NN, Chibueze ES, Kanu I, Christopher AA, et al. Molecular Mechanisms of Clonal Hematopoiesis in Age-Related Cardiovascular Disease and Hematologic Malignancies: Review Article. Journal of Pharma Insights and Research. 2025 Apr 5;3(2):358–72. </w:t>
      </w:r>
    </w:p>
    <w:p w14:paraId="13F7E8C2" w14:textId="77777777" w:rsidR="004E6373" w:rsidRDefault="004E6373" w:rsidP="004E6373">
      <w:pPr>
        <w:pStyle w:val="Bibliography"/>
      </w:pPr>
      <w:r>
        <w:t xml:space="preserve">35. </w:t>
      </w:r>
      <w:r>
        <w:tab/>
        <w:t xml:space="preserve">Seberger JS, Patil S. Post-COVID Public Health Surveillance and Privacy Expectations in the United States: Scenario-Based Interview Study. JMIR Mhealth Uhealth. 2021 Oct 5;9(10):e30871. </w:t>
      </w:r>
    </w:p>
    <w:p w14:paraId="28A910F4" w14:textId="77777777" w:rsidR="004E6373" w:rsidRDefault="004E6373" w:rsidP="004E6373">
      <w:pPr>
        <w:pStyle w:val="Bibliography"/>
      </w:pPr>
      <w:r>
        <w:t xml:space="preserve">36. </w:t>
      </w:r>
      <w:r>
        <w:tab/>
        <w:t xml:space="preserve">Wang X, Wu YC, Zhou M, Fu H. Beyond surveillance: privacy, ethics, and regulations in face recognition technology. Front Big Data. 2024 Jul 3;7:1337465. </w:t>
      </w:r>
    </w:p>
    <w:p w14:paraId="78FC1623" w14:textId="77777777" w:rsidR="004E6373" w:rsidRDefault="004E6373" w:rsidP="004E6373">
      <w:pPr>
        <w:pStyle w:val="Bibliography"/>
      </w:pPr>
      <w:r>
        <w:t xml:space="preserve">37. </w:t>
      </w:r>
      <w:r>
        <w:tab/>
        <w:t xml:space="preserve">Folorunsho S, Ajayi V, Sanmori M, Suleiman M, Abdullateef R, Abdulganiyu A. Access to and Utilization of Dental Care Services by Older Adults in Nigeria: Barriers and Facilitators. Special Care in Dentistry. 2025;45(3):e70040. </w:t>
      </w:r>
    </w:p>
    <w:p w14:paraId="79EA3113" w14:textId="77777777" w:rsidR="004E6373" w:rsidRDefault="004E6373" w:rsidP="004E6373">
      <w:pPr>
        <w:pStyle w:val="Bibliography"/>
      </w:pPr>
      <w:r>
        <w:t xml:space="preserve">38. </w:t>
      </w:r>
      <w:r>
        <w:tab/>
        <w:t xml:space="preserve">Tschider C, Compagnucci MC, Minssen T. The new EU–US data protection framework’s implications for healthcare. Journal of Law and the Biosciences. 2024 Sep 27;11(2):lsae022. </w:t>
      </w:r>
    </w:p>
    <w:p w14:paraId="2869A98E" w14:textId="77777777" w:rsidR="004E6373" w:rsidRDefault="004E6373" w:rsidP="004E6373">
      <w:pPr>
        <w:pStyle w:val="Bibliography"/>
      </w:pPr>
      <w:r>
        <w:t xml:space="preserve">39. </w:t>
      </w:r>
      <w:r>
        <w:tab/>
        <w:t xml:space="preserve">McGraw D, Mandl KD. Privacy protections to encourage use of health-relevant digital data in a learning health system. NPJ Digit Med. 2021 Jan 4;4:2. </w:t>
      </w:r>
    </w:p>
    <w:p w14:paraId="789A659A" w14:textId="77777777" w:rsidR="004E6373" w:rsidRDefault="004E6373" w:rsidP="004E6373">
      <w:pPr>
        <w:pStyle w:val="Bibliography"/>
      </w:pPr>
      <w:r>
        <w:t xml:space="preserve">40. </w:t>
      </w:r>
      <w:r>
        <w:tab/>
        <w:t>Bolgouras V, Zarras A, Leka C, Stylianou I, Farao A, Xenakis C. Eu regulatory ecosystem for ethical AI. AI Ethics [Internet]. 2025 Jun 2 [cited 2025 Jul 9]; Available from: https://doi.org/10.1007/s43681-025-00749-x</w:t>
      </w:r>
    </w:p>
    <w:p w14:paraId="5638CDEA" w14:textId="77777777" w:rsidR="004E6373" w:rsidRDefault="004E6373" w:rsidP="004E6373">
      <w:pPr>
        <w:pStyle w:val="Bibliography"/>
      </w:pPr>
      <w:r>
        <w:t xml:space="preserve">41. </w:t>
      </w:r>
      <w:r>
        <w:tab/>
        <w:t xml:space="preserve">Wacksman J. Digitalization of contact tracing: balancing data privacy with public health benefit. Ethics Inf Technol. 2021;23(4):855–61. </w:t>
      </w:r>
    </w:p>
    <w:p w14:paraId="5C406558" w14:textId="77777777" w:rsidR="004E6373" w:rsidRDefault="004E6373" w:rsidP="004E6373">
      <w:pPr>
        <w:pStyle w:val="Bibliography"/>
      </w:pPr>
      <w:r>
        <w:t xml:space="preserve">42. </w:t>
      </w:r>
      <w:r>
        <w:tab/>
        <w:t xml:space="preserve">Okafor CE, Egwuatu EC, Owosagba VA, Njei T, Adeyemi BI, Onuche PUO, et al. From Bench to Bedside: Medicinal Chemistry Strategies in the Development of Kinase Inhibitors for Cancer Therapy. Journal of Cancer and Tumor International. 2025 May 10;15(2):79–96. </w:t>
      </w:r>
    </w:p>
    <w:p w14:paraId="2D7CCAEB" w14:textId="77777777" w:rsidR="004E6373" w:rsidRDefault="004E6373" w:rsidP="004E6373">
      <w:pPr>
        <w:pStyle w:val="Bibliography"/>
      </w:pPr>
      <w:r>
        <w:t xml:space="preserve">43. </w:t>
      </w:r>
      <w:r>
        <w:tab/>
        <w:t xml:space="preserve">Anastasiadou O, Tsipouras M, Mpogiatzidis P, Angelidis P. Digital Healthcare Innovative Services in Times of Crisis: A Literature Review. Healthcare (Basel). 2025 Apr 12;13(8):889. </w:t>
      </w:r>
    </w:p>
    <w:p w14:paraId="27816D11" w14:textId="77777777" w:rsidR="004E6373" w:rsidRDefault="004E6373" w:rsidP="004E6373">
      <w:pPr>
        <w:pStyle w:val="Bibliography"/>
      </w:pPr>
      <w:r>
        <w:t xml:space="preserve">44. </w:t>
      </w:r>
      <w:r>
        <w:tab/>
        <w:t>Ayomide IT, Promise LO, Christopher AA, Okikiola PP, Esther AD, Favour AC, et al. The Impact of Antimicrobial Resistance on Co-INFECTIONS: Management St</w:t>
      </w:r>
      <w:r>
        <w:lastRenderedPageBreak/>
        <w:t xml:space="preserve">rategies for HIV, TB and Malaria. International Journal of Pathogen Research. 2024 Nov;13(6):117–28. </w:t>
      </w:r>
    </w:p>
    <w:p w14:paraId="2B41FAE5" w14:textId="77777777" w:rsidR="004E6373" w:rsidRDefault="004E6373" w:rsidP="004E6373">
      <w:pPr>
        <w:pStyle w:val="Bibliography"/>
      </w:pPr>
      <w:r>
        <w:t xml:space="preserve">45. </w:t>
      </w:r>
      <w:r>
        <w:tab/>
        <w:t xml:space="preserve">Folorunsho S, Ajayi V, Abdulrazaq O. Juvenile delinquency as a contemporary issue in Nigeria: understanding the impacts of parenting styles, single parenting and marital discord. African Journal of Social Issues. 2024 Mar 23;7(1):116–32. </w:t>
      </w:r>
    </w:p>
    <w:p w14:paraId="1D42F53E" w14:textId="77777777" w:rsidR="004E6373" w:rsidRDefault="004E6373" w:rsidP="004E6373">
      <w:pPr>
        <w:pStyle w:val="Bibliography"/>
      </w:pPr>
      <w:r>
        <w:t xml:space="preserve">46. </w:t>
      </w:r>
      <w:r>
        <w:tab/>
        <w:t xml:space="preserve">Oseghale ID, Lawal OP, Ubebe DO, Orjiewulu VC, Igunma AA, Odey OP, et al. Ethnomedicinal and Phytopharmacological Aspects of Vernonia amygdalina (Bitter Leaf) Utilized as a Traditional Medicinal Herb. Asian Journal of Research in Biochemistry. 2024 Oct 14;14(6):41–57. </w:t>
      </w:r>
    </w:p>
    <w:p w14:paraId="2CC6FB08" w14:textId="77777777" w:rsidR="004E6373" w:rsidRDefault="004E6373" w:rsidP="004E6373">
      <w:pPr>
        <w:pStyle w:val="Bibliography"/>
      </w:pPr>
      <w:r>
        <w:t xml:space="preserve">47. </w:t>
      </w:r>
      <w:r>
        <w:tab/>
        <w:t xml:space="preserve">Kostkova P, Saigí-Rubió F, Eguia H, Borbolla D, Verschuuren M, Hamilton C, et al. Data and Digital Solutions to Support Surveillance Strategies in the Context of the COVID-19 Pandemic. Front Digit Health. 2021 Aug 6;3:707902. </w:t>
      </w:r>
    </w:p>
    <w:p w14:paraId="68991B86" w14:textId="77777777" w:rsidR="004E6373" w:rsidRDefault="004E6373" w:rsidP="004E6373">
      <w:pPr>
        <w:pStyle w:val="Bibliography"/>
      </w:pPr>
      <w:r>
        <w:t xml:space="preserve">48. </w:t>
      </w:r>
      <w:r>
        <w:tab/>
        <w:t xml:space="preserve">Bedi JS, Vijay D, Dhaka P, Gill JPS, Barbuddhe SB. Emergency preparedness for public health threats, surveillance, modelling &amp; forecasting. The Indian Journal of Medical Research. 2021 Mar;153(3):287. </w:t>
      </w:r>
    </w:p>
    <w:p w14:paraId="54C1D7AB" w14:textId="77777777" w:rsidR="004E6373" w:rsidRDefault="004E6373" w:rsidP="004E6373">
      <w:pPr>
        <w:pStyle w:val="Bibliography"/>
      </w:pPr>
      <w:r>
        <w:t xml:space="preserve">49. </w:t>
      </w:r>
      <w:r>
        <w:tab/>
        <w:t xml:space="preserve">Kruk ME, Gage AD, Arsenault C, Jordan K, Leslie HH, Roder-DeWan S, et al. High-quality health systems in the Sustainable Development Goals era: time for a revolution. Lancet Glob Health. 2018;6:e1196–252. </w:t>
      </w:r>
    </w:p>
    <w:p w14:paraId="2B7B9BDB" w14:textId="77777777" w:rsidR="004E6373" w:rsidRDefault="004E6373" w:rsidP="004E6373">
      <w:pPr>
        <w:pStyle w:val="Bibliography"/>
      </w:pPr>
      <w:r>
        <w:t xml:space="preserve">50. </w:t>
      </w:r>
      <w:r>
        <w:tab/>
        <w:t xml:space="preserve">Elechi KW, Igboaka CD, Tiamiyu BB, Ugbor MJE, Arthur C, Ezeh OM, et al. Phytochemical Screening of Ficus globosa Latex (Moraceae) as a Source of Novel Antimicrobial Compounds. Path of Science. 2025 Mar 31;11(3):9001–10. </w:t>
      </w:r>
    </w:p>
    <w:p w14:paraId="4016E724" w14:textId="77777777" w:rsidR="004E6373" w:rsidRDefault="004E6373" w:rsidP="004E6373">
      <w:pPr>
        <w:pStyle w:val="Bibliography"/>
      </w:pPr>
      <w:r>
        <w:t xml:space="preserve">51. </w:t>
      </w:r>
      <w:r>
        <w:tab/>
        <w:t xml:space="preserve">Towett G, Snead RS, Grigoryan K, Marczika J. Geographical and practical challenges in the implementation of digital health passports for cross-border COVID-19 pandemic management: a narrative review and framework for solutions. Globalization and Health. 2023 Dec 8;19(1):98. </w:t>
      </w:r>
    </w:p>
    <w:p w14:paraId="49AE2DF7" w14:textId="77777777" w:rsidR="004E6373" w:rsidRDefault="004E6373" w:rsidP="004E6373">
      <w:pPr>
        <w:pStyle w:val="Bibliography"/>
      </w:pPr>
      <w:r>
        <w:t xml:space="preserve">52. </w:t>
      </w:r>
      <w:r>
        <w:tab/>
        <w:t xml:space="preserve">Walter Y. Managing the race to the moon: Global policy and governance in Artificial Intelligence regulation—A contemporary overview and an analysis of socioeconomic consequences. Discov Artif Intell. 2024 Feb 26;4(1):14. </w:t>
      </w:r>
    </w:p>
    <w:p w14:paraId="3A26270F" w14:textId="77777777" w:rsidR="004E6373" w:rsidRDefault="004E6373" w:rsidP="004E6373">
      <w:pPr>
        <w:pStyle w:val="Bibliography"/>
      </w:pPr>
      <w:r>
        <w:t xml:space="preserve">53. </w:t>
      </w:r>
      <w:r>
        <w:tab/>
        <w:t xml:space="preserve">Nan J, Xu LQ. Designing Interoperable Health Care Services Based on Fast Healthcare Interoperability Resources: Literature Review. JMIR Medical Informatics. 2023 Aug 21;11:e44842. </w:t>
      </w:r>
    </w:p>
    <w:p w14:paraId="64B54B7B" w14:textId="77777777" w:rsidR="004E6373" w:rsidRDefault="004E6373" w:rsidP="004E6373">
      <w:pPr>
        <w:pStyle w:val="Bibliography"/>
      </w:pPr>
      <w:r>
        <w:t xml:space="preserve">54. </w:t>
      </w:r>
      <w:r>
        <w:tab/>
        <w:t xml:space="preserve">Hudu SA, Alshrari AS, Abu-Shoura EJI, Osman A, Jimoh AO. A Critical Review of the Prospect of Integrating Artificial Intelligence in Infectious Disease Diagnosis and Prognosis. Interdiscip Perspect Infect Dis. 2025 Mar 6;2025:6816002. </w:t>
      </w:r>
    </w:p>
    <w:p w14:paraId="1A1D9024" w14:textId="77777777" w:rsidR="004E6373" w:rsidRDefault="004E6373" w:rsidP="004E6373">
      <w:pPr>
        <w:pStyle w:val="Bibliography"/>
      </w:pPr>
      <w:r>
        <w:t xml:space="preserve">55. </w:t>
      </w:r>
      <w:r>
        <w:tab/>
        <w:t xml:space="preserve">Chidambaram S, Jain B, Jain U, Mwavu R, Baru R, Thomas B, et al. An introduction to digital determinants of health. PLOS Digit Health. 2024 Jan 4;3(1):e0000346. </w:t>
      </w:r>
    </w:p>
    <w:p w14:paraId="7B2F827A" w14:textId="77777777" w:rsidR="004E6373" w:rsidRDefault="004E6373" w:rsidP="004E6373">
      <w:pPr>
        <w:pStyle w:val="Bibliography"/>
      </w:pPr>
      <w:r>
        <w:t xml:space="preserve">56. </w:t>
      </w:r>
      <w:r>
        <w:tab/>
        <w:t xml:space="preserve">Staunton C, Edgcumbe A, Abdulrauf L, Gooden A, Ogendi P, Thaldar D. Cross-border data sharing for research in Africa: An analysis of the data protection and research ethics requirements in 12 jurisdictions. Res Sq. 2024 Apr 15;rs.3.rs-4217849. </w:t>
      </w:r>
    </w:p>
    <w:p w14:paraId="68AD7482" w14:textId="77777777" w:rsidR="004E6373" w:rsidRDefault="004E6373" w:rsidP="004E6373">
      <w:pPr>
        <w:pStyle w:val="Bibliography"/>
      </w:pPr>
      <w:r>
        <w:t xml:space="preserve">57. </w:t>
      </w:r>
      <w:r>
        <w:tab/>
        <w:t>Lukman A, Folorunsho S, Taofeeq A. Social Determinants of Health and Aging in Africa: Structural Inequality, Vulnerability, and the Future of Care. Department of Sociology: Faculty Publications [Internet]. 2025 Jan 1; Available from: https://digitalcommons.unl.edu/sociologyfacpub/867</w:t>
      </w:r>
    </w:p>
    <w:p w14:paraId="615B9889" w14:textId="77777777" w:rsidR="004E6373" w:rsidRDefault="004E6373" w:rsidP="004E6373">
      <w:pPr>
        <w:pStyle w:val="Bibliography"/>
      </w:pPr>
      <w:r>
        <w:t xml:space="preserve">58. </w:t>
      </w:r>
      <w:r>
        <w:tab/>
        <w:t>Folorunsho S. The Role of Social Determinants of Health in Shaping Racial and Disability Disparities Among Older Adults in the United States. Journal of Aging &amp; Social Policy [Internet]. 2025 Jul 4 [cited 2025 Jul 9]; Available from: https://www.tandfonline.com/doi/abs/10.1080/08959420.2025.2528584</w:t>
      </w:r>
    </w:p>
    <w:p w14:paraId="14C680C5" w14:textId="633CE24C" w:rsidR="0072225B" w:rsidRPr="00B30BE1" w:rsidRDefault="0072225B" w:rsidP="00B30BE1">
      <w:pPr>
        <w:spacing w:line="360" w:lineRule="auto"/>
        <w:rPr>
          <w:rFonts w:ascii="Times New Roman" w:hAnsi="Times New Roman" w:cs="Times New Roman"/>
          <w:sz w:val="24"/>
          <w:szCs w:val="24"/>
        </w:rPr>
      </w:pPr>
      <w:r w:rsidRPr="00EA1EDD">
        <w:rPr>
          <w:rFonts w:ascii="Times New Roman" w:hAnsi="Times New Roman" w:cs="Times New Roman"/>
          <w:sz w:val="24"/>
          <w:szCs w:val="24"/>
        </w:rPr>
        <w:fldChar w:fldCharType="end"/>
      </w:r>
    </w:p>
    <w:p w14:paraId="7EA26160" w14:textId="77777777" w:rsidR="00103130" w:rsidRPr="00F679F7" w:rsidRDefault="00103130">
      <w:pPr>
        <w:rPr>
          <w:rFonts w:ascii="Times New Roman" w:hAnsi="Times New Roman" w:cs="Times New Roman"/>
          <w:sz w:val="24"/>
          <w:szCs w:val="24"/>
        </w:rPr>
      </w:pPr>
    </w:p>
    <w:sectPr w:rsidR="00103130" w:rsidRPr="00F679F7">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E97AE" w14:textId="77777777" w:rsidR="000B6AF8" w:rsidRDefault="000B6AF8" w:rsidP="00A632BC">
      <w:pPr>
        <w:spacing w:after="0" w:line="240" w:lineRule="auto"/>
      </w:pPr>
      <w:r>
        <w:separator/>
      </w:r>
    </w:p>
  </w:endnote>
  <w:endnote w:type="continuationSeparator" w:id="0">
    <w:p w14:paraId="6509019A" w14:textId="77777777" w:rsidR="000B6AF8" w:rsidRDefault="000B6AF8" w:rsidP="00A63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6FC41" w14:textId="77777777" w:rsidR="00A632BC" w:rsidRDefault="00A632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0B502" w14:textId="77777777" w:rsidR="00A632BC" w:rsidRDefault="00A632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BFA3D" w14:textId="77777777" w:rsidR="00A632BC" w:rsidRDefault="00A632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4B05E0" w14:textId="77777777" w:rsidR="000B6AF8" w:rsidRDefault="000B6AF8" w:rsidP="00A632BC">
      <w:pPr>
        <w:spacing w:after="0" w:line="240" w:lineRule="auto"/>
      </w:pPr>
      <w:r>
        <w:separator/>
      </w:r>
    </w:p>
  </w:footnote>
  <w:footnote w:type="continuationSeparator" w:id="0">
    <w:p w14:paraId="1F610A36" w14:textId="77777777" w:rsidR="000B6AF8" w:rsidRDefault="000B6AF8" w:rsidP="00A632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1CD85" w14:textId="69EDA138" w:rsidR="00A632BC" w:rsidRDefault="000B6AF8">
    <w:pPr>
      <w:pStyle w:val="Header"/>
    </w:pPr>
    <w:r>
      <w:rPr>
        <w:noProof/>
      </w:rPr>
      <w:pict w14:anchorId="1EBA3E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537679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D192C" w14:textId="5FA1C329" w:rsidR="00A632BC" w:rsidRDefault="000B6AF8">
    <w:pPr>
      <w:pStyle w:val="Header"/>
    </w:pPr>
    <w:r>
      <w:rPr>
        <w:noProof/>
      </w:rPr>
      <w:pict w14:anchorId="5C6D13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537679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6E14A" w14:textId="542B4126" w:rsidR="00A632BC" w:rsidRDefault="000B6AF8">
    <w:pPr>
      <w:pStyle w:val="Header"/>
    </w:pPr>
    <w:r>
      <w:rPr>
        <w:noProof/>
      </w:rPr>
      <w:pict w14:anchorId="3AAB2E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537679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9658B"/>
    <w:multiLevelType w:val="multilevel"/>
    <w:tmpl w:val="9184F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C96949"/>
    <w:multiLevelType w:val="multilevel"/>
    <w:tmpl w:val="C1881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FB75FEE"/>
    <w:multiLevelType w:val="multilevel"/>
    <w:tmpl w:val="B9186B0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O3NDQGIgNjQyMzUyUdpeDU4uLM/DyQAsNaALKC+0YsAAAA"/>
  </w:docVars>
  <w:rsids>
    <w:rsidRoot w:val="00103130"/>
    <w:rsid w:val="000B0BE8"/>
    <w:rsid w:val="000B6AF8"/>
    <w:rsid w:val="00103130"/>
    <w:rsid w:val="0017520D"/>
    <w:rsid w:val="001D5347"/>
    <w:rsid w:val="001F1DD1"/>
    <w:rsid w:val="002467D4"/>
    <w:rsid w:val="00252003"/>
    <w:rsid w:val="0026451C"/>
    <w:rsid w:val="002665A8"/>
    <w:rsid w:val="002D6C28"/>
    <w:rsid w:val="003768A0"/>
    <w:rsid w:val="00437C5F"/>
    <w:rsid w:val="004600FA"/>
    <w:rsid w:val="004E6373"/>
    <w:rsid w:val="004F29EA"/>
    <w:rsid w:val="00541131"/>
    <w:rsid w:val="0063323F"/>
    <w:rsid w:val="006B4242"/>
    <w:rsid w:val="006D5518"/>
    <w:rsid w:val="0072225B"/>
    <w:rsid w:val="00782A74"/>
    <w:rsid w:val="0079135E"/>
    <w:rsid w:val="008464BA"/>
    <w:rsid w:val="00966B6E"/>
    <w:rsid w:val="009A41C3"/>
    <w:rsid w:val="009C687D"/>
    <w:rsid w:val="00A632BC"/>
    <w:rsid w:val="00A6489B"/>
    <w:rsid w:val="00B30BE1"/>
    <w:rsid w:val="00B54A8B"/>
    <w:rsid w:val="00BE2709"/>
    <w:rsid w:val="00CC066B"/>
    <w:rsid w:val="00CE3FFF"/>
    <w:rsid w:val="00D0386D"/>
    <w:rsid w:val="00D90E8E"/>
    <w:rsid w:val="00D91605"/>
    <w:rsid w:val="00DC2ED7"/>
    <w:rsid w:val="00DF21D0"/>
    <w:rsid w:val="00EA1EDD"/>
    <w:rsid w:val="00F05330"/>
    <w:rsid w:val="00F67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63F0CA"/>
  <w15:chartTrackingRefBased/>
  <w15:docId w15:val="{88C8E205-501C-4981-971D-A6C576942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031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03130"/>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0313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03130"/>
    <w:rPr>
      <w:b/>
      <w:bCs/>
    </w:rPr>
  </w:style>
  <w:style w:type="character" w:styleId="Emphasis">
    <w:name w:val="Emphasis"/>
    <w:basedOn w:val="DefaultParagraphFont"/>
    <w:uiPriority w:val="20"/>
    <w:qFormat/>
    <w:rsid w:val="00103130"/>
    <w:rPr>
      <w:i/>
      <w:iCs/>
    </w:rPr>
  </w:style>
  <w:style w:type="paragraph" w:styleId="ListParagraph">
    <w:name w:val="List Paragraph"/>
    <w:basedOn w:val="Normal"/>
    <w:uiPriority w:val="34"/>
    <w:qFormat/>
    <w:rsid w:val="00103130"/>
    <w:pPr>
      <w:ind w:left="720"/>
      <w:contextualSpacing/>
    </w:pPr>
  </w:style>
  <w:style w:type="paragraph" w:styleId="Bibliography">
    <w:name w:val="Bibliography"/>
    <w:basedOn w:val="Normal"/>
    <w:next w:val="Normal"/>
    <w:uiPriority w:val="37"/>
    <w:unhideWhenUsed/>
    <w:rsid w:val="0072225B"/>
    <w:pPr>
      <w:tabs>
        <w:tab w:val="left" w:pos="504"/>
      </w:tabs>
      <w:spacing w:after="240" w:line="240" w:lineRule="auto"/>
      <w:ind w:left="504" w:hanging="504"/>
    </w:pPr>
  </w:style>
  <w:style w:type="character" w:styleId="Hyperlink">
    <w:name w:val="Hyperlink"/>
    <w:basedOn w:val="DefaultParagraphFont"/>
    <w:uiPriority w:val="99"/>
    <w:unhideWhenUsed/>
    <w:rsid w:val="00EA1EDD"/>
    <w:rPr>
      <w:color w:val="0563C1" w:themeColor="hyperlink"/>
      <w:u w:val="single"/>
    </w:rPr>
  </w:style>
  <w:style w:type="character" w:styleId="UnresolvedMention">
    <w:name w:val="Unresolved Mention"/>
    <w:basedOn w:val="DefaultParagraphFont"/>
    <w:uiPriority w:val="99"/>
    <w:semiHidden/>
    <w:unhideWhenUsed/>
    <w:rsid w:val="00EA1EDD"/>
    <w:rPr>
      <w:color w:val="605E5C"/>
      <w:shd w:val="clear" w:color="auto" w:fill="E1DFDD"/>
    </w:rPr>
  </w:style>
  <w:style w:type="paragraph" w:styleId="Header">
    <w:name w:val="header"/>
    <w:basedOn w:val="Normal"/>
    <w:link w:val="HeaderChar"/>
    <w:uiPriority w:val="99"/>
    <w:unhideWhenUsed/>
    <w:rsid w:val="00A632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32BC"/>
  </w:style>
  <w:style w:type="paragraph" w:styleId="Footer">
    <w:name w:val="footer"/>
    <w:basedOn w:val="Normal"/>
    <w:link w:val="FooterChar"/>
    <w:uiPriority w:val="99"/>
    <w:unhideWhenUsed/>
    <w:rsid w:val="00A632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32BC"/>
  </w:style>
  <w:style w:type="character" w:styleId="HTMLCode">
    <w:name w:val="HTML Code"/>
    <w:basedOn w:val="DefaultParagraphFont"/>
    <w:uiPriority w:val="99"/>
    <w:semiHidden/>
    <w:unhideWhenUsed/>
    <w:rsid w:val="00DC2ED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84657">
      <w:bodyDiv w:val="1"/>
      <w:marLeft w:val="0"/>
      <w:marRight w:val="0"/>
      <w:marTop w:val="0"/>
      <w:marBottom w:val="0"/>
      <w:divBdr>
        <w:top w:val="none" w:sz="0" w:space="0" w:color="auto"/>
        <w:left w:val="none" w:sz="0" w:space="0" w:color="auto"/>
        <w:bottom w:val="none" w:sz="0" w:space="0" w:color="auto"/>
        <w:right w:val="none" w:sz="0" w:space="0" w:color="auto"/>
      </w:divBdr>
      <w:divsChild>
        <w:div w:id="1516800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233735">
      <w:bodyDiv w:val="1"/>
      <w:marLeft w:val="0"/>
      <w:marRight w:val="0"/>
      <w:marTop w:val="0"/>
      <w:marBottom w:val="0"/>
      <w:divBdr>
        <w:top w:val="none" w:sz="0" w:space="0" w:color="auto"/>
        <w:left w:val="none" w:sz="0" w:space="0" w:color="auto"/>
        <w:bottom w:val="none" w:sz="0" w:space="0" w:color="auto"/>
        <w:right w:val="none" w:sz="0" w:space="0" w:color="auto"/>
      </w:divBdr>
    </w:div>
    <w:div w:id="207570230">
      <w:bodyDiv w:val="1"/>
      <w:marLeft w:val="0"/>
      <w:marRight w:val="0"/>
      <w:marTop w:val="0"/>
      <w:marBottom w:val="0"/>
      <w:divBdr>
        <w:top w:val="none" w:sz="0" w:space="0" w:color="auto"/>
        <w:left w:val="none" w:sz="0" w:space="0" w:color="auto"/>
        <w:bottom w:val="none" w:sz="0" w:space="0" w:color="auto"/>
        <w:right w:val="none" w:sz="0" w:space="0" w:color="auto"/>
      </w:divBdr>
    </w:div>
    <w:div w:id="352608021">
      <w:bodyDiv w:val="1"/>
      <w:marLeft w:val="0"/>
      <w:marRight w:val="0"/>
      <w:marTop w:val="0"/>
      <w:marBottom w:val="0"/>
      <w:divBdr>
        <w:top w:val="none" w:sz="0" w:space="0" w:color="auto"/>
        <w:left w:val="none" w:sz="0" w:space="0" w:color="auto"/>
        <w:bottom w:val="none" w:sz="0" w:space="0" w:color="auto"/>
        <w:right w:val="none" w:sz="0" w:space="0" w:color="auto"/>
      </w:divBdr>
    </w:div>
    <w:div w:id="375081973">
      <w:bodyDiv w:val="1"/>
      <w:marLeft w:val="0"/>
      <w:marRight w:val="0"/>
      <w:marTop w:val="0"/>
      <w:marBottom w:val="0"/>
      <w:divBdr>
        <w:top w:val="none" w:sz="0" w:space="0" w:color="auto"/>
        <w:left w:val="none" w:sz="0" w:space="0" w:color="auto"/>
        <w:bottom w:val="none" w:sz="0" w:space="0" w:color="auto"/>
        <w:right w:val="none" w:sz="0" w:space="0" w:color="auto"/>
      </w:divBdr>
    </w:div>
    <w:div w:id="395124845">
      <w:bodyDiv w:val="1"/>
      <w:marLeft w:val="0"/>
      <w:marRight w:val="0"/>
      <w:marTop w:val="0"/>
      <w:marBottom w:val="0"/>
      <w:divBdr>
        <w:top w:val="none" w:sz="0" w:space="0" w:color="auto"/>
        <w:left w:val="none" w:sz="0" w:space="0" w:color="auto"/>
        <w:bottom w:val="none" w:sz="0" w:space="0" w:color="auto"/>
        <w:right w:val="none" w:sz="0" w:space="0" w:color="auto"/>
      </w:divBdr>
    </w:div>
    <w:div w:id="467623474">
      <w:bodyDiv w:val="1"/>
      <w:marLeft w:val="0"/>
      <w:marRight w:val="0"/>
      <w:marTop w:val="0"/>
      <w:marBottom w:val="0"/>
      <w:divBdr>
        <w:top w:val="none" w:sz="0" w:space="0" w:color="auto"/>
        <w:left w:val="none" w:sz="0" w:space="0" w:color="auto"/>
        <w:bottom w:val="none" w:sz="0" w:space="0" w:color="auto"/>
        <w:right w:val="none" w:sz="0" w:space="0" w:color="auto"/>
      </w:divBdr>
      <w:divsChild>
        <w:div w:id="6517209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9954254">
      <w:bodyDiv w:val="1"/>
      <w:marLeft w:val="0"/>
      <w:marRight w:val="0"/>
      <w:marTop w:val="0"/>
      <w:marBottom w:val="0"/>
      <w:divBdr>
        <w:top w:val="none" w:sz="0" w:space="0" w:color="auto"/>
        <w:left w:val="none" w:sz="0" w:space="0" w:color="auto"/>
        <w:bottom w:val="none" w:sz="0" w:space="0" w:color="auto"/>
        <w:right w:val="none" w:sz="0" w:space="0" w:color="auto"/>
      </w:divBdr>
    </w:div>
    <w:div w:id="587665098">
      <w:bodyDiv w:val="1"/>
      <w:marLeft w:val="0"/>
      <w:marRight w:val="0"/>
      <w:marTop w:val="0"/>
      <w:marBottom w:val="0"/>
      <w:divBdr>
        <w:top w:val="none" w:sz="0" w:space="0" w:color="auto"/>
        <w:left w:val="none" w:sz="0" w:space="0" w:color="auto"/>
        <w:bottom w:val="none" w:sz="0" w:space="0" w:color="auto"/>
        <w:right w:val="none" w:sz="0" w:space="0" w:color="auto"/>
      </w:divBdr>
    </w:div>
    <w:div w:id="609706825">
      <w:bodyDiv w:val="1"/>
      <w:marLeft w:val="0"/>
      <w:marRight w:val="0"/>
      <w:marTop w:val="0"/>
      <w:marBottom w:val="0"/>
      <w:divBdr>
        <w:top w:val="none" w:sz="0" w:space="0" w:color="auto"/>
        <w:left w:val="none" w:sz="0" w:space="0" w:color="auto"/>
        <w:bottom w:val="none" w:sz="0" w:space="0" w:color="auto"/>
        <w:right w:val="none" w:sz="0" w:space="0" w:color="auto"/>
      </w:divBdr>
    </w:div>
    <w:div w:id="719743152">
      <w:bodyDiv w:val="1"/>
      <w:marLeft w:val="0"/>
      <w:marRight w:val="0"/>
      <w:marTop w:val="0"/>
      <w:marBottom w:val="0"/>
      <w:divBdr>
        <w:top w:val="none" w:sz="0" w:space="0" w:color="auto"/>
        <w:left w:val="none" w:sz="0" w:space="0" w:color="auto"/>
        <w:bottom w:val="none" w:sz="0" w:space="0" w:color="auto"/>
        <w:right w:val="none" w:sz="0" w:space="0" w:color="auto"/>
      </w:divBdr>
    </w:div>
    <w:div w:id="743262838">
      <w:bodyDiv w:val="1"/>
      <w:marLeft w:val="0"/>
      <w:marRight w:val="0"/>
      <w:marTop w:val="0"/>
      <w:marBottom w:val="0"/>
      <w:divBdr>
        <w:top w:val="none" w:sz="0" w:space="0" w:color="auto"/>
        <w:left w:val="none" w:sz="0" w:space="0" w:color="auto"/>
        <w:bottom w:val="none" w:sz="0" w:space="0" w:color="auto"/>
        <w:right w:val="none" w:sz="0" w:space="0" w:color="auto"/>
      </w:divBdr>
    </w:div>
    <w:div w:id="792136405">
      <w:bodyDiv w:val="1"/>
      <w:marLeft w:val="0"/>
      <w:marRight w:val="0"/>
      <w:marTop w:val="0"/>
      <w:marBottom w:val="0"/>
      <w:divBdr>
        <w:top w:val="none" w:sz="0" w:space="0" w:color="auto"/>
        <w:left w:val="none" w:sz="0" w:space="0" w:color="auto"/>
        <w:bottom w:val="none" w:sz="0" w:space="0" w:color="auto"/>
        <w:right w:val="none" w:sz="0" w:space="0" w:color="auto"/>
      </w:divBdr>
    </w:div>
    <w:div w:id="800415734">
      <w:bodyDiv w:val="1"/>
      <w:marLeft w:val="0"/>
      <w:marRight w:val="0"/>
      <w:marTop w:val="0"/>
      <w:marBottom w:val="0"/>
      <w:divBdr>
        <w:top w:val="none" w:sz="0" w:space="0" w:color="auto"/>
        <w:left w:val="none" w:sz="0" w:space="0" w:color="auto"/>
        <w:bottom w:val="none" w:sz="0" w:space="0" w:color="auto"/>
        <w:right w:val="none" w:sz="0" w:space="0" w:color="auto"/>
      </w:divBdr>
    </w:div>
    <w:div w:id="836310844">
      <w:bodyDiv w:val="1"/>
      <w:marLeft w:val="0"/>
      <w:marRight w:val="0"/>
      <w:marTop w:val="0"/>
      <w:marBottom w:val="0"/>
      <w:divBdr>
        <w:top w:val="none" w:sz="0" w:space="0" w:color="auto"/>
        <w:left w:val="none" w:sz="0" w:space="0" w:color="auto"/>
        <w:bottom w:val="none" w:sz="0" w:space="0" w:color="auto"/>
        <w:right w:val="none" w:sz="0" w:space="0" w:color="auto"/>
      </w:divBdr>
    </w:div>
    <w:div w:id="855773172">
      <w:bodyDiv w:val="1"/>
      <w:marLeft w:val="0"/>
      <w:marRight w:val="0"/>
      <w:marTop w:val="0"/>
      <w:marBottom w:val="0"/>
      <w:divBdr>
        <w:top w:val="none" w:sz="0" w:space="0" w:color="auto"/>
        <w:left w:val="none" w:sz="0" w:space="0" w:color="auto"/>
        <w:bottom w:val="none" w:sz="0" w:space="0" w:color="auto"/>
        <w:right w:val="none" w:sz="0" w:space="0" w:color="auto"/>
      </w:divBdr>
    </w:div>
    <w:div w:id="877812768">
      <w:bodyDiv w:val="1"/>
      <w:marLeft w:val="0"/>
      <w:marRight w:val="0"/>
      <w:marTop w:val="0"/>
      <w:marBottom w:val="0"/>
      <w:divBdr>
        <w:top w:val="none" w:sz="0" w:space="0" w:color="auto"/>
        <w:left w:val="none" w:sz="0" w:space="0" w:color="auto"/>
        <w:bottom w:val="none" w:sz="0" w:space="0" w:color="auto"/>
        <w:right w:val="none" w:sz="0" w:space="0" w:color="auto"/>
      </w:divBdr>
    </w:div>
    <w:div w:id="890963039">
      <w:bodyDiv w:val="1"/>
      <w:marLeft w:val="0"/>
      <w:marRight w:val="0"/>
      <w:marTop w:val="0"/>
      <w:marBottom w:val="0"/>
      <w:divBdr>
        <w:top w:val="none" w:sz="0" w:space="0" w:color="auto"/>
        <w:left w:val="none" w:sz="0" w:space="0" w:color="auto"/>
        <w:bottom w:val="none" w:sz="0" w:space="0" w:color="auto"/>
        <w:right w:val="none" w:sz="0" w:space="0" w:color="auto"/>
      </w:divBdr>
    </w:div>
    <w:div w:id="933050620">
      <w:bodyDiv w:val="1"/>
      <w:marLeft w:val="0"/>
      <w:marRight w:val="0"/>
      <w:marTop w:val="0"/>
      <w:marBottom w:val="0"/>
      <w:divBdr>
        <w:top w:val="none" w:sz="0" w:space="0" w:color="auto"/>
        <w:left w:val="none" w:sz="0" w:space="0" w:color="auto"/>
        <w:bottom w:val="none" w:sz="0" w:space="0" w:color="auto"/>
        <w:right w:val="none" w:sz="0" w:space="0" w:color="auto"/>
      </w:divBdr>
    </w:div>
    <w:div w:id="963073692">
      <w:bodyDiv w:val="1"/>
      <w:marLeft w:val="0"/>
      <w:marRight w:val="0"/>
      <w:marTop w:val="0"/>
      <w:marBottom w:val="0"/>
      <w:divBdr>
        <w:top w:val="none" w:sz="0" w:space="0" w:color="auto"/>
        <w:left w:val="none" w:sz="0" w:space="0" w:color="auto"/>
        <w:bottom w:val="none" w:sz="0" w:space="0" w:color="auto"/>
        <w:right w:val="none" w:sz="0" w:space="0" w:color="auto"/>
      </w:divBdr>
    </w:div>
    <w:div w:id="1058284649">
      <w:bodyDiv w:val="1"/>
      <w:marLeft w:val="0"/>
      <w:marRight w:val="0"/>
      <w:marTop w:val="0"/>
      <w:marBottom w:val="0"/>
      <w:divBdr>
        <w:top w:val="none" w:sz="0" w:space="0" w:color="auto"/>
        <w:left w:val="none" w:sz="0" w:space="0" w:color="auto"/>
        <w:bottom w:val="none" w:sz="0" w:space="0" w:color="auto"/>
        <w:right w:val="none" w:sz="0" w:space="0" w:color="auto"/>
      </w:divBdr>
    </w:div>
    <w:div w:id="1178812716">
      <w:bodyDiv w:val="1"/>
      <w:marLeft w:val="0"/>
      <w:marRight w:val="0"/>
      <w:marTop w:val="0"/>
      <w:marBottom w:val="0"/>
      <w:divBdr>
        <w:top w:val="none" w:sz="0" w:space="0" w:color="auto"/>
        <w:left w:val="none" w:sz="0" w:space="0" w:color="auto"/>
        <w:bottom w:val="none" w:sz="0" w:space="0" w:color="auto"/>
        <w:right w:val="none" w:sz="0" w:space="0" w:color="auto"/>
      </w:divBdr>
    </w:div>
    <w:div w:id="1193037199">
      <w:bodyDiv w:val="1"/>
      <w:marLeft w:val="0"/>
      <w:marRight w:val="0"/>
      <w:marTop w:val="0"/>
      <w:marBottom w:val="0"/>
      <w:divBdr>
        <w:top w:val="none" w:sz="0" w:space="0" w:color="auto"/>
        <w:left w:val="none" w:sz="0" w:space="0" w:color="auto"/>
        <w:bottom w:val="none" w:sz="0" w:space="0" w:color="auto"/>
        <w:right w:val="none" w:sz="0" w:space="0" w:color="auto"/>
      </w:divBdr>
    </w:div>
    <w:div w:id="1207914717">
      <w:bodyDiv w:val="1"/>
      <w:marLeft w:val="0"/>
      <w:marRight w:val="0"/>
      <w:marTop w:val="0"/>
      <w:marBottom w:val="0"/>
      <w:divBdr>
        <w:top w:val="none" w:sz="0" w:space="0" w:color="auto"/>
        <w:left w:val="none" w:sz="0" w:space="0" w:color="auto"/>
        <w:bottom w:val="none" w:sz="0" w:space="0" w:color="auto"/>
        <w:right w:val="none" w:sz="0" w:space="0" w:color="auto"/>
      </w:divBdr>
    </w:div>
    <w:div w:id="1249079803">
      <w:bodyDiv w:val="1"/>
      <w:marLeft w:val="0"/>
      <w:marRight w:val="0"/>
      <w:marTop w:val="0"/>
      <w:marBottom w:val="0"/>
      <w:divBdr>
        <w:top w:val="none" w:sz="0" w:space="0" w:color="auto"/>
        <w:left w:val="none" w:sz="0" w:space="0" w:color="auto"/>
        <w:bottom w:val="none" w:sz="0" w:space="0" w:color="auto"/>
        <w:right w:val="none" w:sz="0" w:space="0" w:color="auto"/>
      </w:divBdr>
    </w:div>
    <w:div w:id="1256985352">
      <w:bodyDiv w:val="1"/>
      <w:marLeft w:val="0"/>
      <w:marRight w:val="0"/>
      <w:marTop w:val="0"/>
      <w:marBottom w:val="0"/>
      <w:divBdr>
        <w:top w:val="none" w:sz="0" w:space="0" w:color="auto"/>
        <w:left w:val="none" w:sz="0" w:space="0" w:color="auto"/>
        <w:bottom w:val="none" w:sz="0" w:space="0" w:color="auto"/>
        <w:right w:val="none" w:sz="0" w:space="0" w:color="auto"/>
      </w:divBdr>
    </w:div>
    <w:div w:id="1277520142">
      <w:bodyDiv w:val="1"/>
      <w:marLeft w:val="0"/>
      <w:marRight w:val="0"/>
      <w:marTop w:val="0"/>
      <w:marBottom w:val="0"/>
      <w:divBdr>
        <w:top w:val="none" w:sz="0" w:space="0" w:color="auto"/>
        <w:left w:val="none" w:sz="0" w:space="0" w:color="auto"/>
        <w:bottom w:val="none" w:sz="0" w:space="0" w:color="auto"/>
        <w:right w:val="none" w:sz="0" w:space="0" w:color="auto"/>
      </w:divBdr>
    </w:div>
    <w:div w:id="1311788393">
      <w:bodyDiv w:val="1"/>
      <w:marLeft w:val="0"/>
      <w:marRight w:val="0"/>
      <w:marTop w:val="0"/>
      <w:marBottom w:val="0"/>
      <w:divBdr>
        <w:top w:val="none" w:sz="0" w:space="0" w:color="auto"/>
        <w:left w:val="none" w:sz="0" w:space="0" w:color="auto"/>
        <w:bottom w:val="none" w:sz="0" w:space="0" w:color="auto"/>
        <w:right w:val="none" w:sz="0" w:space="0" w:color="auto"/>
      </w:divBdr>
    </w:div>
    <w:div w:id="1369138065">
      <w:bodyDiv w:val="1"/>
      <w:marLeft w:val="0"/>
      <w:marRight w:val="0"/>
      <w:marTop w:val="0"/>
      <w:marBottom w:val="0"/>
      <w:divBdr>
        <w:top w:val="none" w:sz="0" w:space="0" w:color="auto"/>
        <w:left w:val="none" w:sz="0" w:space="0" w:color="auto"/>
        <w:bottom w:val="none" w:sz="0" w:space="0" w:color="auto"/>
        <w:right w:val="none" w:sz="0" w:space="0" w:color="auto"/>
      </w:divBdr>
      <w:divsChild>
        <w:div w:id="11955297">
          <w:marLeft w:val="0"/>
          <w:marRight w:val="0"/>
          <w:marTop w:val="0"/>
          <w:marBottom w:val="0"/>
          <w:divBdr>
            <w:top w:val="none" w:sz="0" w:space="0" w:color="auto"/>
            <w:left w:val="none" w:sz="0" w:space="0" w:color="auto"/>
            <w:bottom w:val="none" w:sz="0" w:space="0" w:color="auto"/>
            <w:right w:val="none" w:sz="0" w:space="0" w:color="auto"/>
          </w:divBdr>
          <w:divsChild>
            <w:div w:id="1869684281">
              <w:marLeft w:val="0"/>
              <w:marRight w:val="0"/>
              <w:marTop w:val="0"/>
              <w:marBottom w:val="0"/>
              <w:divBdr>
                <w:top w:val="none" w:sz="0" w:space="0" w:color="auto"/>
                <w:left w:val="none" w:sz="0" w:space="0" w:color="auto"/>
                <w:bottom w:val="none" w:sz="0" w:space="0" w:color="auto"/>
                <w:right w:val="none" w:sz="0" w:space="0" w:color="auto"/>
              </w:divBdr>
              <w:divsChild>
                <w:div w:id="1657027598">
                  <w:marLeft w:val="0"/>
                  <w:marRight w:val="0"/>
                  <w:marTop w:val="0"/>
                  <w:marBottom w:val="0"/>
                  <w:divBdr>
                    <w:top w:val="none" w:sz="0" w:space="0" w:color="auto"/>
                    <w:left w:val="none" w:sz="0" w:space="0" w:color="auto"/>
                    <w:bottom w:val="none" w:sz="0" w:space="0" w:color="auto"/>
                    <w:right w:val="none" w:sz="0" w:space="0" w:color="auto"/>
                  </w:divBdr>
                  <w:divsChild>
                    <w:div w:id="742920759">
                      <w:marLeft w:val="-315"/>
                      <w:marRight w:val="0"/>
                      <w:marTop w:val="90"/>
                      <w:marBottom w:val="0"/>
                      <w:divBdr>
                        <w:top w:val="none" w:sz="0" w:space="0" w:color="auto"/>
                        <w:left w:val="single" w:sz="6" w:space="0" w:color="DADCE0"/>
                        <w:bottom w:val="none" w:sz="0" w:space="0" w:color="auto"/>
                        <w:right w:val="none" w:sz="0" w:space="0" w:color="auto"/>
                      </w:divBdr>
                      <w:divsChild>
                        <w:div w:id="121652330">
                          <w:marLeft w:val="0"/>
                          <w:marRight w:val="0"/>
                          <w:marTop w:val="0"/>
                          <w:marBottom w:val="0"/>
                          <w:divBdr>
                            <w:top w:val="none" w:sz="0" w:space="0" w:color="auto"/>
                            <w:left w:val="none" w:sz="0" w:space="0" w:color="auto"/>
                            <w:bottom w:val="none" w:sz="0" w:space="0" w:color="auto"/>
                            <w:right w:val="none" w:sz="0" w:space="0" w:color="auto"/>
                          </w:divBdr>
                          <w:divsChild>
                            <w:div w:id="1093861893">
                              <w:marLeft w:val="0"/>
                              <w:marRight w:val="0"/>
                              <w:marTop w:val="0"/>
                              <w:marBottom w:val="0"/>
                              <w:divBdr>
                                <w:top w:val="none" w:sz="0" w:space="0" w:color="auto"/>
                                <w:left w:val="none" w:sz="0" w:space="0" w:color="auto"/>
                                <w:bottom w:val="none" w:sz="0" w:space="0" w:color="auto"/>
                                <w:right w:val="none" w:sz="0" w:space="0" w:color="auto"/>
                              </w:divBdr>
                              <w:divsChild>
                                <w:div w:id="1939946996">
                                  <w:marLeft w:val="0"/>
                                  <w:marRight w:val="0"/>
                                  <w:marTop w:val="0"/>
                                  <w:marBottom w:val="0"/>
                                  <w:divBdr>
                                    <w:top w:val="none" w:sz="0" w:space="0" w:color="auto"/>
                                    <w:left w:val="none" w:sz="0" w:space="0" w:color="auto"/>
                                    <w:bottom w:val="none" w:sz="0" w:space="0" w:color="auto"/>
                                    <w:right w:val="none" w:sz="0" w:space="0" w:color="auto"/>
                                  </w:divBdr>
                                  <w:divsChild>
                                    <w:div w:id="1094668360">
                                      <w:marLeft w:val="0"/>
                                      <w:marRight w:val="0"/>
                                      <w:marTop w:val="0"/>
                                      <w:marBottom w:val="0"/>
                                      <w:divBdr>
                                        <w:top w:val="none" w:sz="0" w:space="0" w:color="auto"/>
                                        <w:left w:val="none" w:sz="0" w:space="0" w:color="auto"/>
                                        <w:bottom w:val="none" w:sz="0" w:space="0" w:color="auto"/>
                                        <w:right w:val="none" w:sz="0" w:space="0" w:color="auto"/>
                                      </w:divBdr>
                                      <w:divsChild>
                                        <w:div w:id="1765999277">
                                          <w:marLeft w:val="0"/>
                                          <w:marRight w:val="0"/>
                                          <w:marTop w:val="0"/>
                                          <w:marBottom w:val="0"/>
                                          <w:divBdr>
                                            <w:top w:val="none" w:sz="0" w:space="0" w:color="auto"/>
                                            <w:left w:val="none" w:sz="0" w:space="0" w:color="auto"/>
                                            <w:bottom w:val="none" w:sz="0" w:space="0" w:color="auto"/>
                                            <w:right w:val="none" w:sz="0" w:space="0" w:color="auto"/>
                                          </w:divBdr>
                                          <w:divsChild>
                                            <w:div w:id="861472778">
                                              <w:marLeft w:val="0"/>
                                              <w:marRight w:val="0"/>
                                              <w:marTop w:val="0"/>
                                              <w:marBottom w:val="0"/>
                                              <w:divBdr>
                                                <w:top w:val="none" w:sz="0" w:space="0" w:color="auto"/>
                                                <w:left w:val="none" w:sz="0" w:space="0" w:color="auto"/>
                                                <w:bottom w:val="none" w:sz="0" w:space="0" w:color="auto"/>
                                                <w:right w:val="none" w:sz="0" w:space="0" w:color="auto"/>
                                              </w:divBdr>
                                              <w:divsChild>
                                                <w:div w:id="85387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2762746">
          <w:marLeft w:val="0"/>
          <w:marRight w:val="0"/>
          <w:marTop w:val="0"/>
          <w:marBottom w:val="0"/>
          <w:divBdr>
            <w:top w:val="none" w:sz="0" w:space="0" w:color="auto"/>
            <w:left w:val="none" w:sz="0" w:space="0" w:color="auto"/>
            <w:bottom w:val="none" w:sz="0" w:space="0" w:color="auto"/>
            <w:right w:val="none" w:sz="0" w:space="0" w:color="auto"/>
          </w:divBdr>
          <w:divsChild>
            <w:div w:id="1808664864">
              <w:marLeft w:val="0"/>
              <w:marRight w:val="0"/>
              <w:marTop w:val="90"/>
              <w:marBottom w:val="0"/>
              <w:divBdr>
                <w:top w:val="none" w:sz="0" w:space="0" w:color="auto"/>
                <w:left w:val="single" w:sz="6" w:space="15" w:color="DADCE0"/>
                <w:bottom w:val="none" w:sz="0" w:space="0" w:color="auto"/>
                <w:right w:val="none" w:sz="0" w:space="0" w:color="auto"/>
              </w:divBdr>
              <w:divsChild>
                <w:div w:id="1629051396">
                  <w:marLeft w:val="0"/>
                  <w:marRight w:val="0"/>
                  <w:marTop w:val="0"/>
                  <w:marBottom w:val="0"/>
                  <w:divBdr>
                    <w:top w:val="none" w:sz="0" w:space="0" w:color="auto"/>
                    <w:left w:val="none" w:sz="0" w:space="0" w:color="auto"/>
                    <w:bottom w:val="none" w:sz="0" w:space="0" w:color="auto"/>
                    <w:right w:val="none" w:sz="0" w:space="0" w:color="auto"/>
                  </w:divBdr>
                  <w:divsChild>
                    <w:div w:id="156650727">
                      <w:marLeft w:val="0"/>
                      <w:marRight w:val="0"/>
                      <w:marTop w:val="0"/>
                      <w:marBottom w:val="0"/>
                      <w:divBdr>
                        <w:top w:val="none" w:sz="0" w:space="0" w:color="auto"/>
                        <w:left w:val="none" w:sz="0" w:space="0" w:color="auto"/>
                        <w:bottom w:val="none" w:sz="0" w:space="0" w:color="auto"/>
                        <w:right w:val="none" w:sz="0" w:space="0" w:color="auto"/>
                      </w:divBdr>
                      <w:divsChild>
                        <w:div w:id="1482428330">
                          <w:marLeft w:val="0"/>
                          <w:marRight w:val="0"/>
                          <w:marTop w:val="0"/>
                          <w:marBottom w:val="0"/>
                          <w:divBdr>
                            <w:top w:val="none" w:sz="0" w:space="0" w:color="auto"/>
                            <w:left w:val="none" w:sz="0" w:space="0" w:color="auto"/>
                            <w:bottom w:val="none" w:sz="0" w:space="0" w:color="auto"/>
                            <w:right w:val="none" w:sz="0" w:space="0" w:color="auto"/>
                          </w:divBdr>
                          <w:divsChild>
                            <w:div w:id="356388360">
                              <w:marLeft w:val="0"/>
                              <w:marRight w:val="0"/>
                              <w:marTop w:val="0"/>
                              <w:marBottom w:val="0"/>
                              <w:divBdr>
                                <w:top w:val="none" w:sz="0" w:space="0" w:color="auto"/>
                                <w:left w:val="none" w:sz="0" w:space="0" w:color="auto"/>
                                <w:bottom w:val="none" w:sz="0" w:space="0" w:color="auto"/>
                                <w:right w:val="none" w:sz="0" w:space="0" w:color="auto"/>
                              </w:divBdr>
                              <w:divsChild>
                                <w:div w:id="328024049">
                                  <w:marLeft w:val="0"/>
                                  <w:marRight w:val="0"/>
                                  <w:marTop w:val="0"/>
                                  <w:marBottom w:val="0"/>
                                  <w:divBdr>
                                    <w:top w:val="none" w:sz="0" w:space="0" w:color="auto"/>
                                    <w:left w:val="none" w:sz="0" w:space="0" w:color="auto"/>
                                    <w:bottom w:val="none" w:sz="0" w:space="0" w:color="auto"/>
                                    <w:right w:val="none" w:sz="0" w:space="0" w:color="auto"/>
                                  </w:divBdr>
                                  <w:divsChild>
                                    <w:div w:id="1241059403">
                                      <w:marLeft w:val="0"/>
                                      <w:marRight w:val="0"/>
                                      <w:marTop w:val="0"/>
                                      <w:marBottom w:val="0"/>
                                      <w:divBdr>
                                        <w:top w:val="none" w:sz="0" w:space="0" w:color="auto"/>
                                        <w:left w:val="none" w:sz="0" w:space="0" w:color="auto"/>
                                        <w:bottom w:val="none" w:sz="0" w:space="0" w:color="auto"/>
                                        <w:right w:val="none" w:sz="0" w:space="0" w:color="auto"/>
                                      </w:divBdr>
                                      <w:divsChild>
                                        <w:div w:id="1795371697">
                                          <w:marLeft w:val="0"/>
                                          <w:marRight w:val="0"/>
                                          <w:marTop w:val="0"/>
                                          <w:marBottom w:val="0"/>
                                          <w:divBdr>
                                            <w:top w:val="none" w:sz="0" w:space="0" w:color="auto"/>
                                            <w:left w:val="none" w:sz="0" w:space="0" w:color="auto"/>
                                            <w:bottom w:val="none" w:sz="0" w:space="0" w:color="auto"/>
                                            <w:right w:val="none" w:sz="0" w:space="0" w:color="auto"/>
                                          </w:divBdr>
                                          <w:divsChild>
                                            <w:div w:id="897277177">
                                              <w:marLeft w:val="0"/>
                                              <w:marRight w:val="0"/>
                                              <w:marTop w:val="0"/>
                                              <w:marBottom w:val="0"/>
                                              <w:divBdr>
                                                <w:top w:val="none" w:sz="0" w:space="0" w:color="auto"/>
                                                <w:left w:val="none" w:sz="0" w:space="0" w:color="auto"/>
                                                <w:bottom w:val="none" w:sz="0" w:space="0" w:color="auto"/>
                                                <w:right w:val="none" w:sz="0" w:space="0" w:color="auto"/>
                                              </w:divBdr>
                                              <w:divsChild>
                                                <w:div w:id="725178779">
                                                  <w:marLeft w:val="0"/>
                                                  <w:marRight w:val="0"/>
                                                  <w:marTop w:val="120"/>
                                                  <w:marBottom w:val="0"/>
                                                  <w:divBdr>
                                                    <w:top w:val="none" w:sz="0" w:space="0" w:color="auto"/>
                                                    <w:left w:val="none" w:sz="0" w:space="0" w:color="auto"/>
                                                    <w:bottom w:val="none" w:sz="0" w:space="0" w:color="auto"/>
                                                    <w:right w:val="none" w:sz="0" w:space="0" w:color="auto"/>
                                                  </w:divBdr>
                                                  <w:divsChild>
                                                    <w:div w:id="1373847401">
                                                      <w:marLeft w:val="0"/>
                                                      <w:marRight w:val="0"/>
                                                      <w:marTop w:val="0"/>
                                                      <w:marBottom w:val="0"/>
                                                      <w:divBdr>
                                                        <w:top w:val="none" w:sz="0" w:space="0" w:color="auto"/>
                                                        <w:left w:val="none" w:sz="0" w:space="0" w:color="auto"/>
                                                        <w:bottom w:val="none" w:sz="0" w:space="0" w:color="auto"/>
                                                        <w:right w:val="none" w:sz="0" w:space="0" w:color="auto"/>
                                                      </w:divBdr>
                                                      <w:divsChild>
                                                        <w:div w:id="117665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4543518">
      <w:bodyDiv w:val="1"/>
      <w:marLeft w:val="0"/>
      <w:marRight w:val="0"/>
      <w:marTop w:val="0"/>
      <w:marBottom w:val="0"/>
      <w:divBdr>
        <w:top w:val="none" w:sz="0" w:space="0" w:color="auto"/>
        <w:left w:val="none" w:sz="0" w:space="0" w:color="auto"/>
        <w:bottom w:val="none" w:sz="0" w:space="0" w:color="auto"/>
        <w:right w:val="none" w:sz="0" w:space="0" w:color="auto"/>
      </w:divBdr>
    </w:div>
    <w:div w:id="1399860307">
      <w:bodyDiv w:val="1"/>
      <w:marLeft w:val="0"/>
      <w:marRight w:val="0"/>
      <w:marTop w:val="0"/>
      <w:marBottom w:val="0"/>
      <w:divBdr>
        <w:top w:val="none" w:sz="0" w:space="0" w:color="auto"/>
        <w:left w:val="none" w:sz="0" w:space="0" w:color="auto"/>
        <w:bottom w:val="none" w:sz="0" w:space="0" w:color="auto"/>
        <w:right w:val="none" w:sz="0" w:space="0" w:color="auto"/>
      </w:divBdr>
    </w:div>
    <w:div w:id="1444764277">
      <w:bodyDiv w:val="1"/>
      <w:marLeft w:val="0"/>
      <w:marRight w:val="0"/>
      <w:marTop w:val="0"/>
      <w:marBottom w:val="0"/>
      <w:divBdr>
        <w:top w:val="none" w:sz="0" w:space="0" w:color="auto"/>
        <w:left w:val="none" w:sz="0" w:space="0" w:color="auto"/>
        <w:bottom w:val="none" w:sz="0" w:space="0" w:color="auto"/>
        <w:right w:val="none" w:sz="0" w:space="0" w:color="auto"/>
      </w:divBdr>
      <w:divsChild>
        <w:div w:id="6098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0102578">
      <w:bodyDiv w:val="1"/>
      <w:marLeft w:val="0"/>
      <w:marRight w:val="0"/>
      <w:marTop w:val="0"/>
      <w:marBottom w:val="0"/>
      <w:divBdr>
        <w:top w:val="none" w:sz="0" w:space="0" w:color="auto"/>
        <w:left w:val="none" w:sz="0" w:space="0" w:color="auto"/>
        <w:bottom w:val="none" w:sz="0" w:space="0" w:color="auto"/>
        <w:right w:val="none" w:sz="0" w:space="0" w:color="auto"/>
      </w:divBdr>
    </w:div>
    <w:div w:id="1604534838">
      <w:bodyDiv w:val="1"/>
      <w:marLeft w:val="0"/>
      <w:marRight w:val="0"/>
      <w:marTop w:val="0"/>
      <w:marBottom w:val="0"/>
      <w:divBdr>
        <w:top w:val="none" w:sz="0" w:space="0" w:color="auto"/>
        <w:left w:val="none" w:sz="0" w:space="0" w:color="auto"/>
        <w:bottom w:val="none" w:sz="0" w:space="0" w:color="auto"/>
        <w:right w:val="none" w:sz="0" w:space="0" w:color="auto"/>
      </w:divBdr>
    </w:div>
    <w:div w:id="1652978267">
      <w:bodyDiv w:val="1"/>
      <w:marLeft w:val="0"/>
      <w:marRight w:val="0"/>
      <w:marTop w:val="0"/>
      <w:marBottom w:val="0"/>
      <w:divBdr>
        <w:top w:val="none" w:sz="0" w:space="0" w:color="auto"/>
        <w:left w:val="none" w:sz="0" w:space="0" w:color="auto"/>
        <w:bottom w:val="none" w:sz="0" w:space="0" w:color="auto"/>
        <w:right w:val="none" w:sz="0" w:space="0" w:color="auto"/>
      </w:divBdr>
      <w:divsChild>
        <w:div w:id="1953051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095127">
      <w:bodyDiv w:val="1"/>
      <w:marLeft w:val="0"/>
      <w:marRight w:val="0"/>
      <w:marTop w:val="0"/>
      <w:marBottom w:val="0"/>
      <w:divBdr>
        <w:top w:val="none" w:sz="0" w:space="0" w:color="auto"/>
        <w:left w:val="none" w:sz="0" w:space="0" w:color="auto"/>
        <w:bottom w:val="none" w:sz="0" w:space="0" w:color="auto"/>
        <w:right w:val="none" w:sz="0" w:space="0" w:color="auto"/>
      </w:divBdr>
    </w:div>
    <w:div w:id="1776317064">
      <w:bodyDiv w:val="1"/>
      <w:marLeft w:val="0"/>
      <w:marRight w:val="0"/>
      <w:marTop w:val="0"/>
      <w:marBottom w:val="0"/>
      <w:divBdr>
        <w:top w:val="none" w:sz="0" w:space="0" w:color="auto"/>
        <w:left w:val="none" w:sz="0" w:space="0" w:color="auto"/>
        <w:bottom w:val="none" w:sz="0" w:space="0" w:color="auto"/>
        <w:right w:val="none" w:sz="0" w:space="0" w:color="auto"/>
      </w:divBdr>
    </w:div>
    <w:div w:id="1793356688">
      <w:bodyDiv w:val="1"/>
      <w:marLeft w:val="0"/>
      <w:marRight w:val="0"/>
      <w:marTop w:val="0"/>
      <w:marBottom w:val="0"/>
      <w:divBdr>
        <w:top w:val="none" w:sz="0" w:space="0" w:color="auto"/>
        <w:left w:val="none" w:sz="0" w:space="0" w:color="auto"/>
        <w:bottom w:val="none" w:sz="0" w:space="0" w:color="auto"/>
        <w:right w:val="none" w:sz="0" w:space="0" w:color="auto"/>
      </w:divBdr>
    </w:div>
    <w:div w:id="1912346281">
      <w:bodyDiv w:val="1"/>
      <w:marLeft w:val="0"/>
      <w:marRight w:val="0"/>
      <w:marTop w:val="0"/>
      <w:marBottom w:val="0"/>
      <w:divBdr>
        <w:top w:val="none" w:sz="0" w:space="0" w:color="auto"/>
        <w:left w:val="none" w:sz="0" w:space="0" w:color="auto"/>
        <w:bottom w:val="none" w:sz="0" w:space="0" w:color="auto"/>
        <w:right w:val="none" w:sz="0" w:space="0" w:color="auto"/>
      </w:divBdr>
    </w:div>
    <w:div w:id="1957716179">
      <w:bodyDiv w:val="1"/>
      <w:marLeft w:val="0"/>
      <w:marRight w:val="0"/>
      <w:marTop w:val="0"/>
      <w:marBottom w:val="0"/>
      <w:divBdr>
        <w:top w:val="none" w:sz="0" w:space="0" w:color="auto"/>
        <w:left w:val="none" w:sz="0" w:space="0" w:color="auto"/>
        <w:bottom w:val="none" w:sz="0" w:space="0" w:color="auto"/>
        <w:right w:val="none" w:sz="0" w:space="0" w:color="auto"/>
      </w:divBdr>
    </w:div>
    <w:div w:id="1960647806">
      <w:bodyDiv w:val="1"/>
      <w:marLeft w:val="0"/>
      <w:marRight w:val="0"/>
      <w:marTop w:val="0"/>
      <w:marBottom w:val="0"/>
      <w:divBdr>
        <w:top w:val="none" w:sz="0" w:space="0" w:color="auto"/>
        <w:left w:val="none" w:sz="0" w:space="0" w:color="auto"/>
        <w:bottom w:val="none" w:sz="0" w:space="0" w:color="auto"/>
        <w:right w:val="none" w:sz="0" w:space="0" w:color="auto"/>
      </w:divBdr>
      <w:divsChild>
        <w:div w:id="540289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419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19</Pages>
  <Words>27508</Words>
  <Characters>156802</Characters>
  <Application>Microsoft Office Word</Application>
  <DocSecurity>0</DocSecurity>
  <Lines>1306</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Olabisi Lawal</cp:lastModifiedBy>
  <cp:revision>22</cp:revision>
  <dcterms:created xsi:type="dcterms:W3CDTF">2025-07-08T18:48:00Z</dcterms:created>
  <dcterms:modified xsi:type="dcterms:W3CDTF">2025-07-13T06:48:00Z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id="B8pi1hHB"/&gt;&lt;style id="http://www.zotero.org/styles/vancouver-brackets" locale="en-US" hasBibliography="1" bibliographyStyleHasBeenSet="1"/&gt;&lt;prefs&gt;&lt;pref name="fieldType" value="Field"/&gt;&lt;/prefs&gt;&lt;/d</vt:lpwstr>
  </property>
  <property fmtid="{D5CDD505-2E9C-101B-9397-08002B2CF9AE}" pid="3" name="ZOTERO_PREF_2">
    <vt:lpwstr>ata&gt;</vt:lpwstr>
  </property>
</Properties>
</file>