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FF259" w14:textId="77777777" w:rsidR="00DC2C66" w:rsidRPr="00164C2E" w:rsidRDefault="00DC2C66">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64C2E">
        <w:rPr>
          <w:rFonts w:ascii="Times New Roman" w:eastAsia="Times New Roman" w:hAnsi="Times New Roman" w:cs="Times New Roman"/>
          <w:b/>
          <w:bCs/>
          <w:color w:val="000000" w:themeColor="text1"/>
          <w:sz w:val="24"/>
          <w:szCs w:val="24"/>
        </w:rPr>
        <w:t>Review Article</w:t>
      </w:r>
    </w:p>
    <w:p w14:paraId="3890E3C6" w14:textId="77777777" w:rsidR="00C611D1" w:rsidRPr="00164C2E" w:rsidRDefault="00256392">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64C2E">
        <w:rPr>
          <w:rFonts w:ascii="Times New Roman" w:eastAsia="Times New Roman" w:hAnsi="Times New Roman" w:cs="Times New Roman"/>
          <w:b/>
          <w:bCs/>
          <w:color w:val="000000" w:themeColor="text1"/>
          <w:sz w:val="24"/>
          <w:szCs w:val="24"/>
        </w:rPr>
        <w:t>Loneliness, Social Isolation, and Depression Among Older Adults in Nigeria: A Public Health Crisis</w:t>
      </w:r>
    </w:p>
    <w:p w14:paraId="297EF98C" w14:textId="77777777" w:rsidR="00C611D1" w:rsidRPr="00164C2E" w:rsidRDefault="00C611D1">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14:paraId="073848CE" w14:textId="77777777" w:rsidR="00C611D1" w:rsidRPr="00164C2E" w:rsidRDefault="00256392">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64C2E">
        <w:rPr>
          <w:rFonts w:ascii="Times New Roman" w:eastAsia="Times New Roman" w:hAnsi="Times New Roman" w:cs="Times New Roman"/>
          <w:b/>
          <w:bCs/>
          <w:color w:val="000000" w:themeColor="text1"/>
          <w:sz w:val="24"/>
          <w:szCs w:val="24"/>
        </w:rPr>
        <w:t xml:space="preserve">Abstract </w:t>
      </w:r>
    </w:p>
    <w:p w14:paraId="154DAB41" w14:textId="77777777" w:rsidR="00C611D1" w:rsidRPr="00164C2E" w:rsidRDefault="0025639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Nigeria is undergoing a rapid demographic transition, with a growing proportion of its population entering old age. Despite this trend, the mental health needs of older adults remain significantly under-addressed. Among the most pressing challenges are loneliness, social isolation, and depression—interrelated but distinct psychosocial conditions that contribute profoundly to morbidity, diminished quality of life, and premature mortality in later life. Loneliness refers to the subjective perception of inadequate social relationships, while social isolation is defined by a lack of actual social contact; both are potent risk factors for late-life depression, which is often underdiagnosed and untreated in Nigeria. This review synthesizes current evidence on the prevalence, determinants, and consequences of these conditions among older Nigerians. Key risk factors include the erosion of extended family networks, economic insecurity, chronic illness, and the absence of age-friendly environments. The impacts extend beyond individual health, contributing to increased healthcare utilization, caregiver burden, and societal costs. Notably, there is a paucity of longitudinal data, culturally validated screening tools, and locally tested interventions. The public health implications are substantial, especially in a country where geriatric mental health is marginalized within national policy frameworks. The review calls for the development of a national aging policy that incorporates mental health, investment in primary care-based screening and support systems, community-based participatory interventions, and stigma-reduction campaigns. It also underscores the need for regionally tailored and gender-sensitive research. Addressing the mental health needs of Nigeria’s older adults is both a moral imperative and a developmental necessity.</w:t>
      </w:r>
    </w:p>
    <w:p w14:paraId="5FAF9ABA" w14:textId="77777777" w:rsidR="00B92C0A" w:rsidRPr="00164C2E" w:rsidRDefault="00B92C0A" w:rsidP="00B92C0A">
      <w:pPr>
        <w:rPr>
          <w:rFonts w:ascii="Times New Roman" w:hAnsi="Times New Roman" w:cs="Times New Roman"/>
          <w:color w:val="000000" w:themeColor="text1"/>
          <w:sz w:val="24"/>
          <w:szCs w:val="24"/>
          <w:lang w:val="en-GB"/>
        </w:rPr>
      </w:pPr>
      <w:r w:rsidRPr="00164C2E">
        <w:rPr>
          <w:rFonts w:ascii="Times New Roman" w:hAnsi="Times New Roman" w:cs="Times New Roman"/>
          <w:b/>
          <w:bCs/>
          <w:color w:val="000000" w:themeColor="text1"/>
          <w:sz w:val="24"/>
          <w:szCs w:val="24"/>
          <w:lang w:val="en-GB"/>
        </w:rPr>
        <w:t>Keywords:</w:t>
      </w:r>
      <w:r w:rsidRPr="00164C2E">
        <w:rPr>
          <w:rFonts w:ascii="Times New Roman" w:hAnsi="Times New Roman" w:cs="Times New Roman"/>
          <w:color w:val="000000" w:themeColor="text1"/>
          <w:sz w:val="24"/>
          <w:szCs w:val="24"/>
          <w:lang w:val="en-GB"/>
        </w:rPr>
        <w:t xml:space="preserve"> Loneliness, Social isolation, Depression, Quality of life, Mental Health</w:t>
      </w:r>
    </w:p>
    <w:p w14:paraId="6ECFC1A9" w14:textId="77777777" w:rsidR="00C611D1" w:rsidRPr="00164C2E" w:rsidRDefault="00256392">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64C2E">
        <w:rPr>
          <w:rFonts w:ascii="Times New Roman" w:eastAsia="Times New Roman" w:hAnsi="Times New Roman" w:cs="Times New Roman"/>
          <w:b/>
          <w:bCs/>
          <w:color w:val="000000" w:themeColor="text1"/>
          <w:sz w:val="24"/>
          <w:szCs w:val="24"/>
        </w:rPr>
        <w:t xml:space="preserve">1 Introduction </w:t>
      </w:r>
    </w:p>
    <w:p w14:paraId="33456668"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 xml:space="preserve">Loneliness, social isolation, and depression are distinct yet interconnected psychosocial conditions that pose a growing threat to the well-being of older adults [1]. Loneliness refers to the subjective feeling of being emotionally or socially disconnected, irrespective of the actual size or frequency of social contact [2,3]. Social isolation, by contrast, is the objective condition of limited or absent interpersonal relationships [4]. Depression, a common but often overlooked mental disorder in later life, is characterized by persistent sadness, lack of interest in daily activities, and significant functional impairment [5]. When these conditions intersect, they can </w:t>
      </w:r>
      <w:r w:rsidRPr="00164C2E">
        <w:rPr>
          <w:rFonts w:ascii="Times New Roman" w:eastAsia="Times New Roman" w:hAnsi="Times New Roman" w:cs="Times New Roman"/>
          <w:color w:val="000000" w:themeColor="text1"/>
          <w:sz w:val="24"/>
          <w:szCs w:val="24"/>
        </w:rPr>
        <w:lastRenderedPageBreak/>
        <w:t>profoundly affect physical health, psychological resilience, and overall quality of life, especially among older  populations.</w:t>
      </w:r>
    </w:p>
    <w:p w14:paraId="087680EC"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In Nigeria, these challenges are unfolding against the backdrop of a demographic transformation. Like many low- and middle-income countries (LMICs), Nigeria is witnessing an increase in life expectancy and a steady rise in the proportion of its population aged 60 and above [6]. However, this demographic transition has not been accompanied by a corresponding development of supportive infrastructure, such as geriatric health services, social welfare systems, or age-friendly environments. Many older Nigerians confront cumulative life-course disadvantages, including poverty, chronic illness, bereavement, and weakened intergenerational ties, all of which increase their vulnerability to loneliness, isolation, and depression [7].</w:t>
      </w:r>
    </w:p>
    <w:p w14:paraId="453C88BE"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This review critically examines the antecedents, consequences, and public health implications of loneliness, social isolation, and depression among older adults in Nigeria. Specifically, it aims to (a) synthesize current epidemiological evidence on the prevalence and co-occurrence of these conditions; (b) explore their socio-cultural, economic, and health-related determinants in the Nigerian context; and (c) identify policy and programmatic strategies for prevention and intervention. By situating these issues within the broader public health and development agenda, the review contributes to national and global discourses on healthy aging and social equity.</w:t>
      </w:r>
    </w:p>
    <w:p w14:paraId="3E56C4E7"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Addressing the mental health needs of Nigeria’s older population is not only a moral imperative but also a strategic priority for sustainable development. The integration of geriatric mental health into national public health planning aligns with global commitments such as the United Nations Sustainable Development Goals (SDGs), particularly SDG 3 (Good Health and Well-being) and SDG 10 (Reduced Inequalities). Urgent, context-specific action is needed to ensure that older Nigerians are not left behind in the pursuit of equitable and inclusive health systems.</w:t>
      </w:r>
    </w:p>
    <w:p w14:paraId="21CCB0A1" w14:textId="77777777" w:rsidR="00C611D1" w:rsidRPr="00164C2E" w:rsidRDefault="0025639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b/>
          <w:bCs/>
          <w:color w:val="000000" w:themeColor="text1"/>
          <w:sz w:val="24"/>
          <w:szCs w:val="24"/>
        </w:rPr>
        <w:t>2 Conceptual and Theoretical Framework</w:t>
      </w:r>
    </w:p>
    <w:p w14:paraId="44A0DABE"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 xml:space="preserve">Loneliness and social isolation are often mistakenly used interchangeably, yet they represent distinct constructs with critical implications for mental health in later life. Loneliness is </w:t>
      </w:r>
      <w:r w:rsidRPr="00164C2E">
        <w:rPr>
          <w:rFonts w:ascii="Times New Roman" w:eastAsia="Times New Roman" w:hAnsi="Times New Roman" w:cs="Times New Roman"/>
          <w:color w:val="000000" w:themeColor="text1"/>
          <w:sz w:val="24"/>
          <w:szCs w:val="24"/>
        </w:rPr>
        <w:lastRenderedPageBreak/>
        <w:t>a subjective emotional state, experienced when there is a perceived gap between the quality or quantity of social relationships a person desires and what they actually have [1,2]. Social isolation, on the other hand, refers to the objective lack of social contact, interactions, or engagement. While these experiences may occur independently, they frequently overlap and interact in ways that increase susceptibility to psychological distress, particularly depression—a condition that remains one of the leading contributors to disease burden among older adults globally [4].</w:t>
      </w:r>
    </w:p>
    <w:p w14:paraId="69F48516"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Understanding these psychosocial experiences requires a comprehensive theoretical lens. The Biopsychosocial Model of Aging offers a valuable starting point, emphasizing the interplay of biological aging processes, psychological resilience, and sociocultural context in shaping mental health trajectories in later life [8]. According to this model, loneliness and social isolation are not merely personal or psychological problems but are deeply embedded in wider social and environmental conditions [8]. Complementing this perspective, Socioemotional Selectivity Theory (SST) posits that as individuals age and perceive time as increasingly limited, they become more selective in their social interactions, prioritizing emotionally meaningful relationships [9]. This selectivity, while adaptive, can render older adults particularly vulnerable to emotional loss or the disruption of close ties. Additionally, the Social Convoy Model highlights how the composition and function of social networks evolve over the life course. Events such as widowhood, retirement, or the migration of younger family members can significantly disrupt these networks, weakening the informal support systems that older adults in Nigeria often rely upon [10; 11].</w:t>
      </w:r>
    </w:p>
    <w:p w14:paraId="64A28391"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In the Nigerian context, these theoretical insights must be situated within a rapidly changing social landscape. Traditional norms that once supported extended family caregiving and community belonging are being eroded by urbanization, economic strain, and intergenerational mobility [12,13]. As such, applying these frameworks in Nigeria requires attention to cultural values, shifting familial structures, and the absence of formal geriatric care systems.</w:t>
      </w:r>
    </w:p>
    <w:p w14:paraId="499E4511" w14:textId="77777777" w:rsidR="00C611D1" w:rsidRPr="00164C2E" w:rsidRDefault="0025639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noProof/>
          <w:color w:val="000000" w:themeColor="text1"/>
          <w:sz w:val="24"/>
          <w:szCs w:val="24"/>
        </w:rPr>
        <w:lastRenderedPageBreak/>
        <w:drawing>
          <wp:inline distT="0" distB="0" distL="0" distR="0" wp14:anchorId="77FC00AF" wp14:editId="19B326D3">
            <wp:extent cx="3429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Jun 27, 2025, 04_19_53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2101" cy="3432101"/>
                    </a:xfrm>
                    <a:prstGeom prst="rect">
                      <a:avLst/>
                    </a:prstGeom>
                  </pic:spPr>
                </pic:pic>
              </a:graphicData>
            </a:graphic>
          </wp:inline>
        </w:drawing>
      </w:r>
    </w:p>
    <w:p w14:paraId="57CC6C86" w14:textId="77777777" w:rsidR="00C611D1" w:rsidRPr="00164C2E" w:rsidRDefault="00256392">
      <w:pPr>
        <w:spacing w:before="100" w:beforeAutospacing="1" w:after="100" w:afterAutospacing="1" w:line="240" w:lineRule="auto"/>
        <w:ind w:right="720"/>
        <w:rPr>
          <w:rFonts w:ascii="Times New Roman" w:hAnsi="Times New Roman" w:cs="Times New Roman"/>
          <w:color w:val="000000" w:themeColor="text1"/>
          <w:sz w:val="24"/>
          <w:szCs w:val="24"/>
        </w:rPr>
      </w:pPr>
      <w:r w:rsidRPr="00164C2E">
        <w:rPr>
          <w:rFonts w:ascii="Times New Roman" w:eastAsia="Times New Roman" w:hAnsi="Times New Roman" w:cs="Times New Roman"/>
          <w:b/>
          <w:bCs/>
          <w:color w:val="000000" w:themeColor="text1"/>
          <w:sz w:val="24"/>
          <w:szCs w:val="24"/>
        </w:rPr>
        <w:t>Figure 1</w:t>
      </w: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i/>
          <w:iCs/>
          <w:color w:val="000000" w:themeColor="text1"/>
          <w:sz w:val="24"/>
          <w:szCs w:val="24"/>
        </w:rPr>
        <w:t xml:space="preserve">Conceptual framework illustrating the interrelationship between loneliness, social isolation, and depression in older Nigerian adults. The model highlights key mediators (e.g., poverty, chronic illness) and moderators (e.g., gender, rural-urban context) relevant to the Nigerian socio-cultural setting. Adapted from theoretical models including the Biopsychosocial Model of Aging and Socioemotional Selectivity Theory </w:t>
      </w:r>
      <w:r w:rsidRPr="00164C2E">
        <w:rPr>
          <w:rFonts w:ascii="Times New Roman" w:eastAsia="Times New Roman" w:hAnsi="Times New Roman" w:cs="Times New Roman"/>
          <w:color w:val="000000" w:themeColor="text1"/>
          <w:sz w:val="24"/>
          <w:szCs w:val="24"/>
        </w:rPr>
        <w:t>[14,15]</w:t>
      </w:r>
    </w:p>
    <w:p w14:paraId="586C383B"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However, the application of these models must be culturally and contextually grounded in the Nigerian setting. In Nigeria, collectivist norms, intergenerational living, religious beliefs, and community belonging profoundly shape the social fabric of aging. The erosion of extended family networks due to urbanization, economic pressures, and youth migration has disrupted traditional support systems, necessitating localized adaptations of these theories [11]. Integrating cultural variables enhances explanatory power and ensures the design of interventions that are not only theoretically sound but contextually relevant and socially acceptable.</w:t>
      </w:r>
    </w:p>
    <w:p w14:paraId="4AB60A52" w14:textId="77777777" w:rsidR="00C611D1" w:rsidRPr="00164C2E" w:rsidRDefault="00256392" w:rsidP="00DE7FE0">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b/>
          <w:bCs/>
          <w:color w:val="000000" w:themeColor="text1"/>
          <w:sz w:val="24"/>
          <w:szCs w:val="24"/>
        </w:rPr>
        <w:t xml:space="preserve">3 Epidemiology and Prevalence in Nigeria </w:t>
      </w:r>
    </w:p>
    <w:p w14:paraId="44B6D24A" w14:textId="77777777" w:rsidR="00224BD5" w:rsidRPr="00164C2E" w:rsidRDefault="00256392" w:rsidP="00DE7FE0">
      <w:pPr>
        <w:pStyle w:val="NormalWeb"/>
        <w:spacing w:line="360" w:lineRule="auto"/>
        <w:rPr>
          <w:color w:val="000000" w:themeColor="text1"/>
        </w:rPr>
      </w:pPr>
      <w:r w:rsidRPr="00164C2E">
        <w:rPr>
          <w:color w:val="000000" w:themeColor="text1"/>
        </w:rPr>
        <w:t xml:space="preserve"> </w:t>
      </w:r>
      <w:r w:rsidRPr="00164C2E">
        <w:rPr>
          <w:color w:val="000000" w:themeColor="text1"/>
        </w:rPr>
        <w:tab/>
        <w:t xml:space="preserve">Nigeria is undergoing a profound demographic shift, marked by a steady rise in the proportion of older adults. In 2005, individuals aged 60 and above comprised approximately 4.9% of the population; by 2017, this had grown to 6.0%, and projections indicate that by 2025, </w:t>
      </w:r>
      <w:r w:rsidRPr="00164C2E">
        <w:rPr>
          <w:color w:val="000000" w:themeColor="text1"/>
        </w:rPr>
        <w:lastRenderedPageBreak/>
        <w:t xml:space="preserve">this number will reach 11.5 million and may approach 25.5 million by 2050 [16]. Despite these trends, geriatric mental health has received limited policy attention, and investments in eldercare infrastructure remain inadequate. Data on the psychosocial well-being of older Nigerians—particularly loneliness, social isolation, and depression—are limited but increasingly suggestive of a growing crisis [16, 17]. </w:t>
      </w:r>
      <w:r w:rsidR="00224BD5" w:rsidRPr="00164C2E">
        <w:rPr>
          <w:color w:val="000000" w:themeColor="text1"/>
        </w:rPr>
        <w:t>A chronological summary of major studies contributing to the understanding of loneliness, social isolation, and depression among older adults in Nigeria and comparable contexts is presented in Table 1 below.</w:t>
      </w:r>
    </w:p>
    <w:p w14:paraId="6FAA3E4E" w14:textId="77777777" w:rsidR="00DE7FE0" w:rsidRDefault="00B92C0A" w:rsidP="00DE7FE0">
      <w:pPr>
        <w:pStyle w:val="NormalWeb"/>
        <w:spacing w:line="360" w:lineRule="auto"/>
        <w:rPr>
          <w:rStyle w:val="Strong"/>
          <w:color w:val="000000" w:themeColor="text1"/>
        </w:rPr>
      </w:pPr>
      <w:r w:rsidRPr="00164C2E">
        <w:rPr>
          <w:rStyle w:val="Strong"/>
          <w:color w:val="000000" w:themeColor="text1"/>
        </w:rPr>
        <w:t>Table 1. Chronological Summary of Key Literature on Loneliness, Social Isolation, and Depression among Older Adults</w:t>
      </w:r>
      <w:r w:rsidR="00DE7FE0">
        <w:rPr>
          <w:rStyle w:val="Strong"/>
          <w:color w:val="000000" w:themeColor="text1"/>
        </w:rPr>
        <w:t>.</w:t>
      </w:r>
    </w:p>
    <w:p w14:paraId="34AE4D4E" w14:textId="3AE6A6AD" w:rsidR="00B92C0A" w:rsidRPr="00164C2E" w:rsidRDefault="00DE7FE0" w:rsidP="00DE7FE0">
      <w:pPr>
        <w:pStyle w:val="NormalWeb"/>
        <w:spacing w:line="360" w:lineRule="auto"/>
        <w:rPr>
          <w:color w:val="000000" w:themeColor="text1"/>
        </w:rPr>
      </w:pPr>
      <w:r>
        <w:rPr>
          <w:color w:val="000000" w:themeColor="text1"/>
        </w:rPr>
        <w:t xml:space="preserve"> </w:t>
      </w:r>
      <w:r>
        <w:rPr>
          <w:color w:val="000000" w:themeColor="text1"/>
        </w:rPr>
        <w:tab/>
      </w:r>
      <w:r w:rsidR="00B92C0A" w:rsidRPr="00164C2E">
        <w:rPr>
          <w:color w:val="000000" w:themeColor="text1"/>
        </w:rPr>
        <w:t>This table presents a year-wise overview of seminal studies and relevant scholarly contributions related to loneliness, social isolation, and depression among older adults, particularly in Nigeria. It highlights research themes, core findings, and contextual relevance to support the theoretical and empirical framework of the study.</w:t>
      </w:r>
    </w:p>
    <w:tbl>
      <w:tblPr>
        <w:tblStyle w:val="TableGrid"/>
        <w:tblW w:w="10080" w:type="dxa"/>
        <w:tblInd w:w="-455" w:type="dxa"/>
        <w:tblLook w:val="04A0" w:firstRow="1" w:lastRow="0" w:firstColumn="1" w:lastColumn="0" w:noHBand="0" w:noVBand="1"/>
      </w:tblPr>
      <w:tblGrid>
        <w:gridCol w:w="1080"/>
        <w:gridCol w:w="1894"/>
        <w:gridCol w:w="1803"/>
        <w:gridCol w:w="3323"/>
        <w:gridCol w:w="1980"/>
      </w:tblGrid>
      <w:tr w:rsidR="00164C2E" w:rsidRPr="00164C2E" w14:paraId="0AC43A9F" w14:textId="77777777" w:rsidTr="003B22AD">
        <w:tc>
          <w:tcPr>
            <w:tcW w:w="1080" w:type="dxa"/>
          </w:tcPr>
          <w:p w14:paraId="1DD87CCF" w14:textId="77777777" w:rsidR="00B92C0A" w:rsidRPr="00164C2E" w:rsidRDefault="00B92C0A" w:rsidP="00224BD5">
            <w:pPr>
              <w:pStyle w:val="NormalWeb"/>
              <w:rPr>
                <w:color w:val="000000" w:themeColor="text1"/>
              </w:rPr>
            </w:pPr>
            <w:r w:rsidRPr="00164C2E">
              <w:rPr>
                <w:color w:val="000000" w:themeColor="text1"/>
              </w:rPr>
              <w:t>Year</w:t>
            </w:r>
          </w:p>
        </w:tc>
        <w:tc>
          <w:tcPr>
            <w:tcW w:w="1894" w:type="dxa"/>
          </w:tcPr>
          <w:p w14:paraId="1538D204" w14:textId="77777777" w:rsidR="00B92C0A" w:rsidRPr="00164C2E" w:rsidRDefault="00B92C0A" w:rsidP="00224BD5">
            <w:pPr>
              <w:pStyle w:val="NormalWeb"/>
              <w:rPr>
                <w:color w:val="000000" w:themeColor="text1"/>
              </w:rPr>
            </w:pPr>
            <w:r w:rsidRPr="00164C2E">
              <w:rPr>
                <w:color w:val="000000" w:themeColor="text1"/>
              </w:rPr>
              <w:t>Authors</w:t>
            </w:r>
          </w:p>
        </w:tc>
        <w:tc>
          <w:tcPr>
            <w:tcW w:w="1803" w:type="dxa"/>
          </w:tcPr>
          <w:p w14:paraId="3FDD9B80" w14:textId="77777777" w:rsidR="00B92C0A" w:rsidRPr="00164C2E" w:rsidRDefault="00B92C0A" w:rsidP="00224BD5">
            <w:pPr>
              <w:pStyle w:val="NormalWeb"/>
              <w:rPr>
                <w:color w:val="000000" w:themeColor="text1"/>
              </w:rPr>
            </w:pPr>
            <w:r w:rsidRPr="00164C2E">
              <w:rPr>
                <w:color w:val="000000" w:themeColor="text1"/>
              </w:rPr>
              <w:t>Study title/focus</w:t>
            </w:r>
          </w:p>
        </w:tc>
        <w:tc>
          <w:tcPr>
            <w:tcW w:w="3323" w:type="dxa"/>
          </w:tcPr>
          <w:p w14:paraId="33A3523F" w14:textId="77777777" w:rsidR="00B92C0A" w:rsidRPr="00164C2E" w:rsidRDefault="00B92C0A" w:rsidP="00224BD5">
            <w:pPr>
              <w:pStyle w:val="NormalWeb"/>
              <w:rPr>
                <w:color w:val="000000" w:themeColor="text1"/>
              </w:rPr>
            </w:pPr>
            <w:r w:rsidRPr="00164C2E">
              <w:rPr>
                <w:color w:val="000000" w:themeColor="text1"/>
              </w:rPr>
              <w:t>Key findings/ contributions</w:t>
            </w:r>
          </w:p>
        </w:tc>
        <w:tc>
          <w:tcPr>
            <w:tcW w:w="1980" w:type="dxa"/>
          </w:tcPr>
          <w:p w14:paraId="1B96FF13" w14:textId="77777777" w:rsidR="00B92C0A" w:rsidRPr="00164C2E" w:rsidRDefault="00B92C0A" w:rsidP="00224BD5">
            <w:pPr>
              <w:pStyle w:val="NormalWeb"/>
              <w:rPr>
                <w:color w:val="000000" w:themeColor="text1"/>
              </w:rPr>
            </w:pPr>
            <w:r w:rsidRPr="00164C2E">
              <w:rPr>
                <w:color w:val="000000" w:themeColor="text1"/>
              </w:rPr>
              <w:t>Location/context</w:t>
            </w:r>
          </w:p>
        </w:tc>
      </w:tr>
      <w:tr w:rsidR="00164C2E" w:rsidRPr="00164C2E" w14:paraId="0394E3D2" w14:textId="77777777" w:rsidTr="003B22AD">
        <w:tc>
          <w:tcPr>
            <w:tcW w:w="1080" w:type="dxa"/>
            <w:vAlign w:val="center"/>
          </w:tcPr>
          <w:p w14:paraId="25099A83"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2004</w:t>
            </w:r>
          </w:p>
        </w:tc>
        <w:tc>
          <w:tcPr>
            <w:tcW w:w="1894" w:type="dxa"/>
            <w:vAlign w:val="center"/>
          </w:tcPr>
          <w:p w14:paraId="7C7968A1"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Borrell-</w:t>
            </w:r>
            <w:proofErr w:type="spellStart"/>
            <w:r w:rsidRPr="00164C2E">
              <w:rPr>
                <w:rFonts w:ascii="Times New Roman" w:eastAsia="Times New Roman" w:hAnsi="Times New Roman" w:cs="Times New Roman"/>
                <w:color w:val="000000" w:themeColor="text1"/>
                <w:sz w:val="24"/>
                <w:szCs w:val="24"/>
              </w:rPr>
              <w:t>Carrió</w:t>
            </w:r>
            <w:proofErr w:type="spellEnd"/>
            <w:r w:rsidRPr="00164C2E">
              <w:rPr>
                <w:rFonts w:ascii="Times New Roman" w:eastAsia="Times New Roman" w:hAnsi="Times New Roman" w:cs="Times New Roman"/>
                <w:color w:val="000000" w:themeColor="text1"/>
                <w:sz w:val="24"/>
                <w:szCs w:val="24"/>
              </w:rPr>
              <w:t xml:space="preserve"> et al.</w:t>
            </w:r>
          </w:p>
        </w:tc>
        <w:tc>
          <w:tcPr>
            <w:tcW w:w="1803" w:type="dxa"/>
            <w:vAlign w:val="center"/>
          </w:tcPr>
          <w:p w14:paraId="58AFEEE9"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Biopsychosocial Model of Aging</w:t>
            </w:r>
          </w:p>
        </w:tc>
        <w:tc>
          <w:tcPr>
            <w:tcW w:w="3323" w:type="dxa"/>
            <w:vAlign w:val="center"/>
          </w:tcPr>
          <w:p w14:paraId="706D3563"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Integrated biological, psychological, and social determinants of health in aging.</w:t>
            </w:r>
          </w:p>
        </w:tc>
        <w:tc>
          <w:tcPr>
            <w:tcW w:w="1980" w:type="dxa"/>
            <w:vAlign w:val="center"/>
          </w:tcPr>
          <w:p w14:paraId="28A60184"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Global</w:t>
            </w:r>
          </w:p>
        </w:tc>
      </w:tr>
      <w:tr w:rsidR="00164C2E" w:rsidRPr="00164C2E" w14:paraId="611E9EF9" w14:textId="77777777" w:rsidTr="003B22AD">
        <w:tc>
          <w:tcPr>
            <w:tcW w:w="1080" w:type="dxa"/>
            <w:vAlign w:val="center"/>
          </w:tcPr>
          <w:p w14:paraId="01F4B1FB"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2007</w:t>
            </w:r>
          </w:p>
        </w:tc>
        <w:tc>
          <w:tcPr>
            <w:tcW w:w="1894" w:type="dxa"/>
            <w:vAlign w:val="center"/>
          </w:tcPr>
          <w:p w14:paraId="235C90A0" w14:textId="77777777" w:rsidR="00B92C0A" w:rsidRPr="00164C2E" w:rsidRDefault="00B92C0A" w:rsidP="00B92C0A">
            <w:pPr>
              <w:rPr>
                <w:rFonts w:ascii="Times New Roman" w:eastAsia="Times New Roman" w:hAnsi="Times New Roman" w:cs="Times New Roman"/>
                <w:color w:val="000000" w:themeColor="text1"/>
                <w:sz w:val="24"/>
                <w:szCs w:val="24"/>
              </w:rPr>
            </w:pPr>
            <w:proofErr w:type="spellStart"/>
            <w:r w:rsidRPr="00164C2E">
              <w:rPr>
                <w:rFonts w:ascii="Times New Roman" w:eastAsia="Times New Roman" w:hAnsi="Times New Roman" w:cs="Times New Roman"/>
                <w:color w:val="000000" w:themeColor="text1"/>
                <w:sz w:val="24"/>
                <w:szCs w:val="24"/>
              </w:rPr>
              <w:t>Gureje</w:t>
            </w:r>
            <w:proofErr w:type="spellEnd"/>
            <w:r w:rsidRPr="00164C2E">
              <w:rPr>
                <w:rFonts w:ascii="Times New Roman" w:eastAsia="Times New Roman" w:hAnsi="Times New Roman" w:cs="Times New Roman"/>
                <w:color w:val="000000" w:themeColor="text1"/>
                <w:sz w:val="24"/>
                <w:szCs w:val="24"/>
              </w:rPr>
              <w:t xml:space="preserve"> et al.</w:t>
            </w:r>
          </w:p>
        </w:tc>
        <w:tc>
          <w:tcPr>
            <w:tcW w:w="1803" w:type="dxa"/>
            <w:vAlign w:val="center"/>
          </w:tcPr>
          <w:p w14:paraId="31250493"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Ibadan Study of Aging</w:t>
            </w:r>
          </w:p>
        </w:tc>
        <w:tc>
          <w:tcPr>
            <w:tcW w:w="3323" w:type="dxa"/>
            <w:vAlign w:val="center"/>
          </w:tcPr>
          <w:p w14:paraId="742D3997"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26.2% lifetime depression prevalence; 7.1% 12-month prevalence in elderly Nigerians.</w:t>
            </w:r>
          </w:p>
        </w:tc>
        <w:tc>
          <w:tcPr>
            <w:tcW w:w="1980" w:type="dxa"/>
            <w:vAlign w:val="center"/>
          </w:tcPr>
          <w:p w14:paraId="06074CEC"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Nigeria</w:t>
            </w:r>
          </w:p>
        </w:tc>
      </w:tr>
      <w:tr w:rsidR="00164C2E" w:rsidRPr="00164C2E" w14:paraId="43818560" w14:textId="77777777" w:rsidTr="003B22AD">
        <w:tc>
          <w:tcPr>
            <w:tcW w:w="1080" w:type="dxa"/>
            <w:vAlign w:val="center"/>
          </w:tcPr>
          <w:p w14:paraId="6EC59ADC" w14:textId="58B91608"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201</w:t>
            </w:r>
            <w:r w:rsidR="00164C2E">
              <w:rPr>
                <w:rFonts w:ascii="Times New Roman" w:eastAsia="Times New Roman" w:hAnsi="Times New Roman" w:cs="Times New Roman"/>
                <w:color w:val="000000" w:themeColor="text1"/>
                <w:sz w:val="24"/>
                <w:szCs w:val="24"/>
              </w:rPr>
              <w:t>7</w:t>
            </w:r>
          </w:p>
        </w:tc>
        <w:tc>
          <w:tcPr>
            <w:tcW w:w="1894" w:type="dxa"/>
            <w:vAlign w:val="center"/>
          </w:tcPr>
          <w:p w14:paraId="2DD2D30C" w14:textId="6D2DE5C8" w:rsidR="00B92C0A" w:rsidRPr="00164C2E" w:rsidRDefault="00164C2E" w:rsidP="00B92C0A">
            <w:pPr>
              <w:rPr>
                <w:rFonts w:ascii="Times New Roman" w:eastAsia="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rPr>
              <w:t>Animasahun</w:t>
            </w:r>
            <w:proofErr w:type="spellEnd"/>
            <w:r>
              <w:rPr>
                <w:rFonts w:ascii="Times New Roman" w:hAnsi="Times New Roman" w:cs="Times New Roman"/>
                <w:color w:val="000000" w:themeColor="text1"/>
                <w:sz w:val="24"/>
                <w:szCs w:val="24"/>
              </w:rPr>
              <w:t xml:space="preserve"> &amp; </w:t>
            </w:r>
            <w:r w:rsidRPr="00164C2E">
              <w:rPr>
                <w:rFonts w:ascii="Times New Roman" w:hAnsi="Times New Roman" w:cs="Times New Roman"/>
                <w:color w:val="000000" w:themeColor="text1"/>
                <w:sz w:val="24"/>
                <w:szCs w:val="24"/>
              </w:rPr>
              <w:t>Chapman</w:t>
            </w:r>
          </w:p>
        </w:tc>
        <w:tc>
          <w:tcPr>
            <w:tcW w:w="1803" w:type="dxa"/>
            <w:vAlign w:val="center"/>
          </w:tcPr>
          <w:p w14:paraId="0BF74735"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Social Support and Economic Security</w:t>
            </w:r>
          </w:p>
        </w:tc>
        <w:tc>
          <w:tcPr>
            <w:tcW w:w="3323" w:type="dxa"/>
            <w:vAlign w:val="center"/>
          </w:tcPr>
          <w:p w14:paraId="2873798C"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Identified economic insecurity as a critical factor in elder distress.</w:t>
            </w:r>
          </w:p>
        </w:tc>
        <w:tc>
          <w:tcPr>
            <w:tcW w:w="1980" w:type="dxa"/>
            <w:vAlign w:val="center"/>
          </w:tcPr>
          <w:p w14:paraId="710AB9A9"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Nigeria</w:t>
            </w:r>
          </w:p>
        </w:tc>
      </w:tr>
      <w:tr w:rsidR="00164C2E" w:rsidRPr="00164C2E" w14:paraId="3976689F" w14:textId="77777777" w:rsidTr="003B22AD">
        <w:tc>
          <w:tcPr>
            <w:tcW w:w="1080" w:type="dxa"/>
            <w:vAlign w:val="center"/>
          </w:tcPr>
          <w:p w14:paraId="5AE68CD0"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2015</w:t>
            </w:r>
          </w:p>
        </w:tc>
        <w:tc>
          <w:tcPr>
            <w:tcW w:w="1894" w:type="dxa"/>
            <w:vAlign w:val="center"/>
          </w:tcPr>
          <w:p w14:paraId="59B4F8B4"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Holt-</w:t>
            </w:r>
            <w:proofErr w:type="spellStart"/>
            <w:r w:rsidRPr="00164C2E">
              <w:rPr>
                <w:rFonts w:ascii="Times New Roman" w:eastAsia="Times New Roman" w:hAnsi="Times New Roman" w:cs="Times New Roman"/>
                <w:color w:val="000000" w:themeColor="text1"/>
                <w:sz w:val="24"/>
                <w:szCs w:val="24"/>
              </w:rPr>
              <w:t>Lunstad</w:t>
            </w:r>
            <w:proofErr w:type="spellEnd"/>
            <w:r w:rsidRPr="00164C2E">
              <w:rPr>
                <w:rFonts w:ascii="Times New Roman" w:eastAsia="Times New Roman" w:hAnsi="Times New Roman" w:cs="Times New Roman"/>
                <w:color w:val="000000" w:themeColor="text1"/>
                <w:sz w:val="24"/>
                <w:szCs w:val="24"/>
              </w:rPr>
              <w:t xml:space="preserve"> et al.</w:t>
            </w:r>
          </w:p>
        </w:tc>
        <w:tc>
          <w:tcPr>
            <w:tcW w:w="1803" w:type="dxa"/>
            <w:vAlign w:val="center"/>
          </w:tcPr>
          <w:p w14:paraId="0EB5F5DF"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Loneliness &amp; Mortality Risk</w:t>
            </w:r>
          </w:p>
        </w:tc>
        <w:tc>
          <w:tcPr>
            <w:tcW w:w="3323" w:type="dxa"/>
            <w:vAlign w:val="center"/>
          </w:tcPr>
          <w:p w14:paraId="75A635BD"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Loneliness and isolation linked to increased mortality, comparable to smoking.</w:t>
            </w:r>
          </w:p>
        </w:tc>
        <w:tc>
          <w:tcPr>
            <w:tcW w:w="1980" w:type="dxa"/>
            <w:vAlign w:val="center"/>
          </w:tcPr>
          <w:p w14:paraId="046889AD"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Global</w:t>
            </w:r>
          </w:p>
        </w:tc>
      </w:tr>
      <w:tr w:rsidR="00164C2E" w:rsidRPr="00164C2E" w14:paraId="6A694417" w14:textId="77777777" w:rsidTr="003B22AD">
        <w:tc>
          <w:tcPr>
            <w:tcW w:w="1080" w:type="dxa"/>
            <w:vAlign w:val="center"/>
          </w:tcPr>
          <w:p w14:paraId="0E986D23"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2016</w:t>
            </w:r>
          </w:p>
        </w:tc>
        <w:tc>
          <w:tcPr>
            <w:tcW w:w="1894" w:type="dxa"/>
            <w:vAlign w:val="center"/>
          </w:tcPr>
          <w:p w14:paraId="089F953C"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Nwokocha EE</w:t>
            </w:r>
          </w:p>
        </w:tc>
        <w:tc>
          <w:tcPr>
            <w:tcW w:w="1803" w:type="dxa"/>
            <w:vAlign w:val="center"/>
          </w:tcPr>
          <w:p w14:paraId="6D2CD724"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Widowhood in Igboland</w:t>
            </w:r>
          </w:p>
        </w:tc>
        <w:tc>
          <w:tcPr>
            <w:tcW w:w="3323" w:type="dxa"/>
            <w:vAlign w:val="center"/>
          </w:tcPr>
          <w:p w14:paraId="6C4670B1"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Widowhood culturally linked to isolation and emotional distress.</w:t>
            </w:r>
          </w:p>
        </w:tc>
        <w:tc>
          <w:tcPr>
            <w:tcW w:w="1980" w:type="dxa"/>
            <w:vAlign w:val="center"/>
          </w:tcPr>
          <w:p w14:paraId="655E36CD"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Nigeria (Igboland)</w:t>
            </w:r>
          </w:p>
        </w:tc>
      </w:tr>
      <w:tr w:rsidR="00164C2E" w:rsidRPr="00164C2E" w14:paraId="4E4FE8D6" w14:textId="77777777" w:rsidTr="003B22AD">
        <w:tc>
          <w:tcPr>
            <w:tcW w:w="1080" w:type="dxa"/>
            <w:vAlign w:val="center"/>
          </w:tcPr>
          <w:p w14:paraId="63661C97"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2017</w:t>
            </w:r>
          </w:p>
        </w:tc>
        <w:tc>
          <w:tcPr>
            <w:tcW w:w="1894" w:type="dxa"/>
            <w:vAlign w:val="center"/>
          </w:tcPr>
          <w:p w14:paraId="5F63BED2" w14:textId="77777777" w:rsidR="00B92C0A" w:rsidRPr="00164C2E" w:rsidRDefault="00B92C0A" w:rsidP="00B92C0A">
            <w:pPr>
              <w:rPr>
                <w:rFonts w:ascii="Times New Roman" w:eastAsia="Times New Roman" w:hAnsi="Times New Roman" w:cs="Times New Roman"/>
                <w:color w:val="000000" w:themeColor="text1"/>
                <w:sz w:val="24"/>
                <w:szCs w:val="24"/>
              </w:rPr>
            </w:pPr>
            <w:proofErr w:type="spellStart"/>
            <w:r w:rsidRPr="00164C2E">
              <w:rPr>
                <w:rFonts w:ascii="Times New Roman" w:eastAsia="Times New Roman" w:hAnsi="Times New Roman" w:cs="Times New Roman"/>
                <w:color w:val="000000" w:themeColor="text1"/>
                <w:sz w:val="24"/>
                <w:szCs w:val="24"/>
              </w:rPr>
              <w:t>Aiyedun</w:t>
            </w:r>
            <w:proofErr w:type="spellEnd"/>
            <w:r w:rsidRPr="00164C2E">
              <w:rPr>
                <w:rFonts w:ascii="Times New Roman" w:eastAsia="Times New Roman" w:hAnsi="Times New Roman" w:cs="Times New Roman"/>
                <w:color w:val="000000" w:themeColor="text1"/>
                <w:sz w:val="24"/>
                <w:szCs w:val="24"/>
              </w:rPr>
              <w:t xml:space="preserve"> &amp; </w:t>
            </w:r>
            <w:proofErr w:type="spellStart"/>
            <w:r w:rsidRPr="00164C2E">
              <w:rPr>
                <w:rFonts w:ascii="Times New Roman" w:eastAsia="Times New Roman" w:hAnsi="Times New Roman" w:cs="Times New Roman"/>
                <w:color w:val="000000" w:themeColor="text1"/>
                <w:sz w:val="24"/>
                <w:szCs w:val="24"/>
              </w:rPr>
              <w:t>Udujih</w:t>
            </w:r>
            <w:proofErr w:type="spellEnd"/>
          </w:p>
        </w:tc>
        <w:tc>
          <w:tcPr>
            <w:tcW w:w="1803" w:type="dxa"/>
            <w:vAlign w:val="center"/>
          </w:tcPr>
          <w:p w14:paraId="109C62B2"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Widowhood &amp; Inheritance Rights</w:t>
            </w:r>
          </w:p>
        </w:tc>
        <w:tc>
          <w:tcPr>
            <w:tcW w:w="3323" w:type="dxa"/>
            <w:vAlign w:val="center"/>
          </w:tcPr>
          <w:p w14:paraId="5A83096D"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Social and economic exclusion due to discriminatory cultural practices.</w:t>
            </w:r>
          </w:p>
        </w:tc>
        <w:tc>
          <w:tcPr>
            <w:tcW w:w="1980" w:type="dxa"/>
            <w:vAlign w:val="center"/>
          </w:tcPr>
          <w:p w14:paraId="700D6E5D"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Nigeria (Esan)</w:t>
            </w:r>
          </w:p>
        </w:tc>
      </w:tr>
      <w:tr w:rsidR="00164C2E" w:rsidRPr="00164C2E" w14:paraId="6269D6BA" w14:textId="77777777" w:rsidTr="003B22AD">
        <w:tc>
          <w:tcPr>
            <w:tcW w:w="1080" w:type="dxa"/>
            <w:vAlign w:val="center"/>
          </w:tcPr>
          <w:p w14:paraId="6AA427BE"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2018</w:t>
            </w:r>
          </w:p>
        </w:tc>
        <w:tc>
          <w:tcPr>
            <w:tcW w:w="1894" w:type="dxa"/>
            <w:vAlign w:val="center"/>
          </w:tcPr>
          <w:p w14:paraId="3695813C"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Cacioppo &amp; Cacioppo</w:t>
            </w:r>
          </w:p>
        </w:tc>
        <w:tc>
          <w:tcPr>
            <w:tcW w:w="1803" w:type="dxa"/>
            <w:vAlign w:val="center"/>
          </w:tcPr>
          <w:p w14:paraId="208BB324"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The Growing Problem of Loneliness</w:t>
            </w:r>
          </w:p>
        </w:tc>
        <w:tc>
          <w:tcPr>
            <w:tcW w:w="3323" w:type="dxa"/>
            <w:vAlign w:val="center"/>
          </w:tcPr>
          <w:p w14:paraId="2A64257A"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Highlighted global epidemic of loneliness among older adults.</w:t>
            </w:r>
          </w:p>
        </w:tc>
        <w:tc>
          <w:tcPr>
            <w:tcW w:w="1980" w:type="dxa"/>
            <w:vAlign w:val="center"/>
          </w:tcPr>
          <w:p w14:paraId="5EFE720A"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Global</w:t>
            </w:r>
          </w:p>
        </w:tc>
      </w:tr>
      <w:tr w:rsidR="00164C2E" w:rsidRPr="00164C2E" w14:paraId="40AB56C2" w14:textId="77777777" w:rsidTr="003B22AD">
        <w:tc>
          <w:tcPr>
            <w:tcW w:w="1080" w:type="dxa"/>
            <w:vAlign w:val="center"/>
          </w:tcPr>
          <w:p w14:paraId="115F8965"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2019</w:t>
            </w:r>
          </w:p>
        </w:tc>
        <w:tc>
          <w:tcPr>
            <w:tcW w:w="1894" w:type="dxa"/>
            <w:vAlign w:val="center"/>
          </w:tcPr>
          <w:p w14:paraId="1926A9C8" w14:textId="77777777" w:rsidR="00B92C0A" w:rsidRPr="00164C2E" w:rsidRDefault="00B92C0A" w:rsidP="00B92C0A">
            <w:pPr>
              <w:rPr>
                <w:rFonts w:ascii="Times New Roman" w:eastAsia="Times New Roman" w:hAnsi="Times New Roman" w:cs="Times New Roman"/>
                <w:color w:val="000000" w:themeColor="text1"/>
                <w:sz w:val="24"/>
                <w:szCs w:val="24"/>
              </w:rPr>
            </w:pPr>
            <w:proofErr w:type="spellStart"/>
            <w:r w:rsidRPr="00164C2E">
              <w:rPr>
                <w:rFonts w:ascii="Times New Roman" w:eastAsia="Times New Roman" w:hAnsi="Times New Roman" w:cs="Times New Roman"/>
                <w:color w:val="000000" w:themeColor="text1"/>
                <w:sz w:val="24"/>
                <w:szCs w:val="24"/>
              </w:rPr>
              <w:t>Ojagbemi</w:t>
            </w:r>
            <w:proofErr w:type="spellEnd"/>
            <w:r w:rsidRPr="00164C2E">
              <w:rPr>
                <w:rFonts w:ascii="Times New Roman" w:eastAsia="Times New Roman" w:hAnsi="Times New Roman" w:cs="Times New Roman"/>
                <w:color w:val="000000" w:themeColor="text1"/>
                <w:sz w:val="24"/>
                <w:szCs w:val="24"/>
              </w:rPr>
              <w:t xml:space="preserve"> &amp; </w:t>
            </w:r>
            <w:proofErr w:type="spellStart"/>
            <w:r w:rsidRPr="00164C2E">
              <w:rPr>
                <w:rFonts w:ascii="Times New Roman" w:eastAsia="Times New Roman" w:hAnsi="Times New Roman" w:cs="Times New Roman"/>
                <w:color w:val="000000" w:themeColor="text1"/>
                <w:sz w:val="24"/>
                <w:szCs w:val="24"/>
              </w:rPr>
              <w:t>Gureje</w:t>
            </w:r>
            <w:proofErr w:type="spellEnd"/>
          </w:p>
        </w:tc>
        <w:tc>
          <w:tcPr>
            <w:tcW w:w="1803" w:type="dxa"/>
            <w:vAlign w:val="center"/>
          </w:tcPr>
          <w:p w14:paraId="7B4C1912"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Loneliness and Depression</w:t>
            </w:r>
          </w:p>
        </w:tc>
        <w:tc>
          <w:tcPr>
            <w:tcW w:w="3323" w:type="dxa"/>
            <w:vAlign w:val="center"/>
          </w:tcPr>
          <w:p w14:paraId="316AC951"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Poor social ties linked to depression in Nigerian elderly.</w:t>
            </w:r>
          </w:p>
        </w:tc>
        <w:tc>
          <w:tcPr>
            <w:tcW w:w="1980" w:type="dxa"/>
            <w:vAlign w:val="center"/>
          </w:tcPr>
          <w:p w14:paraId="68B9F2FA"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Nigeria</w:t>
            </w:r>
          </w:p>
        </w:tc>
      </w:tr>
      <w:tr w:rsidR="00164C2E" w:rsidRPr="00164C2E" w14:paraId="0D6D4C6A" w14:textId="77777777" w:rsidTr="003B22AD">
        <w:tc>
          <w:tcPr>
            <w:tcW w:w="1080" w:type="dxa"/>
            <w:vAlign w:val="center"/>
          </w:tcPr>
          <w:p w14:paraId="082C2693"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lastRenderedPageBreak/>
              <w:t>2020</w:t>
            </w:r>
          </w:p>
        </w:tc>
        <w:tc>
          <w:tcPr>
            <w:tcW w:w="1894" w:type="dxa"/>
            <w:vAlign w:val="center"/>
          </w:tcPr>
          <w:p w14:paraId="20D07D91"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Ajayi et al.</w:t>
            </w:r>
          </w:p>
        </w:tc>
        <w:tc>
          <w:tcPr>
            <w:tcW w:w="1803" w:type="dxa"/>
            <w:vAlign w:val="center"/>
          </w:tcPr>
          <w:p w14:paraId="796DE4EF"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Regional Disparities in Depression</w:t>
            </w:r>
          </w:p>
        </w:tc>
        <w:tc>
          <w:tcPr>
            <w:tcW w:w="3323" w:type="dxa"/>
            <w:vAlign w:val="center"/>
          </w:tcPr>
          <w:p w14:paraId="07F4AD0C"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Urban migration linked to isolation in rural elders.</w:t>
            </w:r>
          </w:p>
        </w:tc>
        <w:tc>
          <w:tcPr>
            <w:tcW w:w="1980" w:type="dxa"/>
            <w:vAlign w:val="center"/>
          </w:tcPr>
          <w:p w14:paraId="509F6187"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Nigeria</w:t>
            </w:r>
          </w:p>
        </w:tc>
      </w:tr>
      <w:tr w:rsidR="00164C2E" w:rsidRPr="00164C2E" w14:paraId="5786DC0A" w14:textId="77777777" w:rsidTr="003B22AD">
        <w:tc>
          <w:tcPr>
            <w:tcW w:w="1080" w:type="dxa"/>
            <w:vAlign w:val="center"/>
          </w:tcPr>
          <w:p w14:paraId="35194637"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2021</w:t>
            </w:r>
          </w:p>
        </w:tc>
        <w:tc>
          <w:tcPr>
            <w:tcW w:w="1894" w:type="dxa"/>
            <w:vAlign w:val="center"/>
          </w:tcPr>
          <w:p w14:paraId="25A77F4D"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Carstensen LL</w:t>
            </w:r>
          </w:p>
        </w:tc>
        <w:tc>
          <w:tcPr>
            <w:tcW w:w="1803" w:type="dxa"/>
            <w:vAlign w:val="center"/>
          </w:tcPr>
          <w:p w14:paraId="25CB8637"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Socioemotional Selectivity Theory</w:t>
            </w:r>
          </w:p>
        </w:tc>
        <w:tc>
          <w:tcPr>
            <w:tcW w:w="3323" w:type="dxa"/>
            <w:vAlign w:val="center"/>
          </w:tcPr>
          <w:p w14:paraId="0BE8AC46"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Aging narrows social networks to emotionally rewarding ties.</w:t>
            </w:r>
          </w:p>
        </w:tc>
        <w:tc>
          <w:tcPr>
            <w:tcW w:w="1980" w:type="dxa"/>
            <w:vAlign w:val="center"/>
          </w:tcPr>
          <w:p w14:paraId="7825A70F"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Global</w:t>
            </w:r>
          </w:p>
        </w:tc>
      </w:tr>
      <w:tr w:rsidR="00164C2E" w:rsidRPr="00164C2E" w14:paraId="077B4EBC" w14:textId="77777777" w:rsidTr="003B22AD">
        <w:tc>
          <w:tcPr>
            <w:tcW w:w="1080" w:type="dxa"/>
            <w:vAlign w:val="center"/>
          </w:tcPr>
          <w:p w14:paraId="6BB4538E"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2022</w:t>
            </w:r>
          </w:p>
        </w:tc>
        <w:tc>
          <w:tcPr>
            <w:tcW w:w="1894" w:type="dxa"/>
            <w:vAlign w:val="center"/>
          </w:tcPr>
          <w:p w14:paraId="7FF66C50"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Mbam et al.</w:t>
            </w:r>
          </w:p>
        </w:tc>
        <w:tc>
          <w:tcPr>
            <w:tcW w:w="1803" w:type="dxa"/>
            <w:vAlign w:val="center"/>
          </w:tcPr>
          <w:p w14:paraId="2BA63179"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Aging Policies in Nigeria</w:t>
            </w:r>
          </w:p>
        </w:tc>
        <w:tc>
          <w:tcPr>
            <w:tcW w:w="3323" w:type="dxa"/>
            <w:vAlign w:val="center"/>
          </w:tcPr>
          <w:p w14:paraId="21C4C4E7"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Emphasized lack of structured aging policies and frameworks.</w:t>
            </w:r>
          </w:p>
        </w:tc>
        <w:tc>
          <w:tcPr>
            <w:tcW w:w="1980" w:type="dxa"/>
            <w:vAlign w:val="center"/>
          </w:tcPr>
          <w:p w14:paraId="14C29282"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Nigeria</w:t>
            </w:r>
          </w:p>
        </w:tc>
      </w:tr>
      <w:tr w:rsidR="00164C2E" w:rsidRPr="00164C2E" w14:paraId="44467F3C" w14:textId="77777777" w:rsidTr="003B22AD">
        <w:tc>
          <w:tcPr>
            <w:tcW w:w="1080" w:type="dxa"/>
            <w:vAlign w:val="center"/>
          </w:tcPr>
          <w:p w14:paraId="20883D0B"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2023</w:t>
            </w:r>
          </w:p>
        </w:tc>
        <w:tc>
          <w:tcPr>
            <w:tcW w:w="1894" w:type="dxa"/>
            <w:vAlign w:val="center"/>
          </w:tcPr>
          <w:p w14:paraId="259A920F"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Ogunyemi et al.</w:t>
            </w:r>
          </w:p>
        </w:tc>
        <w:tc>
          <w:tcPr>
            <w:tcW w:w="1803" w:type="dxa"/>
            <w:vAlign w:val="center"/>
          </w:tcPr>
          <w:p w14:paraId="35E212BB"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PHC Geriatric Readiness</w:t>
            </w:r>
          </w:p>
        </w:tc>
        <w:tc>
          <w:tcPr>
            <w:tcW w:w="3323" w:type="dxa"/>
            <w:vAlign w:val="center"/>
          </w:tcPr>
          <w:p w14:paraId="3CF55C23"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Identified service gaps in PHC facilities for elderly care.</w:t>
            </w:r>
          </w:p>
        </w:tc>
        <w:tc>
          <w:tcPr>
            <w:tcW w:w="1980" w:type="dxa"/>
            <w:vAlign w:val="center"/>
          </w:tcPr>
          <w:p w14:paraId="2BDC7A24"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Southwest Nigeria</w:t>
            </w:r>
          </w:p>
        </w:tc>
      </w:tr>
      <w:tr w:rsidR="00164C2E" w:rsidRPr="00164C2E" w14:paraId="436BFABE" w14:textId="77777777" w:rsidTr="003B22AD">
        <w:tc>
          <w:tcPr>
            <w:tcW w:w="1080" w:type="dxa"/>
            <w:vAlign w:val="center"/>
          </w:tcPr>
          <w:p w14:paraId="5F8BF790"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2024</w:t>
            </w:r>
          </w:p>
        </w:tc>
        <w:tc>
          <w:tcPr>
            <w:tcW w:w="1894" w:type="dxa"/>
            <w:vAlign w:val="center"/>
          </w:tcPr>
          <w:p w14:paraId="17A53631"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Folorunsho et al.</w:t>
            </w:r>
          </w:p>
        </w:tc>
        <w:tc>
          <w:tcPr>
            <w:tcW w:w="1803" w:type="dxa"/>
            <w:vAlign w:val="center"/>
          </w:tcPr>
          <w:p w14:paraId="381CB857"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Social Capital &amp; Mental Stress</w:t>
            </w:r>
          </w:p>
        </w:tc>
        <w:tc>
          <w:tcPr>
            <w:tcW w:w="3323" w:type="dxa"/>
            <w:vAlign w:val="center"/>
          </w:tcPr>
          <w:p w14:paraId="40D8A078"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Role of informal networks in reducing elder stress.</w:t>
            </w:r>
          </w:p>
        </w:tc>
        <w:tc>
          <w:tcPr>
            <w:tcW w:w="1980" w:type="dxa"/>
            <w:vAlign w:val="center"/>
          </w:tcPr>
          <w:p w14:paraId="519104A4"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Nigeria</w:t>
            </w:r>
          </w:p>
        </w:tc>
      </w:tr>
      <w:tr w:rsidR="00164C2E" w:rsidRPr="00164C2E" w14:paraId="4A7FAFE7" w14:textId="77777777" w:rsidTr="003B22AD">
        <w:tc>
          <w:tcPr>
            <w:tcW w:w="1080" w:type="dxa"/>
            <w:vAlign w:val="center"/>
          </w:tcPr>
          <w:p w14:paraId="207F2BD5"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2025</w:t>
            </w:r>
          </w:p>
        </w:tc>
        <w:tc>
          <w:tcPr>
            <w:tcW w:w="1894" w:type="dxa"/>
            <w:vAlign w:val="center"/>
          </w:tcPr>
          <w:p w14:paraId="49C157EE"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Folorunsho &amp; Okyere</w:t>
            </w:r>
          </w:p>
        </w:tc>
        <w:tc>
          <w:tcPr>
            <w:tcW w:w="1803" w:type="dxa"/>
            <w:vAlign w:val="center"/>
          </w:tcPr>
          <w:p w14:paraId="19571F3A"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Abuse and Mental Health</w:t>
            </w:r>
          </w:p>
        </w:tc>
        <w:tc>
          <w:tcPr>
            <w:tcW w:w="3323" w:type="dxa"/>
            <w:vAlign w:val="center"/>
          </w:tcPr>
          <w:p w14:paraId="3E55BEC6"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Mental health impacts of neglect, physical, and financial abuse.</w:t>
            </w:r>
          </w:p>
        </w:tc>
        <w:tc>
          <w:tcPr>
            <w:tcW w:w="1980" w:type="dxa"/>
            <w:vAlign w:val="center"/>
          </w:tcPr>
          <w:p w14:paraId="7A848F70" w14:textId="0F982560" w:rsidR="00B92C0A" w:rsidRPr="00164C2E" w:rsidRDefault="00164C2E" w:rsidP="00B92C0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Global</w:t>
            </w:r>
          </w:p>
        </w:tc>
      </w:tr>
      <w:tr w:rsidR="00164C2E" w:rsidRPr="00164C2E" w14:paraId="63D7D733" w14:textId="77777777" w:rsidTr="003B22AD">
        <w:tc>
          <w:tcPr>
            <w:tcW w:w="1080" w:type="dxa"/>
            <w:vAlign w:val="center"/>
          </w:tcPr>
          <w:p w14:paraId="1F8C0045"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2025</w:t>
            </w:r>
          </w:p>
        </w:tc>
        <w:tc>
          <w:tcPr>
            <w:tcW w:w="1894" w:type="dxa"/>
            <w:vAlign w:val="center"/>
          </w:tcPr>
          <w:p w14:paraId="58F31841"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Maier et al.</w:t>
            </w:r>
          </w:p>
        </w:tc>
        <w:tc>
          <w:tcPr>
            <w:tcW w:w="1803" w:type="dxa"/>
            <w:vAlign w:val="center"/>
          </w:tcPr>
          <w:p w14:paraId="00F65081"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Risk Factors of Depression</w:t>
            </w:r>
          </w:p>
        </w:tc>
        <w:tc>
          <w:tcPr>
            <w:tcW w:w="3323" w:type="dxa"/>
            <w:vAlign w:val="center"/>
          </w:tcPr>
          <w:p w14:paraId="047B2502"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Reviewed protective and risk factors in late-life depression.</w:t>
            </w:r>
          </w:p>
        </w:tc>
        <w:tc>
          <w:tcPr>
            <w:tcW w:w="1980" w:type="dxa"/>
            <w:vAlign w:val="center"/>
          </w:tcPr>
          <w:p w14:paraId="03475D6D" w14:textId="77777777" w:rsidR="00B92C0A" w:rsidRPr="00164C2E" w:rsidRDefault="00B92C0A" w:rsidP="00B92C0A">
            <w:pPr>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Global</w:t>
            </w:r>
          </w:p>
        </w:tc>
      </w:tr>
    </w:tbl>
    <w:p w14:paraId="26808AB2" w14:textId="4CC1DCAD" w:rsidR="00C611D1" w:rsidRPr="00164C2E" w:rsidRDefault="00DE7FE0" w:rsidP="00DE7FE0">
      <w:pPr>
        <w:spacing w:beforeAutospacing="1" w:after="100" w:afterAutospacing="1"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00B92C0A" w:rsidRPr="00164C2E">
        <w:rPr>
          <w:rFonts w:ascii="Times New Roman" w:eastAsia="Times New Roman" w:hAnsi="Times New Roman" w:cs="Times New Roman"/>
          <w:color w:val="000000" w:themeColor="text1"/>
          <w:sz w:val="24"/>
          <w:szCs w:val="24"/>
        </w:rPr>
        <w:t xml:space="preserve">These studies provide foundational evidence for recognizing late-life psychosocial distress as a significant public health issue. However, despite this growing body of research, Nigeria still lacks comprehensive surveillance systems and age-disaggregated data to inform targeted interventions. </w:t>
      </w:r>
      <w:r w:rsidR="00256392" w:rsidRPr="00164C2E">
        <w:rPr>
          <w:rFonts w:ascii="Times New Roman" w:eastAsia="Times New Roman" w:hAnsi="Times New Roman" w:cs="Times New Roman"/>
          <w:color w:val="000000" w:themeColor="text1"/>
          <w:sz w:val="24"/>
          <w:szCs w:val="24"/>
        </w:rPr>
        <w:t xml:space="preserve">Qualitative studies from southeastern Nigeria have identified rural–urban migration, physical disability, and the erosion of traditional family support as key drivers of social fragmentation. Quantitative data show wide variation: one 2014 survey found loneliness prevalence as high as 52.8%, while others report rates ranging from 41% to 45%. A large-scale household study of older adults (n = 1,704) reported that 16.7% met clinical criteria for loneliness, and those affected were more than twice as likely to experience major depressive disorder, with poor social engagement acting as a mediating factor [18]. </w:t>
      </w:r>
    </w:p>
    <w:p w14:paraId="2C558523" w14:textId="77777777" w:rsidR="00C611D1" w:rsidRPr="00164C2E" w:rsidRDefault="00256392">
      <w:pPr>
        <w:spacing w:before="100" w:beforeAutospacing="1" w:after="100" w:afterAutospacing="1" w:line="360" w:lineRule="auto"/>
        <w:rPr>
          <w:rFonts w:ascii="Times New Roman" w:eastAsia="Times New Roman" w:hAnsi="Times New Roman" w:cs="Times New Roman"/>
          <w:i/>
          <w:iCs/>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 xml:space="preserve">The Ibadan Study of Ageing (ISA) further highlights the burden of late-life depression, reporting a lifetime prevalence of 26.2% and a 12-month prevalence of 7.1% for major depressive disorder among older Nigerians. In North Central Nigeria, newer data show that 21.8% of retirees experienced loneliness, while a striking 52.0% met criteria for depression, and 20.5% showed signs of comorbid anxious depression [19]. Geographic disparities also persist, although they remain underexplored. In rural areas, isolation is often intensified by the migration of younger family members to urban centers, while in urban settings such as Lagos, older adults may face neglect and high social fragmentation despite living in densely populated environments </w:t>
      </w:r>
      <w:r w:rsidRPr="00164C2E">
        <w:rPr>
          <w:rFonts w:ascii="Times New Roman" w:eastAsia="Times New Roman" w:hAnsi="Times New Roman" w:cs="Times New Roman"/>
          <w:color w:val="000000" w:themeColor="text1"/>
          <w:sz w:val="24"/>
          <w:szCs w:val="24"/>
        </w:rPr>
        <w:lastRenderedPageBreak/>
        <w:t>[20]. Unfortunately, the national data infrastructure remains weak. Nigeria lacks a dedicated aging surveillance system or a mental health registry that captures geriatric-specific indicators. National surveys rarely disaggregate findings by age, and few include psychosocial variables such as loneliness or social isolation [17]. Although the National Senior Citizens Centre was established under the 2018 Senior Citizens Act, its operational capacity and data systems are still underdeveloped. These gaps present significant barriers to evidence-based planning and targeted interventions for Nigeria’s rapidly aging population [21].</w:t>
      </w:r>
    </w:p>
    <w:p w14:paraId="7921B0D8" w14:textId="77777777" w:rsidR="00C611D1" w:rsidRPr="00164C2E" w:rsidRDefault="0025639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b/>
          <w:bCs/>
          <w:color w:val="000000" w:themeColor="text1"/>
          <w:sz w:val="24"/>
          <w:szCs w:val="24"/>
        </w:rPr>
        <w:t>Figure 2</w:t>
      </w:r>
      <w:r w:rsidRPr="00164C2E">
        <w:rPr>
          <w:rFonts w:ascii="Times New Roman" w:eastAsia="Times New Roman" w:hAnsi="Times New Roman" w:cs="Times New Roman"/>
          <w:color w:val="000000" w:themeColor="text1"/>
          <w:sz w:val="24"/>
          <w:szCs w:val="24"/>
        </w:rPr>
        <w:t xml:space="preserve"> illustrates geographic and demographic disparities in depression and social isolation, emphasizing the unequal distribution of psychosocial distress among older adults across Nigeria’s regions, genders, and residential settings. </w:t>
      </w:r>
    </w:p>
    <w:p w14:paraId="1C8A54AB" w14:textId="77777777" w:rsidR="00C611D1" w:rsidRPr="00164C2E" w:rsidRDefault="00256392">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noProof/>
          <w:color w:val="000000" w:themeColor="text1"/>
          <w:sz w:val="24"/>
          <w:szCs w:val="24"/>
        </w:rPr>
        <w:drawing>
          <wp:inline distT="0" distB="0" distL="0" distR="0" wp14:anchorId="08E519D6" wp14:editId="581CEE86">
            <wp:extent cx="5481638" cy="365442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Jun 27, 2025, 04_27_42 AM.png"/>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85622" cy="3657081"/>
                    </a:xfrm>
                    <a:prstGeom prst="rect">
                      <a:avLst/>
                    </a:prstGeom>
                  </pic:spPr>
                </pic:pic>
              </a:graphicData>
            </a:graphic>
          </wp:inline>
        </w:drawing>
      </w:r>
    </w:p>
    <w:p w14:paraId="01DEE3E4" w14:textId="77777777" w:rsidR="00C611D1" w:rsidRPr="00164C2E" w:rsidRDefault="00256392">
      <w:pPr>
        <w:pStyle w:val="NormalWeb"/>
        <w:rPr>
          <w:color w:val="000000" w:themeColor="text1"/>
        </w:rPr>
      </w:pPr>
      <w:r w:rsidRPr="00164C2E">
        <w:rPr>
          <w:b/>
          <w:bCs/>
          <w:color w:val="000000" w:themeColor="text1"/>
        </w:rPr>
        <w:t>Figure 2</w:t>
      </w:r>
      <w:r w:rsidRPr="00164C2E">
        <w:rPr>
          <w:color w:val="000000" w:themeColor="text1"/>
        </w:rPr>
        <w:t xml:space="preserve">. </w:t>
      </w:r>
      <w:r w:rsidRPr="00164C2E">
        <w:rPr>
          <w:i/>
          <w:iCs/>
          <w:color w:val="000000" w:themeColor="text1"/>
        </w:rPr>
        <w:t xml:space="preserve">Geographic and demographic disparities in depression and social isolation among older adults in Nigeria. The left panel maps regional prevalence estimates (from studies such as Ajayi et al., 2020), while the right panel compares urban–rural and gender-based prevalence. The figure emphasizes population segments at heightened risk of psychosocial distress. Adapted from Ajayi et al. (2020), Balogun &amp; </w:t>
      </w:r>
      <w:proofErr w:type="spellStart"/>
      <w:r w:rsidRPr="00164C2E">
        <w:rPr>
          <w:i/>
          <w:iCs/>
          <w:color w:val="000000" w:themeColor="text1"/>
        </w:rPr>
        <w:t>Ojedokun</w:t>
      </w:r>
      <w:proofErr w:type="spellEnd"/>
      <w:r w:rsidRPr="00164C2E">
        <w:rPr>
          <w:i/>
          <w:iCs/>
          <w:color w:val="000000" w:themeColor="text1"/>
        </w:rPr>
        <w:t xml:space="preserve"> (2021), and WHO (2017). </w:t>
      </w:r>
      <w:hyperlink r:id="rId11" w:history="1">
        <w:r w:rsidRPr="00164C2E">
          <w:rPr>
            <w:rStyle w:val="Hyperlink"/>
            <w:color w:val="000000" w:themeColor="text1"/>
          </w:rPr>
          <w:t>https://doi.org/10.1186/s12877-020-01821-3</w:t>
        </w:r>
      </w:hyperlink>
      <w:r w:rsidRPr="00164C2E">
        <w:rPr>
          <w:color w:val="000000" w:themeColor="text1"/>
        </w:rPr>
        <w:t xml:space="preserve">,  </w:t>
      </w:r>
      <w:hyperlink r:id="rId12" w:history="1">
        <w:r w:rsidRPr="00164C2E">
          <w:rPr>
            <w:rStyle w:val="Hyperlink"/>
            <w:color w:val="000000" w:themeColor="text1"/>
          </w:rPr>
          <w:t>https://doi.org/10.1080/01634372.2020.1868210</w:t>
        </w:r>
      </w:hyperlink>
    </w:p>
    <w:p w14:paraId="6DF8FD1F" w14:textId="77777777" w:rsidR="003B22AD" w:rsidRDefault="003B22AD">
      <w:pPr>
        <w:pStyle w:val="NormalWeb"/>
        <w:spacing w:line="360" w:lineRule="auto"/>
        <w:rPr>
          <w:rStyle w:val="Strong"/>
          <w:color w:val="000000" w:themeColor="text1"/>
        </w:rPr>
      </w:pPr>
    </w:p>
    <w:p w14:paraId="5ED9450B" w14:textId="4C90E6F4" w:rsidR="00C611D1" w:rsidRPr="00164C2E" w:rsidRDefault="00256392">
      <w:pPr>
        <w:pStyle w:val="NormalWeb"/>
        <w:spacing w:line="360" w:lineRule="auto"/>
        <w:rPr>
          <w:color w:val="000000" w:themeColor="text1"/>
        </w:rPr>
      </w:pPr>
      <w:r w:rsidRPr="00164C2E">
        <w:rPr>
          <w:rStyle w:val="Strong"/>
          <w:color w:val="000000" w:themeColor="text1"/>
        </w:rPr>
        <w:lastRenderedPageBreak/>
        <w:t>4. RISK FACTORS AND DETERMINANTS</w:t>
      </w:r>
    </w:p>
    <w:p w14:paraId="503A9F13" w14:textId="77777777" w:rsidR="00C611D1" w:rsidRPr="00164C2E" w:rsidRDefault="00256392">
      <w:pPr>
        <w:pStyle w:val="Heading3"/>
        <w:spacing w:line="360" w:lineRule="auto"/>
        <w:rPr>
          <w:color w:val="000000" w:themeColor="text1"/>
          <w:sz w:val="24"/>
          <w:szCs w:val="24"/>
        </w:rPr>
      </w:pPr>
      <w:r w:rsidRPr="00164C2E">
        <w:rPr>
          <w:color w:val="000000" w:themeColor="text1"/>
          <w:sz w:val="24"/>
          <w:szCs w:val="24"/>
        </w:rPr>
        <w:t>4.1 Social and Cultural Determinants</w:t>
      </w:r>
    </w:p>
    <w:p w14:paraId="73F571D8" w14:textId="77777777" w:rsidR="00C611D1" w:rsidRPr="00164C2E" w:rsidRDefault="00256392">
      <w:pPr>
        <w:pStyle w:val="Heading3"/>
        <w:spacing w:line="360" w:lineRule="auto"/>
        <w:rPr>
          <w:b w:val="0"/>
          <w:bCs w:val="0"/>
          <w:color w:val="000000" w:themeColor="text1"/>
          <w:sz w:val="24"/>
          <w:szCs w:val="24"/>
        </w:rPr>
      </w:pPr>
      <w:r w:rsidRPr="00164C2E">
        <w:rPr>
          <w:b w:val="0"/>
          <w:bCs w:val="0"/>
          <w:color w:val="000000" w:themeColor="text1"/>
          <w:sz w:val="24"/>
          <w:szCs w:val="24"/>
        </w:rPr>
        <w:t xml:space="preserve"> </w:t>
      </w:r>
      <w:r w:rsidRPr="00164C2E">
        <w:rPr>
          <w:b w:val="0"/>
          <w:bCs w:val="0"/>
          <w:color w:val="000000" w:themeColor="text1"/>
          <w:sz w:val="24"/>
          <w:szCs w:val="24"/>
        </w:rPr>
        <w:tab/>
        <w:t>Nigerian society has traditionally been rooted in collectivist values, with the extended family system providing emotional, financial, and caregiving support for older adults. However, these long-standing structures are rapidly weakening due to the combined pressures of urbanization, globalization, and socio-economic transformation [22]. As younger generations migrate to urban areas or abroad in search of better opportunities, aging parents are often left behind in rural communities with minimal contact or daily assistance. The once-assumed obligation that adult children will care for their elders is increasingly difficult to fulfill amid rising youth unemployment, inflation, and economic precarity [22]. This erosion of intergenerational reciprocity contributes to increased social isolation and emotional neglect.  Widowhood further compounds vulnerability, especially for women, who in many Nigerian communities face social exclusion, dispossession of property, and degrading cultural practices that exacerbate psychological distress [23]. Older adults without children—or those whose children are deceased, estranged, or disengaged—frequently report intense feelings of abandonment and loss of purpose. In addition, the gradual withdrawal from socially valued roles through retirement, bereavement, or declining physical function deepens their marginalization, often leading to diminished self-worth and a sense of social invisibility [24]. These culturally and structurally mediated experiences form a critical backdrop to the psychosocial risks faced by older Nigerians.</w:t>
      </w:r>
    </w:p>
    <w:p w14:paraId="2A1D526C" w14:textId="77777777" w:rsidR="00C611D1" w:rsidRPr="00164C2E" w:rsidRDefault="00256392">
      <w:pPr>
        <w:pStyle w:val="Heading3"/>
        <w:spacing w:line="360" w:lineRule="auto"/>
        <w:rPr>
          <w:color w:val="000000" w:themeColor="text1"/>
          <w:sz w:val="24"/>
          <w:szCs w:val="24"/>
        </w:rPr>
      </w:pPr>
      <w:r w:rsidRPr="00164C2E">
        <w:rPr>
          <w:color w:val="000000" w:themeColor="text1"/>
          <w:sz w:val="24"/>
          <w:szCs w:val="24"/>
        </w:rPr>
        <w:t>4.2 Economic Factors</w:t>
      </w:r>
    </w:p>
    <w:p w14:paraId="41EFC2E4" w14:textId="77777777" w:rsidR="00C611D1" w:rsidRPr="00164C2E" w:rsidRDefault="00256392">
      <w:pPr>
        <w:pStyle w:val="Heading3"/>
        <w:spacing w:line="360" w:lineRule="auto"/>
        <w:rPr>
          <w:b w:val="0"/>
          <w:bCs w:val="0"/>
          <w:color w:val="000000" w:themeColor="text1"/>
          <w:sz w:val="24"/>
          <w:szCs w:val="24"/>
        </w:rPr>
      </w:pPr>
      <w:r w:rsidRPr="00164C2E">
        <w:rPr>
          <w:b w:val="0"/>
          <w:bCs w:val="0"/>
          <w:color w:val="000000" w:themeColor="text1"/>
          <w:sz w:val="24"/>
          <w:szCs w:val="24"/>
        </w:rPr>
        <w:t xml:space="preserve"> </w:t>
      </w:r>
      <w:r w:rsidRPr="00164C2E">
        <w:rPr>
          <w:b w:val="0"/>
          <w:bCs w:val="0"/>
          <w:color w:val="000000" w:themeColor="text1"/>
          <w:sz w:val="24"/>
          <w:szCs w:val="24"/>
        </w:rPr>
        <w:tab/>
        <w:t xml:space="preserve">Economic insecurity remains one of the most significant determinants of mental distress among older adults in Nigeria. A large proportion of the elderly population lives below the poverty line, often without reliable income or formal financial support. For many, retirement does not come with the security of pensions or social benefits—particularly for those who spent their working years in the informal sector, where participation in contributory pension schemes is rare or nonexistent [25]. As a result, aging frequently ushers in a period of economic hardship marked by dependence, deprivation, and vulnerability [26]. The lack of affordable health </w:t>
      </w:r>
      <w:r w:rsidRPr="00164C2E">
        <w:rPr>
          <w:b w:val="0"/>
          <w:bCs w:val="0"/>
          <w:color w:val="000000" w:themeColor="text1"/>
          <w:sz w:val="24"/>
          <w:szCs w:val="24"/>
        </w:rPr>
        <w:lastRenderedPageBreak/>
        <w:t xml:space="preserve">insurance, coupled with the near absence of long-term care services, imposes additional financial strain on older adults and their families, especially when managing chronic illnesses or functional decline. Moreover, inadequate public investment in age-friendly infrastructure—such as accessible housing, transport systems, and safe communal spaces—limits the mobility and autonomy of older persons, reinforcing social isolation [27]. </w:t>
      </w:r>
    </w:p>
    <w:p w14:paraId="26146D83" w14:textId="0121B57C" w:rsidR="00C611D1" w:rsidRPr="00164C2E" w:rsidRDefault="00256392">
      <w:pPr>
        <w:pStyle w:val="NormalWeb"/>
        <w:spacing w:line="360" w:lineRule="auto"/>
        <w:rPr>
          <w:b/>
          <w:bCs/>
          <w:color w:val="000000" w:themeColor="text1"/>
        </w:rPr>
      </w:pPr>
      <w:r w:rsidRPr="00164C2E">
        <w:rPr>
          <w:b/>
          <w:bCs/>
          <w:color w:val="000000" w:themeColor="text1"/>
        </w:rPr>
        <w:t>4.3. Health-Related Risk Factors</w:t>
      </w:r>
    </w:p>
    <w:p w14:paraId="78B9F568" w14:textId="77777777" w:rsidR="00C611D1" w:rsidRPr="00164C2E" w:rsidRDefault="00256392">
      <w:pPr>
        <w:pStyle w:val="NormalWeb"/>
        <w:spacing w:line="360" w:lineRule="auto"/>
        <w:rPr>
          <w:color w:val="000000" w:themeColor="text1"/>
        </w:rPr>
      </w:pPr>
      <w:r w:rsidRPr="00164C2E">
        <w:rPr>
          <w:color w:val="000000" w:themeColor="text1"/>
        </w:rPr>
        <w:t xml:space="preserve"> </w:t>
      </w:r>
      <w:r w:rsidRPr="00164C2E">
        <w:rPr>
          <w:color w:val="000000" w:themeColor="text1"/>
        </w:rPr>
        <w:tab/>
        <w:t>The burden of chronic non-communicable diseases (NCDs) among older adults in Nigeria is substantial, with conditions such as hypertension, arthritis, and diabetes occurring frequently and often in combination. These illnesses not only contribute to physical pain and functional impairment but also significantly reduce older adults’ capacity to engage in social and economic activities, thereby increasing the risk of isolation and emotional distress [28]. Functional decline—whether through deteriorating vision, limited mobility, or general frailty—can restrict older individuals to their homes, further deepening social withdrawal and dependence. These challenges are exacerbated by the limited availability of specialized geriatric and mental health services across the country. Access to appropriate care is highly uneven, with most facilities located in urban centers and a persistent shortage of trained professionals in geriatric psychiatry, counseling, and psychosocial support [29]. The underdevelopment of Nigeria’s health infrastructure leaves many older adults without adequate diagnosis, treatment, or long-term management for both physical and mental health conditions. This systemic neglect not only worsens individual health outcomes but also reinforces the cycle of exclusion, loneliness, and depression in late life.</w:t>
      </w:r>
    </w:p>
    <w:p w14:paraId="1108872D" w14:textId="77777777" w:rsidR="00C611D1" w:rsidRPr="00164C2E" w:rsidRDefault="00256392">
      <w:pPr>
        <w:pStyle w:val="NormalWeb"/>
        <w:spacing w:line="360" w:lineRule="auto"/>
        <w:rPr>
          <w:color w:val="000000" w:themeColor="text1"/>
        </w:rPr>
      </w:pPr>
      <w:r w:rsidRPr="00164C2E">
        <w:rPr>
          <w:rStyle w:val="Strong"/>
          <w:color w:val="000000" w:themeColor="text1"/>
        </w:rPr>
        <w:t xml:space="preserve">5 IMPACTS AND CONSEQUENCES </w:t>
      </w:r>
    </w:p>
    <w:p w14:paraId="0F368E83" w14:textId="77777777" w:rsidR="00C611D1" w:rsidRPr="00164C2E" w:rsidRDefault="00256392">
      <w:pPr>
        <w:pStyle w:val="Heading3"/>
        <w:spacing w:line="360" w:lineRule="auto"/>
        <w:rPr>
          <w:color w:val="000000" w:themeColor="text1"/>
          <w:sz w:val="24"/>
          <w:szCs w:val="24"/>
        </w:rPr>
      </w:pPr>
      <w:r w:rsidRPr="00164C2E">
        <w:rPr>
          <w:color w:val="000000" w:themeColor="text1"/>
          <w:sz w:val="24"/>
          <w:szCs w:val="24"/>
        </w:rPr>
        <w:t>5.1 Mental Health Consequences</w:t>
      </w:r>
    </w:p>
    <w:p w14:paraId="3B05DDCE" w14:textId="77777777" w:rsidR="00C611D1" w:rsidRPr="00164C2E" w:rsidRDefault="00256392">
      <w:pPr>
        <w:pStyle w:val="NormalWeb"/>
        <w:spacing w:line="360" w:lineRule="auto"/>
        <w:rPr>
          <w:color w:val="000000" w:themeColor="text1"/>
        </w:rPr>
      </w:pPr>
      <w:r w:rsidRPr="00164C2E">
        <w:rPr>
          <w:color w:val="000000" w:themeColor="text1"/>
        </w:rPr>
        <w:t xml:space="preserve"> </w:t>
      </w:r>
      <w:r w:rsidRPr="00164C2E">
        <w:rPr>
          <w:color w:val="000000" w:themeColor="text1"/>
        </w:rPr>
        <w:tab/>
        <w:t xml:space="preserve">There is a well-established trajectory linking loneliness and social isolation to the onset and exacerbation of </w:t>
      </w:r>
      <w:r w:rsidRPr="00164C2E">
        <w:rPr>
          <w:rStyle w:val="Strong"/>
          <w:b w:val="0"/>
          <w:bCs w:val="0"/>
          <w:color w:val="000000" w:themeColor="text1"/>
        </w:rPr>
        <w:t>clinical</w:t>
      </w:r>
      <w:r w:rsidRPr="00164C2E">
        <w:rPr>
          <w:rStyle w:val="Strong"/>
          <w:color w:val="000000" w:themeColor="text1"/>
        </w:rPr>
        <w:t xml:space="preserve"> </w:t>
      </w:r>
      <w:r w:rsidRPr="00164C2E">
        <w:rPr>
          <w:rStyle w:val="Strong"/>
          <w:b w:val="0"/>
          <w:bCs w:val="0"/>
          <w:color w:val="000000" w:themeColor="text1"/>
        </w:rPr>
        <w:t>depression</w:t>
      </w:r>
      <w:r w:rsidRPr="00164C2E">
        <w:rPr>
          <w:color w:val="000000" w:themeColor="text1"/>
        </w:rPr>
        <w:t xml:space="preserve">. Persistent feelings of disconnectedness contribute to negative affect, hopelessness, and diminished self-worth—hallmarks of depressive illness. In older adults, these symptoms may be masked by somatic complaints or misattributed to aging, leading to underdiagnosis. </w:t>
      </w:r>
      <w:r w:rsidRPr="00164C2E">
        <w:rPr>
          <w:rStyle w:val="Strong"/>
          <w:b w:val="0"/>
          <w:bCs w:val="0"/>
          <w:color w:val="000000" w:themeColor="text1"/>
        </w:rPr>
        <w:t>Suicide</w:t>
      </w:r>
      <w:r w:rsidRPr="00164C2E">
        <w:rPr>
          <w:rStyle w:val="Strong"/>
          <w:color w:val="000000" w:themeColor="text1"/>
        </w:rPr>
        <w:t xml:space="preserve"> </w:t>
      </w:r>
      <w:r w:rsidRPr="00164C2E">
        <w:rPr>
          <w:rStyle w:val="Strong"/>
          <w:b w:val="0"/>
          <w:bCs w:val="0"/>
          <w:color w:val="000000" w:themeColor="text1"/>
        </w:rPr>
        <w:t>risk</w:t>
      </w:r>
      <w:r w:rsidRPr="00164C2E">
        <w:rPr>
          <w:color w:val="000000" w:themeColor="text1"/>
        </w:rPr>
        <w:t xml:space="preserve">, though understudied in Nigeria’s elderly, is a </w:t>
      </w:r>
      <w:r w:rsidRPr="00164C2E">
        <w:rPr>
          <w:color w:val="000000" w:themeColor="text1"/>
        </w:rPr>
        <w:lastRenderedPageBreak/>
        <w:t xml:space="preserve">documented endpoint of untreated depression globally. Some individuals resort to </w:t>
      </w:r>
      <w:r w:rsidRPr="00164C2E">
        <w:rPr>
          <w:rStyle w:val="Strong"/>
          <w:b w:val="0"/>
          <w:bCs w:val="0"/>
          <w:color w:val="000000" w:themeColor="text1"/>
        </w:rPr>
        <w:t>self</w:t>
      </w:r>
      <w:r w:rsidRPr="00164C2E">
        <w:rPr>
          <w:rStyle w:val="Strong"/>
          <w:color w:val="000000" w:themeColor="text1"/>
        </w:rPr>
        <w:t>-</w:t>
      </w:r>
      <w:r w:rsidRPr="00164C2E">
        <w:rPr>
          <w:rStyle w:val="Strong"/>
          <w:b w:val="0"/>
          <w:bCs w:val="0"/>
          <w:color w:val="000000" w:themeColor="text1"/>
        </w:rPr>
        <w:t>medication</w:t>
      </w:r>
      <w:r w:rsidRPr="00164C2E">
        <w:rPr>
          <w:color w:val="000000" w:themeColor="text1"/>
        </w:rPr>
        <w:t xml:space="preserve">, including alcohol or unregulated pharmaceuticals, in attempts to manage emotional distress [15]. Furthermore, chronic isolation is increasingly recognized as a modifiable risk factor for </w:t>
      </w:r>
      <w:r w:rsidRPr="00164C2E">
        <w:rPr>
          <w:rStyle w:val="Strong"/>
          <w:b w:val="0"/>
          <w:bCs w:val="0"/>
          <w:color w:val="000000" w:themeColor="text1"/>
        </w:rPr>
        <w:t>cognitive</w:t>
      </w:r>
      <w:r w:rsidRPr="00164C2E">
        <w:rPr>
          <w:rStyle w:val="Strong"/>
          <w:color w:val="000000" w:themeColor="text1"/>
        </w:rPr>
        <w:t xml:space="preserve"> </w:t>
      </w:r>
      <w:r w:rsidRPr="00164C2E">
        <w:rPr>
          <w:rStyle w:val="Strong"/>
          <w:b w:val="0"/>
          <w:bCs w:val="0"/>
          <w:color w:val="000000" w:themeColor="text1"/>
        </w:rPr>
        <w:t>decline</w:t>
      </w:r>
      <w:r w:rsidRPr="00164C2E">
        <w:rPr>
          <w:rStyle w:val="Strong"/>
          <w:color w:val="000000" w:themeColor="text1"/>
        </w:rPr>
        <w:t xml:space="preserve"> </w:t>
      </w:r>
      <w:r w:rsidRPr="00164C2E">
        <w:rPr>
          <w:rStyle w:val="Strong"/>
          <w:b w:val="0"/>
          <w:bCs w:val="0"/>
          <w:color w:val="000000" w:themeColor="text1"/>
        </w:rPr>
        <w:t>and</w:t>
      </w:r>
      <w:r w:rsidRPr="00164C2E">
        <w:rPr>
          <w:rStyle w:val="Strong"/>
          <w:color w:val="000000" w:themeColor="text1"/>
        </w:rPr>
        <w:t xml:space="preserve"> </w:t>
      </w:r>
      <w:r w:rsidRPr="00164C2E">
        <w:rPr>
          <w:rStyle w:val="Strong"/>
          <w:b w:val="0"/>
          <w:bCs w:val="0"/>
          <w:color w:val="000000" w:themeColor="text1"/>
        </w:rPr>
        <w:t>dementia</w:t>
      </w:r>
      <w:r w:rsidRPr="00164C2E">
        <w:rPr>
          <w:color w:val="000000" w:themeColor="text1"/>
        </w:rPr>
        <w:t>, with neurobiological studies implicating social deprivation in hippocampal atrophy and impaired neuroplasticity [30].</w:t>
      </w:r>
    </w:p>
    <w:p w14:paraId="6B1AF3BC" w14:textId="77777777" w:rsidR="00C611D1" w:rsidRPr="00164C2E" w:rsidRDefault="00256392">
      <w:pPr>
        <w:pStyle w:val="Heading3"/>
        <w:spacing w:line="360" w:lineRule="auto"/>
        <w:rPr>
          <w:color w:val="000000" w:themeColor="text1"/>
          <w:sz w:val="24"/>
          <w:szCs w:val="24"/>
        </w:rPr>
      </w:pPr>
      <w:r w:rsidRPr="00164C2E">
        <w:rPr>
          <w:color w:val="000000" w:themeColor="text1"/>
          <w:sz w:val="24"/>
          <w:szCs w:val="24"/>
        </w:rPr>
        <w:t>5.2 Physical Health Impacts</w:t>
      </w:r>
    </w:p>
    <w:p w14:paraId="04057394" w14:textId="77777777" w:rsidR="00C611D1" w:rsidRPr="00164C2E" w:rsidRDefault="00256392">
      <w:pPr>
        <w:pStyle w:val="NormalWeb"/>
        <w:spacing w:line="360" w:lineRule="auto"/>
        <w:rPr>
          <w:color w:val="000000" w:themeColor="text1"/>
        </w:rPr>
      </w:pPr>
      <w:r w:rsidRPr="00164C2E">
        <w:rPr>
          <w:color w:val="000000" w:themeColor="text1"/>
        </w:rPr>
        <w:t xml:space="preserve"> </w:t>
      </w:r>
      <w:r w:rsidRPr="00164C2E">
        <w:rPr>
          <w:color w:val="000000" w:themeColor="text1"/>
        </w:rPr>
        <w:tab/>
        <w:t xml:space="preserve">Loneliness is not merely a psychological experience—it has tangible effects on the body. Studies link it to </w:t>
      </w:r>
      <w:r w:rsidRPr="00164C2E">
        <w:rPr>
          <w:rStyle w:val="Strong"/>
          <w:b w:val="0"/>
          <w:bCs w:val="0"/>
          <w:color w:val="000000" w:themeColor="text1"/>
        </w:rPr>
        <w:t>reduced</w:t>
      </w:r>
      <w:r w:rsidRPr="00164C2E">
        <w:rPr>
          <w:rStyle w:val="Strong"/>
          <w:color w:val="000000" w:themeColor="text1"/>
        </w:rPr>
        <w:t xml:space="preserve"> </w:t>
      </w:r>
      <w:r w:rsidRPr="00164C2E">
        <w:rPr>
          <w:rStyle w:val="Strong"/>
          <w:b w:val="0"/>
          <w:bCs w:val="0"/>
          <w:color w:val="000000" w:themeColor="text1"/>
        </w:rPr>
        <w:t>immune function</w:t>
      </w:r>
      <w:r w:rsidRPr="00164C2E">
        <w:rPr>
          <w:color w:val="000000" w:themeColor="text1"/>
        </w:rPr>
        <w:t xml:space="preserve">, heightened inflammation, and increased </w:t>
      </w:r>
      <w:r w:rsidRPr="00164C2E">
        <w:rPr>
          <w:rStyle w:val="Strong"/>
          <w:b w:val="0"/>
          <w:bCs w:val="0"/>
          <w:color w:val="000000" w:themeColor="text1"/>
        </w:rPr>
        <w:t>all-cause mortality</w:t>
      </w:r>
      <w:r w:rsidRPr="00164C2E">
        <w:rPr>
          <w:b/>
          <w:bCs/>
          <w:color w:val="000000" w:themeColor="text1"/>
        </w:rPr>
        <w:t>,</w:t>
      </w:r>
      <w:r w:rsidRPr="00164C2E">
        <w:rPr>
          <w:color w:val="000000" w:themeColor="text1"/>
        </w:rPr>
        <w:t xml:space="preserve"> equating its impact to well-known risk factors such as smoking or obesity. Older adults experiencing isolation often have delayed or </w:t>
      </w:r>
      <w:r w:rsidRPr="00164C2E">
        <w:rPr>
          <w:rStyle w:val="Strong"/>
          <w:b w:val="0"/>
          <w:bCs w:val="0"/>
          <w:color w:val="000000" w:themeColor="text1"/>
        </w:rPr>
        <w:t>compromised recovery</w:t>
      </w:r>
      <w:r w:rsidRPr="00164C2E">
        <w:rPr>
          <w:color w:val="000000" w:themeColor="text1"/>
        </w:rPr>
        <w:t xml:space="preserve"> from illnesses or surgical interventions due to lack of support and reduced adherence to medical regimens [31]. </w:t>
      </w:r>
      <w:r w:rsidRPr="00164C2E">
        <w:rPr>
          <w:rStyle w:val="Strong"/>
          <w:b w:val="0"/>
          <w:bCs w:val="0"/>
          <w:color w:val="000000" w:themeColor="text1"/>
        </w:rPr>
        <w:t>Malnutrition and neglect</w:t>
      </w:r>
      <w:r w:rsidRPr="00164C2E">
        <w:rPr>
          <w:b/>
          <w:bCs/>
          <w:color w:val="000000" w:themeColor="text1"/>
        </w:rPr>
        <w:t xml:space="preserve"> </w:t>
      </w:r>
      <w:r w:rsidRPr="00164C2E">
        <w:rPr>
          <w:color w:val="000000" w:themeColor="text1"/>
        </w:rPr>
        <w:t>are common among those living alone or in poverty, particularly when physical limitations impede meal preparation or access to food [31].</w:t>
      </w:r>
    </w:p>
    <w:p w14:paraId="602FA70A" w14:textId="77777777" w:rsidR="00C611D1" w:rsidRPr="00164C2E" w:rsidRDefault="00256392">
      <w:pPr>
        <w:pStyle w:val="Heading3"/>
        <w:spacing w:line="360" w:lineRule="auto"/>
        <w:rPr>
          <w:color w:val="000000" w:themeColor="text1"/>
          <w:sz w:val="24"/>
          <w:szCs w:val="24"/>
        </w:rPr>
      </w:pPr>
      <w:r w:rsidRPr="00164C2E">
        <w:rPr>
          <w:color w:val="000000" w:themeColor="text1"/>
          <w:sz w:val="24"/>
          <w:szCs w:val="24"/>
        </w:rPr>
        <w:t>5.3  Social and Economic Impacts</w:t>
      </w:r>
    </w:p>
    <w:p w14:paraId="1F282644" w14:textId="77777777" w:rsidR="00C611D1" w:rsidRPr="00164C2E" w:rsidRDefault="00256392">
      <w:pPr>
        <w:pStyle w:val="NormalWeb"/>
        <w:spacing w:line="360" w:lineRule="auto"/>
        <w:rPr>
          <w:color w:val="000000" w:themeColor="text1"/>
        </w:rPr>
      </w:pPr>
      <w:r w:rsidRPr="00164C2E">
        <w:rPr>
          <w:color w:val="000000" w:themeColor="text1"/>
        </w:rPr>
        <w:t xml:space="preserve"> </w:t>
      </w:r>
      <w:r w:rsidRPr="00164C2E">
        <w:rPr>
          <w:color w:val="000000" w:themeColor="text1"/>
        </w:rPr>
        <w:tab/>
        <w:t xml:space="preserve">The cascading effects of late-life psychosocial distress extend to families and society. There is a </w:t>
      </w:r>
      <w:r w:rsidRPr="00164C2E">
        <w:rPr>
          <w:rStyle w:val="Strong"/>
          <w:b w:val="0"/>
          <w:bCs w:val="0"/>
          <w:color w:val="000000" w:themeColor="text1"/>
        </w:rPr>
        <w:t>heightened burden on informal caregivers</w:t>
      </w:r>
      <w:r w:rsidRPr="00164C2E">
        <w:rPr>
          <w:color w:val="000000" w:themeColor="text1"/>
        </w:rPr>
        <w:t xml:space="preserve">, often women, who must navigate physical, emotional, and financial challenges [32]. This, in turn, contributes to </w:t>
      </w:r>
      <w:r w:rsidRPr="00164C2E">
        <w:rPr>
          <w:rStyle w:val="Strong"/>
          <w:b w:val="0"/>
          <w:bCs w:val="0"/>
          <w:color w:val="000000" w:themeColor="text1"/>
        </w:rPr>
        <w:t>increased healthcare utilization</w:t>
      </w:r>
      <w:r w:rsidRPr="00164C2E">
        <w:rPr>
          <w:color w:val="000000" w:themeColor="text1"/>
        </w:rPr>
        <w:t xml:space="preserve"> and unsustainable cost pressures on a health system already operating at its margins. At scale, these dynamics impose substantial strain on </w:t>
      </w:r>
      <w:r w:rsidRPr="00164C2E">
        <w:rPr>
          <w:rStyle w:val="Strong"/>
          <w:b w:val="0"/>
          <w:bCs w:val="0"/>
          <w:color w:val="000000" w:themeColor="text1"/>
        </w:rPr>
        <w:t>social support services</w:t>
      </w:r>
      <w:r w:rsidRPr="00164C2E">
        <w:rPr>
          <w:b/>
          <w:bCs/>
          <w:color w:val="000000" w:themeColor="text1"/>
        </w:rPr>
        <w:t>,</w:t>
      </w:r>
      <w:r w:rsidRPr="00164C2E">
        <w:rPr>
          <w:color w:val="000000" w:themeColor="text1"/>
        </w:rPr>
        <w:t xml:space="preserve"> highlighting the urgent need for proactive, community-level interventions to mitigate long-term societal costs [32].</w:t>
      </w:r>
    </w:p>
    <w:p w14:paraId="6250CD4D" w14:textId="77777777" w:rsidR="00C611D1" w:rsidRPr="00164C2E" w:rsidRDefault="00256392">
      <w:pPr>
        <w:spacing w:before="100" w:beforeAutospacing="1" w:after="100" w:afterAutospacing="1" w:line="360" w:lineRule="auto"/>
        <w:rPr>
          <w:rFonts w:ascii="Times New Roman" w:eastAsia="Times New Roman" w:hAnsi="Times New Roman" w:cs="Times New Roman"/>
          <w:b/>
          <w:bCs/>
          <w:color w:val="000000" w:themeColor="text1"/>
          <w:sz w:val="24"/>
          <w:szCs w:val="24"/>
        </w:rPr>
      </w:pPr>
      <w:r w:rsidRPr="00164C2E">
        <w:rPr>
          <w:rFonts w:ascii="Times New Roman" w:eastAsia="Times New Roman" w:hAnsi="Times New Roman" w:cs="Times New Roman"/>
          <w:b/>
          <w:bCs/>
          <w:color w:val="000000" w:themeColor="text1"/>
          <w:sz w:val="24"/>
          <w:szCs w:val="24"/>
        </w:rPr>
        <w:t>6 Cultural and Contextual Considerations</w:t>
      </w:r>
    </w:p>
    <w:p w14:paraId="50E0F191"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 xml:space="preserve">Cultural beliefs, religious values, and communal norms play a central role in shaping how older adults in Nigeria experience and respond to loneliness, social isolation, and depression. For many, religion and spirituality offer crucial sources of meaning, emotional resilience, and social connection. Participation in faith-based communities provides a buffer against isolation by creating informal support systems that foster belonging and routine engagement [33]. At the </w:t>
      </w:r>
      <w:r w:rsidRPr="00164C2E">
        <w:rPr>
          <w:rFonts w:ascii="Times New Roman" w:eastAsia="Times New Roman" w:hAnsi="Times New Roman" w:cs="Times New Roman"/>
          <w:color w:val="000000" w:themeColor="text1"/>
          <w:sz w:val="24"/>
          <w:szCs w:val="24"/>
        </w:rPr>
        <w:lastRenderedPageBreak/>
        <w:t xml:space="preserve">same time, traditional belief systems can influence how mental health challenges are perceived—often attributing emotional distress to spiritual causes, such as ancestral displeasure or witchcraft. These interpretations may hinder recognition of depression as a medical condition and discourage help-seeking [13]. Stigma surrounding mental illness remains widespread, with depression in old age frequently seen as a sign of weakness, divine punishment, or a normal aspect of aging rather than a treatable disorder [34]. Consequently, older adults may be dismissed, marginalized, or urged to rely solely on prayer, delaying timely intervention. Gender norms further complicate these dynamics. Older women, particularly widows, are more likely to face social and economic exclusion due to discriminatory inheritance practices and dependency on male relatives. Meanwhile, older men may struggle with the loss of status following retirement but are often less willing to express emotional vulnerability or seek support due to masculine ideals of stoicism [34]. </w:t>
      </w:r>
    </w:p>
    <w:p w14:paraId="60A02569" w14:textId="77777777" w:rsidR="00C611D1" w:rsidRPr="00164C2E" w:rsidRDefault="00256392">
      <w:pPr>
        <w:pStyle w:val="NormalWeb"/>
        <w:spacing w:line="360" w:lineRule="auto"/>
        <w:rPr>
          <w:color w:val="000000" w:themeColor="text1"/>
        </w:rPr>
      </w:pPr>
      <w:r w:rsidRPr="00164C2E">
        <w:rPr>
          <w:rStyle w:val="Strong"/>
          <w:color w:val="000000" w:themeColor="text1"/>
        </w:rPr>
        <w:t xml:space="preserve">7. Interventions and Best Practices </w:t>
      </w:r>
    </w:p>
    <w:p w14:paraId="7AC80FE6" w14:textId="77777777" w:rsidR="00C611D1" w:rsidRPr="00164C2E" w:rsidRDefault="00256392">
      <w:pPr>
        <w:pStyle w:val="NormalWeb"/>
        <w:spacing w:line="360" w:lineRule="auto"/>
        <w:rPr>
          <w:color w:val="000000" w:themeColor="text1"/>
        </w:rPr>
      </w:pPr>
      <w:r w:rsidRPr="00164C2E">
        <w:rPr>
          <w:color w:val="000000" w:themeColor="text1"/>
        </w:rPr>
        <w:t xml:space="preserve"> </w:t>
      </w:r>
      <w:r w:rsidRPr="00164C2E">
        <w:rPr>
          <w:color w:val="000000" w:themeColor="text1"/>
        </w:rPr>
        <w:tab/>
        <w:t xml:space="preserve">Community-driven responses are pivotal in environments where formal geriatric infrastructure is lacking. </w:t>
      </w:r>
      <w:r w:rsidRPr="00164C2E">
        <w:rPr>
          <w:rStyle w:val="Strong"/>
          <w:b w:val="0"/>
          <w:bCs w:val="0"/>
          <w:color w:val="000000" w:themeColor="text1"/>
        </w:rPr>
        <w:t>Community health workers (CHWs)</w:t>
      </w:r>
      <w:r w:rsidRPr="00164C2E">
        <w:rPr>
          <w:color w:val="000000" w:themeColor="text1"/>
        </w:rPr>
        <w:t xml:space="preserve">—already integral to Nigeria’s primary care system—can be trained to identify and support older adults experiencing loneliness, isolation, or depressive symptoms [35]. </w:t>
      </w:r>
      <w:r w:rsidRPr="00164C2E">
        <w:rPr>
          <w:rStyle w:val="Strong"/>
          <w:b w:val="0"/>
          <w:bCs w:val="0"/>
          <w:color w:val="000000" w:themeColor="text1"/>
        </w:rPr>
        <w:t>Non-governmental organizations (NGOs)</w:t>
      </w:r>
      <w:r w:rsidRPr="00164C2E">
        <w:rPr>
          <w:color w:val="000000" w:themeColor="text1"/>
        </w:rPr>
        <w:t xml:space="preserve"> and </w:t>
      </w:r>
      <w:r w:rsidRPr="00164C2E">
        <w:rPr>
          <w:rStyle w:val="Strong"/>
          <w:b w:val="0"/>
          <w:bCs w:val="0"/>
          <w:color w:val="000000" w:themeColor="text1"/>
        </w:rPr>
        <w:t>faith-based groups</w:t>
      </w:r>
      <w:r w:rsidRPr="00164C2E">
        <w:rPr>
          <w:color w:val="000000" w:themeColor="text1"/>
        </w:rPr>
        <w:t xml:space="preserve">, with their deep community roots and cultural legitimacy, are also strategically positioned to facilitate psychosocial support. Innovative models such as </w:t>
      </w:r>
      <w:r w:rsidRPr="00164C2E">
        <w:rPr>
          <w:rStyle w:val="Strong"/>
          <w:b w:val="0"/>
          <w:bCs w:val="0"/>
          <w:color w:val="000000" w:themeColor="text1"/>
        </w:rPr>
        <w:t>“Elder Companionship Programs”</w:t>
      </w:r>
      <w:r w:rsidRPr="00164C2E">
        <w:rPr>
          <w:color w:val="000000" w:themeColor="text1"/>
        </w:rPr>
        <w:t>—piloted in countries like Kenya and India—pair volunteers with socially isolated seniors to provide regular emotional and practical support. These initiatives promote intergenerational engagement, reduce loneliness, and can be tailored for Nigeria’s rural and peri-urban contexts [35]. Moreover, leveraging community radio and storytelling traditions can help destigmatize mental illness among older populations.</w:t>
      </w:r>
    </w:p>
    <w:p w14:paraId="6816D3D4" w14:textId="77777777" w:rsidR="00C611D1" w:rsidRPr="00164C2E" w:rsidRDefault="00256392">
      <w:pPr>
        <w:pStyle w:val="NormalWeb"/>
        <w:spacing w:line="360" w:lineRule="auto"/>
        <w:rPr>
          <w:color w:val="000000" w:themeColor="text1"/>
        </w:rPr>
      </w:pPr>
      <w:r w:rsidRPr="00164C2E">
        <w:rPr>
          <w:color w:val="000000" w:themeColor="text1"/>
        </w:rPr>
        <w:t xml:space="preserve"> </w:t>
      </w:r>
      <w:r w:rsidRPr="00164C2E">
        <w:rPr>
          <w:color w:val="000000" w:themeColor="text1"/>
        </w:rPr>
        <w:tab/>
        <w:t xml:space="preserve">Integrating </w:t>
      </w:r>
      <w:r w:rsidRPr="00164C2E">
        <w:rPr>
          <w:rStyle w:val="Strong"/>
          <w:b w:val="0"/>
          <w:bCs w:val="0"/>
          <w:color w:val="000000" w:themeColor="text1"/>
        </w:rPr>
        <w:t>mental health screening</w:t>
      </w:r>
      <w:r w:rsidRPr="00164C2E">
        <w:rPr>
          <w:color w:val="000000" w:themeColor="text1"/>
        </w:rPr>
        <w:t xml:space="preserve"> into </w:t>
      </w:r>
      <w:r w:rsidRPr="00164C2E">
        <w:rPr>
          <w:rStyle w:val="Strong"/>
          <w:b w:val="0"/>
          <w:bCs w:val="0"/>
          <w:color w:val="000000" w:themeColor="text1"/>
        </w:rPr>
        <w:t>primary healthcare</w:t>
      </w:r>
      <w:r w:rsidRPr="00164C2E">
        <w:rPr>
          <w:color w:val="000000" w:themeColor="text1"/>
        </w:rPr>
        <w:t xml:space="preserve">—particularly at community health posts and general hospitals—would facilitate early identification of depressive symptoms among older adults. Brief screening tools like the Geriatric Depression Scale (GDS), adapted for local languages and literacy levels, could be employed by frontline workers. The establishment of </w:t>
      </w:r>
      <w:r w:rsidRPr="00164C2E">
        <w:rPr>
          <w:rStyle w:val="Strong"/>
          <w:b w:val="0"/>
          <w:bCs w:val="0"/>
          <w:color w:val="000000" w:themeColor="text1"/>
        </w:rPr>
        <w:t>geriatric mental health clinics</w:t>
      </w:r>
      <w:r w:rsidRPr="00164C2E">
        <w:rPr>
          <w:color w:val="000000" w:themeColor="text1"/>
        </w:rPr>
        <w:t xml:space="preserve">, especially within teaching hospitals and tertiary centers, would </w:t>
      </w:r>
      <w:r w:rsidRPr="00164C2E">
        <w:rPr>
          <w:color w:val="000000" w:themeColor="text1"/>
        </w:rPr>
        <w:lastRenderedPageBreak/>
        <w:t xml:space="preserve">serve as referral hubs while supporting provider training. Additionally, </w:t>
      </w:r>
      <w:r w:rsidRPr="00164C2E">
        <w:rPr>
          <w:rStyle w:val="Strong"/>
          <w:b w:val="0"/>
          <w:bCs w:val="0"/>
          <w:color w:val="000000" w:themeColor="text1"/>
        </w:rPr>
        <w:t>mobile health (mHealth)</w:t>
      </w:r>
      <w:r w:rsidRPr="00164C2E">
        <w:rPr>
          <w:color w:val="000000" w:themeColor="text1"/>
        </w:rPr>
        <w:t xml:space="preserve"> platforms—using SMS reminders, voice-based helplines, or smartphone apps—can help reduce isolation, deliver mental health education, and even offer </w:t>
      </w:r>
      <w:r w:rsidRPr="00164C2E">
        <w:rPr>
          <w:rStyle w:val="Strong"/>
          <w:b w:val="0"/>
          <w:bCs w:val="0"/>
          <w:color w:val="000000" w:themeColor="text1"/>
        </w:rPr>
        <w:t>telepsychiatry services</w:t>
      </w:r>
      <w:r w:rsidRPr="00164C2E">
        <w:rPr>
          <w:color w:val="000000" w:themeColor="text1"/>
        </w:rPr>
        <w:t xml:space="preserve"> in under-resourced settings. These technologies have demonstrated feasibility and acceptability in several African LMICs.</w:t>
      </w:r>
    </w:p>
    <w:p w14:paraId="4EC94DCC" w14:textId="77777777" w:rsidR="00C611D1" w:rsidRPr="00164C2E" w:rsidRDefault="00256392">
      <w:pPr>
        <w:pStyle w:val="Heading3"/>
        <w:spacing w:line="360" w:lineRule="auto"/>
        <w:rPr>
          <w:color w:val="000000" w:themeColor="text1"/>
          <w:sz w:val="24"/>
          <w:szCs w:val="24"/>
        </w:rPr>
      </w:pPr>
      <w:r w:rsidRPr="00164C2E">
        <w:rPr>
          <w:color w:val="000000" w:themeColor="text1"/>
          <w:sz w:val="24"/>
          <w:szCs w:val="24"/>
        </w:rPr>
        <w:t>7.3. Policy and Structural Interventions</w:t>
      </w:r>
    </w:p>
    <w:p w14:paraId="1BBA6686" w14:textId="77777777" w:rsidR="00C611D1" w:rsidRPr="00164C2E" w:rsidRDefault="00256392">
      <w:pPr>
        <w:pStyle w:val="NormalWeb"/>
        <w:spacing w:line="360" w:lineRule="auto"/>
        <w:rPr>
          <w:color w:val="000000" w:themeColor="text1"/>
        </w:rPr>
      </w:pPr>
      <w:r w:rsidRPr="00164C2E">
        <w:rPr>
          <w:color w:val="000000" w:themeColor="text1"/>
        </w:rPr>
        <w:t xml:space="preserve"> </w:t>
      </w:r>
      <w:r w:rsidRPr="00164C2E">
        <w:rPr>
          <w:color w:val="000000" w:themeColor="text1"/>
        </w:rPr>
        <w:tab/>
        <w:t xml:space="preserve">Despite the launch of Nigeria’s </w:t>
      </w:r>
      <w:r w:rsidRPr="00164C2E">
        <w:rPr>
          <w:rStyle w:val="Strong"/>
          <w:b w:val="0"/>
          <w:bCs w:val="0"/>
          <w:color w:val="000000" w:themeColor="text1"/>
        </w:rPr>
        <w:t>National Health Policy (2016)</w:t>
      </w:r>
      <w:r w:rsidRPr="00164C2E">
        <w:rPr>
          <w:color w:val="000000" w:themeColor="text1"/>
        </w:rPr>
        <w:t xml:space="preserve"> and the </w:t>
      </w:r>
      <w:r w:rsidRPr="00164C2E">
        <w:rPr>
          <w:rStyle w:val="Strong"/>
          <w:b w:val="0"/>
          <w:bCs w:val="0"/>
          <w:color w:val="000000" w:themeColor="text1"/>
        </w:rPr>
        <w:t>National Senior Citizens</w:t>
      </w:r>
      <w:r w:rsidRPr="00164C2E">
        <w:rPr>
          <w:rStyle w:val="Strong"/>
          <w:color w:val="000000" w:themeColor="text1"/>
        </w:rPr>
        <w:t xml:space="preserve">  </w:t>
      </w:r>
      <w:r w:rsidRPr="00164C2E">
        <w:rPr>
          <w:rStyle w:val="Strong"/>
          <w:b w:val="0"/>
          <w:bCs w:val="0"/>
          <w:color w:val="000000" w:themeColor="text1"/>
        </w:rPr>
        <w:t>Centre (NSCC)</w:t>
      </w:r>
      <w:r w:rsidRPr="00164C2E">
        <w:rPr>
          <w:color w:val="000000" w:themeColor="text1"/>
        </w:rPr>
        <w:t xml:space="preserve"> under the Senior Citizens Act (2018), emphasis on geriatric mental health remains peripheral. </w:t>
      </w:r>
      <w:r w:rsidRPr="00164C2E">
        <w:rPr>
          <w:rStyle w:val="Strong"/>
          <w:b w:val="0"/>
          <w:bCs w:val="0"/>
          <w:color w:val="000000" w:themeColor="text1"/>
        </w:rPr>
        <w:t>Policy</w:t>
      </w:r>
      <w:r w:rsidRPr="00164C2E">
        <w:rPr>
          <w:rStyle w:val="Strong"/>
          <w:color w:val="000000" w:themeColor="text1"/>
        </w:rPr>
        <w:t xml:space="preserve"> </w:t>
      </w:r>
      <w:r w:rsidRPr="00164C2E">
        <w:rPr>
          <w:rStyle w:val="Strong"/>
          <w:b w:val="0"/>
          <w:bCs w:val="0"/>
          <w:color w:val="000000" w:themeColor="text1"/>
        </w:rPr>
        <w:t>reform</w:t>
      </w:r>
      <w:r w:rsidRPr="00164C2E">
        <w:rPr>
          <w:color w:val="000000" w:themeColor="text1"/>
        </w:rPr>
        <w:t xml:space="preserve"> should explicitly recognize older adults as a priority demographic and allocate funding for age-specific programs [36]. Expanding </w:t>
      </w:r>
      <w:r w:rsidRPr="00164C2E">
        <w:rPr>
          <w:rStyle w:val="Strong"/>
          <w:b w:val="0"/>
          <w:bCs w:val="0"/>
          <w:color w:val="000000" w:themeColor="text1"/>
        </w:rPr>
        <w:t>social</w:t>
      </w:r>
      <w:r w:rsidRPr="00164C2E">
        <w:rPr>
          <w:rStyle w:val="Strong"/>
          <w:color w:val="000000" w:themeColor="text1"/>
        </w:rPr>
        <w:t xml:space="preserve"> </w:t>
      </w:r>
      <w:r w:rsidRPr="00164C2E">
        <w:rPr>
          <w:rStyle w:val="Strong"/>
          <w:b w:val="0"/>
          <w:bCs w:val="0"/>
          <w:color w:val="000000" w:themeColor="text1"/>
        </w:rPr>
        <w:t>protection</w:t>
      </w:r>
      <w:r w:rsidRPr="00164C2E">
        <w:rPr>
          <w:rStyle w:val="Strong"/>
          <w:color w:val="000000" w:themeColor="text1"/>
        </w:rPr>
        <w:t xml:space="preserve"> </w:t>
      </w:r>
      <w:r w:rsidRPr="00164C2E">
        <w:rPr>
          <w:rStyle w:val="Strong"/>
          <w:b w:val="0"/>
          <w:bCs w:val="0"/>
          <w:color w:val="000000" w:themeColor="text1"/>
        </w:rPr>
        <w:t>schemes</w:t>
      </w:r>
      <w:r w:rsidRPr="00164C2E">
        <w:rPr>
          <w:color w:val="000000" w:themeColor="text1"/>
        </w:rPr>
        <w:t xml:space="preserve">, such as </w:t>
      </w:r>
      <w:r w:rsidRPr="00164C2E">
        <w:rPr>
          <w:rStyle w:val="Strong"/>
          <w:b w:val="0"/>
          <w:bCs w:val="0"/>
          <w:color w:val="000000" w:themeColor="text1"/>
        </w:rPr>
        <w:t>conditional</w:t>
      </w:r>
      <w:r w:rsidRPr="00164C2E">
        <w:rPr>
          <w:rStyle w:val="Strong"/>
          <w:color w:val="000000" w:themeColor="text1"/>
        </w:rPr>
        <w:t xml:space="preserve"> </w:t>
      </w:r>
      <w:r w:rsidRPr="00164C2E">
        <w:rPr>
          <w:rStyle w:val="Strong"/>
          <w:b w:val="0"/>
          <w:bCs w:val="0"/>
          <w:color w:val="000000" w:themeColor="text1"/>
        </w:rPr>
        <w:t>cash</w:t>
      </w:r>
      <w:r w:rsidRPr="00164C2E">
        <w:rPr>
          <w:rStyle w:val="Strong"/>
          <w:color w:val="000000" w:themeColor="text1"/>
        </w:rPr>
        <w:t xml:space="preserve"> </w:t>
      </w:r>
      <w:r w:rsidRPr="00164C2E">
        <w:rPr>
          <w:rStyle w:val="Strong"/>
          <w:b w:val="0"/>
          <w:bCs w:val="0"/>
          <w:color w:val="000000" w:themeColor="text1"/>
        </w:rPr>
        <w:t>transfers</w:t>
      </w:r>
      <w:r w:rsidRPr="00164C2E">
        <w:rPr>
          <w:color w:val="000000" w:themeColor="text1"/>
        </w:rPr>
        <w:t xml:space="preserve"> and </w:t>
      </w:r>
      <w:r w:rsidRPr="00164C2E">
        <w:rPr>
          <w:rStyle w:val="Strong"/>
          <w:b w:val="0"/>
          <w:bCs w:val="0"/>
          <w:color w:val="000000" w:themeColor="text1"/>
        </w:rPr>
        <w:t>non</w:t>
      </w:r>
      <w:r w:rsidRPr="00164C2E">
        <w:rPr>
          <w:rStyle w:val="Strong"/>
          <w:color w:val="000000" w:themeColor="text1"/>
        </w:rPr>
        <w:t>-</w:t>
      </w:r>
      <w:r w:rsidRPr="00164C2E">
        <w:rPr>
          <w:rStyle w:val="Strong"/>
          <w:b w:val="0"/>
          <w:bCs w:val="0"/>
          <w:color w:val="000000" w:themeColor="text1"/>
        </w:rPr>
        <w:t>contributory</w:t>
      </w:r>
      <w:r w:rsidRPr="00164C2E">
        <w:rPr>
          <w:rStyle w:val="Strong"/>
          <w:color w:val="000000" w:themeColor="text1"/>
        </w:rPr>
        <w:t xml:space="preserve"> </w:t>
      </w:r>
      <w:r w:rsidRPr="00164C2E">
        <w:rPr>
          <w:rStyle w:val="Strong"/>
          <w:b w:val="0"/>
          <w:bCs w:val="0"/>
          <w:color w:val="000000" w:themeColor="text1"/>
        </w:rPr>
        <w:t>pensions</w:t>
      </w:r>
      <w:r w:rsidRPr="00164C2E">
        <w:rPr>
          <w:color w:val="000000" w:themeColor="text1"/>
        </w:rPr>
        <w:t xml:space="preserve">, could reduce economic insecurity and indirectly mitigate psychosocial stress. Finally, revisions to </w:t>
      </w:r>
      <w:r w:rsidRPr="00164C2E">
        <w:rPr>
          <w:rStyle w:val="Strong"/>
          <w:b w:val="0"/>
          <w:bCs w:val="0"/>
          <w:color w:val="000000" w:themeColor="text1"/>
        </w:rPr>
        <w:t>national mental health legislation</w:t>
      </w:r>
      <w:r w:rsidRPr="00164C2E">
        <w:rPr>
          <w:color w:val="000000" w:themeColor="text1"/>
        </w:rPr>
        <w:t xml:space="preserve"> must ensure age-inclusive service delivery, training mandates, and data systems that disaggregate by age, enabling evidence-informed interventions for older adults. Sustainable solutions will require intersectoral collaboration and political will to translate policy into action [36].</w:t>
      </w:r>
    </w:p>
    <w:p w14:paraId="58FBED3B"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b/>
          <w:bCs/>
          <w:color w:val="000000" w:themeColor="text1"/>
          <w:sz w:val="24"/>
          <w:szCs w:val="24"/>
        </w:rPr>
        <w:t xml:space="preserve">8. Research Gaps and Future Directions </w:t>
      </w:r>
    </w:p>
    <w:p w14:paraId="53C8E65F"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 xml:space="preserve">Despite increasing recognition of the mental health challenges faced by older adults in Nigeria, critical research gaps continue to hinder the development of effective and culturally responsive interventions. One of the most pressing issues is the lack of longitudinal data capable of tracking the psychosocial trajectories of aging populations. Most existing studies are cross-sectional, limiting the ability to assess changes over time or to establish causal relationships between risk factors and outcomes such as loneliness, social isolation, and depression. The establishment of longitudinal cohort studies is therefore essential to inform evidence-based policies and long-term planning. Additionally, there is a significant shortage of culturally validated screening tools for identifying mental health conditions among older Nigerians. Instruments developed in high-income countries often fail to account for linguistic nuances, cultural beliefs, and contextual realities, thereby undermining their accuracy and relevance. </w:t>
      </w:r>
      <w:r w:rsidRPr="00164C2E">
        <w:rPr>
          <w:rFonts w:ascii="Times New Roman" w:eastAsia="Times New Roman" w:hAnsi="Times New Roman" w:cs="Times New Roman"/>
          <w:color w:val="000000" w:themeColor="text1"/>
          <w:sz w:val="24"/>
          <w:szCs w:val="24"/>
        </w:rPr>
        <w:lastRenderedPageBreak/>
        <w:t>Locally adapted and tested tools are urgently needed for both clinical use and population-level surveillance. Moreover, the effectiveness of psychosocial interventions remains largely untested within the Nigerian context. While models such as elder companionship programs and mobile mental health services show promise globally, few have been evaluated in local settings, limiting their scalability and policy adoption. Future research should prioritize community-based participatory approaches that engage older adults not merely as subjects but as co-creators of knowledge. Intergenerational research can also offer insights into how shifting family dynamics impact elder well-being. Finally, greater attention must be paid to regional and gender-specific disparities, ensuring that the diverse experiences of older men and women across Nigeria’s rural–urban and ethno-religious spectrum are fully understood and addressed.</w:t>
      </w:r>
    </w:p>
    <w:p w14:paraId="5D3AA09A"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b/>
          <w:bCs/>
          <w:color w:val="000000" w:themeColor="text1"/>
          <w:sz w:val="24"/>
          <w:szCs w:val="24"/>
        </w:rPr>
        <w:t xml:space="preserve">9 Recommendations and Policy Implications </w:t>
      </w:r>
    </w:p>
    <w:p w14:paraId="2D3028D6"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 </w:t>
      </w:r>
      <w:r w:rsidRPr="00164C2E">
        <w:rPr>
          <w:rFonts w:ascii="Times New Roman" w:eastAsia="Times New Roman" w:hAnsi="Times New Roman" w:cs="Times New Roman"/>
          <w:color w:val="000000" w:themeColor="text1"/>
          <w:sz w:val="24"/>
          <w:szCs w:val="24"/>
        </w:rPr>
        <w:tab/>
        <w:t xml:space="preserve">Addressing the escalating public health challenge of loneliness, social isolation, and depression among older adults in Nigeria requires a coordinated, multisectoral policy response grounded in the principles of healthy and inclusive aging. A critical first step is the development of a comprehensive national aging policy that explicitly integrates mental health as a strategic priority. Such a policy should align with international frameworks on aging and health, setting clear goals for the promotion of psychosocial well-being in later life. Building age-friendly communities through inclusive urban planning, accessible public transportation, and the establishment of community centers can help foster social engagement and reduce isolation. Simultaneously, efforts to strengthen intergenerational bonds—such as school-based elder engagement programs and family support incentives—can help restore traditional support systems weakened by urbanization and migration. At the health system level, the integration of geriatric mental health into primary care is essential. Routine screening, early intervention, and efficient referral mechanisms must be adapted to meet the specific needs of older adults. Community health workers, who play a central role in local service delivery, should receive targeted training in geriatric mental health, including basic counseling skills, cultural competence, and mental health literacy. Finally, national public health campaigns are needed to challenge entrenched stigmas and misconceptions about aging and mental illness. By leveraging the influence of religious institutions, mass media, and trusted community leaders, these </w:t>
      </w:r>
      <w:r w:rsidRPr="00164C2E">
        <w:rPr>
          <w:rFonts w:ascii="Times New Roman" w:eastAsia="Times New Roman" w:hAnsi="Times New Roman" w:cs="Times New Roman"/>
          <w:color w:val="000000" w:themeColor="text1"/>
          <w:sz w:val="24"/>
          <w:szCs w:val="24"/>
        </w:rPr>
        <w:lastRenderedPageBreak/>
        <w:t>campaigns can promote awareness, encourage help-seeking, and affirm the dignity and rights of older people across Nigeria’s diverse communities.</w:t>
      </w:r>
    </w:p>
    <w:p w14:paraId="2B9B5B02" w14:textId="77777777" w:rsidR="00C611D1" w:rsidRPr="00164C2E" w:rsidRDefault="00256392">
      <w:pPr>
        <w:spacing w:before="100" w:beforeAutospacing="1" w:after="100" w:afterAutospacing="1" w:line="360" w:lineRule="auto"/>
        <w:rPr>
          <w:rFonts w:ascii="Times New Roman" w:eastAsia="Times New Roman" w:hAnsi="Times New Roman" w:cs="Times New Roman"/>
          <w:b/>
          <w:bCs/>
          <w:color w:val="000000" w:themeColor="text1"/>
          <w:sz w:val="24"/>
          <w:szCs w:val="24"/>
        </w:rPr>
      </w:pPr>
      <w:r w:rsidRPr="00164C2E">
        <w:rPr>
          <w:rFonts w:ascii="Times New Roman" w:eastAsia="Times New Roman" w:hAnsi="Times New Roman" w:cs="Times New Roman"/>
          <w:b/>
          <w:bCs/>
          <w:color w:val="000000" w:themeColor="text1"/>
          <w:sz w:val="24"/>
          <w:szCs w:val="24"/>
        </w:rPr>
        <w:t>10 Conclusion</w:t>
      </w:r>
    </w:p>
    <w:p w14:paraId="01FF1739" w14:textId="77777777" w:rsidR="00C611D1" w:rsidRPr="00164C2E" w:rsidRDefault="00256392">
      <w:pPr>
        <w:spacing w:before="100" w:beforeAutospacing="1" w:after="100" w:afterAutospacing="1" w:line="360"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b/>
          <w:bCs/>
          <w:color w:val="000000" w:themeColor="text1"/>
          <w:sz w:val="24"/>
          <w:szCs w:val="24"/>
        </w:rPr>
        <w:t xml:space="preserve"> </w:t>
      </w:r>
      <w:r w:rsidRPr="00164C2E">
        <w:rPr>
          <w:rFonts w:ascii="Times New Roman" w:eastAsia="Times New Roman" w:hAnsi="Times New Roman" w:cs="Times New Roman"/>
          <w:b/>
          <w:bCs/>
          <w:color w:val="000000" w:themeColor="text1"/>
          <w:sz w:val="24"/>
          <w:szCs w:val="24"/>
        </w:rPr>
        <w:tab/>
      </w:r>
      <w:r w:rsidRPr="00164C2E">
        <w:rPr>
          <w:rFonts w:ascii="Times New Roman" w:eastAsia="Times New Roman" w:hAnsi="Times New Roman" w:cs="Times New Roman"/>
          <w:color w:val="000000" w:themeColor="text1"/>
          <w:sz w:val="24"/>
          <w:szCs w:val="24"/>
        </w:rPr>
        <w:t>Loneliness, social isolation, and depression among older adults in Nigeria constitute an urgent yet insufficiently recognized public health challenge. As the country's aging population expands, the psychosocial well-being of older Nigerians is increasingly jeopardized by the erosion of traditional family structures, entrenched poverty, limited access to mental health services, and persistent societal stigma. This review has illuminated the complex and intersecting nature of these issues, spanning social, economic, health, and cultural dimensions, and emphasized the critical need for holistic and evidence-based responses. An effective and age-inclusive public health strategy must prioritize mental health across the life course, promote investment in age-friendly infrastructure, and reinforce community-based systems of support. These efforts must be grounded in culturally relevant research and anchored in a rights-based framework that upholds the dignity, autonomy, and social inclusion of older adults. Achieving sustainable progress will require coordinated and cross-sector collaboration by stakeholders in health, social welfare, housing, education, and civil society to ensure that older Nigerians are not left behind in the national pursuit of health equity and social justice.</w:t>
      </w:r>
    </w:p>
    <w:p w14:paraId="322AA1BA" w14:textId="77777777" w:rsidR="00084B81" w:rsidRPr="00DE7FE0" w:rsidRDefault="00084B81" w:rsidP="00084B81">
      <w:pPr>
        <w:rPr>
          <w:rFonts w:ascii="Times New Roman" w:hAnsi="Times New Roman" w:cs="Times New Roman"/>
          <w:b/>
          <w:bCs/>
          <w:color w:val="000000" w:themeColor="text1"/>
          <w:sz w:val="24"/>
          <w:szCs w:val="24"/>
        </w:rPr>
      </w:pPr>
      <w:r w:rsidRPr="00DE7FE0">
        <w:rPr>
          <w:rFonts w:ascii="Times New Roman" w:hAnsi="Times New Roman" w:cs="Times New Roman"/>
          <w:b/>
          <w:bCs/>
          <w:color w:val="000000" w:themeColor="text1"/>
          <w:sz w:val="24"/>
          <w:szCs w:val="24"/>
        </w:rPr>
        <w:t>Disclaimer (Artificial intelligence)</w:t>
      </w:r>
    </w:p>
    <w:p w14:paraId="7CCAC450" w14:textId="77777777" w:rsidR="00084B81" w:rsidRPr="00DE7FE0" w:rsidRDefault="00084B81" w:rsidP="00084B81">
      <w:pPr>
        <w:rPr>
          <w:rFonts w:ascii="Times New Roman" w:hAnsi="Times New Roman" w:cs="Times New Roman"/>
          <w:color w:val="000000" w:themeColor="text1"/>
          <w:sz w:val="24"/>
          <w:szCs w:val="24"/>
        </w:rPr>
      </w:pPr>
      <w:r w:rsidRPr="00DE7FE0">
        <w:rPr>
          <w:rFonts w:ascii="Times New Roman" w:hAnsi="Times New Roman" w:cs="Times New Roman"/>
          <w:color w:val="000000" w:themeColor="text1"/>
          <w:sz w:val="24"/>
          <w:szCs w:val="24"/>
        </w:rPr>
        <w:t xml:space="preserve">Author(s) hereby </w:t>
      </w:r>
      <w:proofErr w:type="gramStart"/>
      <w:r w:rsidRPr="00DE7FE0">
        <w:rPr>
          <w:rFonts w:ascii="Times New Roman" w:hAnsi="Times New Roman" w:cs="Times New Roman"/>
          <w:color w:val="000000" w:themeColor="text1"/>
          <w:sz w:val="24"/>
          <w:szCs w:val="24"/>
        </w:rPr>
        <w:t>declare</w:t>
      </w:r>
      <w:proofErr w:type="gramEnd"/>
      <w:r w:rsidRPr="00DE7FE0">
        <w:rPr>
          <w:rFonts w:ascii="Times New Roman" w:hAnsi="Times New Roman" w:cs="Times New Roman"/>
          <w:color w:val="000000" w:themeColor="text1"/>
          <w:sz w:val="24"/>
          <w:szCs w:val="24"/>
        </w:rPr>
        <w:t xml:space="preserve"> that NO generative AI technologies such as Large Language Models (ChatGPT, COPILOT, etc.) and text-to-image generators have been used during the writing or editing of this manuscript. </w:t>
      </w:r>
    </w:p>
    <w:p w14:paraId="751CFFAD" w14:textId="77777777" w:rsidR="00DC76B9" w:rsidRDefault="00DC76B9">
      <w:pPr>
        <w:rPr>
          <w:rFonts w:ascii="Times New Roman" w:eastAsia="Times New Roman" w:hAnsi="Times New Roman" w:cs="Times New Roman"/>
          <w:b/>
          <w:bCs/>
          <w:color w:val="000000" w:themeColor="text1"/>
          <w:sz w:val="24"/>
          <w:szCs w:val="24"/>
        </w:rPr>
      </w:pPr>
    </w:p>
    <w:p w14:paraId="592959EB" w14:textId="77777777" w:rsidR="00DC76B9" w:rsidRDefault="00DC76B9">
      <w:pPr>
        <w:rPr>
          <w:rFonts w:ascii="Times New Roman" w:eastAsia="Times New Roman" w:hAnsi="Times New Roman" w:cs="Times New Roman"/>
          <w:b/>
          <w:bCs/>
          <w:color w:val="000000" w:themeColor="text1"/>
          <w:sz w:val="24"/>
          <w:szCs w:val="24"/>
        </w:rPr>
      </w:pPr>
    </w:p>
    <w:p w14:paraId="0F875CE9" w14:textId="77777777" w:rsidR="00DC76B9" w:rsidRDefault="00DC76B9">
      <w:pPr>
        <w:rPr>
          <w:rFonts w:ascii="Times New Roman" w:eastAsia="Times New Roman" w:hAnsi="Times New Roman" w:cs="Times New Roman"/>
          <w:b/>
          <w:bCs/>
          <w:color w:val="000000" w:themeColor="text1"/>
          <w:sz w:val="24"/>
          <w:szCs w:val="24"/>
        </w:rPr>
      </w:pPr>
    </w:p>
    <w:p w14:paraId="51725405" w14:textId="77777777" w:rsidR="00DC76B9" w:rsidRDefault="00DC76B9">
      <w:pPr>
        <w:rPr>
          <w:rFonts w:ascii="Times New Roman" w:eastAsia="Times New Roman" w:hAnsi="Times New Roman" w:cs="Times New Roman"/>
          <w:b/>
          <w:bCs/>
          <w:color w:val="000000" w:themeColor="text1"/>
          <w:sz w:val="24"/>
          <w:szCs w:val="24"/>
        </w:rPr>
      </w:pPr>
    </w:p>
    <w:p w14:paraId="7A0A8DE8" w14:textId="77777777" w:rsidR="00DC76B9" w:rsidRDefault="00DC76B9">
      <w:pPr>
        <w:rPr>
          <w:rFonts w:ascii="Times New Roman" w:eastAsia="Times New Roman" w:hAnsi="Times New Roman" w:cs="Times New Roman"/>
          <w:b/>
          <w:bCs/>
          <w:color w:val="000000" w:themeColor="text1"/>
          <w:sz w:val="24"/>
          <w:szCs w:val="24"/>
        </w:rPr>
      </w:pPr>
    </w:p>
    <w:p w14:paraId="62C80639" w14:textId="77777777" w:rsidR="00DC76B9" w:rsidRDefault="00DC76B9">
      <w:pPr>
        <w:rPr>
          <w:rFonts w:ascii="Times New Roman" w:eastAsia="Times New Roman" w:hAnsi="Times New Roman" w:cs="Times New Roman"/>
          <w:b/>
          <w:bCs/>
          <w:color w:val="000000" w:themeColor="text1"/>
          <w:sz w:val="24"/>
          <w:szCs w:val="24"/>
        </w:rPr>
      </w:pPr>
    </w:p>
    <w:p w14:paraId="557EBEEB" w14:textId="77777777" w:rsidR="00DC76B9" w:rsidRDefault="00DC76B9">
      <w:pPr>
        <w:rPr>
          <w:rFonts w:ascii="Times New Roman" w:eastAsia="Times New Roman" w:hAnsi="Times New Roman" w:cs="Times New Roman"/>
          <w:b/>
          <w:bCs/>
          <w:color w:val="000000" w:themeColor="text1"/>
          <w:sz w:val="24"/>
          <w:szCs w:val="24"/>
        </w:rPr>
      </w:pPr>
    </w:p>
    <w:p w14:paraId="1660DBAF" w14:textId="77777777" w:rsidR="00DC76B9" w:rsidRDefault="00DC76B9">
      <w:pPr>
        <w:rPr>
          <w:rFonts w:ascii="Times New Roman" w:eastAsia="Times New Roman" w:hAnsi="Times New Roman" w:cs="Times New Roman"/>
          <w:b/>
          <w:bCs/>
          <w:color w:val="000000" w:themeColor="text1"/>
          <w:sz w:val="24"/>
          <w:szCs w:val="24"/>
        </w:rPr>
      </w:pPr>
    </w:p>
    <w:p w14:paraId="13C892C7" w14:textId="7A6F2EBC" w:rsidR="00C611D1" w:rsidRPr="00DE7FE0" w:rsidRDefault="00256392">
      <w:pPr>
        <w:rPr>
          <w:rFonts w:ascii="Times New Roman" w:eastAsia="Times New Roman" w:hAnsi="Times New Roman" w:cs="Times New Roman"/>
          <w:b/>
          <w:bCs/>
          <w:color w:val="000000" w:themeColor="text1"/>
          <w:sz w:val="24"/>
          <w:szCs w:val="24"/>
        </w:rPr>
      </w:pPr>
      <w:r w:rsidRPr="00DE7FE0">
        <w:rPr>
          <w:rFonts w:ascii="Times New Roman" w:eastAsia="Times New Roman" w:hAnsi="Times New Roman" w:cs="Times New Roman"/>
          <w:b/>
          <w:bCs/>
          <w:color w:val="000000" w:themeColor="text1"/>
          <w:sz w:val="24"/>
          <w:szCs w:val="24"/>
        </w:rPr>
        <w:lastRenderedPageBreak/>
        <w:t>References</w:t>
      </w:r>
    </w:p>
    <w:p w14:paraId="10B38715"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Donovan NJ, Blazer D. Social Isolation and Loneliness in Older Adults: Review and Commentary of a National Academies Report. Am J </w:t>
      </w:r>
      <w:proofErr w:type="spellStart"/>
      <w:r w:rsidRPr="00164C2E">
        <w:rPr>
          <w:rFonts w:ascii="Times New Roman" w:hAnsi="Times New Roman" w:cs="Times New Roman"/>
          <w:color w:val="000000" w:themeColor="text1"/>
          <w:sz w:val="24"/>
          <w:szCs w:val="24"/>
        </w:rPr>
        <w:t>Geriatr</w:t>
      </w:r>
      <w:proofErr w:type="spellEnd"/>
      <w:r w:rsidRPr="00164C2E">
        <w:rPr>
          <w:rFonts w:ascii="Times New Roman" w:hAnsi="Times New Roman" w:cs="Times New Roman"/>
          <w:color w:val="000000" w:themeColor="text1"/>
          <w:sz w:val="24"/>
          <w:szCs w:val="24"/>
        </w:rPr>
        <w:t xml:space="preserve"> Psychiatry. 2020 Dec;28(12):1233-1244.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xml:space="preserve">: 10.1016/j.jagp.2020.08.005. </w:t>
      </w:r>
    </w:p>
    <w:p w14:paraId="5251D93D"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Van As BAL, Imbimbo E, Franceschi A, Menesini E, </w:t>
      </w:r>
      <w:proofErr w:type="spellStart"/>
      <w:r w:rsidRPr="00164C2E">
        <w:rPr>
          <w:rFonts w:ascii="Times New Roman" w:hAnsi="Times New Roman" w:cs="Times New Roman"/>
          <w:color w:val="000000" w:themeColor="text1"/>
          <w:sz w:val="24"/>
          <w:szCs w:val="24"/>
        </w:rPr>
        <w:t>Nocentini</w:t>
      </w:r>
      <w:proofErr w:type="spellEnd"/>
      <w:r w:rsidRPr="00164C2E">
        <w:rPr>
          <w:rFonts w:ascii="Times New Roman" w:hAnsi="Times New Roman" w:cs="Times New Roman"/>
          <w:color w:val="000000" w:themeColor="text1"/>
          <w:sz w:val="24"/>
          <w:szCs w:val="24"/>
        </w:rPr>
        <w:t xml:space="preserve"> A. The longitudinal association between loneliness and depressive symptoms in the elderly: a systematic review. Int </w:t>
      </w:r>
      <w:proofErr w:type="spellStart"/>
      <w:r w:rsidRPr="00164C2E">
        <w:rPr>
          <w:rFonts w:ascii="Times New Roman" w:hAnsi="Times New Roman" w:cs="Times New Roman"/>
          <w:color w:val="000000" w:themeColor="text1"/>
          <w:sz w:val="24"/>
          <w:szCs w:val="24"/>
        </w:rPr>
        <w:t>Psychogeriatr</w:t>
      </w:r>
      <w:proofErr w:type="spellEnd"/>
      <w:r w:rsidRPr="00164C2E">
        <w:rPr>
          <w:rFonts w:ascii="Times New Roman" w:hAnsi="Times New Roman" w:cs="Times New Roman"/>
          <w:color w:val="000000" w:themeColor="text1"/>
          <w:sz w:val="24"/>
          <w:szCs w:val="24"/>
        </w:rPr>
        <w:t xml:space="preserve">. 2022 Jul;34(7):657-669.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10.1017/S1041610221000399</w:t>
      </w:r>
    </w:p>
    <w:p w14:paraId="2907E43C"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Folorunsho S, Okyere M. The impact of neglect, physical, and financial abuse on mental health among older adults: a systematic review. Aging Ment Health. 2025;29(4):567–77. doi:10.1080/13607863.2024.2436468</w:t>
      </w:r>
    </w:p>
    <w:p w14:paraId="2ECB9AEE"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Veazie S, Gilbert J, Winchell K, et al. Addressing Social Isolation </w:t>
      </w:r>
      <w:proofErr w:type="gramStart"/>
      <w:r w:rsidRPr="00164C2E">
        <w:rPr>
          <w:rFonts w:ascii="Times New Roman" w:hAnsi="Times New Roman" w:cs="Times New Roman"/>
          <w:color w:val="000000" w:themeColor="text1"/>
          <w:sz w:val="24"/>
          <w:szCs w:val="24"/>
        </w:rPr>
        <w:t>To</w:t>
      </w:r>
      <w:proofErr w:type="gramEnd"/>
      <w:r w:rsidRPr="00164C2E">
        <w:rPr>
          <w:rFonts w:ascii="Times New Roman" w:hAnsi="Times New Roman" w:cs="Times New Roman"/>
          <w:color w:val="000000" w:themeColor="text1"/>
          <w:sz w:val="24"/>
          <w:szCs w:val="24"/>
        </w:rPr>
        <w:t xml:space="preserve"> Improve the Health of Older Adults: A Rapid Review [Internet]. Rockville (MD): Agency for Healthcare Research and Quality (US); 2019 Feb. Appendix F, Social Isolation and Loneliness Definitions and Measures.  </w:t>
      </w:r>
    </w:p>
    <w:p w14:paraId="5821F7B4" w14:textId="4272567B" w:rsidR="00555537" w:rsidRPr="00164C2E" w:rsidRDefault="00555537">
      <w:pPr>
        <w:pStyle w:val="NormalWeb"/>
        <w:numPr>
          <w:ilvl w:val="0"/>
          <w:numId w:val="5"/>
        </w:numPr>
        <w:spacing w:line="276" w:lineRule="auto"/>
        <w:rPr>
          <w:color w:val="000000" w:themeColor="text1"/>
        </w:rPr>
      </w:pPr>
      <w:r w:rsidRPr="00164C2E">
        <w:rPr>
          <w:rFonts w:eastAsiaTheme="minorHAnsi"/>
          <w:color w:val="000000" w:themeColor="text1"/>
        </w:rPr>
        <w:t xml:space="preserve">Folorunsho, S., Michael Okyere and Abdulazeez </w:t>
      </w:r>
      <w:proofErr w:type="spellStart"/>
      <w:r w:rsidRPr="00164C2E">
        <w:rPr>
          <w:rFonts w:eastAsiaTheme="minorHAnsi"/>
          <w:color w:val="000000" w:themeColor="text1"/>
        </w:rPr>
        <w:t>abdulganiyu</w:t>
      </w:r>
      <w:proofErr w:type="spellEnd"/>
      <w:r w:rsidRPr="00164C2E">
        <w:rPr>
          <w:rFonts w:eastAsiaTheme="minorHAnsi"/>
          <w:color w:val="000000" w:themeColor="text1"/>
        </w:rPr>
        <w:t xml:space="preserve">. 2024 "Health Disparities at the Intersection of Racialized Minority Groups and Disability Status" Preprints. </w:t>
      </w:r>
      <w:hyperlink r:id="rId13" w:history="1">
        <w:r w:rsidRPr="00164C2E">
          <w:rPr>
            <w:rStyle w:val="Hyperlink"/>
            <w:rFonts w:eastAsiaTheme="minorHAnsi"/>
            <w:color w:val="000000" w:themeColor="text1"/>
          </w:rPr>
          <w:t>https://doi.org/10.20944/preprints202401.1196.v1</w:t>
        </w:r>
      </w:hyperlink>
    </w:p>
    <w:p w14:paraId="1FBC693D" w14:textId="2B4A300C" w:rsidR="00C611D1" w:rsidRPr="00164C2E" w:rsidRDefault="00256392">
      <w:pPr>
        <w:pStyle w:val="NormalWeb"/>
        <w:numPr>
          <w:ilvl w:val="0"/>
          <w:numId w:val="5"/>
        </w:numPr>
        <w:spacing w:line="276" w:lineRule="auto"/>
        <w:rPr>
          <w:color w:val="000000" w:themeColor="text1"/>
        </w:rPr>
      </w:pPr>
      <w:r w:rsidRPr="00164C2E">
        <w:rPr>
          <w:color w:val="000000" w:themeColor="text1"/>
        </w:rPr>
        <w:t xml:space="preserve">Abdullateef R, Folorunsho S, Olawale A, Adeyemi R. Ageing: A sin in Nigerian society? [dissertation]. Lincoln (NE): University of Nebraska-Lincoln; 2018. Department of Sociology: Dissertations, Theses, and Student Research. Report No.: 88. Available from: </w:t>
      </w:r>
      <w:hyperlink r:id="rId14" w:tgtFrame="_new" w:history="1">
        <w:r w:rsidRPr="00164C2E">
          <w:rPr>
            <w:rStyle w:val="Hyperlink"/>
            <w:color w:val="000000" w:themeColor="text1"/>
          </w:rPr>
          <w:t>https://digitalcommons.unl.edu/sociologydiss/88</w:t>
        </w:r>
      </w:hyperlink>
    </w:p>
    <w:p w14:paraId="1A1E1092"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Folorunsho S, Ajayi V, </w:t>
      </w:r>
      <w:proofErr w:type="spellStart"/>
      <w:r w:rsidRPr="00164C2E">
        <w:rPr>
          <w:rFonts w:ascii="Times New Roman" w:hAnsi="Times New Roman" w:cs="Times New Roman"/>
          <w:color w:val="000000" w:themeColor="text1"/>
          <w:sz w:val="24"/>
          <w:szCs w:val="24"/>
        </w:rPr>
        <w:t>Sanmori</w:t>
      </w:r>
      <w:proofErr w:type="spellEnd"/>
      <w:r w:rsidRPr="00164C2E">
        <w:rPr>
          <w:rFonts w:ascii="Times New Roman" w:hAnsi="Times New Roman" w:cs="Times New Roman"/>
          <w:color w:val="000000" w:themeColor="text1"/>
          <w:sz w:val="24"/>
          <w:szCs w:val="24"/>
        </w:rPr>
        <w:t xml:space="preserve"> M, Suleiman M, Abdullateef R, Abdulganiyu A. Access to and utilization of dental care services by older adults in Nigeria: Barriers and facilitators. Spec Care Dentist. 2025;45(3):e70040. doi:10.1111/scd.70040.</w:t>
      </w:r>
    </w:p>
    <w:p w14:paraId="0E6E687D"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Borrell-</w:t>
      </w:r>
      <w:proofErr w:type="spellStart"/>
      <w:r w:rsidRPr="00164C2E">
        <w:rPr>
          <w:rFonts w:ascii="Times New Roman" w:hAnsi="Times New Roman" w:cs="Times New Roman"/>
          <w:color w:val="000000" w:themeColor="text1"/>
          <w:sz w:val="24"/>
          <w:szCs w:val="24"/>
        </w:rPr>
        <w:t>Carrió</w:t>
      </w:r>
      <w:proofErr w:type="spellEnd"/>
      <w:r w:rsidRPr="00164C2E">
        <w:rPr>
          <w:rFonts w:ascii="Times New Roman" w:hAnsi="Times New Roman" w:cs="Times New Roman"/>
          <w:color w:val="000000" w:themeColor="text1"/>
          <w:sz w:val="24"/>
          <w:szCs w:val="24"/>
        </w:rPr>
        <w:t xml:space="preserve"> F, Suchman AL, Epstein RM. The biopsychosocial model 25 years later: principles, practice, and scientific inquiry. Ann Fam Med. 2004 Nov-Dec;2(6):576-82.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xml:space="preserve">: 10.1370/afm.245 </w:t>
      </w:r>
    </w:p>
    <w:p w14:paraId="3CAB46C5"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Carstensen LL. Socioemotional Selectivity Theory: The Role of Perceived Endings in Human Motivation. Gerontologist. 2021 Nov 15;61(8):1188-1196.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10.1093/</w:t>
      </w:r>
      <w:proofErr w:type="spellStart"/>
      <w:r w:rsidRPr="00164C2E">
        <w:rPr>
          <w:rFonts w:ascii="Times New Roman" w:hAnsi="Times New Roman" w:cs="Times New Roman"/>
          <w:color w:val="000000" w:themeColor="text1"/>
          <w:sz w:val="24"/>
          <w:szCs w:val="24"/>
        </w:rPr>
        <w:t>geront</w:t>
      </w:r>
      <w:proofErr w:type="spellEnd"/>
      <w:r w:rsidRPr="00164C2E">
        <w:rPr>
          <w:rFonts w:ascii="Times New Roman" w:hAnsi="Times New Roman" w:cs="Times New Roman"/>
          <w:color w:val="000000" w:themeColor="text1"/>
          <w:sz w:val="24"/>
          <w:szCs w:val="24"/>
        </w:rPr>
        <w:t>/gnab116. PMID: 34718558; PMCID: PMC8599276.</w:t>
      </w:r>
    </w:p>
    <w:p w14:paraId="11C6D8B9"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Kahn RL, Antonucci TC. Convoys over the life course: Attachment roles and social support. In: Baltes PB, Brim OG, editors. </w:t>
      </w:r>
      <w:r w:rsidRPr="00164C2E">
        <w:rPr>
          <w:rFonts w:ascii="Times New Roman" w:hAnsi="Times New Roman" w:cs="Times New Roman"/>
          <w:i/>
          <w:iCs/>
          <w:color w:val="000000" w:themeColor="text1"/>
          <w:sz w:val="24"/>
          <w:szCs w:val="24"/>
        </w:rPr>
        <w:t>Life-span development and behavior</w:t>
      </w:r>
      <w:r w:rsidRPr="00164C2E">
        <w:rPr>
          <w:rFonts w:ascii="Times New Roman" w:hAnsi="Times New Roman" w:cs="Times New Roman"/>
          <w:color w:val="000000" w:themeColor="text1"/>
          <w:sz w:val="24"/>
          <w:szCs w:val="24"/>
        </w:rPr>
        <w:t>. New York: Academic Press; 1980. p. 253–286.</w:t>
      </w:r>
    </w:p>
    <w:p w14:paraId="1474ECEE"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Folorunsho S, </w:t>
      </w:r>
      <w:proofErr w:type="spellStart"/>
      <w:r w:rsidRPr="00164C2E">
        <w:rPr>
          <w:rFonts w:ascii="Times New Roman" w:hAnsi="Times New Roman" w:cs="Times New Roman"/>
          <w:color w:val="000000" w:themeColor="text1"/>
          <w:sz w:val="24"/>
          <w:szCs w:val="24"/>
        </w:rPr>
        <w:t>Sanmori</w:t>
      </w:r>
      <w:proofErr w:type="spellEnd"/>
      <w:r w:rsidRPr="00164C2E">
        <w:rPr>
          <w:rFonts w:ascii="Times New Roman" w:hAnsi="Times New Roman" w:cs="Times New Roman"/>
          <w:color w:val="000000" w:themeColor="text1"/>
          <w:sz w:val="24"/>
          <w:szCs w:val="24"/>
        </w:rPr>
        <w:t xml:space="preserve"> M, Suleiman M. The role of formal social networks in mitigating age-related mental stress among older Nigerians living in poverty: Insights from social capital theory. Glob Ment Health (Camb). 2025;12:e56. doi:10.1017/gmh.2025.10012.</w:t>
      </w:r>
    </w:p>
    <w:p w14:paraId="64B21105" w14:textId="77777777" w:rsidR="00C611D1" w:rsidRPr="00164C2E" w:rsidRDefault="00256392">
      <w:pPr>
        <w:pStyle w:val="ListParagraph"/>
        <w:numPr>
          <w:ilvl w:val="0"/>
          <w:numId w:val="5"/>
        </w:numPr>
        <w:spacing w:before="100" w:beforeAutospacing="1" w:after="100" w:afterAutospacing="1" w:line="276" w:lineRule="auto"/>
        <w:rPr>
          <w:rFonts w:ascii="Times New Roman" w:eastAsia="Times New Roman" w:hAnsi="Times New Roman" w:cs="Times New Roman"/>
          <w:color w:val="000000" w:themeColor="text1"/>
          <w:sz w:val="24"/>
          <w:szCs w:val="24"/>
        </w:rPr>
      </w:pPr>
      <w:r w:rsidRPr="00164C2E">
        <w:rPr>
          <w:rFonts w:ascii="Times New Roman" w:eastAsia="Times New Roman" w:hAnsi="Times New Roman" w:cs="Times New Roman"/>
          <w:color w:val="000000" w:themeColor="text1"/>
          <w:sz w:val="24"/>
          <w:szCs w:val="24"/>
        </w:rPr>
        <w:t xml:space="preserve">Mbam KC, Halvorsen CJ, Okoye UO. Aging in Nigeria: A growing population of older adults requires the implementation of national aging policies. </w:t>
      </w:r>
      <w:r w:rsidRPr="00164C2E">
        <w:rPr>
          <w:rFonts w:ascii="Times New Roman" w:eastAsia="Times New Roman" w:hAnsi="Times New Roman" w:cs="Times New Roman"/>
          <w:i/>
          <w:iCs/>
          <w:color w:val="000000" w:themeColor="text1"/>
          <w:sz w:val="24"/>
          <w:szCs w:val="24"/>
        </w:rPr>
        <w:t>Gerontologist</w:t>
      </w:r>
      <w:r w:rsidRPr="00164C2E">
        <w:rPr>
          <w:rFonts w:ascii="Times New Roman" w:eastAsia="Times New Roman" w:hAnsi="Times New Roman" w:cs="Times New Roman"/>
          <w:color w:val="000000" w:themeColor="text1"/>
          <w:sz w:val="24"/>
          <w:szCs w:val="24"/>
        </w:rPr>
        <w:t>. 2022 Nov;62(9):1243–50. doi:10.1093/</w:t>
      </w:r>
      <w:proofErr w:type="spellStart"/>
      <w:r w:rsidRPr="00164C2E">
        <w:rPr>
          <w:rFonts w:ascii="Times New Roman" w:eastAsia="Times New Roman" w:hAnsi="Times New Roman" w:cs="Times New Roman"/>
          <w:color w:val="000000" w:themeColor="text1"/>
          <w:sz w:val="24"/>
          <w:szCs w:val="24"/>
        </w:rPr>
        <w:t>geront</w:t>
      </w:r>
      <w:proofErr w:type="spellEnd"/>
      <w:r w:rsidRPr="00164C2E">
        <w:rPr>
          <w:rFonts w:ascii="Times New Roman" w:eastAsia="Times New Roman" w:hAnsi="Times New Roman" w:cs="Times New Roman"/>
          <w:color w:val="000000" w:themeColor="text1"/>
          <w:sz w:val="24"/>
          <w:szCs w:val="24"/>
        </w:rPr>
        <w:t>/gnac121.</w:t>
      </w:r>
    </w:p>
    <w:p w14:paraId="1E43CD40"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lastRenderedPageBreak/>
        <w:t>Folorunsho S. Sociological analysis of stress management among farmers and rural development in selected communities in Kwara State. 2024 Jan 5.</w:t>
      </w:r>
    </w:p>
    <w:p w14:paraId="2A25E153"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Cacioppo JT, Cacioppo S. The growing problem of loneliness. Lancet. 2018 Feb 3;391(10119):426.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10.1016/S0140-6736(18)30142-9</w:t>
      </w:r>
    </w:p>
    <w:p w14:paraId="0A41F529"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Holt-</w:t>
      </w:r>
      <w:proofErr w:type="spellStart"/>
      <w:r w:rsidRPr="00164C2E">
        <w:rPr>
          <w:rFonts w:ascii="Times New Roman" w:hAnsi="Times New Roman" w:cs="Times New Roman"/>
          <w:color w:val="000000" w:themeColor="text1"/>
          <w:sz w:val="24"/>
          <w:szCs w:val="24"/>
        </w:rPr>
        <w:t>Lunstad</w:t>
      </w:r>
      <w:proofErr w:type="spellEnd"/>
      <w:r w:rsidRPr="00164C2E">
        <w:rPr>
          <w:rFonts w:ascii="Times New Roman" w:hAnsi="Times New Roman" w:cs="Times New Roman"/>
          <w:color w:val="000000" w:themeColor="text1"/>
          <w:sz w:val="24"/>
          <w:szCs w:val="24"/>
        </w:rPr>
        <w:t xml:space="preserve"> J, Smith TB, Baker M, Harris T, Stephenson D. Loneliness and social isolation as risk factors for mortality: A meta-analytic review. </w:t>
      </w:r>
      <w:proofErr w:type="spellStart"/>
      <w:r w:rsidRPr="00164C2E">
        <w:rPr>
          <w:rFonts w:ascii="Times New Roman" w:hAnsi="Times New Roman" w:cs="Times New Roman"/>
          <w:i/>
          <w:iCs/>
          <w:color w:val="000000" w:themeColor="text1"/>
          <w:sz w:val="24"/>
          <w:szCs w:val="24"/>
        </w:rPr>
        <w:t>Perspect</w:t>
      </w:r>
      <w:proofErr w:type="spellEnd"/>
      <w:r w:rsidRPr="00164C2E">
        <w:rPr>
          <w:rFonts w:ascii="Times New Roman" w:hAnsi="Times New Roman" w:cs="Times New Roman"/>
          <w:i/>
          <w:iCs/>
          <w:color w:val="000000" w:themeColor="text1"/>
          <w:sz w:val="24"/>
          <w:szCs w:val="24"/>
        </w:rPr>
        <w:t xml:space="preserve"> Psychol Sci</w:t>
      </w:r>
      <w:r w:rsidRPr="00164C2E">
        <w:rPr>
          <w:rFonts w:ascii="Times New Roman" w:hAnsi="Times New Roman" w:cs="Times New Roman"/>
          <w:color w:val="000000" w:themeColor="text1"/>
          <w:sz w:val="24"/>
          <w:szCs w:val="24"/>
        </w:rPr>
        <w:t>. 2015;10(2):227–37. doi:10.1177/1745691614568352</w:t>
      </w:r>
    </w:p>
    <w:p w14:paraId="1F66EEBA"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lang w:val="es-ES"/>
        </w:rPr>
        <w:t>Dangana</w:t>
      </w:r>
      <w:r w:rsidRPr="00164C2E">
        <w:rPr>
          <w:rFonts w:ascii="Times New Roman" w:hAnsi="Times New Roman" w:cs="Times New Roman"/>
          <w:color w:val="000000" w:themeColor="text1"/>
          <w:sz w:val="24"/>
          <w:szCs w:val="24"/>
          <w:lang w:val="es-ES"/>
        </w:rPr>
        <w:noBreakHyphen/>
        <w:t>Onuche</w:t>
      </w:r>
      <w:proofErr w:type="spellEnd"/>
      <w:r w:rsidRPr="00164C2E">
        <w:rPr>
          <w:rFonts w:ascii="Times New Roman" w:hAnsi="Times New Roman" w:cs="Times New Roman"/>
          <w:color w:val="000000" w:themeColor="text1"/>
          <w:sz w:val="24"/>
          <w:szCs w:val="24"/>
          <w:lang w:val="es-ES"/>
        </w:rPr>
        <w:t xml:space="preserve"> GO, </w:t>
      </w:r>
      <w:proofErr w:type="spellStart"/>
      <w:r w:rsidRPr="00164C2E">
        <w:rPr>
          <w:rFonts w:ascii="Times New Roman" w:hAnsi="Times New Roman" w:cs="Times New Roman"/>
          <w:color w:val="000000" w:themeColor="text1"/>
          <w:sz w:val="24"/>
          <w:szCs w:val="24"/>
          <w:lang w:val="es-ES"/>
        </w:rPr>
        <w:t>Timiun</w:t>
      </w:r>
      <w:proofErr w:type="spellEnd"/>
      <w:r w:rsidRPr="00164C2E">
        <w:rPr>
          <w:rFonts w:ascii="Times New Roman" w:hAnsi="Times New Roman" w:cs="Times New Roman"/>
          <w:color w:val="000000" w:themeColor="text1"/>
          <w:sz w:val="24"/>
          <w:szCs w:val="24"/>
          <w:lang w:val="es-ES"/>
        </w:rPr>
        <w:t xml:space="preserve"> GA, </w:t>
      </w:r>
      <w:proofErr w:type="spellStart"/>
      <w:r w:rsidRPr="00164C2E">
        <w:rPr>
          <w:rFonts w:ascii="Times New Roman" w:hAnsi="Times New Roman" w:cs="Times New Roman"/>
          <w:color w:val="000000" w:themeColor="text1"/>
          <w:sz w:val="24"/>
          <w:szCs w:val="24"/>
          <w:lang w:val="es-ES"/>
        </w:rPr>
        <w:t>Haruna</w:t>
      </w:r>
      <w:proofErr w:type="spellEnd"/>
      <w:r w:rsidRPr="00164C2E">
        <w:rPr>
          <w:rFonts w:ascii="Times New Roman" w:hAnsi="Times New Roman" w:cs="Times New Roman"/>
          <w:color w:val="000000" w:themeColor="text1"/>
          <w:sz w:val="24"/>
          <w:szCs w:val="24"/>
          <w:lang w:val="es-ES"/>
        </w:rPr>
        <w:t xml:space="preserve"> SA. </w:t>
      </w:r>
      <w:r w:rsidRPr="00164C2E">
        <w:rPr>
          <w:rFonts w:ascii="Times New Roman" w:hAnsi="Times New Roman" w:cs="Times New Roman"/>
          <w:color w:val="000000" w:themeColor="text1"/>
          <w:sz w:val="24"/>
          <w:szCs w:val="24"/>
        </w:rPr>
        <w:t xml:space="preserve">Demography of ageing population in Nigeria: Trends, challenges and implications. </w:t>
      </w:r>
      <w:r w:rsidRPr="00164C2E">
        <w:rPr>
          <w:rFonts w:ascii="Times New Roman" w:hAnsi="Times New Roman" w:cs="Times New Roman"/>
          <w:i/>
          <w:iCs/>
          <w:color w:val="000000" w:themeColor="text1"/>
          <w:sz w:val="24"/>
          <w:szCs w:val="24"/>
        </w:rPr>
        <w:t xml:space="preserve">Gusau J </w:t>
      </w:r>
      <w:proofErr w:type="spellStart"/>
      <w:r w:rsidRPr="00164C2E">
        <w:rPr>
          <w:rFonts w:ascii="Times New Roman" w:hAnsi="Times New Roman" w:cs="Times New Roman"/>
          <w:i/>
          <w:iCs/>
          <w:color w:val="000000" w:themeColor="text1"/>
          <w:sz w:val="24"/>
          <w:szCs w:val="24"/>
        </w:rPr>
        <w:t>Sociol</w:t>
      </w:r>
      <w:proofErr w:type="spellEnd"/>
      <w:r w:rsidRPr="00164C2E">
        <w:rPr>
          <w:rFonts w:ascii="Times New Roman" w:hAnsi="Times New Roman" w:cs="Times New Roman"/>
          <w:color w:val="000000" w:themeColor="text1"/>
          <w:sz w:val="24"/>
          <w:szCs w:val="24"/>
        </w:rPr>
        <w:t xml:space="preserve"> [Internet]. 2025 Jan 18 [cited 2025 Jun 29];4(3):107–23. Available from: </w:t>
      </w:r>
      <w:hyperlink r:id="rId15" w:tgtFrame="_new" w:history="1">
        <w:r w:rsidRPr="00164C2E">
          <w:rPr>
            <w:rStyle w:val="Hyperlink"/>
            <w:rFonts w:ascii="Times New Roman" w:hAnsi="Times New Roman" w:cs="Times New Roman"/>
            <w:color w:val="000000" w:themeColor="text1"/>
            <w:sz w:val="24"/>
            <w:szCs w:val="24"/>
          </w:rPr>
          <w:t>https://gujos.com.ng/index.php/gujos/article/view/59</w:t>
        </w:r>
      </w:hyperlink>
    </w:p>
    <w:p w14:paraId="4AE11E53"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Tanyi PL, André P, Mbah P. Care of the elderly in Nigeria: Implications for policy. </w:t>
      </w:r>
      <w:r w:rsidRPr="00164C2E">
        <w:rPr>
          <w:rFonts w:ascii="Times New Roman" w:hAnsi="Times New Roman" w:cs="Times New Roman"/>
          <w:i/>
          <w:iCs/>
          <w:color w:val="000000" w:themeColor="text1"/>
          <w:sz w:val="24"/>
          <w:szCs w:val="24"/>
        </w:rPr>
        <w:t>Cogent Soc Sci.</w:t>
      </w:r>
      <w:r w:rsidRPr="00164C2E">
        <w:rPr>
          <w:rFonts w:ascii="Times New Roman" w:hAnsi="Times New Roman" w:cs="Times New Roman"/>
          <w:color w:val="000000" w:themeColor="text1"/>
          <w:sz w:val="24"/>
          <w:szCs w:val="24"/>
        </w:rPr>
        <w:t xml:space="preserve"> 2018;4(1). doi:10.1080/23311886.2018.1555201</w:t>
      </w:r>
    </w:p>
    <w:p w14:paraId="39553E4E"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rPr>
        <w:t>Ojagbemi</w:t>
      </w:r>
      <w:proofErr w:type="spellEnd"/>
      <w:r w:rsidRPr="00164C2E">
        <w:rPr>
          <w:rFonts w:ascii="Times New Roman" w:hAnsi="Times New Roman" w:cs="Times New Roman"/>
          <w:color w:val="000000" w:themeColor="text1"/>
          <w:sz w:val="24"/>
          <w:szCs w:val="24"/>
        </w:rPr>
        <w:t xml:space="preserve"> A, </w:t>
      </w:r>
      <w:proofErr w:type="spellStart"/>
      <w:r w:rsidRPr="00164C2E">
        <w:rPr>
          <w:rFonts w:ascii="Times New Roman" w:hAnsi="Times New Roman" w:cs="Times New Roman"/>
          <w:color w:val="000000" w:themeColor="text1"/>
          <w:sz w:val="24"/>
          <w:szCs w:val="24"/>
        </w:rPr>
        <w:t>Gureje</w:t>
      </w:r>
      <w:proofErr w:type="spellEnd"/>
      <w:r w:rsidRPr="00164C2E">
        <w:rPr>
          <w:rFonts w:ascii="Times New Roman" w:hAnsi="Times New Roman" w:cs="Times New Roman"/>
          <w:color w:val="000000" w:themeColor="text1"/>
          <w:sz w:val="24"/>
          <w:szCs w:val="24"/>
        </w:rPr>
        <w:t xml:space="preserve"> O. Social relationships and the association of loneliness with major depressive disorder in the Ibadan Study of Aging. </w:t>
      </w:r>
      <w:r w:rsidRPr="00164C2E">
        <w:rPr>
          <w:rFonts w:ascii="Times New Roman" w:hAnsi="Times New Roman" w:cs="Times New Roman"/>
          <w:i/>
          <w:iCs/>
          <w:color w:val="000000" w:themeColor="text1"/>
          <w:sz w:val="24"/>
          <w:szCs w:val="24"/>
        </w:rPr>
        <w:t>World Soc Psychiatry</w:t>
      </w:r>
      <w:r w:rsidRPr="00164C2E">
        <w:rPr>
          <w:rFonts w:ascii="Times New Roman" w:hAnsi="Times New Roman" w:cs="Times New Roman"/>
          <w:color w:val="000000" w:themeColor="text1"/>
          <w:sz w:val="24"/>
          <w:szCs w:val="24"/>
        </w:rPr>
        <w:t>. 2019;1(1):82–8. doi:10.4103/WSP.WSP_6_19.</w:t>
      </w:r>
    </w:p>
    <w:p w14:paraId="1643FC3F"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rPr>
        <w:t>Gureje</w:t>
      </w:r>
      <w:proofErr w:type="spellEnd"/>
      <w:r w:rsidRPr="00164C2E">
        <w:rPr>
          <w:rFonts w:ascii="Times New Roman" w:hAnsi="Times New Roman" w:cs="Times New Roman"/>
          <w:color w:val="000000" w:themeColor="text1"/>
          <w:sz w:val="24"/>
          <w:szCs w:val="24"/>
        </w:rPr>
        <w:t xml:space="preserve"> O, Kola L, Afolabi E. Epidemiology of major depressive disorder in elderly Nigerians in the Ibadan Study of Ageing: a community-based survey. Lancet. 2007 Sep 15;370(9591):957-64.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10.1016/S0140-6736(07)61446-9</w:t>
      </w:r>
    </w:p>
    <w:p w14:paraId="4930C26C"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rPr>
        <w:t>Ojembe</w:t>
      </w:r>
      <w:proofErr w:type="spellEnd"/>
      <w:r w:rsidRPr="00164C2E">
        <w:rPr>
          <w:rFonts w:ascii="Times New Roman" w:hAnsi="Times New Roman" w:cs="Times New Roman"/>
          <w:color w:val="000000" w:themeColor="text1"/>
          <w:sz w:val="24"/>
          <w:szCs w:val="24"/>
        </w:rPr>
        <w:t xml:space="preserve"> BU, Ebe Kalu M. Describing reasons for loneliness among older people in Nigeria. J Gerontol Soc Work. 2018 Aug-Sep;61(6):640-658.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xml:space="preserve">: 10.1080/01634372.2018.1487495 </w:t>
      </w:r>
    </w:p>
    <w:p w14:paraId="6E9F7249"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Ogunyemi AO, Balogun MR, Ojo AE, Welch SB, </w:t>
      </w:r>
      <w:proofErr w:type="spellStart"/>
      <w:r w:rsidRPr="00164C2E">
        <w:rPr>
          <w:rFonts w:ascii="Times New Roman" w:hAnsi="Times New Roman" w:cs="Times New Roman"/>
          <w:color w:val="000000" w:themeColor="text1"/>
          <w:sz w:val="24"/>
          <w:szCs w:val="24"/>
        </w:rPr>
        <w:t>Onasanya</w:t>
      </w:r>
      <w:proofErr w:type="spellEnd"/>
      <w:r w:rsidRPr="00164C2E">
        <w:rPr>
          <w:rFonts w:ascii="Times New Roman" w:hAnsi="Times New Roman" w:cs="Times New Roman"/>
          <w:color w:val="000000" w:themeColor="text1"/>
          <w:sz w:val="24"/>
          <w:szCs w:val="24"/>
        </w:rPr>
        <w:t xml:space="preserve"> OO, </w:t>
      </w:r>
      <w:proofErr w:type="spellStart"/>
      <w:r w:rsidRPr="00164C2E">
        <w:rPr>
          <w:rFonts w:ascii="Times New Roman" w:hAnsi="Times New Roman" w:cs="Times New Roman"/>
          <w:color w:val="000000" w:themeColor="text1"/>
          <w:sz w:val="24"/>
          <w:szCs w:val="24"/>
        </w:rPr>
        <w:t>Yesufu</w:t>
      </w:r>
      <w:proofErr w:type="spellEnd"/>
      <w:r w:rsidRPr="00164C2E">
        <w:rPr>
          <w:rFonts w:ascii="Times New Roman" w:hAnsi="Times New Roman" w:cs="Times New Roman"/>
          <w:color w:val="000000" w:themeColor="text1"/>
          <w:sz w:val="24"/>
          <w:szCs w:val="24"/>
        </w:rPr>
        <w:t xml:space="preserve"> VO, Omotayo AO, Hirschhorn LR. Provider and facility readiness for age-friendly health services for older adults in primary health care </w:t>
      </w:r>
      <w:proofErr w:type="spellStart"/>
      <w:r w:rsidRPr="00164C2E">
        <w:rPr>
          <w:rFonts w:ascii="Times New Roman" w:hAnsi="Times New Roman" w:cs="Times New Roman"/>
          <w:color w:val="000000" w:themeColor="text1"/>
          <w:sz w:val="24"/>
          <w:szCs w:val="24"/>
        </w:rPr>
        <w:t>centres</w:t>
      </w:r>
      <w:proofErr w:type="spellEnd"/>
      <w:r w:rsidRPr="00164C2E">
        <w:rPr>
          <w:rFonts w:ascii="Times New Roman" w:hAnsi="Times New Roman" w:cs="Times New Roman"/>
          <w:color w:val="000000" w:themeColor="text1"/>
          <w:sz w:val="24"/>
          <w:szCs w:val="24"/>
        </w:rPr>
        <w:t xml:space="preserve"> in southwest, Nigeria. PLOS Glob Public Health. 2023 Aug 8;3(8):e0001411.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10.1371/journal.pgph.0001411</w:t>
      </w:r>
    </w:p>
    <w:p w14:paraId="75F05E8A"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Ogunyemi AO, Balogun MR, Ojo AE, Welch SB, </w:t>
      </w:r>
      <w:proofErr w:type="spellStart"/>
      <w:r w:rsidRPr="00164C2E">
        <w:rPr>
          <w:rFonts w:ascii="Times New Roman" w:hAnsi="Times New Roman" w:cs="Times New Roman"/>
          <w:color w:val="000000" w:themeColor="text1"/>
          <w:sz w:val="24"/>
          <w:szCs w:val="24"/>
        </w:rPr>
        <w:t>Onasanya</w:t>
      </w:r>
      <w:proofErr w:type="spellEnd"/>
      <w:r w:rsidRPr="00164C2E">
        <w:rPr>
          <w:rFonts w:ascii="Times New Roman" w:hAnsi="Times New Roman" w:cs="Times New Roman"/>
          <w:color w:val="000000" w:themeColor="text1"/>
          <w:sz w:val="24"/>
          <w:szCs w:val="24"/>
        </w:rPr>
        <w:t xml:space="preserve"> OO, </w:t>
      </w:r>
      <w:proofErr w:type="spellStart"/>
      <w:r w:rsidRPr="00164C2E">
        <w:rPr>
          <w:rFonts w:ascii="Times New Roman" w:hAnsi="Times New Roman" w:cs="Times New Roman"/>
          <w:color w:val="000000" w:themeColor="text1"/>
          <w:sz w:val="24"/>
          <w:szCs w:val="24"/>
        </w:rPr>
        <w:t>Yesufu</w:t>
      </w:r>
      <w:proofErr w:type="spellEnd"/>
      <w:r w:rsidRPr="00164C2E">
        <w:rPr>
          <w:rFonts w:ascii="Times New Roman" w:hAnsi="Times New Roman" w:cs="Times New Roman"/>
          <w:color w:val="000000" w:themeColor="text1"/>
          <w:sz w:val="24"/>
          <w:szCs w:val="24"/>
        </w:rPr>
        <w:t xml:space="preserve"> VO, Omotayo AO, Hirschhorn LR. Provider and facility readiness for age-friendly health services for older adults in primary health care </w:t>
      </w:r>
      <w:proofErr w:type="spellStart"/>
      <w:r w:rsidRPr="00164C2E">
        <w:rPr>
          <w:rFonts w:ascii="Times New Roman" w:hAnsi="Times New Roman" w:cs="Times New Roman"/>
          <w:color w:val="000000" w:themeColor="text1"/>
          <w:sz w:val="24"/>
          <w:szCs w:val="24"/>
        </w:rPr>
        <w:t>centres</w:t>
      </w:r>
      <w:proofErr w:type="spellEnd"/>
      <w:r w:rsidRPr="00164C2E">
        <w:rPr>
          <w:rFonts w:ascii="Times New Roman" w:hAnsi="Times New Roman" w:cs="Times New Roman"/>
          <w:color w:val="000000" w:themeColor="text1"/>
          <w:sz w:val="24"/>
          <w:szCs w:val="24"/>
        </w:rPr>
        <w:t xml:space="preserve"> in southwest, Nigeria. PLOS Glob Public Health. 2023 Aug 8;3(8):e0001411.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10.1371/journal.pgph.0001411</w:t>
      </w:r>
    </w:p>
    <w:p w14:paraId="4B28EAEB" w14:textId="009ECFEA" w:rsidR="009426E8" w:rsidRPr="00164C2E" w:rsidRDefault="009426E8">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Zheng J, Yan L. The impact of widowhood on the mental health of older adults and the buffering effect of social capital. Front Public Health. 2024 Apr 24;12:1385592.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xml:space="preserve">: 10.3389/fpubh.2024.1385592 </w:t>
      </w:r>
    </w:p>
    <w:p w14:paraId="1C530B68" w14:textId="07033EC2" w:rsidR="009426E8" w:rsidRPr="00164C2E" w:rsidRDefault="009426E8">
      <w:pPr>
        <w:pStyle w:val="ListParagraph"/>
        <w:numPr>
          <w:ilvl w:val="0"/>
          <w:numId w:val="5"/>
        </w:numPr>
        <w:spacing w:line="276" w:lineRule="auto"/>
        <w:rPr>
          <w:rFonts w:ascii="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rPr>
        <w:t>Anuforo</w:t>
      </w:r>
      <w:proofErr w:type="spellEnd"/>
      <w:r w:rsidRPr="00164C2E">
        <w:rPr>
          <w:rFonts w:ascii="Times New Roman" w:hAnsi="Times New Roman" w:cs="Times New Roman"/>
          <w:color w:val="000000" w:themeColor="text1"/>
          <w:sz w:val="24"/>
          <w:szCs w:val="24"/>
        </w:rPr>
        <w:t xml:space="preserve"> P, Zoucha R, Salman K, McFarland MR. Influences of Widowhood Cultural Practices, Values, and Beliefs on the Health and Well-being of Nigerian Women: An Integrative Review. J </w:t>
      </w:r>
      <w:proofErr w:type="spellStart"/>
      <w:r w:rsidRPr="00164C2E">
        <w:rPr>
          <w:rFonts w:ascii="Times New Roman" w:hAnsi="Times New Roman" w:cs="Times New Roman"/>
          <w:color w:val="000000" w:themeColor="text1"/>
          <w:sz w:val="24"/>
          <w:szCs w:val="24"/>
        </w:rPr>
        <w:t>Transcult</w:t>
      </w:r>
      <w:proofErr w:type="spellEnd"/>
      <w:r w:rsidRPr="00164C2E">
        <w:rPr>
          <w:rFonts w:ascii="Times New Roman" w:hAnsi="Times New Roman" w:cs="Times New Roman"/>
          <w:color w:val="000000" w:themeColor="text1"/>
          <w:sz w:val="24"/>
          <w:szCs w:val="24"/>
        </w:rPr>
        <w:t xml:space="preserve"> </w:t>
      </w:r>
      <w:proofErr w:type="spellStart"/>
      <w:r w:rsidRPr="00164C2E">
        <w:rPr>
          <w:rFonts w:ascii="Times New Roman" w:hAnsi="Times New Roman" w:cs="Times New Roman"/>
          <w:color w:val="000000" w:themeColor="text1"/>
          <w:sz w:val="24"/>
          <w:szCs w:val="24"/>
        </w:rPr>
        <w:t>Nurs</w:t>
      </w:r>
      <w:proofErr w:type="spellEnd"/>
      <w:r w:rsidRPr="00164C2E">
        <w:rPr>
          <w:rFonts w:ascii="Times New Roman" w:hAnsi="Times New Roman" w:cs="Times New Roman"/>
          <w:color w:val="000000" w:themeColor="text1"/>
          <w:sz w:val="24"/>
          <w:szCs w:val="24"/>
        </w:rPr>
        <w:t xml:space="preserve">. 2025 Mar;36(2):184-194.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xml:space="preserve">: 10.1177/10436596241286244    </w:t>
      </w:r>
    </w:p>
    <w:p w14:paraId="77DAC8F9" w14:textId="1F5CDE49" w:rsidR="00633AC1" w:rsidRPr="00164C2E" w:rsidRDefault="00633AC1">
      <w:pPr>
        <w:pStyle w:val="ListParagraph"/>
        <w:numPr>
          <w:ilvl w:val="0"/>
          <w:numId w:val="5"/>
        </w:numPr>
        <w:spacing w:line="276" w:lineRule="auto"/>
        <w:rPr>
          <w:rFonts w:ascii="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rPr>
        <w:t>Animasahun</w:t>
      </w:r>
      <w:proofErr w:type="spellEnd"/>
      <w:r w:rsidRPr="00164C2E">
        <w:rPr>
          <w:rFonts w:ascii="Times New Roman" w:hAnsi="Times New Roman" w:cs="Times New Roman"/>
          <w:color w:val="000000" w:themeColor="text1"/>
          <w:sz w:val="24"/>
          <w:szCs w:val="24"/>
        </w:rPr>
        <w:t xml:space="preserve"> VJ, Chapman HJ. Psychosocial health challenges of the elderly in Nigeria: a narrative review. </w:t>
      </w:r>
      <w:proofErr w:type="spellStart"/>
      <w:r w:rsidRPr="00164C2E">
        <w:rPr>
          <w:rFonts w:ascii="Times New Roman" w:hAnsi="Times New Roman" w:cs="Times New Roman"/>
          <w:color w:val="000000" w:themeColor="text1"/>
          <w:sz w:val="24"/>
          <w:szCs w:val="24"/>
        </w:rPr>
        <w:t>Afr</w:t>
      </w:r>
      <w:proofErr w:type="spellEnd"/>
      <w:r w:rsidRPr="00164C2E">
        <w:rPr>
          <w:rFonts w:ascii="Times New Roman" w:hAnsi="Times New Roman" w:cs="Times New Roman"/>
          <w:color w:val="000000" w:themeColor="text1"/>
          <w:sz w:val="24"/>
          <w:szCs w:val="24"/>
        </w:rPr>
        <w:t xml:space="preserve"> Health Sci. 2017 Jun;17(2):575-583.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10.4314/</w:t>
      </w:r>
      <w:proofErr w:type="spellStart"/>
      <w:r w:rsidRPr="00164C2E">
        <w:rPr>
          <w:rFonts w:ascii="Times New Roman" w:hAnsi="Times New Roman" w:cs="Times New Roman"/>
          <w:color w:val="000000" w:themeColor="text1"/>
          <w:sz w:val="24"/>
          <w:szCs w:val="24"/>
        </w:rPr>
        <w:t>ahs</w:t>
      </w:r>
      <w:proofErr w:type="spellEnd"/>
      <w:r w:rsidRPr="00164C2E">
        <w:rPr>
          <w:rFonts w:ascii="Times New Roman" w:hAnsi="Times New Roman" w:cs="Times New Roman"/>
          <w:color w:val="000000" w:themeColor="text1"/>
          <w:sz w:val="24"/>
          <w:szCs w:val="24"/>
        </w:rPr>
        <w:t xml:space="preserve">.v17i2.35 </w:t>
      </w:r>
    </w:p>
    <w:p w14:paraId="13AF03BA" w14:textId="271C0A93" w:rsidR="00633AC1" w:rsidRPr="00164C2E" w:rsidRDefault="00633AC1">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lastRenderedPageBreak/>
        <w:t xml:space="preserve">Mostert CM, Mekkaoui NE, Ali S, </w:t>
      </w:r>
      <w:proofErr w:type="spellStart"/>
      <w:r w:rsidRPr="00164C2E">
        <w:rPr>
          <w:rFonts w:ascii="Times New Roman" w:hAnsi="Times New Roman" w:cs="Times New Roman"/>
          <w:color w:val="000000" w:themeColor="text1"/>
          <w:sz w:val="24"/>
          <w:szCs w:val="24"/>
        </w:rPr>
        <w:t>Trepel</w:t>
      </w:r>
      <w:proofErr w:type="spellEnd"/>
      <w:r w:rsidRPr="00164C2E">
        <w:rPr>
          <w:rFonts w:ascii="Times New Roman" w:hAnsi="Times New Roman" w:cs="Times New Roman"/>
          <w:color w:val="000000" w:themeColor="text1"/>
          <w:sz w:val="24"/>
          <w:szCs w:val="24"/>
        </w:rPr>
        <w:t xml:space="preserve"> D, </w:t>
      </w:r>
      <w:proofErr w:type="spellStart"/>
      <w:r w:rsidRPr="00164C2E">
        <w:rPr>
          <w:rFonts w:ascii="Times New Roman" w:hAnsi="Times New Roman" w:cs="Times New Roman"/>
          <w:color w:val="000000" w:themeColor="text1"/>
          <w:sz w:val="24"/>
          <w:szCs w:val="24"/>
        </w:rPr>
        <w:t>Randcord</w:t>
      </w:r>
      <w:proofErr w:type="spellEnd"/>
      <w:r w:rsidRPr="00164C2E">
        <w:rPr>
          <w:rFonts w:ascii="Times New Roman" w:hAnsi="Times New Roman" w:cs="Times New Roman"/>
          <w:color w:val="000000" w:themeColor="text1"/>
          <w:sz w:val="24"/>
          <w:szCs w:val="24"/>
        </w:rPr>
        <w:t xml:space="preserve"> K, Udeh-Momoh C, </w:t>
      </w:r>
      <w:proofErr w:type="spellStart"/>
      <w:r w:rsidRPr="00164C2E">
        <w:rPr>
          <w:rFonts w:ascii="Times New Roman" w:hAnsi="Times New Roman" w:cs="Times New Roman"/>
          <w:color w:val="000000" w:themeColor="text1"/>
          <w:sz w:val="24"/>
          <w:szCs w:val="24"/>
        </w:rPr>
        <w:t>Nesic</w:t>
      </w:r>
      <w:proofErr w:type="spellEnd"/>
      <w:r w:rsidRPr="00164C2E">
        <w:rPr>
          <w:rFonts w:ascii="Times New Roman" w:hAnsi="Times New Roman" w:cs="Times New Roman"/>
          <w:color w:val="000000" w:themeColor="text1"/>
          <w:sz w:val="24"/>
          <w:szCs w:val="24"/>
        </w:rPr>
        <w:t xml:space="preserve"> O, Blackmon K, Karanja M, </w:t>
      </w:r>
      <w:proofErr w:type="spellStart"/>
      <w:r w:rsidRPr="00164C2E">
        <w:rPr>
          <w:rFonts w:ascii="Times New Roman" w:hAnsi="Times New Roman" w:cs="Times New Roman"/>
          <w:color w:val="000000" w:themeColor="text1"/>
          <w:sz w:val="24"/>
          <w:szCs w:val="24"/>
        </w:rPr>
        <w:t>Thesen</w:t>
      </w:r>
      <w:proofErr w:type="spellEnd"/>
      <w:r w:rsidRPr="00164C2E">
        <w:rPr>
          <w:rFonts w:ascii="Times New Roman" w:hAnsi="Times New Roman" w:cs="Times New Roman"/>
          <w:color w:val="000000" w:themeColor="text1"/>
          <w:sz w:val="24"/>
          <w:szCs w:val="24"/>
        </w:rPr>
        <w:t xml:space="preserve"> T, </w:t>
      </w:r>
      <w:proofErr w:type="spellStart"/>
      <w:r w:rsidRPr="00164C2E">
        <w:rPr>
          <w:rFonts w:ascii="Times New Roman" w:hAnsi="Times New Roman" w:cs="Times New Roman"/>
          <w:color w:val="000000" w:themeColor="text1"/>
          <w:sz w:val="24"/>
          <w:szCs w:val="24"/>
        </w:rPr>
        <w:t>Andai</w:t>
      </w:r>
      <w:proofErr w:type="spellEnd"/>
      <w:r w:rsidRPr="00164C2E">
        <w:rPr>
          <w:rFonts w:ascii="Times New Roman" w:hAnsi="Times New Roman" w:cs="Times New Roman"/>
          <w:color w:val="000000" w:themeColor="text1"/>
          <w:sz w:val="24"/>
          <w:szCs w:val="24"/>
        </w:rPr>
        <w:t xml:space="preserve"> D, Ayadi R, Eyre H, Merali Z. Investing in equitable healthy aging: Why </w:t>
      </w:r>
      <w:proofErr w:type="gramStart"/>
      <w:r w:rsidRPr="00164C2E">
        <w:rPr>
          <w:rFonts w:ascii="Times New Roman" w:hAnsi="Times New Roman" w:cs="Times New Roman"/>
          <w:color w:val="000000" w:themeColor="text1"/>
          <w:sz w:val="24"/>
          <w:szCs w:val="24"/>
        </w:rPr>
        <w:t>Africa must</w:t>
      </w:r>
      <w:proofErr w:type="gramEnd"/>
      <w:r w:rsidRPr="00164C2E">
        <w:rPr>
          <w:rFonts w:ascii="Times New Roman" w:hAnsi="Times New Roman" w:cs="Times New Roman"/>
          <w:color w:val="000000" w:themeColor="text1"/>
          <w:sz w:val="24"/>
          <w:szCs w:val="24"/>
        </w:rPr>
        <w:t xml:space="preserve"> reform social pension schemes to improve Alzheimer's disease and dementia outcomes. </w:t>
      </w:r>
      <w:proofErr w:type="spellStart"/>
      <w:r w:rsidRPr="00164C2E">
        <w:rPr>
          <w:rFonts w:ascii="Times New Roman" w:hAnsi="Times New Roman" w:cs="Times New Roman"/>
          <w:color w:val="000000" w:themeColor="text1"/>
          <w:sz w:val="24"/>
          <w:szCs w:val="24"/>
        </w:rPr>
        <w:t>Alzheimers</w:t>
      </w:r>
      <w:proofErr w:type="spellEnd"/>
      <w:r w:rsidRPr="00164C2E">
        <w:rPr>
          <w:rFonts w:ascii="Times New Roman" w:hAnsi="Times New Roman" w:cs="Times New Roman"/>
          <w:color w:val="000000" w:themeColor="text1"/>
          <w:sz w:val="24"/>
          <w:szCs w:val="24"/>
        </w:rPr>
        <w:t xml:space="preserve"> Dement. 2025 Feb;21(2):e14527.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10.1002/alz.14527</w:t>
      </w:r>
    </w:p>
    <w:p w14:paraId="2F2B2172" w14:textId="73475C5B"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African Academy of Sciences. Addressing long-term care for Nigeria’s aging population [Internet]. Nairobi: AAS; 2022 [cited 2025 Jun 29]. Available from: </w:t>
      </w:r>
      <w:hyperlink r:id="rId16" w:history="1">
        <w:r w:rsidRPr="00164C2E">
          <w:rPr>
            <w:rStyle w:val="Hyperlink"/>
            <w:rFonts w:ascii="Times New Roman" w:hAnsi="Times New Roman" w:cs="Times New Roman"/>
            <w:color w:val="000000" w:themeColor="text1"/>
            <w:sz w:val="24"/>
            <w:szCs w:val="24"/>
          </w:rPr>
          <w:t>https://aasciences.africa/news/addressing-long-term-care-for-nigerias-aging-population</w:t>
        </w:r>
      </w:hyperlink>
      <w:r w:rsidRPr="00164C2E">
        <w:rPr>
          <w:rFonts w:ascii="Times New Roman" w:hAnsi="Times New Roman" w:cs="Times New Roman"/>
          <w:color w:val="000000" w:themeColor="text1"/>
          <w:sz w:val="24"/>
          <w:szCs w:val="24"/>
        </w:rPr>
        <w:t xml:space="preserve"> </w:t>
      </w:r>
    </w:p>
    <w:p w14:paraId="24AED960"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Elechi KW, </w:t>
      </w:r>
      <w:proofErr w:type="spellStart"/>
      <w:r w:rsidRPr="00164C2E">
        <w:rPr>
          <w:rFonts w:ascii="Times New Roman" w:hAnsi="Times New Roman" w:cs="Times New Roman"/>
          <w:color w:val="000000" w:themeColor="text1"/>
          <w:sz w:val="24"/>
          <w:szCs w:val="24"/>
        </w:rPr>
        <w:t>Inuaeyen</w:t>
      </w:r>
      <w:proofErr w:type="spellEnd"/>
      <w:r w:rsidRPr="00164C2E">
        <w:rPr>
          <w:rFonts w:ascii="Times New Roman" w:hAnsi="Times New Roman" w:cs="Times New Roman"/>
          <w:color w:val="000000" w:themeColor="text1"/>
          <w:sz w:val="24"/>
          <w:szCs w:val="24"/>
        </w:rPr>
        <w:t xml:space="preserve"> JU, Samba AM, Godfrey OC, </w:t>
      </w:r>
      <w:proofErr w:type="spellStart"/>
      <w:r w:rsidRPr="00164C2E">
        <w:rPr>
          <w:rFonts w:ascii="Times New Roman" w:hAnsi="Times New Roman" w:cs="Times New Roman"/>
          <w:color w:val="000000" w:themeColor="text1"/>
          <w:sz w:val="24"/>
          <w:szCs w:val="24"/>
        </w:rPr>
        <w:t>Ezinwanne</w:t>
      </w:r>
      <w:proofErr w:type="spellEnd"/>
      <w:r w:rsidRPr="00164C2E">
        <w:rPr>
          <w:rFonts w:ascii="Times New Roman" w:hAnsi="Times New Roman" w:cs="Times New Roman"/>
          <w:color w:val="000000" w:themeColor="text1"/>
          <w:sz w:val="24"/>
          <w:szCs w:val="24"/>
        </w:rPr>
        <w:t xml:space="preserve"> TH, Adedeji SJ, Lawal OP. Evidence-Based Integration of Traditional Medicine in Nigeria: Translational Impacts on Healthcare Access, Quality, and Resilience. Path of Science. 2025 May 31;11(5):10001-10.</w:t>
      </w:r>
    </w:p>
    <w:p w14:paraId="62D5EBE0"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Lawal OP, Elechi KW, Adekunle JF, </w:t>
      </w:r>
      <w:proofErr w:type="spellStart"/>
      <w:r w:rsidRPr="00164C2E">
        <w:rPr>
          <w:rFonts w:ascii="Times New Roman" w:hAnsi="Times New Roman" w:cs="Times New Roman"/>
          <w:color w:val="000000" w:themeColor="text1"/>
          <w:sz w:val="24"/>
          <w:szCs w:val="24"/>
        </w:rPr>
        <w:t>Farinde</w:t>
      </w:r>
      <w:proofErr w:type="spellEnd"/>
      <w:r w:rsidRPr="00164C2E">
        <w:rPr>
          <w:rFonts w:ascii="Times New Roman" w:hAnsi="Times New Roman" w:cs="Times New Roman"/>
          <w:color w:val="000000" w:themeColor="text1"/>
          <w:sz w:val="24"/>
          <w:szCs w:val="24"/>
        </w:rPr>
        <w:t xml:space="preserve"> O, Kolapo TJ, Igbokwe CU, Elechi US, Uwakwe VI, Desmond CO. A review on artificial intelligence and point-of-care diagnostics to combat antimicrobial resistance in resource-limited healthcare settings like Nigeria. </w:t>
      </w:r>
      <w:r w:rsidRPr="00164C2E">
        <w:rPr>
          <w:rFonts w:ascii="Times New Roman" w:hAnsi="Times New Roman" w:cs="Times New Roman"/>
          <w:i/>
          <w:iCs/>
          <w:color w:val="000000" w:themeColor="text1"/>
          <w:sz w:val="24"/>
          <w:szCs w:val="24"/>
        </w:rPr>
        <w:t xml:space="preserve">J Pharm </w:t>
      </w:r>
      <w:proofErr w:type="spellStart"/>
      <w:r w:rsidRPr="00164C2E">
        <w:rPr>
          <w:rFonts w:ascii="Times New Roman" w:hAnsi="Times New Roman" w:cs="Times New Roman"/>
          <w:i/>
          <w:iCs/>
          <w:color w:val="000000" w:themeColor="text1"/>
          <w:sz w:val="24"/>
          <w:szCs w:val="24"/>
        </w:rPr>
        <w:t>Innov</w:t>
      </w:r>
      <w:proofErr w:type="spellEnd"/>
      <w:r w:rsidRPr="00164C2E">
        <w:rPr>
          <w:rFonts w:ascii="Times New Roman" w:hAnsi="Times New Roman" w:cs="Times New Roman"/>
          <w:i/>
          <w:iCs/>
          <w:color w:val="000000" w:themeColor="text1"/>
          <w:sz w:val="24"/>
          <w:szCs w:val="24"/>
        </w:rPr>
        <w:t xml:space="preserve"> Res</w:t>
      </w:r>
      <w:r w:rsidRPr="00164C2E">
        <w:rPr>
          <w:rFonts w:ascii="Times New Roman" w:hAnsi="Times New Roman" w:cs="Times New Roman"/>
          <w:color w:val="000000" w:themeColor="text1"/>
          <w:sz w:val="24"/>
          <w:szCs w:val="24"/>
        </w:rPr>
        <w:t xml:space="preserve">. 2025;3(2):166–75. doi:10.69613/reeh4906. Available from: </w:t>
      </w:r>
      <w:hyperlink r:id="rId17" w:tgtFrame="_new" w:history="1">
        <w:r w:rsidRPr="00164C2E">
          <w:rPr>
            <w:rStyle w:val="Hyperlink"/>
            <w:rFonts w:ascii="Times New Roman" w:hAnsi="Times New Roman" w:cs="Times New Roman"/>
            <w:color w:val="000000" w:themeColor="text1"/>
            <w:sz w:val="24"/>
            <w:szCs w:val="24"/>
          </w:rPr>
          <w:t>https://jopir.in/index.php/journals/article/view/385</w:t>
        </w:r>
      </w:hyperlink>
    </w:p>
    <w:p w14:paraId="43C6CC76"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Maier A, Riedel-Heller SG, Pabst A, Luppa M. Risk factors and protective factors of depression in older people 65+. A systematic review. </w:t>
      </w:r>
      <w:proofErr w:type="spellStart"/>
      <w:r w:rsidRPr="00164C2E">
        <w:rPr>
          <w:rFonts w:ascii="Times New Roman" w:hAnsi="Times New Roman" w:cs="Times New Roman"/>
          <w:color w:val="000000" w:themeColor="text1"/>
          <w:sz w:val="24"/>
          <w:szCs w:val="24"/>
        </w:rPr>
        <w:t>PLoS</w:t>
      </w:r>
      <w:proofErr w:type="spellEnd"/>
      <w:r w:rsidRPr="00164C2E">
        <w:rPr>
          <w:rFonts w:ascii="Times New Roman" w:hAnsi="Times New Roman" w:cs="Times New Roman"/>
          <w:color w:val="000000" w:themeColor="text1"/>
          <w:sz w:val="24"/>
          <w:szCs w:val="24"/>
        </w:rPr>
        <w:t xml:space="preserve"> One. 2021 May 13;16(5):e0251326.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10.1371/journal.pone.0251326</w:t>
      </w:r>
    </w:p>
    <w:p w14:paraId="3C9EADC6"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Smith KJ, Gavey S, </w:t>
      </w:r>
      <w:proofErr w:type="spellStart"/>
      <w:r w:rsidRPr="00164C2E">
        <w:rPr>
          <w:rFonts w:ascii="Times New Roman" w:hAnsi="Times New Roman" w:cs="Times New Roman"/>
          <w:color w:val="000000" w:themeColor="text1"/>
          <w:sz w:val="24"/>
          <w:szCs w:val="24"/>
        </w:rPr>
        <w:t>RIddell</w:t>
      </w:r>
      <w:proofErr w:type="spellEnd"/>
      <w:r w:rsidRPr="00164C2E">
        <w:rPr>
          <w:rFonts w:ascii="Times New Roman" w:hAnsi="Times New Roman" w:cs="Times New Roman"/>
          <w:color w:val="000000" w:themeColor="text1"/>
          <w:sz w:val="24"/>
          <w:szCs w:val="24"/>
        </w:rPr>
        <w:t xml:space="preserve"> NE, Kontari P, Victor C. The association between loneliness, social isolation and inflammation: A systematic review and meta-analysis. </w:t>
      </w:r>
      <w:proofErr w:type="spellStart"/>
      <w:r w:rsidRPr="00164C2E">
        <w:rPr>
          <w:rFonts w:ascii="Times New Roman" w:hAnsi="Times New Roman" w:cs="Times New Roman"/>
          <w:color w:val="000000" w:themeColor="text1"/>
          <w:sz w:val="24"/>
          <w:szCs w:val="24"/>
        </w:rPr>
        <w:t>Neurosci</w:t>
      </w:r>
      <w:proofErr w:type="spellEnd"/>
      <w:r w:rsidRPr="00164C2E">
        <w:rPr>
          <w:rFonts w:ascii="Times New Roman" w:hAnsi="Times New Roman" w:cs="Times New Roman"/>
          <w:color w:val="000000" w:themeColor="text1"/>
          <w:sz w:val="24"/>
          <w:szCs w:val="24"/>
        </w:rPr>
        <w:t xml:space="preserve"> Biobehav Rev. 2020 May;112:519-541.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10.1016/j.neubiorev.2020.02.002</w:t>
      </w:r>
    </w:p>
    <w:p w14:paraId="2E7D55C7"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rPr>
        <w:t>Ojifinni</w:t>
      </w:r>
      <w:proofErr w:type="spellEnd"/>
      <w:r w:rsidRPr="00164C2E">
        <w:rPr>
          <w:rFonts w:ascii="Times New Roman" w:hAnsi="Times New Roman" w:cs="Times New Roman"/>
          <w:color w:val="000000" w:themeColor="text1"/>
          <w:sz w:val="24"/>
          <w:szCs w:val="24"/>
        </w:rPr>
        <w:t xml:space="preserve"> OO, Uchendu OC. Experience of burden of care among adult caregivers of elderly persons in Oyo State, Nigeria: a cross-sectional study. Pan </w:t>
      </w:r>
      <w:proofErr w:type="spellStart"/>
      <w:r w:rsidRPr="00164C2E">
        <w:rPr>
          <w:rFonts w:ascii="Times New Roman" w:hAnsi="Times New Roman" w:cs="Times New Roman"/>
          <w:color w:val="000000" w:themeColor="text1"/>
          <w:sz w:val="24"/>
          <w:szCs w:val="24"/>
        </w:rPr>
        <w:t>Afr</w:t>
      </w:r>
      <w:proofErr w:type="spellEnd"/>
      <w:r w:rsidRPr="00164C2E">
        <w:rPr>
          <w:rFonts w:ascii="Times New Roman" w:hAnsi="Times New Roman" w:cs="Times New Roman"/>
          <w:color w:val="000000" w:themeColor="text1"/>
          <w:sz w:val="24"/>
          <w:szCs w:val="24"/>
        </w:rPr>
        <w:t xml:space="preserve"> Med J. 2022 May 24;42:64.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10.11604/pamj.2022.42.64.32715</w:t>
      </w:r>
    </w:p>
    <w:p w14:paraId="19508CC3"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 Okoh CF, </w:t>
      </w:r>
      <w:proofErr w:type="spellStart"/>
      <w:r w:rsidRPr="00164C2E">
        <w:rPr>
          <w:rFonts w:ascii="Times New Roman" w:hAnsi="Times New Roman" w:cs="Times New Roman"/>
          <w:color w:val="000000" w:themeColor="text1"/>
          <w:sz w:val="24"/>
          <w:szCs w:val="24"/>
        </w:rPr>
        <w:t>Egbumike</w:t>
      </w:r>
      <w:proofErr w:type="spellEnd"/>
      <w:r w:rsidRPr="00164C2E">
        <w:rPr>
          <w:rFonts w:ascii="Times New Roman" w:hAnsi="Times New Roman" w:cs="Times New Roman"/>
          <w:color w:val="000000" w:themeColor="text1"/>
          <w:sz w:val="24"/>
          <w:szCs w:val="24"/>
        </w:rPr>
        <w:t xml:space="preserve"> CJ, Chukwu DA, Irem FO, et al. Impact of religious participation and spirituality on the health of Nigerian older people: an online survey. </w:t>
      </w:r>
      <w:r w:rsidRPr="00164C2E">
        <w:rPr>
          <w:rFonts w:ascii="Times New Roman" w:hAnsi="Times New Roman" w:cs="Times New Roman"/>
          <w:i/>
          <w:iCs/>
          <w:color w:val="000000" w:themeColor="text1"/>
          <w:sz w:val="24"/>
          <w:szCs w:val="24"/>
        </w:rPr>
        <w:t>J Relig Spiritual Aging</w:t>
      </w:r>
      <w:r w:rsidRPr="00164C2E">
        <w:rPr>
          <w:rFonts w:ascii="Times New Roman" w:hAnsi="Times New Roman" w:cs="Times New Roman"/>
          <w:color w:val="000000" w:themeColor="text1"/>
          <w:sz w:val="24"/>
          <w:szCs w:val="24"/>
        </w:rPr>
        <w:t>. 2021;33(4):360–81. doi:10.1080/15528030.2021.2001407</w:t>
      </w:r>
    </w:p>
    <w:p w14:paraId="75F36E7E" w14:textId="27DCCB4D" w:rsidR="00164C2E" w:rsidRPr="00164C2E" w:rsidRDefault="00164C2E">
      <w:pPr>
        <w:pStyle w:val="ListParagraph"/>
        <w:numPr>
          <w:ilvl w:val="0"/>
          <w:numId w:val="5"/>
        </w:numPr>
        <w:spacing w:line="276" w:lineRule="auto"/>
        <w:rPr>
          <w:rFonts w:ascii="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rPr>
        <w:t>Zadworna</w:t>
      </w:r>
      <w:proofErr w:type="spellEnd"/>
      <w:r w:rsidRPr="00164C2E">
        <w:rPr>
          <w:rFonts w:ascii="Times New Roman" w:hAnsi="Times New Roman" w:cs="Times New Roman"/>
          <w:color w:val="000000" w:themeColor="text1"/>
          <w:sz w:val="24"/>
          <w:szCs w:val="24"/>
        </w:rPr>
        <w:t xml:space="preserve"> M. Effects of Wisdom on Mental Health in Old Age: Exploring the Pathways Through Developmental Tasks Attainment and Self-Rated Health. Psychol Res </w:t>
      </w:r>
      <w:proofErr w:type="spellStart"/>
      <w:r w:rsidRPr="00164C2E">
        <w:rPr>
          <w:rFonts w:ascii="Times New Roman" w:hAnsi="Times New Roman" w:cs="Times New Roman"/>
          <w:color w:val="000000" w:themeColor="text1"/>
          <w:sz w:val="24"/>
          <w:szCs w:val="24"/>
        </w:rPr>
        <w:t>Behav</w:t>
      </w:r>
      <w:proofErr w:type="spellEnd"/>
      <w:r w:rsidRPr="00164C2E">
        <w:rPr>
          <w:rFonts w:ascii="Times New Roman" w:hAnsi="Times New Roman" w:cs="Times New Roman"/>
          <w:color w:val="000000" w:themeColor="text1"/>
          <w:sz w:val="24"/>
          <w:szCs w:val="24"/>
        </w:rPr>
        <w:t xml:space="preserve"> Manag. 2023 Nov 3;16:4541-4554.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10.2147/PRBM.S429918</w:t>
      </w:r>
    </w:p>
    <w:p w14:paraId="7D43651D" w14:textId="14FAD614"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proofErr w:type="spellStart"/>
      <w:r w:rsidRPr="00164C2E">
        <w:rPr>
          <w:rFonts w:ascii="Times New Roman" w:hAnsi="Times New Roman" w:cs="Times New Roman"/>
          <w:color w:val="000000" w:themeColor="text1"/>
          <w:sz w:val="24"/>
          <w:szCs w:val="24"/>
        </w:rPr>
        <w:t>Ekoh</w:t>
      </w:r>
      <w:proofErr w:type="spellEnd"/>
      <w:r w:rsidRPr="00164C2E">
        <w:rPr>
          <w:rFonts w:ascii="Times New Roman" w:hAnsi="Times New Roman" w:cs="Times New Roman"/>
          <w:color w:val="000000" w:themeColor="text1"/>
          <w:sz w:val="24"/>
          <w:szCs w:val="24"/>
        </w:rPr>
        <w:t xml:space="preserve"> PC, </w:t>
      </w:r>
      <w:proofErr w:type="spellStart"/>
      <w:r w:rsidRPr="00164C2E">
        <w:rPr>
          <w:rFonts w:ascii="Times New Roman" w:hAnsi="Times New Roman" w:cs="Times New Roman"/>
          <w:color w:val="000000" w:themeColor="text1"/>
          <w:sz w:val="24"/>
          <w:szCs w:val="24"/>
        </w:rPr>
        <w:t>Agbawodikeizu</w:t>
      </w:r>
      <w:proofErr w:type="spellEnd"/>
      <w:r w:rsidRPr="00164C2E">
        <w:rPr>
          <w:rFonts w:ascii="Times New Roman" w:hAnsi="Times New Roman" w:cs="Times New Roman"/>
          <w:color w:val="000000" w:themeColor="text1"/>
          <w:sz w:val="24"/>
          <w:szCs w:val="24"/>
        </w:rPr>
        <w:t xml:space="preserve"> PU, </w:t>
      </w:r>
      <w:proofErr w:type="spellStart"/>
      <w:r w:rsidRPr="00164C2E">
        <w:rPr>
          <w:rFonts w:ascii="Times New Roman" w:hAnsi="Times New Roman" w:cs="Times New Roman"/>
          <w:color w:val="000000" w:themeColor="text1"/>
          <w:sz w:val="24"/>
          <w:szCs w:val="24"/>
        </w:rPr>
        <w:t>Ejimkararonye</w:t>
      </w:r>
      <w:proofErr w:type="spellEnd"/>
      <w:r w:rsidRPr="00164C2E">
        <w:rPr>
          <w:rFonts w:ascii="Times New Roman" w:hAnsi="Times New Roman" w:cs="Times New Roman"/>
          <w:color w:val="000000" w:themeColor="text1"/>
          <w:sz w:val="24"/>
          <w:szCs w:val="24"/>
        </w:rPr>
        <w:t xml:space="preserve"> C, George EO, </w:t>
      </w:r>
      <w:proofErr w:type="spellStart"/>
      <w:r w:rsidRPr="00164C2E">
        <w:rPr>
          <w:rFonts w:ascii="Times New Roman" w:hAnsi="Times New Roman" w:cs="Times New Roman"/>
          <w:color w:val="000000" w:themeColor="text1"/>
          <w:sz w:val="24"/>
          <w:szCs w:val="24"/>
        </w:rPr>
        <w:t>Ezulike</w:t>
      </w:r>
      <w:proofErr w:type="spellEnd"/>
      <w:r w:rsidRPr="00164C2E">
        <w:rPr>
          <w:rFonts w:ascii="Times New Roman" w:hAnsi="Times New Roman" w:cs="Times New Roman"/>
          <w:color w:val="000000" w:themeColor="text1"/>
          <w:sz w:val="24"/>
          <w:szCs w:val="24"/>
        </w:rPr>
        <w:t xml:space="preserve"> CD, </w:t>
      </w:r>
      <w:proofErr w:type="spellStart"/>
      <w:r w:rsidRPr="00164C2E">
        <w:rPr>
          <w:rFonts w:ascii="Times New Roman" w:hAnsi="Times New Roman" w:cs="Times New Roman"/>
          <w:color w:val="000000" w:themeColor="text1"/>
          <w:sz w:val="24"/>
          <w:szCs w:val="24"/>
        </w:rPr>
        <w:t>Nnebe</w:t>
      </w:r>
      <w:proofErr w:type="spellEnd"/>
      <w:r w:rsidRPr="00164C2E">
        <w:rPr>
          <w:rFonts w:ascii="Times New Roman" w:hAnsi="Times New Roman" w:cs="Times New Roman"/>
          <w:color w:val="000000" w:themeColor="text1"/>
          <w:sz w:val="24"/>
          <w:szCs w:val="24"/>
        </w:rPr>
        <w:t xml:space="preserve"> I. COVID-19 in Rural Nigeria: Diminishing Social Support for Older People in Nigeria. </w:t>
      </w:r>
      <w:proofErr w:type="spellStart"/>
      <w:r w:rsidRPr="00164C2E">
        <w:rPr>
          <w:rFonts w:ascii="Times New Roman" w:hAnsi="Times New Roman" w:cs="Times New Roman"/>
          <w:color w:val="000000" w:themeColor="text1"/>
          <w:sz w:val="24"/>
          <w:szCs w:val="24"/>
        </w:rPr>
        <w:t>Gerontol</w:t>
      </w:r>
      <w:proofErr w:type="spellEnd"/>
      <w:r w:rsidRPr="00164C2E">
        <w:rPr>
          <w:rFonts w:ascii="Times New Roman" w:hAnsi="Times New Roman" w:cs="Times New Roman"/>
          <w:color w:val="000000" w:themeColor="text1"/>
          <w:sz w:val="24"/>
          <w:szCs w:val="24"/>
        </w:rPr>
        <w:t xml:space="preserve"> Geriatr Med. 2020 Dec 28;6:2333721420986301. </w:t>
      </w:r>
      <w:proofErr w:type="spellStart"/>
      <w:r w:rsidRPr="00164C2E">
        <w:rPr>
          <w:rFonts w:ascii="Times New Roman" w:hAnsi="Times New Roman" w:cs="Times New Roman"/>
          <w:color w:val="000000" w:themeColor="text1"/>
          <w:sz w:val="24"/>
          <w:szCs w:val="24"/>
        </w:rPr>
        <w:t>doi</w:t>
      </w:r>
      <w:proofErr w:type="spellEnd"/>
      <w:r w:rsidRPr="00164C2E">
        <w:rPr>
          <w:rFonts w:ascii="Times New Roman" w:hAnsi="Times New Roman" w:cs="Times New Roman"/>
          <w:color w:val="000000" w:themeColor="text1"/>
          <w:sz w:val="24"/>
          <w:szCs w:val="24"/>
        </w:rPr>
        <w:t xml:space="preserve">: 10.1177/2333721420986301  </w:t>
      </w:r>
    </w:p>
    <w:p w14:paraId="1D8AFC41" w14:textId="77777777" w:rsidR="00C611D1" w:rsidRPr="00164C2E" w:rsidRDefault="00256392">
      <w:pPr>
        <w:pStyle w:val="ListParagraph"/>
        <w:numPr>
          <w:ilvl w:val="0"/>
          <w:numId w:val="5"/>
        </w:numPr>
        <w:spacing w:line="276" w:lineRule="auto"/>
        <w:rPr>
          <w:rFonts w:ascii="Times New Roman" w:hAnsi="Times New Roman" w:cs="Times New Roman"/>
          <w:color w:val="000000" w:themeColor="text1"/>
          <w:sz w:val="24"/>
          <w:szCs w:val="24"/>
        </w:rPr>
      </w:pPr>
      <w:r w:rsidRPr="00164C2E">
        <w:rPr>
          <w:rFonts w:ascii="Times New Roman" w:hAnsi="Times New Roman" w:cs="Times New Roman"/>
          <w:color w:val="000000" w:themeColor="text1"/>
          <w:sz w:val="24"/>
          <w:szCs w:val="24"/>
        </w:rPr>
        <w:t xml:space="preserve">Obi LI, </w:t>
      </w:r>
      <w:proofErr w:type="spellStart"/>
      <w:r w:rsidRPr="00164C2E">
        <w:rPr>
          <w:rFonts w:ascii="Times New Roman" w:hAnsi="Times New Roman" w:cs="Times New Roman"/>
          <w:color w:val="000000" w:themeColor="text1"/>
          <w:sz w:val="24"/>
          <w:szCs w:val="24"/>
        </w:rPr>
        <w:t>Otabil</w:t>
      </w:r>
      <w:proofErr w:type="spellEnd"/>
      <w:r w:rsidRPr="00164C2E">
        <w:rPr>
          <w:rFonts w:ascii="Times New Roman" w:hAnsi="Times New Roman" w:cs="Times New Roman"/>
          <w:color w:val="000000" w:themeColor="text1"/>
          <w:sz w:val="24"/>
          <w:szCs w:val="24"/>
        </w:rPr>
        <w:t xml:space="preserve"> C, Lawal OP, </w:t>
      </w:r>
      <w:proofErr w:type="spellStart"/>
      <w:r w:rsidRPr="00164C2E">
        <w:rPr>
          <w:rFonts w:ascii="Times New Roman" w:hAnsi="Times New Roman" w:cs="Times New Roman"/>
          <w:color w:val="000000" w:themeColor="text1"/>
          <w:sz w:val="24"/>
          <w:szCs w:val="24"/>
        </w:rPr>
        <w:t>Motilewa</w:t>
      </w:r>
      <w:proofErr w:type="spellEnd"/>
      <w:r w:rsidRPr="00164C2E">
        <w:rPr>
          <w:rFonts w:ascii="Times New Roman" w:hAnsi="Times New Roman" w:cs="Times New Roman"/>
          <w:color w:val="000000" w:themeColor="text1"/>
          <w:sz w:val="24"/>
          <w:szCs w:val="24"/>
        </w:rPr>
        <w:t xml:space="preserve"> OO, Agbaje GO, et al. Optimizing diabetes treatment in aging populations: a focus on longevity, life quality, and innovation. Asian J Res Rep Endocrinol. 2025;8(1):118–26. doi:10.9734/</w:t>
      </w:r>
      <w:proofErr w:type="spellStart"/>
      <w:r w:rsidRPr="00164C2E">
        <w:rPr>
          <w:rFonts w:ascii="Times New Roman" w:hAnsi="Times New Roman" w:cs="Times New Roman"/>
          <w:color w:val="000000" w:themeColor="text1"/>
          <w:sz w:val="24"/>
          <w:szCs w:val="24"/>
        </w:rPr>
        <w:t>ajrre</w:t>
      </w:r>
      <w:proofErr w:type="spellEnd"/>
      <w:r w:rsidRPr="00164C2E">
        <w:rPr>
          <w:rFonts w:ascii="Times New Roman" w:hAnsi="Times New Roman" w:cs="Times New Roman"/>
          <w:color w:val="000000" w:themeColor="text1"/>
          <w:sz w:val="24"/>
          <w:szCs w:val="24"/>
        </w:rPr>
        <w:t xml:space="preserve">/2025/v8i1112. Available from: </w:t>
      </w:r>
      <w:hyperlink r:id="rId18" w:history="1">
        <w:r w:rsidRPr="00164C2E">
          <w:rPr>
            <w:rStyle w:val="Hyperlink"/>
            <w:rFonts w:ascii="Times New Roman" w:hAnsi="Times New Roman" w:cs="Times New Roman"/>
            <w:color w:val="000000" w:themeColor="text1"/>
            <w:sz w:val="24"/>
            <w:szCs w:val="24"/>
          </w:rPr>
          <w:t>https://hal.archives-ouvertes.fr/hal-05091313</w:t>
        </w:r>
      </w:hyperlink>
      <w:r w:rsidRPr="00164C2E">
        <w:rPr>
          <w:rFonts w:ascii="Times New Roman" w:hAnsi="Times New Roman" w:cs="Times New Roman"/>
          <w:color w:val="000000" w:themeColor="text1"/>
          <w:sz w:val="24"/>
          <w:szCs w:val="24"/>
        </w:rPr>
        <w:t xml:space="preserve"> </w:t>
      </w:r>
    </w:p>
    <w:sectPr w:rsidR="00C611D1" w:rsidRPr="00164C2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2F058" w14:textId="77777777" w:rsidR="004A33F1" w:rsidRDefault="004A33F1">
      <w:pPr>
        <w:spacing w:after="0" w:line="240" w:lineRule="auto"/>
      </w:pPr>
      <w:r>
        <w:separator/>
      </w:r>
    </w:p>
  </w:endnote>
  <w:endnote w:type="continuationSeparator" w:id="0">
    <w:p w14:paraId="0FA7C3DB" w14:textId="77777777" w:rsidR="004A33F1" w:rsidRDefault="004A3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AFC1B" w14:textId="77777777" w:rsidR="00C611D1" w:rsidRDefault="00C611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724E" w14:textId="77777777" w:rsidR="00C611D1" w:rsidRDefault="00C611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B084" w14:textId="77777777" w:rsidR="00C611D1" w:rsidRDefault="00C61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DBD97" w14:textId="77777777" w:rsidR="004A33F1" w:rsidRDefault="004A33F1">
      <w:pPr>
        <w:spacing w:after="0" w:line="240" w:lineRule="auto"/>
      </w:pPr>
      <w:r>
        <w:separator/>
      </w:r>
    </w:p>
  </w:footnote>
  <w:footnote w:type="continuationSeparator" w:id="0">
    <w:p w14:paraId="424EFF7B" w14:textId="77777777" w:rsidR="004A33F1" w:rsidRDefault="004A3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BEC9F" w14:textId="77777777" w:rsidR="00C611D1" w:rsidRDefault="00000000">
    <w:pPr>
      <w:pStyle w:val="Header"/>
    </w:pPr>
    <w:r>
      <w:rPr>
        <w:noProof/>
      </w:rPr>
      <w:pict w14:anchorId="0BA246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2809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23747" w14:textId="77777777" w:rsidR="00C611D1" w:rsidRDefault="00000000">
    <w:pPr>
      <w:pStyle w:val="Header"/>
    </w:pPr>
    <w:r>
      <w:rPr>
        <w:noProof/>
      </w:rPr>
      <w:pict w14:anchorId="6B6A6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2809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FD7B6" w14:textId="77777777" w:rsidR="00C611D1" w:rsidRDefault="00000000">
    <w:pPr>
      <w:pStyle w:val="Header"/>
    </w:pPr>
    <w:r>
      <w:rPr>
        <w:noProof/>
      </w:rPr>
      <w:pict w14:anchorId="6C4D60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62809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94B09"/>
    <w:multiLevelType w:val="hybridMultilevel"/>
    <w:tmpl w:val="98A2FA10"/>
    <w:lvl w:ilvl="0" w:tplc="5FEEB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631747"/>
    <w:multiLevelType w:val="multilevel"/>
    <w:tmpl w:val="495C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74518"/>
    <w:multiLevelType w:val="multilevel"/>
    <w:tmpl w:val="EF288F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9F55F2"/>
    <w:multiLevelType w:val="hybridMultilevel"/>
    <w:tmpl w:val="391C5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530A2F"/>
    <w:multiLevelType w:val="multilevel"/>
    <w:tmpl w:val="C51EBA2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1C4D7E"/>
    <w:multiLevelType w:val="hybridMultilevel"/>
    <w:tmpl w:val="5E6A964A"/>
    <w:lvl w:ilvl="0" w:tplc="C3EE3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17252">
    <w:abstractNumId w:val="1"/>
  </w:num>
  <w:num w:numId="2" w16cid:durableId="1392583773">
    <w:abstractNumId w:val="3"/>
  </w:num>
  <w:num w:numId="3" w16cid:durableId="884097136">
    <w:abstractNumId w:val="2"/>
  </w:num>
  <w:num w:numId="4" w16cid:durableId="1928727214">
    <w:abstractNumId w:val="4"/>
  </w:num>
  <w:num w:numId="5" w16cid:durableId="225384249">
    <w:abstractNumId w:val="0"/>
  </w:num>
  <w:num w:numId="6" w16cid:durableId="14567491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1D1"/>
    <w:rsid w:val="00084B81"/>
    <w:rsid w:val="00164C2E"/>
    <w:rsid w:val="00224BD5"/>
    <w:rsid w:val="00256392"/>
    <w:rsid w:val="003B22AD"/>
    <w:rsid w:val="003F5D0B"/>
    <w:rsid w:val="00457414"/>
    <w:rsid w:val="004A33F1"/>
    <w:rsid w:val="00555537"/>
    <w:rsid w:val="005E3B12"/>
    <w:rsid w:val="00633AC1"/>
    <w:rsid w:val="007958B8"/>
    <w:rsid w:val="009426E8"/>
    <w:rsid w:val="00B92C0A"/>
    <w:rsid w:val="00B95EF3"/>
    <w:rsid w:val="00C611D1"/>
    <w:rsid w:val="00DC2C66"/>
    <w:rsid w:val="00DC76B9"/>
    <w:rsid w:val="00DE7FE0"/>
    <w:rsid w:val="00FB5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FC148"/>
  <w15:chartTrackingRefBased/>
  <w15:docId w15:val="{B37693C0-457D-4FBB-8246-3EF95FF5A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sr-only">
    <w:name w:val="sr-only"/>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rsid w:val="00224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01737">
      <w:bodyDiv w:val="1"/>
      <w:marLeft w:val="0"/>
      <w:marRight w:val="0"/>
      <w:marTop w:val="0"/>
      <w:marBottom w:val="0"/>
      <w:divBdr>
        <w:top w:val="none" w:sz="0" w:space="0" w:color="auto"/>
        <w:left w:val="none" w:sz="0" w:space="0" w:color="auto"/>
        <w:bottom w:val="none" w:sz="0" w:space="0" w:color="auto"/>
        <w:right w:val="none" w:sz="0" w:space="0" w:color="auto"/>
      </w:divBdr>
    </w:div>
    <w:div w:id="171920605">
      <w:bodyDiv w:val="1"/>
      <w:marLeft w:val="0"/>
      <w:marRight w:val="0"/>
      <w:marTop w:val="0"/>
      <w:marBottom w:val="0"/>
      <w:divBdr>
        <w:top w:val="none" w:sz="0" w:space="0" w:color="auto"/>
        <w:left w:val="none" w:sz="0" w:space="0" w:color="auto"/>
        <w:bottom w:val="none" w:sz="0" w:space="0" w:color="auto"/>
        <w:right w:val="none" w:sz="0" w:space="0" w:color="auto"/>
      </w:divBdr>
    </w:div>
    <w:div w:id="201552298">
      <w:bodyDiv w:val="1"/>
      <w:marLeft w:val="0"/>
      <w:marRight w:val="0"/>
      <w:marTop w:val="0"/>
      <w:marBottom w:val="0"/>
      <w:divBdr>
        <w:top w:val="none" w:sz="0" w:space="0" w:color="auto"/>
        <w:left w:val="none" w:sz="0" w:space="0" w:color="auto"/>
        <w:bottom w:val="none" w:sz="0" w:space="0" w:color="auto"/>
        <w:right w:val="none" w:sz="0" w:space="0" w:color="auto"/>
      </w:divBdr>
    </w:div>
    <w:div w:id="221989585">
      <w:bodyDiv w:val="1"/>
      <w:marLeft w:val="0"/>
      <w:marRight w:val="0"/>
      <w:marTop w:val="0"/>
      <w:marBottom w:val="0"/>
      <w:divBdr>
        <w:top w:val="none" w:sz="0" w:space="0" w:color="auto"/>
        <w:left w:val="none" w:sz="0" w:space="0" w:color="auto"/>
        <w:bottom w:val="none" w:sz="0" w:space="0" w:color="auto"/>
        <w:right w:val="none" w:sz="0" w:space="0" w:color="auto"/>
      </w:divBdr>
    </w:div>
    <w:div w:id="232662556">
      <w:bodyDiv w:val="1"/>
      <w:marLeft w:val="0"/>
      <w:marRight w:val="0"/>
      <w:marTop w:val="0"/>
      <w:marBottom w:val="0"/>
      <w:divBdr>
        <w:top w:val="none" w:sz="0" w:space="0" w:color="auto"/>
        <w:left w:val="none" w:sz="0" w:space="0" w:color="auto"/>
        <w:bottom w:val="none" w:sz="0" w:space="0" w:color="auto"/>
        <w:right w:val="none" w:sz="0" w:space="0" w:color="auto"/>
      </w:divBdr>
    </w:div>
    <w:div w:id="429935835">
      <w:bodyDiv w:val="1"/>
      <w:marLeft w:val="0"/>
      <w:marRight w:val="0"/>
      <w:marTop w:val="0"/>
      <w:marBottom w:val="0"/>
      <w:divBdr>
        <w:top w:val="none" w:sz="0" w:space="0" w:color="auto"/>
        <w:left w:val="none" w:sz="0" w:space="0" w:color="auto"/>
        <w:bottom w:val="none" w:sz="0" w:space="0" w:color="auto"/>
        <w:right w:val="none" w:sz="0" w:space="0" w:color="auto"/>
      </w:divBdr>
      <w:divsChild>
        <w:div w:id="1110128728">
          <w:marLeft w:val="0"/>
          <w:marRight w:val="0"/>
          <w:marTop w:val="0"/>
          <w:marBottom w:val="0"/>
          <w:divBdr>
            <w:top w:val="none" w:sz="0" w:space="0" w:color="auto"/>
            <w:left w:val="none" w:sz="0" w:space="0" w:color="auto"/>
            <w:bottom w:val="none" w:sz="0" w:space="0" w:color="auto"/>
            <w:right w:val="none" w:sz="0" w:space="0" w:color="auto"/>
          </w:divBdr>
          <w:divsChild>
            <w:div w:id="1934314459">
              <w:marLeft w:val="0"/>
              <w:marRight w:val="0"/>
              <w:marTop w:val="0"/>
              <w:marBottom w:val="0"/>
              <w:divBdr>
                <w:top w:val="none" w:sz="0" w:space="0" w:color="auto"/>
                <w:left w:val="none" w:sz="0" w:space="0" w:color="auto"/>
                <w:bottom w:val="none" w:sz="0" w:space="0" w:color="auto"/>
                <w:right w:val="none" w:sz="0" w:space="0" w:color="auto"/>
              </w:divBdr>
              <w:divsChild>
                <w:div w:id="1894732872">
                  <w:marLeft w:val="0"/>
                  <w:marRight w:val="0"/>
                  <w:marTop w:val="0"/>
                  <w:marBottom w:val="0"/>
                  <w:divBdr>
                    <w:top w:val="none" w:sz="0" w:space="0" w:color="auto"/>
                    <w:left w:val="none" w:sz="0" w:space="0" w:color="auto"/>
                    <w:bottom w:val="none" w:sz="0" w:space="0" w:color="auto"/>
                    <w:right w:val="none" w:sz="0" w:space="0" w:color="auto"/>
                  </w:divBdr>
                  <w:divsChild>
                    <w:div w:id="1064763640">
                      <w:marLeft w:val="0"/>
                      <w:marRight w:val="0"/>
                      <w:marTop w:val="0"/>
                      <w:marBottom w:val="0"/>
                      <w:divBdr>
                        <w:top w:val="none" w:sz="0" w:space="0" w:color="auto"/>
                        <w:left w:val="none" w:sz="0" w:space="0" w:color="auto"/>
                        <w:bottom w:val="none" w:sz="0" w:space="0" w:color="auto"/>
                        <w:right w:val="none" w:sz="0" w:space="0" w:color="auto"/>
                      </w:divBdr>
                      <w:divsChild>
                        <w:div w:id="632491187">
                          <w:marLeft w:val="0"/>
                          <w:marRight w:val="0"/>
                          <w:marTop w:val="0"/>
                          <w:marBottom w:val="0"/>
                          <w:divBdr>
                            <w:top w:val="none" w:sz="0" w:space="0" w:color="auto"/>
                            <w:left w:val="none" w:sz="0" w:space="0" w:color="auto"/>
                            <w:bottom w:val="none" w:sz="0" w:space="0" w:color="auto"/>
                            <w:right w:val="none" w:sz="0" w:space="0" w:color="auto"/>
                          </w:divBdr>
                          <w:divsChild>
                            <w:div w:id="1900706248">
                              <w:marLeft w:val="0"/>
                              <w:marRight w:val="0"/>
                              <w:marTop w:val="0"/>
                              <w:marBottom w:val="0"/>
                              <w:divBdr>
                                <w:top w:val="none" w:sz="0" w:space="0" w:color="auto"/>
                                <w:left w:val="none" w:sz="0" w:space="0" w:color="auto"/>
                                <w:bottom w:val="none" w:sz="0" w:space="0" w:color="auto"/>
                                <w:right w:val="none" w:sz="0" w:space="0" w:color="auto"/>
                              </w:divBdr>
                              <w:divsChild>
                                <w:div w:id="135339170">
                                  <w:marLeft w:val="0"/>
                                  <w:marRight w:val="0"/>
                                  <w:marTop w:val="0"/>
                                  <w:marBottom w:val="0"/>
                                  <w:divBdr>
                                    <w:top w:val="none" w:sz="0" w:space="0" w:color="auto"/>
                                    <w:left w:val="none" w:sz="0" w:space="0" w:color="auto"/>
                                    <w:bottom w:val="none" w:sz="0" w:space="0" w:color="auto"/>
                                    <w:right w:val="none" w:sz="0" w:space="0" w:color="auto"/>
                                  </w:divBdr>
                                  <w:divsChild>
                                    <w:div w:id="14108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2986">
                      <w:marLeft w:val="0"/>
                      <w:marRight w:val="0"/>
                      <w:marTop w:val="0"/>
                      <w:marBottom w:val="0"/>
                      <w:divBdr>
                        <w:top w:val="none" w:sz="0" w:space="0" w:color="auto"/>
                        <w:left w:val="none" w:sz="0" w:space="0" w:color="auto"/>
                        <w:bottom w:val="none" w:sz="0" w:space="0" w:color="auto"/>
                        <w:right w:val="none" w:sz="0" w:space="0" w:color="auto"/>
                      </w:divBdr>
                      <w:divsChild>
                        <w:div w:id="9744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258882">
      <w:bodyDiv w:val="1"/>
      <w:marLeft w:val="0"/>
      <w:marRight w:val="0"/>
      <w:marTop w:val="0"/>
      <w:marBottom w:val="0"/>
      <w:divBdr>
        <w:top w:val="none" w:sz="0" w:space="0" w:color="auto"/>
        <w:left w:val="none" w:sz="0" w:space="0" w:color="auto"/>
        <w:bottom w:val="none" w:sz="0" w:space="0" w:color="auto"/>
        <w:right w:val="none" w:sz="0" w:space="0" w:color="auto"/>
      </w:divBdr>
    </w:div>
    <w:div w:id="461072103">
      <w:bodyDiv w:val="1"/>
      <w:marLeft w:val="0"/>
      <w:marRight w:val="0"/>
      <w:marTop w:val="0"/>
      <w:marBottom w:val="0"/>
      <w:divBdr>
        <w:top w:val="none" w:sz="0" w:space="0" w:color="auto"/>
        <w:left w:val="none" w:sz="0" w:space="0" w:color="auto"/>
        <w:bottom w:val="none" w:sz="0" w:space="0" w:color="auto"/>
        <w:right w:val="none" w:sz="0" w:space="0" w:color="auto"/>
      </w:divBdr>
    </w:div>
    <w:div w:id="479812330">
      <w:bodyDiv w:val="1"/>
      <w:marLeft w:val="0"/>
      <w:marRight w:val="0"/>
      <w:marTop w:val="0"/>
      <w:marBottom w:val="0"/>
      <w:divBdr>
        <w:top w:val="none" w:sz="0" w:space="0" w:color="auto"/>
        <w:left w:val="none" w:sz="0" w:space="0" w:color="auto"/>
        <w:bottom w:val="none" w:sz="0" w:space="0" w:color="auto"/>
        <w:right w:val="none" w:sz="0" w:space="0" w:color="auto"/>
      </w:divBdr>
    </w:div>
    <w:div w:id="482048415">
      <w:bodyDiv w:val="1"/>
      <w:marLeft w:val="0"/>
      <w:marRight w:val="0"/>
      <w:marTop w:val="0"/>
      <w:marBottom w:val="0"/>
      <w:divBdr>
        <w:top w:val="none" w:sz="0" w:space="0" w:color="auto"/>
        <w:left w:val="none" w:sz="0" w:space="0" w:color="auto"/>
        <w:bottom w:val="none" w:sz="0" w:space="0" w:color="auto"/>
        <w:right w:val="none" w:sz="0" w:space="0" w:color="auto"/>
      </w:divBdr>
    </w:div>
    <w:div w:id="517239343">
      <w:bodyDiv w:val="1"/>
      <w:marLeft w:val="0"/>
      <w:marRight w:val="0"/>
      <w:marTop w:val="0"/>
      <w:marBottom w:val="0"/>
      <w:divBdr>
        <w:top w:val="none" w:sz="0" w:space="0" w:color="auto"/>
        <w:left w:val="none" w:sz="0" w:space="0" w:color="auto"/>
        <w:bottom w:val="none" w:sz="0" w:space="0" w:color="auto"/>
        <w:right w:val="none" w:sz="0" w:space="0" w:color="auto"/>
      </w:divBdr>
    </w:div>
    <w:div w:id="544030684">
      <w:bodyDiv w:val="1"/>
      <w:marLeft w:val="0"/>
      <w:marRight w:val="0"/>
      <w:marTop w:val="0"/>
      <w:marBottom w:val="0"/>
      <w:divBdr>
        <w:top w:val="none" w:sz="0" w:space="0" w:color="auto"/>
        <w:left w:val="none" w:sz="0" w:space="0" w:color="auto"/>
        <w:bottom w:val="none" w:sz="0" w:space="0" w:color="auto"/>
        <w:right w:val="none" w:sz="0" w:space="0" w:color="auto"/>
      </w:divBdr>
    </w:div>
    <w:div w:id="604582185">
      <w:bodyDiv w:val="1"/>
      <w:marLeft w:val="0"/>
      <w:marRight w:val="0"/>
      <w:marTop w:val="0"/>
      <w:marBottom w:val="0"/>
      <w:divBdr>
        <w:top w:val="none" w:sz="0" w:space="0" w:color="auto"/>
        <w:left w:val="none" w:sz="0" w:space="0" w:color="auto"/>
        <w:bottom w:val="none" w:sz="0" w:space="0" w:color="auto"/>
        <w:right w:val="none" w:sz="0" w:space="0" w:color="auto"/>
      </w:divBdr>
    </w:div>
    <w:div w:id="735206382">
      <w:bodyDiv w:val="1"/>
      <w:marLeft w:val="0"/>
      <w:marRight w:val="0"/>
      <w:marTop w:val="0"/>
      <w:marBottom w:val="0"/>
      <w:divBdr>
        <w:top w:val="none" w:sz="0" w:space="0" w:color="auto"/>
        <w:left w:val="none" w:sz="0" w:space="0" w:color="auto"/>
        <w:bottom w:val="none" w:sz="0" w:space="0" w:color="auto"/>
        <w:right w:val="none" w:sz="0" w:space="0" w:color="auto"/>
      </w:divBdr>
    </w:div>
    <w:div w:id="916745000">
      <w:bodyDiv w:val="1"/>
      <w:marLeft w:val="0"/>
      <w:marRight w:val="0"/>
      <w:marTop w:val="0"/>
      <w:marBottom w:val="0"/>
      <w:divBdr>
        <w:top w:val="none" w:sz="0" w:space="0" w:color="auto"/>
        <w:left w:val="none" w:sz="0" w:space="0" w:color="auto"/>
        <w:bottom w:val="none" w:sz="0" w:space="0" w:color="auto"/>
        <w:right w:val="none" w:sz="0" w:space="0" w:color="auto"/>
      </w:divBdr>
    </w:div>
    <w:div w:id="936521198">
      <w:bodyDiv w:val="1"/>
      <w:marLeft w:val="0"/>
      <w:marRight w:val="0"/>
      <w:marTop w:val="0"/>
      <w:marBottom w:val="0"/>
      <w:divBdr>
        <w:top w:val="none" w:sz="0" w:space="0" w:color="auto"/>
        <w:left w:val="none" w:sz="0" w:space="0" w:color="auto"/>
        <w:bottom w:val="none" w:sz="0" w:space="0" w:color="auto"/>
        <w:right w:val="none" w:sz="0" w:space="0" w:color="auto"/>
      </w:divBdr>
    </w:div>
    <w:div w:id="946733806">
      <w:bodyDiv w:val="1"/>
      <w:marLeft w:val="0"/>
      <w:marRight w:val="0"/>
      <w:marTop w:val="0"/>
      <w:marBottom w:val="0"/>
      <w:divBdr>
        <w:top w:val="none" w:sz="0" w:space="0" w:color="auto"/>
        <w:left w:val="none" w:sz="0" w:space="0" w:color="auto"/>
        <w:bottom w:val="none" w:sz="0" w:space="0" w:color="auto"/>
        <w:right w:val="none" w:sz="0" w:space="0" w:color="auto"/>
      </w:divBdr>
    </w:div>
    <w:div w:id="1029842817">
      <w:bodyDiv w:val="1"/>
      <w:marLeft w:val="0"/>
      <w:marRight w:val="0"/>
      <w:marTop w:val="0"/>
      <w:marBottom w:val="0"/>
      <w:divBdr>
        <w:top w:val="none" w:sz="0" w:space="0" w:color="auto"/>
        <w:left w:val="none" w:sz="0" w:space="0" w:color="auto"/>
        <w:bottom w:val="none" w:sz="0" w:space="0" w:color="auto"/>
        <w:right w:val="none" w:sz="0" w:space="0" w:color="auto"/>
      </w:divBdr>
    </w:div>
    <w:div w:id="1094593920">
      <w:bodyDiv w:val="1"/>
      <w:marLeft w:val="0"/>
      <w:marRight w:val="0"/>
      <w:marTop w:val="0"/>
      <w:marBottom w:val="0"/>
      <w:divBdr>
        <w:top w:val="none" w:sz="0" w:space="0" w:color="auto"/>
        <w:left w:val="none" w:sz="0" w:space="0" w:color="auto"/>
        <w:bottom w:val="none" w:sz="0" w:space="0" w:color="auto"/>
        <w:right w:val="none" w:sz="0" w:space="0" w:color="auto"/>
      </w:divBdr>
      <w:divsChild>
        <w:div w:id="188110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267716">
      <w:bodyDiv w:val="1"/>
      <w:marLeft w:val="0"/>
      <w:marRight w:val="0"/>
      <w:marTop w:val="0"/>
      <w:marBottom w:val="0"/>
      <w:divBdr>
        <w:top w:val="none" w:sz="0" w:space="0" w:color="auto"/>
        <w:left w:val="none" w:sz="0" w:space="0" w:color="auto"/>
        <w:bottom w:val="none" w:sz="0" w:space="0" w:color="auto"/>
        <w:right w:val="none" w:sz="0" w:space="0" w:color="auto"/>
      </w:divBdr>
    </w:div>
    <w:div w:id="1113784821">
      <w:bodyDiv w:val="1"/>
      <w:marLeft w:val="0"/>
      <w:marRight w:val="0"/>
      <w:marTop w:val="0"/>
      <w:marBottom w:val="0"/>
      <w:divBdr>
        <w:top w:val="none" w:sz="0" w:space="0" w:color="auto"/>
        <w:left w:val="none" w:sz="0" w:space="0" w:color="auto"/>
        <w:bottom w:val="none" w:sz="0" w:space="0" w:color="auto"/>
        <w:right w:val="none" w:sz="0" w:space="0" w:color="auto"/>
      </w:divBdr>
    </w:div>
    <w:div w:id="1130440845">
      <w:bodyDiv w:val="1"/>
      <w:marLeft w:val="0"/>
      <w:marRight w:val="0"/>
      <w:marTop w:val="0"/>
      <w:marBottom w:val="0"/>
      <w:divBdr>
        <w:top w:val="none" w:sz="0" w:space="0" w:color="auto"/>
        <w:left w:val="none" w:sz="0" w:space="0" w:color="auto"/>
        <w:bottom w:val="none" w:sz="0" w:space="0" w:color="auto"/>
        <w:right w:val="none" w:sz="0" w:space="0" w:color="auto"/>
      </w:divBdr>
    </w:div>
    <w:div w:id="1165823525">
      <w:bodyDiv w:val="1"/>
      <w:marLeft w:val="0"/>
      <w:marRight w:val="0"/>
      <w:marTop w:val="0"/>
      <w:marBottom w:val="0"/>
      <w:divBdr>
        <w:top w:val="none" w:sz="0" w:space="0" w:color="auto"/>
        <w:left w:val="none" w:sz="0" w:space="0" w:color="auto"/>
        <w:bottom w:val="none" w:sz="0" w:space="0" w:color="auto"/>
        <w:right w:val="none" w:sz="0" w:space="0" w:color="auto"/>
      </w:divBdr>
      <w:divsChild>
        <w:div w:id="1609704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022317">
      <w:bodyDiv w:val="1"/>
      <w:marLeft w:val="0"/>
      <w:marRight w:val="0"/>
      <w:marTop w:val="0"/>
      <w:marBottom w:val="0"/>
      <w:divBdr>
        <w:top w:val="none" w:sz="0" w:space="0" w:color="auto"/>
        <w:left w:val="none" w:sz="0" w:space="0" w:color="auto"/>
        <w:bottom w:val="none" w:sz="0" w:space="0" w:color="auto"/>
        <w:right w:val="none" w:sz="0" w:space="0" w:color="auto"/>
      </w:divBdr>
    </w:div>
    <w:div w:id="1261179793">
      <w:bodyDiv w:val="1"/>
      <w:marLeft w:val="0"/>
      <w:marRight w:val="0"/>
      <w:marTop w:val="0"/>
      <w:marBottom w:val="0"/>
      <w:divBdr>
        <w:top w:val="none" w:sz="0" w:space="0" w:color="auto"/>
        <w:left w:val="none" w:sz="0" w:space="0" w:color="auto"/>
        <w:bottom w:val="none" w:sz="0" w:space="0" w:color="auto"/>
        <w:right w:val="none" w:sz="0" w:space="0" w:color="auto"/>
      </w:divBdr>
    </w:div>
    <w:div w:id="1275018757">
      <w:bodyDiv w:val="1"/>
      <w:marLeft w:val="0"/>
      <w:marRight w:val="0"/>
      <w:marTop w:val="0"/>
      <w:marBottom w:val="0"/>
      <w:divBdr>
        <w:top w:val="none" w:sz="0" w:space="0" w:color="auto"/>
        <w:left w:val="none" w:sz="0" w:space="0" w:color="auto"/>
        <w:bottom w:val="none" w:sz="0" w:space="0" w:color="auto"/>
        <w:right w:val="none" w:sz="0" w:space="0" w:color="auto"/>
      </w:divBdr>
    </w:div>
    <w:div w:id="1370686467">
      <w:bodyDiv w:val="1"/>
      <w:marLeft w:val="0"/>
      <w:marRight w:val="0"/>
      <w:marTop w:val="0"/>
      <w:marBottom w:val="0"/>
      <w:divBdr>
        <w:top w:val="none" w:sz="0" w:space="0" w:color="auto"/>
        <w:left w:val="none" w:sz="0" w:space="0" w:color="auto"/>
        <w:bottom w:val="none" w:sz="0" w:space="0" w:color="auto"/>
        <w:right w:val="none" w:sz="0" w:space="0" w:color="auto"/>
      </w:divBdr>
    </w:div>
    <w:div w:id="1487429650">
      <w:bodyDiv w:val="1"/>
      <w:marLeft w:val="0"/>
      <w:marRight w:val="0"/>
      <w:marTop w:val="0"/>
      <w:marBottom w:val="0"/>
      <w:divBdr>
        <w:top w:val="none" w:sz="0" w:space="0" w:color="auto"/>
        <w:left w:val="none" w:sz="0" w:space="0" w:color="auto"/>
        <w:bottom w:val="none" w:sz="0" w:space="0" w:color="auto"/>
        <w:right w:val="none" w:sz="0" w:space="0" w:color="auto"/>
      </w:divBdr>
    </w:div>
    <w:div w:id="1570340464">
      <w:bodyDiv w:val="1"/>
      <w:marLeft w:val="0"/>
      <w:marRight w:val="0"/>
      <w:marTop w:val="0"/>
      <w:marBottom w:val="0"/>
      <w:divBdr>
        <w:top w:val="none" w:sz="0" w:space="0" w:color="auto"/>
        <w:left w:val="none" w:sz="0" w:space="0" w:color="auto"/>
        <w:bottom w:val="none" w:sz="0" w:space="0" w:color="auto"/>
        <w:right w:val="none" w:sz="0" w:space="0" w:color="auto"/>
      </w:divBdr>
    </w:div>
    <w:div w:id="1621885986">
      <w:bodyDiv w:val="1"/>
      <w:marLeft w:val="0"/>
      <w:marRight w:val="0"/>
      <w:marTop w:val="0"/>
      <w:marBottom w:val="0"/>
      <w:divBdr>
        <w:top w:val="none" w:sz="0" w:space="0" w:color="auto"/>
        <w:left w:val="none" w:sz="0" w:space="0" w:color="auto"/>
        <w:bottom w:val="none" w:sz="0" w:space="0" w:color="auto"/>
        <w:right w:val="none" w:sz="0" w:space="0" w:color="auto"/>
      </w:divBdr>
    </w:div>
    <w:div w:id="1631353491">
      <w:bodyDiv w:val="1"/>
      <w:marLeft w:val="0"/>
      <w:marRight w:val="0"/>
      <w:marTop w:val="0"/>
      <w:marBottom w:val="0"/>
      <w:divBdr>
        <w:top w:val="none" w:sz="0" w:space="0" w:color="auto"/>
        <w:left w:val="none" w:sz="0" w:space="0" w:color="auto"/>
        <w:bottom w:val="none" w:sz="0" w:space="0" w:color="auto"/>
        <w:right w:val="none" w:sz="0" w:space="0" w:color="auto"/>
      </w:divBdr>
    </w:div>
    <w:div w:id="1639652288">
      <w:bodyDiv w:val="1"/>
      <w:marLeft w:val="0"/>
      <w:marRight w:val="0"/>
      <w:marTop w:val="0"/>
      <w:marBottom w:val="0"/>
      <w:divBdr>
        <w:top w:val="none" w:sz="0" w:space="0" w:color="auto"/>
        <w:left w:val="none" w:sz="0" w:space="0" w:color="auto"/>
        <w:bottom w:val="none" w:sz="0" w:space="0" w:color="auto"/>
        <w:right w:val="none" w:sz="0" w:space="0" w:color="auto"/>
      </w:divBdr>
    </w:div>
    <w:div w:id="1722359960">
      <w:bodyDiv w:val="1"/>
      <w:marLeft w:val="0"/>
      <w:marRight w:val="0"/>
      <w:marTop w:val="0"/>
      <w:marBottom w:val="0"/>
      <w:divBdr>
        <w:top w:val="none" w:sz="0" w:space="0" w:color="auto"/>
        <w:left w:val="none" w:sz="0" w:space="0" w:color="auto"/>
        <w:bottom w:val="none" w:sz="0" w:space="0" w:color="auto"/>
        <w:right w:val="none" w:sz="0" w:space="0" w:color="auto"/>
      </w:divBdr>
    </w:div>
    <w:div w:id="1772317149">
      <w:bodyDiv w:val="1"/>
      <w:marLeft w:val="0"/>
      <w:marRight w:val="0"/>
      <w:marTop w:val="0"/>
      <w:marBottom w:val="0"/>
      <w:divBdr>
        <w:top w:val="none" w:sz="0" w:space="0" w:color="auto"/>
        <w:left w:val="none" w:sz="0" w:space="0" w:color="auto"/>
        <w:bottom w:val="none" w:sz="0" w:space="0" w:color="auto"/>
        <w:right w:val="none" w:sz="0" w:space="0" w:color="auto"/>
      </w:divBdr>
      <w:divsChild>
        <w:div w:id="1425104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270325">
      <w:bodyDiv w:val="1"/>
      <w:marLeft w:val="0"/>
      <w:marRight w:val="0"/>
      <w:marTop w:val="0"/>
      <w:marBottom w:val="0"/>
      <w:divBdr>
        <w:top w:val="none" w:sz="0" w:space="0" w:color="auto"/>
        <w:left w:val="none" w:sz="0" w:space="0" w:color="auto"/>
        <w:bottom w:val="none" w:sz="0" w:space="0" w:color="auto"/>
        <w:right w:val="none" w:sz="0" w:space="0" w:color="auto"/>
      </w:divBdr>
    </w:div>
    <w:div w:id="1825316016">
      <w:bodyDiv w:val="1"/>
      <w:marLeft w:val="0"/>
      <w:marRight w:val="0"/>
      <w:marTop w:val="0"/>
      <w:marBottom w:val="0"/>
      <w:divBdr>
        <w:top w:val="none" w:sz="0" w:space="0" w:color="auto"/>
        <w:left w:val="none" w:sz="0" w:space="0" w:color="auto"/>
        <w:bottom w:val="none" w:sz="0" w:space="0" w:color="auto"/>
        <w:right w:val="none" w:sz="0" w:space="0" w:color="auto"/>
      </w:divBdr>
    </w:div>
    <w:div w:id="1843856522">
      <w:bodyDiv w:val="1"/>
      <w:marLeft w:val="0"/>
      <w:marRight w:val="0"/>
      <w:marTop w:val="0"/>
      <w:marBottom w:val="0"/>
      <w:divBdr>
        <w:top w:val="none" w:sz="0" w:space="0" w:color="auto"/>
        <w:left w:val="none" w:sz="0" w:space="0" w:color="auto"/>
        <w:bottom w:val="none" w:sz="0" w:space="0" w:color="auto"/>
        <w:right w:val="none" w:sz="0" w:space="0" w:color="auto"/>
      </w:divBdr>
    </w:div>
    <w:div w:id="1851093098">
      <w:bodyDiv w:val="1"/>
      <w:marLeft w:val="0"/>
      <w:marRight w:val="0"/>
      <w:marTop w:val="0"/>
      <w:marBottom w:val="0"/>
      <w:divBdr>
        <w:top w:val="none" w:sz="0" w:space="0" w:color="auto"/>
        <w:left w:val="none" w:sz="0" w:space="0" w:color="auto"/>
        <w:bottom w:val="none" w:sz="0" w:space="0" w:color="auto"/>
        <w:right w:val="none" w:sz="0" w:space="0" w:color="auto"/>
      </w:divBdr>
    </w:div>
    <w:div w:id="1904024945">
      <w:bodyDiv w:val="1"/>
      <w:marLeft w:val="0"/>
      <w:marRight w:val="0"/>
      <w:marTop w:val="0"/>
      <w:marBottom w:val="0"/>
      <w:divBdr>
        <w:top w:val="none" w:sz="0" w:space="0" w:color="auto"/>
        <w:left w:val="none" w:sz="0" w:space="0" w:color="auto"/>
        <w:bottom w:val="none" w:sz="0" w:space="0" w:color="auto"/>
        <w:right w:val="none" w:sz="0" w:space="0" w:color="auto"/>
      </w:divBdr>
      <w:divsChild>
        <w:div w:id="1842968840">
          <w:marLeft w:val="0"/>
          <w:marRight w:val="0"/>
          <w:marTop w:val="0"/>
          <w:marBottom w:val="0"/>
          <w:divBdr>
            <w:top w:val="none" w:sz="0" w:space="0" w:color="auto"/>
            <w:left w:val="none" w:sz="0" w:space="0" w:color="auto"/>
            <w:bottom w:val="none" w:sz="0" w:space="0" w:color="auto"/>
            <w:right w:val="none" w:sz="0" w:space="0" w:color="auto"/>
          </w:divBdr>
          <w:divsChild>
            <w:div w:id="2117628545">
              <w:marLeft w:val="0"/>
              <w:marRight w:val="0"/>
              <w:marTop w:val="0"/>
              <w:marBottom w:val="0"/>
              <w:divBdr>
                <w:top w:val="none" w:sz="0" w:space="0" w:color="auto"/>
                <w:left w:val="none" w:sz="0" w:space="0" w:color="auto"/>
                <w:bottom w:val="none" w:sz="0" w:space="0" w:color="auto"/>
                <w:right w:val="none" w:sz="0" w:space="0" w:color="auto"/>
              </w:divBdr>
              <w:divsChild>
                <w:div w:id="1310134693">
                  <w:marLeft w:val="0"/>
                  <w:marRight w:val="0"/>
                  <w:marTop w:val="0"/>
                  <w:marBottom w:val="0"/>
                  <w:divBdr>
                    <w:top w:val="none" w:sz="0" w:space="0" w:color="auto"/>
                    <w:left w:val="none" w:sz="0" w:space="0" w:color="auto"/>
                    <w:bottom w:val="none" w:sz="0" w:space="0" w:color="auto"/>
                    <w:right w:val="none" w:sz="0" w:space="0" w:color="auto"/>
                  </w:divBdr>
                  <w:divsChild>
                    <w:div w:id="1708598537">
                      <w:marLeft w:val="-315"/>
                      <w:marRight w:val="0"/>
                      <w:marTop w:val="90"/>
                      <w:marBottom w:val="0"/>
                      <w:divBdr>
                        <w:top w:val="none" w:sz="0" w:space="0" w:color="auto"/>
                        <w:left w:val="single" w:sz="6" w:space="0" w:color="DADCE0"/>
                        <w:bottom w:val="none" w:sz="0" w:space="0" w:color="auto"/>
                        <w:right w:val="none" w:sz="0" w:space="0" w:color="auto"/>
                      </w:divBdr>
                      <w:divsChild>
                        <w:div w:id="1188567828">
                          <w:marLeft w:val="0"/>
                          <w:marRight w:val="0"/>
                          <w:marTop w:val="0"/>
                          <w:marBottom w:val="0"/>
                          <w:divBdr>
                            <w:top w:val="none" w:sz="0" w:space="0" w:color="auto"/>
                            <w:left w:val="none" w:sz="0" w:space="0" w:color="auto"/>
                            <w:bottom w:val="none" w:sz="0" w:space="0" w:color="auto"/>
                            <w:right w:val="none" w:sz="0" w:space="0" w:color="auto"/>
                          </w:divBdr>
                          <w:divsChild>
                            <w:div w:id="1419794246">
                              <w:marLeft w:val="0"/>
                              <w:marRight w:val="0"/>
                              <w:marTop w:val="0"/>
                              <w:marBottom w:val="0"/>
                              <w:divBdr>
                                <w:top w:val="none" w:sz="0" w:space="0" w:color="auto"/>
                                <w:left w:val="none" w:sz="0" w:space="0" w:color="auto"/>
                                <w:bottom w:val="none" w:sz="0" w:space="0" w:color="auto"/>
                                <w:right w:val="none" w:sz="0" w:space="0" w:color="auto"/>
                              </w:divBdr>
                              <w:divsChild>
                                <w:div w:id="1557625530">
                                  <w:marLeft w:val="0"/>
                                  <w:marRight w:val="0"/>
                                  <w:marTop w:val="0"/>
                                  <w:marBottom w:val="0"/>
                                  <w:divBdr>
                                    <w:top w:val="none" w:sz="0" w:space="0" w:color="auto"/>
                                    <w:left w:val="none" w:sz="0" w:space="0" w:color="auto"/>
                                    <w:bottom w:val="none" w:sz="0" w:space="0" w:color="auto"/>
                                    <w:right w:val="none" w:sz="0" w:space="0" w:color="auto"/>
                                  </w:divBdr>
                                  <w:divsChild>
                                    <w:div w:id="418644277">
                                      <w:marLeft w:val="0"/>
                                      <w:marRight w:val="0"/>
                                      <w:marTop w:val="0"/>
                                      <w:marBottom w:val="0"/>
                                      <w:divBdr>
                                        <w:top w:val="none" w:sz="0" w:space="0" w:color="auto"/>
                                        <w:left w:val="none" w:sz="0" w:space="0" w:color="auto"/>
                                        <w:bottom w:val="none" w:sz="0" w:space="0" w:color="auto"/>
                                        <w:right w:val="none" w:sz="0" w:space="0" w:color="auto"/>
                                      </w:divBdr>
                                      <w:divsChild>
                                        <w:div w:id="988092602">
                                          <w:marLeft w:val="0"/>
                                          <w:marRight w:val="0"/>
                                          <w:marTop w:val="0"/>
                                          <w:marBottom w:val="0"/>
                                          <w:divBdr>
                                            <w:top w:val="none" w:sz="0" w:space="0" w:color="auto"/>
                                            <w:left w:val="none" w:sz="0" w:space="0" w:color="auto"/>
                                            <w:bottom w:val="none" w:sz="0" w:space="0" w:color="auto"/>
                                            <w:right w:val="none" w:sz="0" w:space="0" w:color="auto"/>
                                          </w:divBdr>
                                          <w:divsChild>
                                            <w:div w:id="1226990660">
                                              <w:marLeft w:val="0"/>
                                              <w:marRight w:val="0"/>
                                              <w:marTop w:val="0"/>
                                              <w:marBottom w:val="0"/>
                                              <w:divBdr>
                                                <w:top w:val="none" w:sz="0" w:space="0" w:color="auto"/>
                                                <w:left w:val="none" w:sz="0" w:space="0" w:color="auto"/>
                                                <w:bottom w:val="none" w:sz="0" w:space="0" w:color="auto"/>
                                                <w:right w:val="none" w:sz="0" w:space="0" w:color="auto"/>
                                              </w:divBdr>
                                              <w:divsChild>
                                                <w:div w:id="101588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865918">
      <w:bodyDiv w:val="1"/>
      <w:marLeft w:val="0"/>
      <w:marRight w:val="0"/>
      <w:marTop w:val="0"/>
      <w:marBottom w:val="0"/>
      <w:divBdr>
        <w:top w:val="none" w:sz="0" w:space="0" w:color="auto"/>
        <w:left w:val="none" w:sz="0" w:space="0" w:color="auto"/>
        <w:bottom w:val="none" w:sz="0" w:space="0" w:color="auto"/>
        <w:right w:val="none" w:sz="0" w:space="0" w:color="auto"/>
      </w:divBdr>
    </w:div>
    <w:div w:id="2085370473">
      <w:bodyDiv w:val="1"/>
      <w:marLeft w:val="0"/>
      <w:marRight w:val="0"/>
      <w:marTop w:val="0"/>
      <w:marBottom w:val="0"/>
      <w:divBdr>
        <w:top w:val="none" w:sz="0" w:space="0" w:color="auto"/>
        <w:left w:val="none" w:sz="0" w:space="0" w:color="auto"/>
        <w:bottom w:val="none" w:sz="0" w:space="0" w:color="auto"/>
        <w:right w:val="none" w:sz="0" w:space="0" w:color="auto"/>
      </w:divBdr>
    </w:div>
    <w:div w:id="213301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0944/preprints202401.1196.v1" TargetMode="External"/><Relationship Id="rId18" Type="http://schemas.openxmlformats.org/officeDocument/2006/relationships/hyperlink" Target="https://hal.archives-ouvertes.fr/hal-0509131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80/01634372.2020.1868210" TargetMode="External"/><Relationship Id="rId17" Type="http://schemas.openxmlformats.org/officeDocument/2006/relationships/hyperlink" Target="https://jopir.in/index.php/journals/article/view/38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asciences.africa/news/addressing-long-term-care-for-nigerias-aging-populat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12877-020-01821-3"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gujos.com.ng/index.php/gujos/article/view/59" TargetMode="External"/><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igitalcommons.unl.edu/sociologydiss/88"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D4690-EBDB-4546-9211-B2B7673A5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5976</Words>
  <Characters>34064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Folorunsho Sunkanmi Adam</cp:lastModifiedBy>
  <cp:revision>11</cp:revision>
  <dcterms:created xsi:type="dcterms:W3CDTF">2025-07-04T14:02:00Z</dcterms:created>
  <dcterms:modified xsi:type="dcterms:W3CDTF">2025-07-04T14:16:00Z</dcterms:modified>
</cp:coreProperties>
</file>