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9726D" w14:textId="6A8D8BCB" w:rsidR="008E407A" w:rsidRDefault="00457661" w:rsidP="00C51B0E">
      <w:pPr>
        <w:pStyle w:val="NormalWeb"/>
        <w:spacing w:before="0" w:beforeAutospacing="0" w:after="0" w:afterAutospacing="0" w:line="480" w:lineRule="auto"/>
        <w:jc w:val="center"/>
        <w:rPr>
          <w:rStyle w:val="fadeinm1hgl8"/>
          <w:b/>
          <w:sz w:val="28"/>
          <w:szCs w:val="28"/>
          <w:lang w:val="en-US"/>
        </w:rPr>
      </w:pPr>
      <w:r w:rsidRPr="00266485">
        <w:rPr>
          <w:rStyle w:val="fadeinm1hgl8"/>
          <w:b/>
          <w:sz w:val="28"/>
          <w:szCs w:val="28"/>
          <w:lang w:val="en-US"/>
        </w:rPr>
        <w:t xml:space="preserve">Assessment </w:t>
      </w:r>
      <w:r w:rsidR="00C9541E" w:rsidRPr="00266485">
        <w:rPr>
          <w:rStyle w:val="fadeinm1hgl8"/>
          <w:b/>
          <w:sz w:val="28"/>
          <w:szCs w:val="28"/>
          <w:lang w:val="en-US"/>
        </w:rPr>
        <w:t>Of Trace Metal Elements In Tilapia (</w:t>
      </w:r>
      <w:r w:rsidR="00C9541E" w:rsidRPr="00266485">
        <w:rPr>
          <w:rStyle w:val="fadeinm1hgl8"/>
          <w:b/>
          <w:i/>
          <w:sz w:val="28"/>
          <w:szCs w:val="28"/>
          <w:lang w:val="en-US"/>
        </w:rPr>
        <w:t>Sarotherodon Melanotheron</w:t>
      </w:r>
      <w:r w:rsidR="00C9541E" w:rsidRPr="00266485">
        <w:rPr>
          <w:rStyle w:val="fadeinm1hgl8"/>
          <w:b/>
          <w:sz w:val="28"/>
          <w:szCs w:val="28"/>
          <w:lang w:val="en-US"/>
        </w:rPr>
        <w:t>) In The Urban Nature Reserve Of The Grande Niaye Of Pikine And Surroundings</w:t>
      </w:r>
      <w:r w:rsidR="0069044B">
        <w:rPr>
          <w:rStyle w:val="fadeinm1hgl8"/>
          <w:b/>
          <w:sz w:val="28"/>
          <w:szCs w:val="28"/>
          <w:lang w:val="en-US"/>
        </w:rPr>
        <w:t>,</w:t>
      </w:r>
      <w:r w:rsidR="003E6E44">
        <w:rPr>
          <w:rStyle w:val="fadeinm1hgl8"/>
          <w:b/>
          <w:sz w:val="28"/>
          <w:szCs w:val="28"/>
          <w:lang w:val="en-US"/>
        </w:rPr>
        <w:t xml:space="preserve"> </w:t>
      </w:r>
      <w:r w:rsidR="00C9541E" w:rsidRPr="00266485">
        <w:rPr>
          <w:rStyle w:val="fadeinm1hgl8"/>
          <w:b/>
          <w:sz w:val="28"/>
          <w:szCs w:val="28"/>
          <w:lang w:val="en-US"/>
        </w:rPr>
        <w:t>Dakar, Senegal</w:t>
      </w:r>
      <w:r w:rsidR="0069044B">
        <w:rPr>
          <w:rStyle w:val="fadeinm1hgl8"/>
          <w:b/>
          <w:sz w:val="28"/>
          <w:szCs w:val="28"/>
          <w:lang w:val="en-US"/>
        </w:rPr>
        <w:t xml:space="preserve"> </w:t>
      </w:r>
    </w:p>
    <w:p w14:paraId="6FD34152" w14:textId="77777777" w:rsidR="00497A55" w:rsidRPr="00266485" w:rsidRDefault="00497A55" w:rsidP="00C51B0E">
      <w:pPr>
        <w:pStyle w:val="NormalWeb"/>
        <w:spacing w:before="0" w:beforeAutospacing="0" w:after="0" w:afterAutospacing="0" w:line="480" w:lineRule="auto"/>
        <w:jc w:val="center"/>
        <w:rPr>
          <w:rStyle w:val="fadeinm1hgl8"/>
          <w:b/>
          <w:sz w:val="28"/>
          <w:szCs w:val="28"/>
          <w:lang w:val="en-US"/>
        </w:rPr>
      </w:pPr>
    </w:p>
    <w:p w14:paraId="476597FE" w14:textId="77777777" w:rsidR="00C9541E" w:rsidRPr="00A83A42" w:rsidRDefault="00C9541E" w:rsidP="00C51B0E">
      <w:pPr>
        <w:spacing w:line="480" w:lineRule="auto"/>
        <w:rPr>
          <w:rFonts w:ascii="Times New Roman" w:hAnsi="Times New Roman" w:cs="Times New Roman"/>
          <w:sz w:val="22"/>
          <w:szCs w:val="22"/>
          <w:lang w:val="en-US"/>
        </w:rPr>
      </w:pPr>
    </w:p>
    <w:p w14:paraId="7DD3262A" w14:textId="77777777" w:rsidR="002359C6" w:rsidRPr="00D74D8D" w:rsidRDefault="002359C6" w:rsidP="00D74D8D">
      <w:pPr>
        <w:autoSpaceDE w:val="0"/>
        <w:autoSpaceDN w:val="0"/>
        <w:adjustRightInd w:val="0"/>
        <w:spacing w:after="280" w:line="480" w:lineRule="auto"/>
        <w:ind w:left="0" w:firstLine="0"/>
        <w:rPr>
          <w:rFonts w:ascii="Times New Roman" w:hAnsi="Times New Roman" w:cs="Times New Roman"/>
          <w:b/>
          <w:bCs/>
          <w:lang w:val="en-US"/>
        </w:rPr>
      </w:pPr>
      <w:r w:rsidRPr="00D74D8D">
        <w:rPr>
          <w:rFonts w:ascii="Times New Roman" w:hAnsi="Times New Roman" w:cs="Times New Roman"/>
          <w:b/>
          <w:bCs/>
          <w:lang w:val="en-US"/>
        </w:rPr>
        <w:t>ABSTRACT</w:t>
      </w:r>
    </w:p>
    <w:p w14:paraId="286C0515" w14:textId="77777777" w:rsidR="002359C6" w:rsidRPr="00D74D8D" w:rsidRDefault="002359C6" w:rsidP="00D74D8D">
      <w:pPr>
        <w:autoSpaceDE w:val="0"/>
        <w:autoSpaceDN w:val="0"/>
        <w:adjustRightInd w:val="0"/>
        <w:spacing w:after="240" w:line="480" w:lineRule="auto"/>
        <w:ind w:left="0" w:firstLine="0"/>
        <w:rPr>
          <w:rFonts w:ascii="Times New Roman" w:hAnsi="Times New Roman" w:cs="Times New Roman"/>
          <w:lang w:val="en-US"/>
        </w:rPr>
      </w:pPr>
      <w:r w:rsidRPr="00D74D8D">
        <w:rPr>
          <w:rFonts w:ascii="Times New Roman" w:hAnsi="Times New Roman" w:cs="Times New Roman"/>
          <w:b/>
          <w:bCs/>
          <w:lang w:val="en-US"/>
        </w:rPr>
        <w:t>Background:</w:t>
      </w:r>
      <w:r w:rsidRPr="00D74D8D">
        <w:rPr>
          <w:rFonts w:ascii="Times New Roman" w:hAnsi="Times New Roman" w:cs="Times New Roman"/>
          <w:lang w:val="en-US"/>
        </w:rPr>
        <w:t xml:space="preserve"> This study examines the contamination of </w:t>
      </w:r>
      <w:r w:rsidRPr="00D74D8D">
        <w:rPr>
          <w:rFonts w:ascii="Times New Roman" w:hAnsi="Times New Roman" w:cs="Times New Roman"/>
          <w:i/>
          <w:iCs/>
          <w:lang w:val="en-US"/>
        </w:rPr>
        <w:t>Sarotherodon melanotheron</w:t>
      </w:r>
      <w:r w:rsidRPr="00D74D8D">
        <w:rPr>
          <w:rFonts w:ascii="Times New Roman" w:hAnsi="Times New Roman" w:cs="Times New Roman"/>
          <w:lang w:val="en-US"/>
        </w:rPr>
        <w:t xml:space="preserve"> (tilapia) by trace metal elements, cadmium (Cd), mercury (Hg), and lead (Pb), in the Grande Niaye de Pikine Urban Nature Reserve and its Dependencies (RNUGNPD), a highly anthropized urban aquatic ecosystem in Dakar, Senegal.</w:t>
      </w:r>
    </w:p>
    <w:p w14:paraId="530BB8CA" w14:textId="77777777" w:rsidR="002359C6" w:rsidRPr="00D74D8D" w:rsidRDefault="002359C6" w:rsidP="00D74D8D">
      <w:pPr>
        <w:autoSpaceDE w:val="0"/>
        <w:autoSpaceDN w:val="0"/>
        <w:adjustRightInd w:val="0"/>
        <w:spacing w:after="240" w:line="480" w:lineRule="auto"/>
        <w:ind w:left="0" w:firstLine="0"/>
        <w:rPr>
          <w:rFonts w:ascii="Times New Roman" w:hAnsi="Times New Roman" w:cs="Times New Roman"/>
          <w:lang w:val="en-US"/>
        </w:rPr>
      </w:pPr>
      <w:r w:rsidRPr="00D74D8D">
        <w:rPr>
          <w:rFonts w:ascii="Times New Roman" w:hAnsi="Times New Roman" w:cs="Times New Roman"/>
          <w:b/>
          <w:bCs/>
          <w:lang w:val="en-US"/>
        </w:rPr>
        <w:t>Objectives:</w:t>
      </w:r>
      <w:r w:rsidRPr="00D74D8D">
        <w:rPr>
          <w:rFonts w:ascii="Times New Roman" w:hAnsi="Times New Roman" w:cs="Times New Roman"/>
          <w:lang w:val="en-US"/>
        </w:rPr>
        <w:t xml:space="preserve"> The primary aim is to quantify heavy metal concentrations in tilapia tissue and to assess the toxicological risks posed to human health through their consumption.</w:t>
      </w:r>
    </w:p>
    <w:p w14:paraId="03BD0623" w14:textId="77777777" w:rsidR="002359C6" w:rsidRPr="00D74D8D" w:rsidRDefault="002359C6" w:rsidP="00D74D8D">
      <w:pPr>
        <w:autoSpaceDE w:val="0"/>
        <w:autoSpaceDN w:val="0"/>
        <w:adjustRightInd w:val="0"/>
        <w:spacing w:after="240" w:line="480" w:lineRule="auto"/>
        <w:ind w:left="0" w:firstLine="0"/>
        <w:rPr>
          <w:rFonts w:ascii="Times New Roman" w:hAnsi="Times New Roman" w:cs="Times New Roman"/>
          <w:lang w:val="en-US"/>
        </w:rPr>
      </w:pPr>
      <w:r w:rsidRPr="00D74D8D">
        <w:rPr>
          <w:rFonts w:ascii="Times New Roman" w:hAnsi="Times New Roman" w:cs="Times New Roman"/>
          <w:b/>
          <w:bCs/>
          <w:lang w:val="en-US"/>
        </w:rPr>
        <w:t>Methods:</w:t>
      </w:r>
      <w:r w:rsidRPr="00D74D8D">
        <w:rPr>
          <w:rFonts w:ascii="Times New Roman" w:hAnsi="Times New Roman" w:cs="Times New Roman"/>
          <w:lang w:val="en-US"/>
        </w:rPr>
        <w:t xml:space="preserve"> Fish samples were collected during the dry and rainy seasons of 2021 and 2022. Concentrations of Cd, Hg, and Pb in muscle tissue were determined using atomic absorption spectrometry. The Metal Pollution Index (MPI) was used to evaluate the overall level of contamination, while the Target Hazard Quotient (THQ) was calculated to assess potential health risks for adult and child consumers.</w:t>
      </w:r>
    </w:p>
    <w:p w14:paraId="05A11DA6" w14:textId="77777777" w:rsidR="002359C6" w:rsidRPr="00D74D8D" w:rsidRDefault="002359C6" w:rsidP="00D74D8D">
      <w:pPr>
        <w:autoSpaceDE w:val="0"/>
        <w:autoSpaceDN w:val="0"/>
        <w:adjustRightInd w:val="0"/>
        <w:spacing w:after="240" w:line="480" w:lineRule="auto"/>
        <w:ind w:left="0" w:firstLine="0"/>
        <w:rPr>
          <w:rFonts w:ascii="Times New Roman" w:hAnsi="Times New Roman" w:cs="Times New Roman"/>
          <w:lang w:val="en-US"/>
        </w:rPr>
      </w:pPr>
      <w:r w:rsidRPr="00D74D8D">
        <w:rPr>
          <w:rFonts w:ascii="Times New Roman" w:hAnsi="Times New Roman" w:cs="Times New Roman"/>
          <w:b/>
          <w:bCs/>
          <w:lang w:val="en-US"/>
        </w:rPr>
        <w:t>Results:</w:t>
      </w:r>
      <w:r w:rsidRPr="00D74D8D">
        <w:rPr>
          <w:rFonts w:ascii="Times New Roman" w:hAnsi="Times New Roman" w:cs="Times New Roman"/>
          <w:lang w:val="en-US"/>
        </w:rPr>
        <w:t xml:space="preserve"> Heavy metal concentrations were particularly elevated during the rainy season, often exceeding international safety limits set by the FAO/WHO. MPI values indicated significant seasonal and interannual variation, with 2021 showing the highest levels of contamination. THQ values for Cd and Hg exceeded 1, especially in children, indicating a substantial non-carcinogenic health risk.</w:t>
      </w:r>
    </w:p>
    <w:p w14:paraId="10FB0DDF" w14:textId="77777777" w:rsidR="008E407A" w:rsidRPr="00D74D8D" w:rsidRDefault="002359C6" w:rsidP="00D74D8D">
      <w:pPr>
        <w:autoSpaceDE w:val="0"/>
        <w:autoSpaceDN w:val="0"/>
        <w:adjustRightInd w:val="0"/>
        <w:spacing w:after="240" w:line="480" w:lineRule="auto"/>
        <w:ind w:left="0" w:firstLine="0"/>
        <w:rPr>
          <w:rStyle w:val="fadeinm1hgl8"/>
          <w:rFonts w:ascii="Times New Roman" w:hAnsi="Times New Roman" w:cs="Times New Roman"/>
          <w:lang w:val="en-US"/>
        </w:rPr>
      </w:pPr>
      <w:r w:rsidRPr="00D74D8D">
        <w:rPr>
          <w:rFonts w:ascii="Times New Roman" w:hAnsi="Times New Roman" w:cs="Times New Roman"/>
          <w:b/>
          <w:bCs/>
          <w:lang w:val="en-US"/>
        </w:rPr>
        <w:lastRenderedPageBreak/>
        <w:t>Conclusion:</w:t>
      </w:r>
      <w:r w:rsidRPr="00D74D8D">
        <w:rPr>
          <w:rFonts w:ascii="Times New Roman" w:hAnsi="Times New Roman" w:cs="Times New Roman"/>
          <w:lang w:val="en-US"/>
        </w:rPr>
        <w:t xml:space="preserve"> These findings underscore a serious environmental and public health concern. Urgent intervention is needed to mitigate metal pollution through stricter regulation of industrial and domestic effluents, improved wastewater treatment infrastructure, and community education regarding the risks of consuming contaminated fish.</w:t>
      </w:r>
    </w:p>
    <w:p w14:paraId="37B97DAA" w14:textId="77777777" w:rsidR="008E407A" w:rsidRPr="00D74D8D" w:rsidRDefault="008E407A" w:rsidP="00D74D8D">
      <w:pPr>
        <w:pStyle w:val="NormalWeb"/>
        <w:spacing w:before="0" w:beforeAutospacing="0" w:after="0" w:afterAutospacing="0" w:line="480" w:lineRule="auto"/>
        <w:jc w:val="both"/>
        <w:rPr>
          <w:rStyle w:val="fadeinm1hgl8"/>
          <w:lang w:val="en-US"/>
        </w:rPr>
      </w:pPr>
      <w:r w:rsidRPr="00D74D8D">
        <w:rPr>
          <w:rStyle w:val="fadeinm1hgl8"/>
          <w:b/>
          <w:lang w:val="en-US"/>
        </w:rPr>
        <w:t>Keywords:</w:t>
      </w:r>
      <w:r w:rsidRPr="00D74D8D">
        <w:rPr>
          <w:rStyle w:val="fadeinm1hgl8"/>
          <w:lang w:val="en-US"/>
        </w:rPr>
        <w:t xml:space="preserve"> </w:t>
      </w:r>
      <w:r w:rsidR="002359C6" w:rsidRPr="00D74D8D">
        <w:rPr>
          <w:rStyle w:val="fadeinm1hgl8"/>
          <w:lang w:val="en-US"/>
        </w:rPr>
        <w:t xml:space="preserve">Bioaccumulation, </w:t>
      </w:r>
      <w:r w:rsidRPr="00D74D8D">
        <w:rPr>
          <w:rStyle w:val="fadeinm1hgl8"/>
          <w:lang w:val="en-US"/>
        </w:rPr>
        <w:t>Ecosystem pollution, Public health, Toxicological assessment, Food safety risks, Nature reserve.</w:t>
      </w:r>
    </w:p>
    <w:p w14:paraId="6216B327" w14:textId="77777777" w:rsidR="008E407A" w:rsidRPr="00D74D8D" w:rsidRDefault="008E407A" w:rsidP="00D74D8D">
      <w:pPr>
        <w:pStyle w:val="ListParagraph"/>
        <w:spacing w:line="480" w:lineRule="auto"/>
        <w:ind w:firstLine="0"/>
        <w:rPr>
          <w:rFonts w:ascii="Times New Roman" w:hAnsi="Times New Roman" w:cs="Times New Roman"/>
          <w:b/>
          <w:bCs/>
          <w:lang w:val="en-US"/>
        </w:rPr>
        <w:sectPr w:rsidR="008E407A" w:rsidRPr="00D74D8D" w:rsidSect="00A56412">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docGrid w:linePitch="360"/>
        </w:sectPr>
      </w:pPr>
    </w:p>
    <w:p w14:paraId="1BE3DB8D" w14:textId="77777777" w:rsidR="00D33F3B" w:rsidRPr="00D74D8D" w:rsidRDefault="00D439F3" w:rsidP="00C51B0E">
      <w:pPr>
        <w:pStyle w:val="ListParagraph"/>
        <w:numPr>
          <w:ilvl w:val="0"/>
          <w:numId w:val="3"/>
        </w:numPr>
        <w:spacing w:line="480" w:lineRule="auto"/>
        <w:rPr>
          <w:rFonts w:ascii="Times New Roman" w:hAnsi="Times New Roman" w:cs="Times New Roman"/>
          <w:b/>
        </w:rPr>
      </w:pPr>
      <w:r w:rsidRPr="00D74D8D">
        <w:rPr>
          <w:rFonts w:ascii="Times New Roman" w:hAnsi="Times New Roman" w:cs="Times New Roman"/>
          <w:b/>
        </w:rPr>
        <w:lastRenderedPageBreak/>
        <w:t xml:space="preserve">INTRODUCTION </w:t>
      </w:r>
    </w:p>
    <w:p w14:paraId="0F6A77C8" w14:textId="68C63D52" w:rsidR="00D33F3B" w:rsidRPr="00D74D8D" w:rsidRDefault="00D33F3B" w:rsidP="00C51B0E">
      <w:pPr>
        <w:pStyle w:val="NormalWeb"/>
        <w:spacing w:line="480" w:lineRule="auto"/>
        <w:jc w:val="both"/>
        <w:rPr>
          <w:lang w:val="en-US"/>
        </w:rPr>
      </w:pPr>
      <w:r w:rsidRPr="00D74D8D">
        <w:rPr>
          <w:rStyle w:val="fadeinm1hgl8"/>
          <w:lang w:val="en-US"/>
        </w:rPr>
        <w:t>Since the 19th century, human activities have significantly increased the presence of chemical pollutants in the environment, particularly through industrialization, intensive agriculture, metallurgy, and the expansion of transportation networks (</w:t>
      </w:r>
      <w:r w:rsidR="00846AA8" w:rsidRPr="0017031F">
        <w:rPr>
          <w:lang w:val="en-US"/>
        </w:rPr>
        <w:t>Saxena</w:t>
      </w:r>
      <w:r w:rsidRPr="00D74D8D">
        <w:rPr>
          <w:rStyle w:val="fadeinm1hgl8"/>
          <w:lang w:val="en-US"/>
        </w:rPr>
        <w:t xml:space="preserve"> et al., 2018; UNEP, 2021). Among these pollutants, heavy metals or trace metal elements (TMEs) such as cadmium (Cd), mercury (Hg), and lead (Pb) are of growing concern due to their high toxicity, persistence in natural environments, and bioaccumulation within aquatic food chains (Järup, 2003).</w:t>
      </w:r>
    </w:p>
    <w:p w14:paraId="0281F90B" w14:textId="6EDF58A8" w:rsidR="00D33F3B" w:rsidRPr="00D74D8D" w:rsidRDefault="00D33F3B" w:rsidP="00C51B0E">
      <w:pPr>
        <w:pStyle w:val="NormalWeb"/>
        <w:spacing w:line="480" w:lineRule="auto"/>
        <w:jc w:val="both"/>
        <w:rPr>
          <w:lang w:val="en-US"/>
        </w:rPr>
      </w:pPr>
      <w:r w:rsidRPr="00D74D8D">
        <w:rPr>
          <w:rStyle w:val="fadeinm1hgl8"/>
          <w:lang w:val="en-US"/>
        </w:rPr>
        <w:t>Environmental contamination by these TMEs primarily results from untreated industrial discharges, urban effluents, and the excessive use of pesticides and mineral fertilizers (FAO &amp; WHO, 20</w:t>
      </w:r>
      <w:r w:rsidR="00146FA0">
        <w:rPr>
          <w:rStyle w:val="fadeinm1hgl8"/>
          <w:lang w:val="en-US"/>
        </w:rPr>
        <w:t>23</w:t>
      </w:r>
      <w:r w:rsidRPr="00D74D8D">
        <w:rPr>
          <w:rStyle w:val="fadeinm1hgl8"/>
          <w:lang w:val="en-US"/>
        </w:rPr>
        <w:t xml:space="preserve">). The health consequences of this pollution are well documented, as exemplified by emblematic environmental disasters, such as Minamata disease linked to mercury exposure in Japan, or Itai-itai disease caused by cadmium in Sweden (Harada, 1995; Tchounwou et al., 2012; </w:t>
      </w:r>
      <w:r w:rsidR="00A061B5" w:rsidRPr="00A061B5">
        <w:rPr>
          <w:lang w:val="en-US"/>
        </w:rPr>
        <w:t>Aoshima et al.,</w:t>
      </w:r>
      <w:r w:rsidR="00A061B5">
        <w:rPr>
          <w:lang w:val="en-US"/>
        </w:rPr>
        <w:t xml:space="preserve"> 2019</w:t>
      </w:r>
      <w:r w:rsidRPr="00D74D8D">
        <w:rPr>
          <w:rStyle w:val="fadeinm1hgl8"/>
          <w:lang w:val="en-US"/>
        </w:rPr>
        <w:t>).</w:t>
      </w:r>
    </w:p>
    <w:p w14:paraId="4F3BD61D" w14:textId="040CCD75" w:rsidR="00D33F3B" w:rsidRPr="00D74D8D" w:rsidRDefault="00D33F3B" w:rsidP="00C51B0E">
      <w:pPr>
        <w:pStyle w:val="NormalWeb"/>
        <w:spacing w:line="480" w:lineRule="auto"/>
        <w:jc w:val="both"/>
        <w:rPr>
          <w:lang w:val="en-US"/>
        </w:rPr>
      </w:pPr>
      <w:r w:rsidRPr="00D74D8D">
        <w:rPr>
          <w:rStyle w:val="fadeinm1hgl8"/>
          <w:lang w:val="en-US"/>
        </w:rPr>
        <w:t>Although industrialized countries have historically been the most affected, developing countries</w:t>
      </w:r>
      <w:r w:rsidR="00C51B0E" w:rsidRPr="00D74D8D">
        <w:rPr>
          <w:rStyle w:val="fadeinm1hgl8"/>
          <w:lang w:val="en-US"/>
        </w:rPr>
        <w:t xml:space="preserve"> </w:t>
      </w:r>
      <w:r w:rsidRPr="00D74D8D">
        <w:rPr>
          <w:rStyle w:val="fadeinm1hgl8"/>
          <w:lang w:val="en-US"/>
        </w:rPr>
        <w:t>particularly those in sub-Saharan Africa, such as Senegal</w:t>
      </w:r>
      <w:r w:rsidR="00C51B0E" w:rsidRPr="00D74D8D">
        <w:rPr>
          <w:rStyle w:val="fadeinm1hgl8"/>
          <w:lang w:val="en-US"/>
        </w:rPr>
        <w:t xml:space="preserve"> </w:t>
      </w:r>
      <w:r w:rsidRPr="00D74D8D">
        <w:rPr>
          <w:rStyle w:val="fadeinm1hgl8"/>
          <w:lang w:val="en-US"/>
        </w:rPr>
        <w:t>are now at the forefront of this issue, due to rapid urbanization, inadequate waste management infrastructure, and still limited environmental regulation (</w:t>
      </w:r>
      <w:r w:rsidR="00B43A19">
        <w:rPr>
          <w:rStyle w:val="fadeinm1hgl8"/>
          <w:lang w:val="en-US"/>
        </w:rPr>
        <w:t>Omisore</w:t>
      </w:r>
      <w:r w:rsidR="006515F9">
        <w:rPr>
          <w:rStyle w:val="fadeinm1hgl8"/>
          <w:lang w:val="en-US"/>
        </w:rPr>
        <w:t>, 2018</w:t>
      </w:r>
      <w:r w:rsidRPr="00D74D8D">
        <w:rPr>
          <w:rStyle w:val="fadeinm1hgl8"/>
          <w:lang w:val="en-US"/>
        </w:rPr>
        <w:t>; UNEP, 2022).</w:t>
      </w:r>
    </w:p>
    <w:p w14:paraId="4591FC71" w14:textId="5272BC22" w:rsidR="00D33F3B" w:rsidRPr="00D74D8D" w:rsidRDefault="00D33F3B" w:rsidP="00C51B0E">
      <w:pPr>
        <w:pStyle w:val="NormalWeb"/>
        <w:spacing w:line="480" w:lineRule="auto"/>
        <w:jc w:val="both"/>
        <w:rPr>
          <w:lang w:val="en-US"/>
        </w:rPr>
      </w:pPr>
      <w:r w:rsidRPr="00D74D8D">
        <w:rPr>
          <w:rStyle w:val="fadeinm1hgl8"/>
          <w:lang w:val="en-US"/>
        </w:rPr>
        <w:t>In Senegal, wetlands such as the Urban Nature Reserve of the Grande Niaye of Pikine and Dependencies (</w:t>
      </w:r>
      <w:bookmarkStart w:id="0" w:name="_Hlk198501445"/>
      <w:r w:rsidR="00C51B0E" w:rsidRPr="00D74D8D">
        <w:rPr>
          <w:rStyle w:val="fadeinm1hgl8"/>
          <w:lang w:val="en-US"/>
        </w:rPr>
        <w:t>UNRGNPD</w:t>
      </w:r>
      <w:bookmarkEnd w:id="0"/>
      <w:r w:rsidRPr="00D74D8D">
        <w:rPr>
          <w:rStyle w:val="fadeinm1hgl8"/>
          <w:lang w:val="en-US"/>
        </w:rPr>
        <w:t>) play a crucial ecological role while supporting vital socio-economic activities. However, they are increasingly threatened by pollution, particularly from domestic, agricultural, and industrial discharges (</w:t>
      </w:r>
      <w:r w:rsidR="003614E0">
        <w:rPr>
          <w:rStyle w:val="fadeinm1hgl8"/>
          <w:lang w:val="en-US"/>
        </w:rPr>
        <w:t xml:space="preserve">Berger, </w:t>
      </w:r>
      <w:r w:rsidR="00636F89">
        <w:rPr>
          <w:rStyle w:val="fadeinm1hgl8"/>
          <w:lang w:val="en-US"/>
        </w:rPr>
        <w:t>2022</w:t>
      </w:r>
      <w:r w:rsidRPr="00D74D8D">
        <w:rPr>
          <w:rStyle w:val="fadeinm1hgl8"/>
          <w:lang w:val="en-US"/>
        </w:rPr>
        <w:t>). The black tilapia (</w:t>
      </w:r>
      <w:r w:rsidRPr="00D74D8D">
        <w:rPr>
          <w:rStyle w:val="fadeinm1hgl8"/>
          <w:i/>
          <w:iCs/>
          <w:lang w:val="en-US"/>
        </w:rPr>
        <w:t>Sarotherodon melanotheron</w:t>
      </w:r>
      <w:r w:rsidRPr="00D74D8D">
        <w:rPr>
          <w:rStyle w:val="fadeinm1hgl8"/>
          <w:lang w:val="en-US"/>
        </w:rPr>
        <w:t xml:space="preserve">), a key species in these ecosystems, is particularly vulnerable to </w:t>
      </w:r>
      <w:r w:rsidRPr="00D74D8D">
        <w:rPr>
          <w:rStyle w:val="fadeinm1hgl8"/>
          <w:lang w:val="en-US"/>
        </w:rPr>
        <w:lastRenderedPageBreak/>
        <w:t>such contamination, raising public health concerns, especially given its importance as a food resource for part of the local population.</w:t>
      </w:r>
    </w:p>
    <w:p w14:paraId="0C8E46BB" w14:textId="56EFA288" w:rsidR="00D33F3B" w:rsidRPr="00C51B0E" w:rsidRDefault="00D33F3B" w:rsidP="00C51B0E">
      <w:pPr>
        <w:pStyle w:val="NormalWeb"/>
        <w:spacing w:line="480" w:lineRule="auto"/>
        <w:jc w:val="both"/>
        <w:rPr>
          <w:rStyle w:val="fadeinm1hgl8"/>
          <w:sz w:val="22"/>
          <w:szCs w:val="22"/>
          <w:lang w:val="en-US"/>
        </w:rPr>
      </w:pPr>
      <w:r w:rsidRPr="00D74D8D">
        <w:rPr>
          <w:rStyle w:val="fadeinm1hgl8"/>
          <w:lang w:val="en-US"/>
        </w:rPr>
        <w:t xml:space="preserve">Although some studies have reported the presence of heavy metals in this wetland, no systematic investigation has yet examined the seasonal and interannual dynamics of their accumulation in aquatic organisms. This study therefore aims to assess the bioaccumulation of Hg, Pb, and Cd in </w:t>
      </w:r>
      <w:r w:rsidRPr="00D74D8D">
        <w:rPr>
          <w:rStyle w:val="fadeinm1hgl8"/>
          <w:i/>
          <w:iCs/>
          <w:lang w:val="en-US"/>
        </w:rPr>
        <w:t>Sarotherodon melanotheron</w:t>
      </w:r>
      <w:r w:rsidRPr="00D74D8D">
        <w:rPr>
          <w:rStyle w:val="fadeinm1hgl8"/>
          <w:lang w:val="en-US"/>
        </w:rPr>
        <w:t xml:space="preserve"> over a four-year period, in order to determine contamination levels, estimate toxicological risks for human consumers, and propose recommendations for the sustainable management of the</w:t>
      </w:r>
      <w:r w:rsidRPr="00C51B0E">
        <w:rPr>
          <w:rStyle w:val="fadeinm1hgl8"/>
          <w:sz w:val="22"/>
          <w:szCs w:val="22"/>
          <w:lang w:val="en-US"/>
        </w:rPr>
        <w:t xml:space="preserve"> </w:t>
      </w:r>
      <w:r w:rsidR="00C51B0E">
        <w:rPr>
          <w:rStyle w:val="fadeinm1hgl8"/>
          <w:sz w:val="22"/>
          <w:szCs w:val="22"/>
          <w:lang w:val="en-US"/>
        </w:rPr>
        <w:t>UNRGNPD</w:t>
      </w:r>
      <w:r w:rsidRPr="00C51B0E">
        <w:rPr>
          <w:rStyle w:val="fadeinm1hgl8"/>
          <w:sz w:val="22"/>
          <w:szCs w:val="22"/>
          <w:lang w:val="en-US"/>
        </w:rPr>
        <w:t>.</w:t>
      </w:r>
    </w:p>
    <w:p w14:paraId="493C38F1" w14:textId="77777777" w:rsidR="00D439F3" w:rsidRPr="00C51B0E" w:rsidRDefault="00D439F3" w:rsidP="00C51B0E">
      <w:pPr>
        <w:spacing w:before="100" w:beforeAutospacing="1" w:after="100" w:afterAutospacing="1" w:line="480" w:lineRule="auto"/>
        <w:ind w:left="0" w:firstLine="0"/>
        <w:jc w:val="left"/>
        <w:outlineLvl w:val="2"/>
        <w:rPr>
          <w:rFonts w:ascii="Times New Roman" w:eastAsia="Times New Roman" w:hAnsi="Times New Roman" w:cs="Times New Roman"/>
          <w:b/>
          <w:bCs/>
          <w:color w:val="000000"/>
          <w:sz w:val="22"/>
          <w:szCs w:val="22"/>
          <w:lang w:val="en-US" w:eastAsia="fr-FR"/>
        </w:rPr>
        <w:sectPr w:rsidR="00D439F3" w:rsidRPr="00C51B0E" w:rsidSect="00DE6354">
          <w:headerReference w:type="even" r:id="rId14"/>
          <w:headerReference w:type="default" r:id="rId15"/>
          <w:footerReference w:type="default" r:id="rId16"/>
          <w:headerReference w:type="first" r:id="rId17"/>
          <w:pgSz w:w="11900" w:h="16840"/>
          <w:pgMar w:top="1417" w:right="1417" w:bottom="1417" w:left="1417" w:header="708" w:footer="708" w:gutter="0"/>
          <w:pgNumType w:start="1"/>
          <w:cols w:space="708"/>
          <w:docGrid w:linePitch="360"/>
        </w:sectPr>
      </w:pPr>
    </w:p>
    <w:p w14:paraId="26615A8E" w14:textId="77777777" w:rsidR="00D33F3B" w:rsidRPr="00D74D8D" w:rsidRDefault="00D33F3B" w:rsidP="00C51B0E">
      <w:pPr>
        <w:pStyle w:val="ListParagraph"/>
        <w:numPr>
          <w:ilvl w:val="0"/>
          <w:numId w:val="3"/>
        </w:numPr>
        <w:spacing w:line="480" w:lineRule="auto"/>
        <w:rPr>
          <w:rFonts w:ascii="Times New Roman" w:hAnsi="Times New Roman" w:cs="Times New Roman"/>
          <w:b/>
        </w:rPr>
      </w:pPr>
      <w:r w:rsidRPr="00D74D8D">
        <w:rPr>
          <w:rFonts w:ascii="Times New Roman" w:hAnsi="Times New Roman" w:cs="Times New Roman"/>
          <w:b/>
        </w:rPr>
        <w:lastRenderedPageBreak/>
        <w:t>MATERIALS AND METHODS</w:t>
      </w:r>
    </w:p>
    <w:p w14:paraId="7FDBCDBA" w14:textId="77777777" w:rsidR="00D33F3B" w:rsidRPr="00D74D8D" w:rsidRDefault="00D33F3B" w:rsidP="00C51B0E">
      <w:pPr>
        <w:spacing w:before="100" w:beforeAutospacing="1" w:after="100" w:afterAutospacing="1" w:line="480" w:lineRule="auto"/>
        <w:ind w:left="0" w:firstLine="0"/>
        <w:jc w:val="left"/>
        <w:rPr>
          <w:rFonts w:ascii="Times New Roman" w:eastAsia="Times New Roman" w:hAnsi="Times New Roman" w:cs="Times New Roman"/>
          <w:color w:val="000000"/>
          <w:lang w:val="en-US" w:eastAsia="fr-FR"/>
        </w:rPr>
      </w:pPr>
      <w:r w:rsidRPr="00D74D8D">
        <w:rPr>
          <w:rFonts w:ascii="Times New Roman" w:eastAsia="Times New Roman" w:hAnsi="Times New Roman" w:cs="Times New Roman"/>
          <w:b/>
          <w:bCs/>
          <w:color w:val="000000"/>
          <w:lang w:val="en-US" w:eastAsia="fr-FR"/>
        </w:rPr>
        <w:t xml:space="preserve">2.1. Study </w:t>
      </w:r>
      <w:r w:rsidR="008E407A" w:rsidRPr="00D74D8D">
        <w:rPr>
          <w:rFonts w:ascii="Times New Roman" w:eastAsia="Times New Roman" w:hAnsi="Times New Roman" w:cs="Times New Roman"/>
          <w:b/>
          <w:bCs/>
          <w:color w:val="000000"/>
          <w:lang w:val="en-US" w:eastAsia="fr-FR"/>
        </w:rPr>
        <w:t>a</w:t>
      </w:r>
      <w:r w:rsidRPr="00D74D8D">
        <w:rPr>
          <w:rFonts w:ascii="Times New Roman" w:eastAsia="Times New Roman" w:hAnsi="Times New Roman" w:cs="Times New Roman"/>
          <w:b/>
          <w:bCs/>
          <w:color w:val="000000"/>
          <w:lang w:val="en-US" w:eastAsia="fr-FR"/>
        </w:rPr>
        <w:t xml:space="preserve">rea </w:t>
      </w:r>
      <w:r w:rsidR="008E407A" w:rsidRPr="00D74D8D">
        <w:rPr>
          <w:rFonts w:ascii="Times New Roman" w:eastAsia="Times New Roman" w:hAnsi="Times New Roman" w:cs="Times New Roman"/>
          <w:b/>
          <w:bCs/>
          <w:color w:val="000000"/>
          <w:lang w:val="en-US" w:eastAsia="fr-FR"/>
        </w:rPr>
        <w:t>d</w:t>
      </w:r>
      <w:r w:rsidRPr="00D74D8D">
        <w:rPr>
          <w:rFonts w:ascii="Times New Roman" w:eastAsia="Times New Roman" w:hAnsi="Times New Roman" w:cs="Times New Roman"/>
          <w:b/>
          <w:bCs/>
          <w:color w:val="000000"/>
          <w:lang w:val="en-US" w:eastAsia="fr-FR"/>
        </w:rPr>
        <w:t>escription</w:t>
      </w:r>
    </w:p>
    <w:p w14:paraId="2E70581A" w14:textId="4D727D9D" w:rsidR="00D33F3B" w:rsidRPr="00D74D8D" w:rsidRDefault="00D33F3B" w:rsidP="00C51B0E">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D74D8D">
        <w:rPr>
          <w:rFonts w:ascii="Times New Roman" w:eastAsia="Times New Roman" w:hAnsi="Times New Roman" w:cs="Times New Roman"/>
          <w:color w:val="000000"/>
          <w:lang w:val="en-US" w:eastAsia="fr-FR"/>
        </w:rPr>
        <w:t>The study was conducted within the Grande Niaye de Pikine Urban Nature Reserve, specifically in the Technopole area of Dakar, in the Dakar region (Senegal) (see Figure 1). This wetland, with an estimated area of 300 hectares, is one of the last remaining active natural depressions in the Dakar urban agglomeration (</w:t>
      </w:r>
      <w:r w:rsidR="00A83A42" w:rsidRPr="00A83A42">
        <w:rPr>
          <w:rFonts w:ascii="Times New Roman" w:eastAsia="Times New Roman" w:hAnsi="Times New Roman" w:cs="Times New Roman"/>
          <w:color w:val="000000"/>
          <w:lang w:val="en-US" w:eastAsia="fr-FR"/>
        </w:rPr>
        <w:t>République du Sénégal, 2019</w:t>
      </w:r>
      <w:r w:rsidRPr="00D74D8D">
        <w:rPr>
          <w:rFonts w:ascii="Times New Roman" w:eastAsia="Times New Roman" w:hAnsi="Times New Roman" w:cs="Times New Roman"/>
          <w:color w:val="000000"/>
          <w:lang w:val="en-US" w:eastAsia="fr-FR"/>
        </w:rPr>
        <w:t>). It is characterized by the coexistence of permanent and temporary water bodies, halophytic vegetation, and peripheral market gardening zones. The main water body is fed by a combination of sources, including runoff, urban discharges, and shallow groundwater. However, the site is under increasing anthropogenic pressure due to rapid urbanization, uncontrolled solid waste dumping, untreated wastewater discharges, and intensive agricultural practices (</w:t>
      </w:r>
      <w:r w:rsidR="000F3535">
        <w:rPr>
          <w:rFonts w:ascii="Times New Roman" w:eastAsia="Times New Roman" w:hAnsi="Times New Roman" w:cs="Times New Roman"/>
          <w:color w:val="000000"/>
          <w:lang w:val="en-US" w:eastAsia="fr-FR"/>
        </w:rPr>
        <w:t>Sy et al., 2014</w:t>
      </w:r>
      <w:r w:rsidRPr="00D74D8D">
        <w:rPr>
          <w:rFonts w:ascii="Times New Roman" w:eastAsia="Times New Roman" w:hAnsi="Times New Roman" w:cs="Times New Roman"/>
          <w:color w:val="000000"/>
          <w:lang w:val="en-US" w:eastAsia="fr-FR"/>
        </w:rPr>
        <w:t>). These activities result in chronic and diffuse pollution, promoting the accumulation of contaminants such as heavy metals and pesticide residues in aquatic organisms (</w:t>
      </w:r>
      <w:r w:rsidR="00C06A96" w:rsidRPr="00C452F8">
        <w:rPr>
          <w:rFonts w:ascii="Times New Roman" w:eastAsia="Times New Roman" w:hAnsi="Times New Roman" w:cs="Times New Roman"/>
          <w:color w:val="000000"/>
          <w:lang w:val="en-US" w:eastAsia="fr-FR"/>
        </w:rPr>
        <w:t>Chakraborty, 2023</w:t>
      </w:r>
      <w:r w:rsidRPr="00D74D8D">
        <w:rPr>
          <w:rFonts w:ascii="Times New Roman" w:eastAsia="Times New Roman" w:hAnsi="Times New Roman" w:cs="Times New Roman"/>
          <w:color w:val="000000"/>
          <w:lang w:val="en-US" w:eastAsia="fr-FR"/>
        </w:rPr>
        <w:t>). Despite these threats, the Technopole remains an active artisanal fishing site, particularly targeting Sarotherodon melanotheron, a euryhaline species frequently used as a bioindicator of aquatic ecosystem quality in West Africa (</w:t>
      </w:r>
      <w:r w:rsidR="00483227" w:rsidRPr="00483227">
        <w:rPr>
          <w:rFonts w:ascii="Times New Roman" w:eastAsia="Times New Roman" w:hAnsi="Times New Roman" w:cs="Times New Roman"/>
          <w:color w:val="000000"/>
          <w:lang w:val="en-US" w:eastAsia="fr-FR"/>
        </w:rPr>
        <w:t>Usese, Kuton, &amp; Chukwu, 2018</w:t>
      </w:r>
      <w:r w:rsidRPr="00D74D8D">
        <w:rPr>
          <w:rFonts w:ascii="Times New Roman" w:eastAsia="Times New Roman" w:hAnsi="Times New Roman" w:cs="Times New Roman"/>
          <w:color w:val="000000"/>
          <w:lang w:val="en-US" w:eastAsia="fr-FR"/>
        </w:rPr>
        <w:t>).</w:t>
      </w:r>
    </w:p>
    <w:p w14:paraId="26F096EB" w14:textId="4918BD75" w:rsidR="00D33F3B" w:rsidRPr="00D74D8D" w:rsidRDefault="00BA0979" w:rsidP="00C51B0E">
      <w:pPr>
        <w:spacing w:before="100" w:beforeAutospacing="1" w:after="100" w:afterAutospacing="1" w:line="480" w:lineRule="auto"/>
        <w:ind w:left="0" w:firstLine="0"/>
        <w:jc w:val="center"/>
        <w:rPr>
          <w:rFonts w:ascii="Times New Roman" w:eastAsia="Times New Roman" w:hAnsi="Times New Roman" w:cs="Times New Roman"/>
          <w:color w:val="000000"/>
          <w:lang w:val="en-US" w:eastAsia="fr-FR"/>
        </w:rPr>
      </w:pPr>
      <w:r w:rsidRPr="00D74D8D">
        <w:rPr>
          <w:rFonts w:ascii="Times New Roman" w:hAnsi="Times New Roman" w:cs="Times New Roman"/>
          <w:noProof/>
          <w:lang w:val="en-US"/>
        </w:rPr>
        <w:lastRenderedPageBreak/>
        <w:drawing>
          <wp:inline distT="0" distB="0" distL="0" distR="0" wp14:anchorId="7141C3CB" wp14:editId="197C72CA">
            <wp:extent cx="2569480" cy="3028619"/>
            <wp:effectExtent l="0" t="0" r="2540" b="635"/>
            <wp:docPr id="441381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98149" cy="3062411"/>
                    </a:xfrm>
                    <a:prstGeom prst="rect">
                      <a:avLst/>
                    </a:prstGeom>
                    <a:noFill/>
                    <a:ln>
                      <a:noFill/>
                    </a:ln>
                  </pic:spPr>
                </pic:pic>
              </a:graphicData>
            </a:graphic>
          </wp:inline>
        </w:drawing>
      </w:r>
    </w:p>
    <w:p w14:paraId="6313F60A" w14:textId="77777777" w:rsidR="00A33548" w:rsidRPr="00D74D8D" w:rsidRDefault="00A33548" w:rsidP="00C51B0E">
      <w:pPr>
        <w:spacing w:before="100" w:beforeAutospacing="1" w:after="100" w:afterAutospacing="1" w:line="480" w:lineRule="auto"/>
        <w:ind w:left="0" w:firstLine="0"/>
        <w:jc w:val="center"/>
        <w:outlineLvl w:val="2"/>
        <w:rPr>
          <w:rFonts w:ascii="Times New Roman" w:eastAsia="Times New Roman" w:hAnsi="Times New Roman" w:cs="Times New Roman"/>
          <w:color w:val="000000"/>
          <w:lang w:val="en-US" w:eastAsia="fr-FR"/>
        </w:rPr>
      </w:pPr>
      <w:r w:rsidRPr="00D74D8D">
        <w:rPr>
          <w:rFonts w:ascii="Times New Roman" w:eastAsia="Times New Roman" w:hAnsi="Times New Roman" w:cs="Times New Roman"/>
          <w:color w:val="000000"/>
          <w:lang w:val="en-US" w:eastAsia="fr-FR"/>
        </w:rPr>
        <w:t>Figure 1: Map of the Urban Nature Reserve of the Grande Niaye of Pikine and its Dependencies.</w:t>
      </w:r>
    </w:p>
    <w:p w14:paraId="35C9A96D" w14:textId="380997DE" w:rsidR="00D439F3" w:rsidRPr="00D74D8D" w:rsidRDefault="00D439F3" w:rsidP="00D74D8D">
      <w:pPr>
        <w:spacing w:before="100" w:beforeAutospacing="1" w:after="100" w:afterAutospacing="1" w:line="480" w:lineRule="auto"/>
        <w:ind w:left="0" w:firstLine="0"/>
        <w:outlineLvl w:val="2"/>
        <w:rPr>
          <w:rFonts w:ascii="Times New Roman" w:eastAsia="Times New Roman" w:hAnsi="Times New Roman" w:cs="Times New Roman"/>
          <w:b/>
          <w:bCs/>
          <w:color w:val="000000"/>
          <w:lang w:val="en-US" w:eastAsia="fr-FR"/>
        </w:rPr>
      </w:pPr>
      <w:r w:rsidRPr="00D74D8D">
        <w:rPr>
          <w:rFonts w:ascii="Times New Roman" w:eastAsia="Times New Roman" w:hAnsi="Times New Roman" w:cs="Times New Roman"/>
          <w:b/>
          <w:bCs/>
          <w:color w:val="000000"/>
          <w:lang w:val="en-US" w:eastAsia="fr-FR"/>
        </w:rPr>
        <w:t xml:space="preserve">2.2. Sampling </w:t>
      </w:r>
      <w:r w:rsidR="008E407A" w:rsidRPr="00D74D8D">
        <w:rPr>
          <w:rFonts w:ascii="Times New Roman" w:eastAsia="Times New Roman" w:hAnsi="Times New Roman" w:cs="Times New Roman"/>
          <w:b/>
          <w:bCs/>
          <w:color w:val="000000"/>
          <w:lang w:val="en-US" w:eastAsia="fr-FR"/>
        </w:rPr>
        <w:t>m</w:t>
      </w:r>
      <w:r w:rsidRPr="00D74D8D">
        <w:rPr>
          <w:rFonts w:ascii="Times New Roman" w:eastAsia="Times New Roman" w:hAnsi="Times New Roman" w:cs="Times New Roman"/>
          <w:b/>
          <w:bCs/>
          <w:color w:val="000000"/>
          <w:lang w:val="en-US" w:eastAsia="fr-FR"/>
        </w:rPr>
        <w:t>ethod</w:t>
      </w:r>
    </w:p>
    <w:p w14:paraId="14758082" w14:textId="290BCCD9" w:rsidR="00D439F3" w:rsidRPr="00D74D8D" w:rsidRDefault="00D439F3" w:rsidP="00D74D8D">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D74D8D">
        <w:rPr>
          <w:rFonts w:ascii="Times New Roman" w:eastAsia="Times New Roman" w:hAnsi="Times New Roman" w:cs="Times New Roman"/>
          <w:color w:val="000000"/>
          <w:lang w:val="en-US" w:eastAsia="fr-FR"/>
        </w:rPr>
        <w:t>Six sampling campaigns were carried out between 2021 and 2024, systematically covering the dry and rainy seasons of each year to account for seasonal variability in environmental conditions. The first campaign was conducted during the rainy season of 2021 and the last during the dry season of 2024. Sampling was conducted in collaboration with an experienced local fisherman using a cast net (standard 10 mm mesh), allowing fish to be caught in shallow water areas.</w:t>
      </w:r>
      <w:r w:rsidR="002776F5" w:rsidRPr="00D74D8D">
        <w:rPr>
          <w:rFonts w:ascii="Times New Roman" w:eastAsia="Times New Roman" w:hAnsi="Times New Roman" w:cs="Times New Roman"/>
          <w:color w:val="000000"/>
          <w:lang w:val="en-US" w:eastAsia="fr-FR"/>
        </w:rPr>
        <w:t xml:space="preserve"> </w:t>
      </w:r>
      <w:r w:rsidRPr="00D74D8D">
        <w:rPr>
          <w:rFonts w:ascii="Times New Roman" w:eastAsia="Times New Roman" w:hAnsi="Times New Roman" w:cs="Times New Roman"/>
          <w:color w:val="000000"/>
          <w:lang w:val="en-US" w:eastAsia="fr-FR"/>
        </w:rPr>
        <w:t xml:space="preserve">The study focused on three water bodies within the </w:t>
      </w:r>
      <w:r w:rsidR="00C51B0E" w:rsidRPr="00D74D8D">
        <w:rPr>
          <w:rFonts w:ascii="Times New Roman" w:eastAsia="Times New Roman" w:hAnsi="Times New Roman" w:cs="Times New Roman"/>
          <w:color w:val="000000"/>
          <w:lang w:val="en-US" w:eastAsia="fr-FR"/>
        </w:rPr>
        <w:t>UNRGNPD</w:t>
      </w:r>
      <w:r w:rsidRPr="00D74D8D">
        <w:rPr>
          <w:rFonts w:ascii="Times New Roman" w:eastAsia="Times New Roman" w:hAnsi="Times New Roman" w:cs="Times New Roman"/>
          <w:color w:val="000000"/>
          <w:lang w:val="en-US" w:eastAsia="fr-FR"/>
        </w:rPr>
        <w:t>: Grand Lac, Lake Kakhira, and Lake Ethiopia. Other initially identified water bodies were excluded due to the absence of captured individuals during the first campaign.</w:t>
      </w:r>
      <w:r w:rsidR="002776F5" w:rsidRPr="00D74D8D">
        <w:rPr>
          <w:rFonts w:ascii="Times New Roman" w:eastAsia="Times New Roman" w:hAnsi="Times New Roman" w:cs="Times New Roman"/>
          <w:color w:val="000000"/>
          <w:lang w:val="en-US" w:eastAsia="fr-FR"/>
        </w:rPr>
        <w:t xml:space="preserve"> </w:t>
      </w:r>
      <w:r w:rsidRPr="00D74D8D">
        <w:rPr>
          <w:rFonts w:ascii="Times New Roman" w:eastAsia="Times New Roman" w:hAnsi="Times New Roman" w:cs="Times New Roman"/>
          <w:color w:val="000000"/>
          <w:lang w:val="en-US" w:eastAsia="fr-FR"/>
        </w:rPr>
        <w:t>A total of 18 samples were collected during the campaigns, each consisting of 10 fish individuals. Immediately after capture, the specimens were individually placed in labeled plastic bags and stored in an ice-filled cooler to prevent tissue degradation. Samples were then transported under optimal conditions to the laboratory for subsequent biological and physicochemical analyses.</w:t>
      </w:r>
    </w:p>
    <w:p w14:paraId="7ACFC0C2" w14:textId="77777777" w:rsidR="00D439F3" w:rsidRPr="00D74D8D" w:rsidRDefault="00D439F3" w:rsidP="00C51B0E">
      <w:pPr>
        <w:spacing w:before="100" w:beforeAutospacing="1" w:after="100" w:afterAutospacing="1" w:line="480" w:lineRule="auto"/>
        <w:ind w:left="0" w:firstLine="0"/>
        <w:jc w:val="left"/>
        <w:outlineLvl w:val="2"/>
        <w:rPr>
          <w:rFonts w:ascii="Times New Roman" w:eastAsia="Times New Roman" w:hAnsi="Times New Roman" w:cs="Times New Roman"/>
          <w:b/>
          <w:bCs/>
          <w:color w:val="000000"/>
          <w:lang w:val="en-US" w:eastAsia="fr-FR"/>
        </w:rPr>
      </w:pPr>
      <w:r w:rsidRPr="00D74D8D">
        <w:rPr>
          <w:rFonts w:ascii="Times New Roman" w:eastAsia="Times New Roman" w:hAnsi="Times New Roman" w:cs="Times New Roman"/>
          <w:b/>
          <w:bCs/>
          <w:color w:val="000000"/>
          <w:lang w:val="en-US" w:eastAsia="fr-FR"/>
        </w:rPr>
        <w:lastRenderedPageBreak/>
        <w:t xml:space="preserve">2.3. Chemical </w:t>
      </w:r>
      <w:r w:rsidR="008E407A" w:rsidRPr="00D74D8D">
        <w:rPr>
          <w:rFonts w:ascii="Times New Roman" w:eastAsia="Times New Roman" w:hAnsi="Times New Roman" w:cs="Times New Roman"/>
          <w:b/>
          <w:bCs/>
          <w:color w:val="000000"/>
          <w:lang w:val="en-US" w:eastAsia="fr-FR"/>
        </w:rPr>
        <w:t>a</w:t>
      </w:r>
      <w:r w:rsidRPr="00D74D8D">
        <w:rPr>
          <w:rFonts w:ascii="Times New Roman" w:eastAsia="Times New Roman" w:hAnsi="Times New Roman" w:cs="Times New Roman"/>
          <w:b/>
          <w:bCs/>
          <w:color w:val="000000"/>
          <w:lang w:val="en-US" w:eastAsia="fr-FR"/>
        </w:rPr>
        <w:t>nalyses</w:t>
      </w:r>
    </w:p>
    <w:p w14:paraId="099EF236" w14:textId="56BC4303" w:rsidR="00C51B0E" w:rsidRPr="00D74D8D" w:rsidRDefault="00D439F3" w:rsidP="00C51B0E">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D74D8D">
        <w:rPr>
          <w:rFonts w:ascii="Times New Roman" w:eastAsia="Times New Roman" w:hAnsi="Times New Roman" w:cs="Times New Roman"/>
          <w:color w:val="000000"/>
          <w:lang w:val="en-US" w:eastAsia="fr-FR"/>
        </w:rPr>
        <w:t>For calibration of the atomic absorption spectrometer (AAS110), analytical standards of Pb, Cd, and Hg were used. For each sample, 0.5 g of tissue was digested using 15 ml of 65% nitric acid, 3 ml of hydrochloric acid, and 0.5 ml of perchloric acid in Pyrex volumetric flasks containing an additional 6 ml of 1% nitric acid. The solution was then diluted and adjusted to 50 ml with acidified water (0.1 N), and metal concentrations were quantified using AAS110 with a graphite furnace. Mercury (Hg) was analyzed using the Cold Vapor AAS110 method. Calibration solutions were prepared for each metal to calibrate the device. A spiked sample was used to determine metal recovery rates, with doping concentrations included within the calibration range. All concentrations are expressed in mg/kg dry weight. The limits of quantification (LOQ) for Pb, Cd, and Hg were 0.05, 0.005, and 0.01 mg/kg, respectively.</w:t>
      </w:r>
    </w:p>
    <w:p w14:paraId="43754BED" w14:textId="77777777" w:rsidR="00D439F3" w:rsidRPr="00D74D8D" w:rsidRDefault="00D439F3" w:rsidP="00C51B0E">
      <w:pPr>
        <w:spacing w:before="100" w:beforeAutospacing="1" w:after="100" w:afterAutospacing="1" w:line="480" w:lineRule="auto"/>
        <w:ind w:left="0" w:firstLine="0"/>
        <w:jc w:val="left"/>
        <w:outlineLvl w:val="2"/>
        <w:rPr>
          <w:rFonts w:ascii="Times New Roman" w:eastAsia="Times New Roman" w:hAnsi="Times New Roman" w:cs="Times New Roman"/>
          <w:b/>
          <w:bCs/>
          <w:color w:val="000000"/>
          <w:lang w:val="en-US" w:eastAsia="fr-FR"/>
        </w:rPr>
      </w:pPr>
      <w:r w:rsidRPr="00D74D8D">
        <w:rPr>
          <w:rFonts w:ascii="Times New Roman" w:eastAsia="Times New Roman" w:hAnsi="Times New Roman" w:cs="Times New Roman"/>
          <w:b/>
          <w:bCs/>
          <w:color w:val="000000"/>
          <w:lang w:val="en-US" w:eastAsia="fr-FR"/>
        </w:rPr>
        <w:t xml:space="preserve">2.4. Ecological </w:t>
      </w:r>
      <w:r w:rsidR="008E407A" w:rsidRPr="00D74D8D">
        <w:rPr>
          <w:rFonts w:ascii="Times New Roman" w:eastAsia="Times New Roman" w:hAnsi="Times New Roman" w:cs="Times New Roman"/>
          <w:b/>
          <w:bCs/>
          <w:color w:val="000000"/>
          <w:lang w:val="en-US" w:eastAsia="fr-FR"/>
        </w:rPr>
        <w:t>r</w:t>
      </w:r>
      <w:r w:rsidRPr="00D74D8D">
        <w:rPr>
          <w:rFonts w:ascii="Times New Roman" w:eastAsia="Times New Roman" w:hAnsi="Times New Roman" w:cs="Times New Roman"/>
          <w:b/>
          <w:bCs/>
          <w:color w:val="000000"/>
          <w:lang w:val="en-US" w:eastAsia="fr-FR"/>
        </w:rPr>
        <w:t xml:space="preserve">isk </w:t>
      </w:r>
      <w:r w:rsidR="008E407A" w:rsidRPr="00D74D8D">
        <w:rPr>
          <w:rFonts w:ascii="Times New Roman" w:eastAsia="Times New Roman" w:hAnsi="Times New Roman" w:cs="Times New Roman"/>
          <w:b/>
          <w:bCs/>
          <w:color w:val="000000"/>
          <w:lang w:val="en-US" w:eastAsia="fr-FR"/>
        </w:rPr>
        <w:t>a</w:t>
      </w:r>
      <w:r w:rsidRPr="00D74D8D">
        <w:rPr>
          <w:rFonts w:ascii="Times New Roman" w:eastAsia="Times New Roman" w:hAnsi="Times New Roman" w:cs="Times New Roman"/>
          <w:b/>
          <w:bCs/>
          <w:color w:val="000000"/>
          <w:lang w:val="en-US" w:eastAsia="fr-FR"/>
        </w:rPr>
        <w:t>ssessment</w:t>
      </w:r>
    </w:p>
    <w:p w14:paraId="05EEA5DB" w14:textId="77777777" w:rsidR="00D439F3" w:rsidRPr="00D74D8D" w:rsidRDefault="00D439F3" w:rsidP="00C51B0E">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D74D8D">
        <w:rPr>
          <w:rFonts w:ascii="Times New Roman" w:eastAsia="Times New Roman" w:hAnsi="Times New Roman" w:cs="Times New Roman"/>
          <w:color w:val="000000"/>
          <w:lang w:val="en-US" w:eastAsia="fr-FR"/>
        </w:rPr>
        <w:t>The Metal Pollution Index (MPI) is a key tool for evaluating and comparing overall levels of metal contamination in studied species across different seasons. It is calculated using the following formula:</w:t>
      </w:r>
    </w:p>
    <w:p w14:paraId="2F5D8579" w14:textId="37F07705" w:rsidR="004934C7" w:rsidRPr="00D74D8D" w:rsidRDefault="007E2973" w:rsidP="00C51B0E">
      <w:pPr>
        <w:spacing w:line="480" w:lineRule="auto"/>
        <w:jc w:val="center"/>
        <w:rPr>
          <w:rFonts w:ascii="Times New Roman" w:hAnsi="Times New Roman" w:cs="Times New Roman"/>
          <w:lang w:val="en-US"/>
        </w:rPr>
      </w:pPr>
      <w:r>
        <w:rPr>
          <w:rFonts w:ascii="Times New Roman" w:hAnsi="Times New Roman" w:cs="Times New Roman"/>
          <w:lang w:val="en-US"/>
        </w:rPr>
        <w:t>MPI</w:t>
      </w:r>
      <w:r w:rsidR="004934C7" w:rsidRPr="00D74D8D">
        <w:rPr>
          <w:rFonts w:ascii="Times New Roman" w:hAnsi="Times New Roman" w:cs="Times New Roman"/>
          <w:lang w:val="en-US"/>
        </w:rPr>
        <w:t xml:space="preserve"> = (M</w:t>
      </w:r>
      <w:r w:rsidR="004934C7" w:rsidRPr="00D74D8D">
        <w:rPr>
          <w:rFonts w:ascii="Times New Roman" w:hAnsi="Times New Roman" w:cs="Times New Roman"/>
          <w:vertAlign w:val="subscript"/>
          <w:lang w:val="en-US"/>
        </w:rPr>
        <w:t>1</w:t>
      </w:r>
      <w:r w:rsidR="004934C7" w:rsidRPr="00D74D8D">
        <w:rPr>
          <w:rFonts w:ascii="Times New Roman" w:hAnsi="Times New Roman" w:cs="Times New Roman"/>
          <w:lang w:val="en-US"/>
        </w:rPr>
        <w:t xml:space="preserve"> × M</w:t>
      </w:r>
      <w:r w:rsidR="004934C7" w:rsidRPr="00D74D8D">
        <w:rPr>
          <w:rFonts w:ascii="Times New Roman" w:hAnsi="Times New Roman" w:cs="Times New Roman"/>
          <w:vertAlign w:val="subscript"/>
          <w:lang w:val="en-US"/>
        </w:rPr>
        <w:t>2</w:t>
      </w:r>
      <w:r w:rsidR="004934C7" w:rsidRPr="00D74D8D">
        <w:rPr>
          <w:rFonts w:ascii="Times New Roman" w:hAnsi="Times New Roman" w:cs="Times New Roman"/>
          <w:lang w:val="en-US"/>
        </w:rPr>
        <w:t xml:space="preserve"> × M</w:t>
      </w:r>
      <w:r w:rsidR="004934C7" w:rsidRPr="00D74D8D">
        <w:rPr>
          <w:rFonts w:ascii="Times New Roman" w:hAnsi="Times New Roman" w:cs="Times New Roman"/>
          <w:vertAlign w:val="subscript"/>
          <w:lang w:val="en-US"/>
        </w:rPr>
        <w:t>3</w:t>
      </w:r>
      <w:r w:rsidR="004934C7" w:rsidRPr="00D74D8D">
        <w:rPr>
          <w:rFonts w:ascii="Times New Roman" w:hAnsi="Times New Roman" w:cs="Times New Roman"/>
          <w:lang w:val="en-US"/>
        </w:rPr>
        <w:t xml:space="preserve"> × . . . × M</w:t>
      </w:r>
      <w:r w:rsidR="004934C7" w:rsidRPr="00D74D8D">
        <w:rPr>
          <w:rFonts w:ascii="Times New Roman" w:hAnsi="Times New Roman" w:cs="Times New Roman"/>
          <w:vertAlign w:val="subscript"/>
          <w:lang w:val="en-US"/>
        </w:rPr>
        <w:t>n</w:t>
      </w:r>
      <w:r w:rsidR="004934C7" w:rsidRPr="00D74D8D">
        <w:rPr>
          <w:rFonts w:ascii="Times New Roman" w:hAnsi="Times New Roman" w:cs="Times New Roman"/>
          <w:lang w:val="en-US"/>
        </w:rPr>
        <w:t xml:space="preserve">) </w:t>
      </w:r>
      <w:r w:rsidR="004934C7" w:rsidRPr="00D74D8D">
        <w:rPr>
          <w:rFonts w:ascii="Times New Roman" w:hAnsi="Times New Roman" w:cs="Times New Roman"/>
          <w:vertAlign w:val="superscript"/>
          <w:lang w:val="en-US"/>
        </w:rPr>
        <w:t xml:space="preserve">(1/n).  </w:t>
      </w:r>
      <w:r w:rsidR="004934C7" w:rsidRPr="00D74D8D">
        <w:rPr>
          <w:rFonts w:ascii="Times New Roman" w:hAnsi="Times New Roman" w:cs="Times New Roman"/>
          <w:lang w:val="en-US"/>
        </w:rPr>
        <w:t>(1)</w:t>
      </w:r>
    </w:p>
    <w:p w14:paraId="31D62E4D" w14:textId="02D8377E" w:rsidR="00D439F3" w:rsidRPr="00D74D8D" w:rsidRDefault="00D439F3" w:rsidP="00C51B0E">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D74D8D">
        <w:rPr>
          <w:rFonts w:ascii="Times New Roman" w:eastAsia="Times New Roman" w:hAnsi="Times New Roman" w:cs="Times New Roman"/>
          <w:color w:val="000000"/>
          <w:lang w:val="en-US" w:eastAsia="fr-FR"/>
        </w:rPr>
        <w:t xml:space="preserve">where MnMn​ represents the concentration of a specific metal expressed in mg·kg⁻¹ wet weight (Usero et al., 1997; </w:t>
      </w:r>
      <w:r w:rsidR="004A3726" w:rsidRPr="004A3726">
        <w:rPr>
          <w:rFonts w:ascii="Times New Roman" w:eastAsia="Times New Roman" w:hAnsi="Times New Roman" w:cs="Times New Roman"/>
          <w:color w:val="000000"/>
          <w:lang w:val="en-US" w:eastAsia="fr-FR"/>
        </w:rPr>
        <w:t>Sedeño-Díaz et al., 2020</w:t>
      </w:r>
      <w:r w:rsidRPr="00D74D8D">
        <w:rPr>
          <w:rFonts w:ascii="Times New Roman" w:eastAsia="Times New Roman" w:hAnsi="Times New Roman" w:cs="Times New Roman"/>
          <w:color w:val="000000"/>
          <w:lang w:val="en-US" w:eastAsia="fr-FR"/>
        </w:rPr>
        <w:t>). This geometric mean provides a reliable indicator of overall metal pollution levels.</w:t>
      </w:r>
    </w:p>
    <w:p w14:paraId="00BB146C" w14:textId="77777777" w:rsidR="00D439F3" w:rsidRPr="00D74D8D" w:rsidRDefault="00D439F3" w:rsidP="00C51B0E">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D74D8D">
        <w:rPr>
          <w:rFonts w:ascii="Times New Roman" w:eastAsia="Times New Roman" w:hAnsi="Times New Roman" w:cs="Times New Roman"/>
          <w:color w:val="000000"/>
          <w:lang w:val="en-US" w:eastAsia="fr-FR"/>
        </w:rPr>
        <w:t>In this study, the equation simplifies to:</w:t>
      </w:r>
    </w:p>
    <w:p w14:paraId="240B1B8C" w14:textId="6B412245" w:rsidR="004934C7" w:rsidRPr="00D74D8D" w:rsidRDefault="00A8338E" w:rsidP="00C51B0E">
      <w:pPr>
        <w:spacing w:line="480" w:lineRule="auto"/>
        <w:jc w:val="center"/>
        <w:rPr>
          <w:rFonts w:ascii="Times New Roman" w:hAnsi="Times New Roman" w:cs="Times New Roman"/>
          <w:lang w:val="en-US"/>
        </w:rPr>
      </w:pPr>
      <w:r>
        <w:rPr>
          <w:rFonts w:ascii="Times New Roman" w:hAnsi="Times New Roman" w:cs="Times New Roman"/>
          <w:lang w:val="en-US"/>
        </w:rPr>
        <w:t>MPI</w:t>
      </w:r>
      <w:r w:rsidR="004934C7" w:rsidRPr="00D74D8D">
        <w:rPr>
          <w:rFonts w:ascii="Times New Roman" w:hAnsi="Times New Roman" w:cs="Times New Roman"/>
          <w:lang w:val="en-US"/>
        </w:rPr>
        <w:t xml:space="preserve"> = (MCd x MHg x MPb) </w:t>
      </w:r>
      <w:r w:rsidR="004934C7" w:rsidRPr="00D74D8D">
        <w:rPr>
          <w:rFonts w:ascii="Times New Roman" w:hAnsi="Times New Roman" w:cs="Times New Roman"/>
          <w:vertAlign w:val="superscript"/>
          <w:lang w:val="en-US"/>
        </w:rPr>
        <w:t xml:space="preserve">1/3.     </w:t>
      </w:r>
      <w:r w:rsidR="004934C7" w:rsidRPr="00D74D8D">
        <w:rPr>
          <w:rFonts w:ascii="Times New Roman" w:hAnsi="Times New Roman" w:cs="Times New Roman"/>
          <w:lang w:val="en-US"/>
        </w:rPr>
        <w:t>(2)</w:t>
      </w:r>
    </w:p>
    <w:p w14:paraId="592C990F" w14:textId="2C2039DA" w:rsidR="00D439F3" w:rsidRPr="00D74D8D" w:rsidRDefault="00D439F3" w:rsidP="00C51B0E">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D74D8D">
        <w:rPr>
          <w:rFonts w:ascii="Times New Roman" w:eastAsia="Times New Roman" w:hAnsi="Times New Roman" w:cs="Times New Roman"/>
          <w:color w:val="000000"/>
          <w:lang w:val="en-US" w:eastAsia="fr-FR"/>
        </w:rPr>
        <w:lastRenderedPageBreak/>
        <w:t>where MCd,</w:t>
      </w:r>
      <w:r w:rsidR="00247A7A" w:rsidRPr="00D74D8D">
        <w:rPr>
          <w:rFonts w:ascii="Times New Roman" w:eastAsia="Times New Roman" w:hAnsi="Times New Roman" w:cs="Times New Roman"/>
          <w:color w:val="000000"/>
          <w:lang w:val="en-US" w:eastAsia="fr-FR"/>
        </w:rPr>
        <w:t xml:space="preserve"> </w:t>
      </w:r>
      <w:r w:rsidRPr="00D74D8D">
        <w:rPr>
          <w:rFonts w:ascii="Times New Roman" w:eastAsia="Times New Roman" w:hAnsi="Times New Roman" w:cs="Times New Roman"/>
          <w:color w:val="000000"/>
          <w:lang w:val="en-US" w:eastAsia="fr-FR"/>
        </w:rPr>
        <w:t>MHg, and</w:t>
      </w:r>
      <w:r w:rsidR="00247A7A" w:rsidRPr="00D74D8D">
        <w:rPr>
          <w:rFonts w:ascii="Times New Roman" w:eastAsia="Times New Roman" w:hAnsi="Times New Roman" w:cs="Times New Roman"/>
          <w:color w:val="000000"/>
          <w:lang w:val="en-US" w:eastAsia="fr-FR"/>
        </w:rPr>
        <w:t xml:space="preserve"> </w:t>
      </w:r>
      <w:r w:rsidRPr="00D74D8D">
        <w:rPr>
          <w:rFonts w:ascii="Times New Roman" w:eastAsia="Times New Roman" w:hAnsi="Times New Roman" w:cs="Times New Roman"/>
          <w:color w:val="000000"/>
          <w:lang w:val="en-US" w:eastAsia="fr-FR"/>
        </w:rPr>
        <w:t>MPb</w:t>
      </w:r>
      <w:r w:rsidR="00247A7A" w:rsidRPr="00D74D8D">
        <w:rPr>
          <w:rFonts w:ascii="Times New Roman" w:eastAsia="Times New Roman" w:hAnsi="Times New Roman" w:cs="Times New Roman"/>
          <w:color w:val="000000"/>
          <w:lang w:val="en-US" w:eastAsia="fr-FR"/>
        </w:rPr>
        <w:t xml:space="preserve"> </w:t>
      </w:r>
      <w:r w:rsidRPr="00D74D8D">
        <w:rPr>
          <w:rFonts w:ascii="Times New Roman" w:eastAsia="Times New Roman" w:hAnsi="Times New Roman" w:cs="Times New Roman"/>
          <w:color w:val="000000"/>
          <w:lang w:val="en-US" w:eastAsia="fr-FR"/>
        </w:rPr>
        <w:t>correspond to the mean concentrations of cadmium, mercury, and lead, respectively.</w:t>
      </w:r>
    </w:p>
    <w:p w14:paraId="1EF8B991" w14:textId="77777777" w:rsidR="00D439F3" w:rsidRPr="00D74D8D" w:rsidRDefault="00D439F3" w:rsidP="00C51B0E">
      <w:pPr>
        <w:pStyle w:val="Heading3"/>
        <w:spacing w:line="480" w:lineRule="auto"/>
        <w:rPr>
          <w:color w:val="000000"/>
          <w:sz w:val="24"/>
          <w:szCs w:val="24"/>
          <w:lang w:val="en-US"/>
        </w:rPr>
      </w:pPr>
      <w:r w:rsidRPr="00D74D8D">
        <w:rPr>
          <w:rStyle w:val="Strong"/>
          <w:b/>
          <w:bCs/>
          <w:color w:val="000000"/>
          <w:sz w:val="24"/>
          <w:szCs w:val="24"/>
          <w:lang w:val="en-US"/>
        </w:rPr>
        <w:t xml:space="preserve">2.5. Health </w:t>
      </w:r>
      <w:r w:rsidR="008E407A" w:rsidRPr="00D74D8D">
        <w:rPr>
          <w:rStyle w:val="Strong"/>
          <w:b/>
          <w:bCs/>
          <w:color w:val="000000"/>
          <w:sz w:val="24"/>
          <w:szCs w:val="24"/>
          <w:lang w:val="en-US"/>
        </w:rPr>
        <w:t>r</w:t>
      </w:r>
      <w:r w:rsidRPr="00D74D8D">
        <w:rPr>
          <w:rStyle w:val="Strong"/>
          <w:b/>
          <w:bCs/>
          <w:color w:val="000000"/>
          <w:sz w:val="24"/>
          <w:szCs w:val="24"/>
          <w:lang w:val="en-US"/>
        </w:rPr>
        <w:t xml:space="preserve">isk </w:t>
      </w:r>
      <w:r w:rsidR="008E407A" w:rsidRPr="00D74D8D">
        <w:rPr>
          <w:rStyle w:val="Strong"/>
          <w:b/>
          <w:bCs/>
          <w:color w:val="000000"/>
          <w:sz w:val="24"/>
          <w:szCs w:val="24"/>
          <w:lang w:val="en-US"/>
        </w:rPr>
        <w:t>a</w:t>
      </w:r>
      <w:r w:rsidRPr="00D74D8D">
        <w:rPr>
          <w:rStyle w:val="Strong"/>
          <w:b/>
          <w:bCs/>
          <w:color w:val="000000"/>
          <w:sz w:val="24"/>
          <w:szCs w:val="24"/>
          <w:lang w:val="en-US"/>
        </w:rPr>
        <w:t>ssessment</w:t>
      </w:r>
    </w:p>
    <w:p w14:paraId="46F3BB0E" w14:textId="77777777" w:rsidR="00D439F3" w:rsidRPr="00D74D8D" w:rsidRDefault="00D439F3" w:rsidP="00C51B0E">
      <w:pPr>
        <w:pStyle w:val="Heading4"/>
        <w:spacing w:line="480" w:lineRule="auto"/>
        <w:ind w:left="0" w:firstLine="0"/>
        <w:rPr>
          <w:rFonts w:ascii="Times New Roman" w:hAnsi="Times New Roman" w:cs="Times New Roman"/>
          <w:color w:val="000000"/>
          <w:lang w:val="en-US"/>
        </w:rPr>
      </w:pPr>
      <w:r w:rsidRPr="00D74D8D">
        <w:rPr>
          <w:rStyle w:val="Strong"/>
          <w:rFonts w:ascii="Times New Roman" w:hAnsi="Times New Roman" w:cs="Times New Roman"/>
          <w:b w:val="0"/>
          <w:bCs w:val="0"/>
          <w:color w:val="000000"/>
          <w:lang w:val="en-US"/>
        </w:rPr>
        <w:t xml:space="preserve">Target </w:t>
      </w:r>
      <w:r w:rsidR="008E407A" w:rsidRPr="00D74D8D">
        <w:rPr>
          <w:rStyle w:val="Strong"/>
          <w:rFonts w:ascii="Times New Roman" w:hAnsi="Times New Roman" w:cs="Times New Roman"/>
          <w:b w:val="0"/>
          <w:bCs w:val="0"/>
          <w:color w:val="000000"/>
          <w:lang w:val="en-US"/>
        </w:rPr>
        <w:t>h</w:t>
      </w:r>
      <w:r w:rsidRPr="00D74D8D">
        <w:rPr>
          <w:rStyle w:val="Strong"/>
          <w:rFonts w:ascii="Times New Roman" w:hAnsi="Times New Roman" w:cs="Times New Roman"/>
          <w:b w:val="0"/>
          <w:bCs w:val="0"/>
          <w:color w:val="000000"/>
          <w:lang w:val="en-US"/>
        </w:rPr>
        <w:t xml:space="preserve">azard </w:t>
      </w:r>
      <w:r w:rsidR="008E407A" w:rsidRPr="00D74D8D">
        <w:rPr>
          <w:rStyle w:val="Strong"/>
          <w:rFonts w:ascii="Times New Roman" w:hAnsi="Times New Roman" w:cs="Times New Roman"/>
          <w:b w:val="0"/>
          <w:bCs w:val="0"/>
          <w:color w:val="000000"/>
          <w:lang w:val="en-US"/>
        </w:rPr>
        <w:t>q</w:t>
      </w:r>
      <w:r w:rsidRPr="00D74D8D">
        <w:rPr>
          <w:rStyle w:val="Strong"/>
          <w:rFonts w:ascii="Times New Roman" w:hAnsi="Times New Roman" w:cs="Times New Roman"/>
          <w:b w:val="0"/>
          <w:bCs w:val="0"/>
          <w:color w:val="000000"/>
          <w:lang w:val="en-US"/>
        </w:rPr>
        <w:t>uotient (THQ)</w:t>
      </w:r>
    </w:p>
    <w:p w14:paraId="0F5BD797" w14:textId="77777777" w:rsidR="00D439F3" w:rsidRPr="00D74D8D" w:rsidRDefault="00D439F3" w:rsidP="00C51B0E">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D74D8D">
        <w:rPr>
          <w:rFonts w:ascii="Times New Roman" w:eastAsia="Times New Roman" w:hAnsi="Times New Roman" w:cs="Times New Roman"/>
          <w:color w:val="000000"/>
          <w:lang w:val="en-US" w:eastAsia="fr-FR"/>
        </w:rPr>
        <w:t>The THQ is calculated based on the ratio between exposure dose and reference dose (RfD), to assess health risks associated with heavy metal exposure through fish consumption. A THQ value below 1 suggests negligible risk, while a value above 1 indicates potential adverse health effects.</w:t>
      </w:r>
    </w:p>
    <w:p w14:paraId="516A649E" w14:textId="0461F798" w:rsidR="00D439F3" w:rsidRPr="00D74D8D" w:rsidRDefault="00D439F3" w:rsidP="00C51B0E">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D74D8D">
        <w:rPr>
          <w:rFonts w:ascii="Times New Roman" w:eastAsia="Times New Roman" w:hAnsi="Times New Roman" w:cs="Times New Roman"/>
          <w:color w:val="000000"/>
          <w:lang w:val="en-US" w:eastAsia="fr-FR"/>
        </w:rPr>
        <w:t xml:space="preserve">The estimation followed standard assumptions from the USEPA’s integrated risk assessment model (2000), based on the formula from Chien et al. (2002), Aendo et al. (2019), and </w:t>
      </w:r>
      <w:r w:rsidR="006E2A21" w:rsidRPr="006E2A21">
        <w:rPr>
          <w:rFonts w:ascii="Times New Roman" w:eastAsia="Times New Roman" w:hAnsi="Times New Roman" w:cs="Times New Roman"/>
          <w:color w:val="000000"/>
          <w:lang w:eastAsia="fr-FR"/>
        </w:rPr>
        <w:t>de Almeida et al.</w:t>
      </w:r>
      <w:r w:rsidR="006E2A21">
        <w:rPr>
          <w:rFonts w:ascii="Times New Roman" w:eastAsia="Times New Roman" w:hAnsi="Times New Roman" w:cs="Times New Roman"/>
          <w:color w:val="000000"/>
          <w:lang w:eastAsia="fr-FR"/>
        </w:rPr>
        <w:t xml:space="preserve"> </w:t>
      </w:r>
      <w:r w:rsidR="006A7B6C">
        <w:rPr>
          <w:rFonts w:ascii="Times New Roman" w:eastAsia="Times New Roman" w:hAnsi="Times New Roman" w:cs="Times New Roman"/>
          <w:color w:val="000000"/>
          <w:lang w:eastAsia="fr-FR"/>
        </w:rPr>
        <w:t>(</w:t>
      </w:r>
      <w:r w:rsidR="006E2A21" w:rsidRPr="006E2A21">
        <w:rPr>
          <w:rFonts w:ascii="Times New Roman" w:eastAsia="Times New Roman" w:hAnsi="Times New Roman" w:cs="Times New Roman"/>
          <w:color w:val="000000"/>
          <w:lang w:eastAsia="fr-FR"/>
        </w:rPr>
        <w:t>2022)</w:t>
      </w:r>
      <w:r w:rsidRPr="00D74D8D">
        <w:rPr>
          <w:rFonts w:ascii="Times New Roman" w:eastAsia="Times New Roman" w:hAnsi="Times New Roman" w:cs="Times New Roman"/>
          <w:color w:val="000000"/>
          <w:lang w:val="en-US" w:eastAsia="fr-FR"/>
        </w:rPr>
        <w:t>, using:</w:t>
      </w:r>
    </w:p>
    <w:p w14:paraId="3110AFF4" w14:textId="3444CA59" w:rsidR="00247A7A" w:rsidRPr="00D74D8D" w:rsidRDefault="004934C7" w:rsidP="00D74D8D">
      <w:pPr>
        <w:spacing w:line="480" w:lineRule="auto"/>
        <w:jc w:val="center"/>
        <w:rPr>
          <w:rFonts w:ascii="Times New Roman" w:hAnsi="Times New Roman" w:cs="Times New Roman"/>
          <w:lang w:val="en-US"/>
        </w:rPr>
      </w:pPr>
      <m:oMath>
        <m:r>
          <w:rPr>
            <w:rFonts w:ascii="Cambria Math" w:hAnsi="Cambria Math" w:cs="Times New Roman"/>
          </w:rPr>
          <m:t>THQ</m:t>
        </m:r>
        <m:r>
          <m:rPr>
            <m:sty m:val="p"/>
          </m:rPr>
          <w:rPr>
            <w:rFonts w:ascii="Cambria Math" w:hAnsi="Cambria Math" w:cs="Times New Roman"/>
            <w:lang w:val="en-US"/>
          </w:rPr>
          <m:t>=</m:t>
        </m:r>
        <m:f>
          <m:fPr>
            <m:ctrlPr>
              <w:rPr>
                <w:rFonts w:ascii="Cambria Math" w:hAnsi="Cambria Math" w:cs="Times New Roman"/>
                <w:bCs/>
              </w:rPr>
            </m:ctrlPr>
          </m:fPr>
          <m:num>
            <m:r>
              <m:rPr>
                <m:sty m:val="p"/>
              </m:rPr>
              <w:rPr>
                <w:rFonts w:ascii="Cambria Math" w:hAnsi="Cambria Math" w:cs="Times New Roman"/>
                <w:lang w:val="en-US"/>
              </w:rPr>
              <m:t>EFr × EDtot × FIR × C</m:t>
            </m:r>
          </m:num>
          <m:den>
            <m:r>
              <w:rPr>
                <w:rFonts w:ascii="Cambria Math" w:hAnsi="Cambria Math" w:cs="Times New Roman"/>
              </w:rPr>
              <m:t>RfDo</m:t>
            </m:r>
            <m:r>
              <w:rPr>
                <w:rFonts w:ascii="Cambria Math" w:hAnsi="Cambria Math" w:cs="Times New Roman"/>
                <w:lang w:val="en-US"/>
              </w:rPr>
              <m:t xml:space="preserve"> × </m:t>
            </m:r>
            <m:r>
              <w:rPr>
                <w:rFonts w:ascii="Cambria Math" w:hAnsi="Cambria Math" w:cs="Times New Roman"/>
              </w:rPr>
              <m:t>BW</m:t>
            </m:r>
            <m:r>
              <w:rPr>
                <w:rFonts w:ascii="Cambria Math" w:hAnsi="Cambria Math" w:cs="Times New Roman"/>
                <w:lang w:val="en-US"/>
              </w:rPr>
              <m:t xml:space="preserve"> × </m:t>
            </m:r>
            <m:r>
              <w:rPr>
                <w:rFonts w:ascii="Cambria Math" w:hAnsi="Cambria Math" w:cs="Times New Roman"/>
              </w:rPr>
              <m:t>ATn</m:t>
            </m:r>
          </m:den>
        </m:f>
        <m:r>
          <w:rPr>
            <w:rFonts w:ascii="Cambria Math" w:hAnsi="Cambria Math" w:cs="Times New Roman"/>
            <w:lang w:val="en-US"/>
          </w:rPr>
          <m:t xml:space="preserve"> </m:t>
        </m:r>
        <m:r>
          <w:rPr>
            <w:rFonts w:ascii="Cambria Math" w:hAnsi="Cambria Math" w:cs="Times New Roman"/>
          </w:rPr>
          <m:t>X</m:t>
        </m:r>
        <m:r>
          <w:rPr>
            <w:rFonts w:ascii="Cambria Math" w:hAnsi="Cambria Math" w:cs="Times New Roman"/>
            <w:lang w:val="en-US"/>
          </w:rPr>
          <m:t xml:space="preserve"> 10</m:t>
        </m:r>
      </m:oMath>
      <w:r w:rsidRPr="00D74D8D">
        <w:rPr>
          <w:rFonts w:ascii="Times New Roman" w:hAnsi="Times New Roman" w:cs="Times New Roman"/>
          <w:vertAlign w:val="superscript"/>
          <w:lang w:val="en-US"/>
        </w:rPr>
        <w:t xml:space="preserve">-3.    </w:t>
      </w:r>
      <w:r w:rsidRPr="00D74D8D">
        <w:rPr>
          <w:rFonts w:ascii="Times New Roman" w:hAnsi="Times New Roman" w:cs="Times New Roman"/>
          <w:lang w:val="en-US"/>
        </w:rPr>
        <w:t xml:space="preserve">  (3)</w:t>
      </w:r>
    </w:p>
    <w:p w14:paraId="61208BA0" w14:textId="6B582F04" w:rsidR="004934C7" w:rsidRPr="00D74D8D" w:rsidRDefault="004934C7" w:rsidP="00C51B0E">
      <w:pPr>
        <w:spacing w:before="100" w:beforeAutospacing="1" w:after="100" w:afterAutospacing="1" w:line="480" w:lineRule="auto"/>
        <w:ind w:left="0" w:firstLine="0"/>
        <w:jc w:val="left"/>
        <w:rPr>
          <w:rFonts w:ascii="Times New Roman" w:hAnsi="Times New Roman" w:cs="Times New Roman"/>
          <w:color w:val="000000"/>
          <w:lang w:val="en-US"/>
        </w:rPr>
      </w:pPr>
      <w:r w:rsidRPr="00D74D8D">
        <w:rPr>
          <w:rFonts w:ascii="Times New Roman" w:hAnsi="Times New Roman" w:cs="Times New Roman"/>
          <w:color w:val="000000"/>
          <w:lang w:val="en-US"/>
        </w:rPr>
        <w:t>Where:</w:t>
      </w:r>
    </w:p>
    <w:p w14:paraId="38995B35" w14:textId="77777777" w:rsidR="00D439F3" w:rsidRPr="00D74D8D" w:rsidRDefault="00D439F3" w:rsidP="00C51B0E">
      <w:pPr>
        <w:numPr>
          <w:ilvl w:val="0"/>
          <w:numId w:val="1"/>
        </w:numPr>
        <w:spacing w:before="100" w:beforeAutospacing="1" w:after="100" w:afterAutospacing="1" w:line="480" w:lineRule="auto"/>
        <w:jc w:val="left"/>
        <w:rPr>
          <w:rFonts w:ascii="Times New Roman" w:hAnsi="Times New Roman" w:cs="Times New Roman"/>
          <w:color w:val="000000"/>
          <w:lang w:val="en-US"/>
        </w:rPr>
      </w:pPr>
      <w:r w:rsidRPr="00D74D8D">
        <w:rPr>
          <w:rFonts w:ascii="Times New Roman" w:hAnsi="Times New Roman" w:cs="Times New Roman"/>
          <w:color w:val="000000"/>
          <w:lang w:val="en-US"/>
        </w:rPr>
        <w:t>EF (Exposure Frequency): 52 days/year (weekly consumption)</w:t>
      </w:r>
    </w:p>
    <w:p w14:paraId="6E4CD12D" w14:textId="77777777" w:rsidR="00D439F3" w:rsidRPr="00D74D8D" w:rsidRDefault="00D439F3" w:rsidP="00C51B0E">
      <w:pPr>
        <w:numPr>
          <w:ilvl w:val="0"/>
          <w:numId w:val="1"/>
        </w:numPr>
        <w:spacing w:before="100" w:beforeAutospacing="1" w:after="100" w:afterAutospacing="1" w:line="480" w:lineRule="auto"/>
        <w:jc w:val="left"/>
        <w:rPr>
          <w:rFonts w:ascii="Times New Roman" w:hAnsi="Times New Roman" w:cs="Times New Roman"/>
          <w:color w:val="000000"/>
          <w:lang w:val="en-US"/>
        </w:rPr>
      </w:pPr>
      <w:r w:rsidRPr="00D74D8D">
        <w:rPr>
          <w:rFonts w:ascii="Times New Roman" w:hAnsi="Times New Roman" w:cs="Times New Roman"/>
          <w:color w:val="000000"/>
          <w:lang w:val="en-US"/>
        </w:rPr>
        <w:t>ED (Exposure Duration): 70 years (adults), 7 years (children)</w:t>
      </w:r>
    </w:p>
    <w:p w14:paraId="14018BC9" w14:textId="77777777" w:rsidR="00D439F3" w:rsidRPr="00D74D8D" w:rsidRDefault="00D439F3" w:rsidP="00C51B0E">
      <w:pPr>
        <w:numPr>
          <w:ilvl w:val="0"/>
          <w:numId w:val="1"/>
        </w:numPr>
        <w:spacing w:before="100" w:beforeAutospacing="1" w:after="100" w:afterAutospacing="1" w:line="480" w:lineRule="auto"/>
        <w:jc w:val="left"/>
        <w:rPr>
          <w:rFonts w:ascii="Times New Roman" w:hAnsi="Times New Roman" w:cs="Times New Roman"/>
          <w:color w:val="000000"/>
          <w:lang w:val="en-US"/>
        </w:rPr>
      </w:pPr>
      <w:r w:rsidRPr="00D74D8D">
        <w:rPr>
          <w:rFonts w:ascii="Times New Roman" w:hAnsi="Times New Roman" w:cs="Times New Roman"/>
          <w:color w:val="000000"/>
          <w:lang w:val="en-US"/>
        </w:rPr>
        <w:t>CM (Metal Concentration): Measured concentration in the sample</w:t>
      </w:r>
    </w:p>
    <w:p w14:paraId="1A5C48CE" w14:textId="77777777" w:rsidR="00D439F3" w:rsidRPr="00D74D8D" w:rsidRDefault="00D439F3" w:rsidP="00C51B0E">
      <w:pPr>
        <w:numPr>
          <w:ilvl w:val="0"/>
          <w:numId w:val="1"/>
        </w:numPr>
        <w:spacing w:before="100" w:beforeAutospacing="1" w:after="100" w:afterAutospacing="1" w:line="480" w:lineRule="auto"/>
        <w:jc w:val="left"/>
        <w:rPr>
          <w:rFonts w:ascii="Times New Roman" w:hAnsi="Times New Roman" w:cs="Times New Roman"/>
          <w:color w:val="000000"/>
          <w:lang w:val="en-US"/>
        </w:rPr>
      </w:pPr>
      <w:r w:rsidRPr="00D74D8D">
        <w:rPr>
          <w:rFonts w:ascii="Times New Roman" w:hAnsi="Times New Roman" w:cs="Times New Roman"/>
          <w:color w:val="000000"/>
          <w:lang w:val="en-US"/>
        </w:rPr>
        <w:t>FIR (Fish Ingestion Rate): 65.34 g/day (FAO, 2022)</w:t>
      </w:r>
    </w:p>
    <w:p w14:paraId="6161D5CF" w14:textId="77777777" w:rsidR="00D439F3" w:rsidRPr="00D74D8D" w:rsidRDefault="00D439F3" w:rsidP="00C51B0E">
      <w:pPr>
        <w:numPr>
          <w:ilvl w:val="0"/>
          <w:numId w:val="1"/>
        </w:numPr>
        <w:spacing w:before="100" w:beforeAutospacing="1" w:after="100" w:afterAutospacing="1" w:line="480" w:lineRule="auto"/>
        <w:jc w:val="left"/>
        <w:rPr>
          <w:rFonts w:ascii="Times New Roman" w:hAnsi="Times New Roman" w:cs="Times New Roman"/>
          <w:color w:val="000000"/>
          <w:lang w:val="en-US"/>
        </w:rPr>
      </w:pPr>
      <w:r w:rsidRPr="00D74D8D">
        <w:rPr>
          <w:rFonts w:ascii="Times New Roman" w:hAnsi="Times New Roman" w:cs="Times New Roman"/>
          <w:color w:val="000000"/>
          <w:lang w:val="en-US"/>
        </w:rPr>
        <w:t>Cf (Conversion Factor): 0.208 (fresh to dry weight, assuming 79% moisture)</w:t>
      </w:r>
    </w:p>
    <w:p w14:paraId="01545147" w14:textId="77777777" w:rsidR="00D439F3" w:rsidRPr="00D74D8D" w:rsidRDefault="00D439F3" w:rsidP="00C51B0E">
      <w:pPr>
        <w:numPr>
          <w:ilvl w:val="0"/>
          <w:numId w:val="1"/>
        </w:numPr>
        <w:spacing w:before="100" w:beforeAutospacing="1" w:after="100" w:afterAutospacing="1" w:line="480" w:lineRule="auto"/>
        <w:jc w:val="left"/>
        <w:rPr>
          <w:rFonts w:ascii="Times New Roman" w:hAnsi="Times New Roman" w:cs="Times New Roman"/>
          <w:color w:val="000000"/>
          <w:lang w:val="en-US"/>
        </w:rPr>
      </w:pPr>
      <w:r w:rsidRPr="00D74D8D">
        <w:rPr>
          <w:rFonts w:ascii="Times New Roman" w:hAnsi="Times New Roman" w:cs="Times New Roman"/>
          <w:color w:val="000000"/>
          <w:lang w:val="en-US"/>
        </w:rPr>
        <w:t>WAB (Body Weight): 60 kg (adults), 32 kg (children) (USEPA, 2008)</w:t>
      </w:r>
    </w:p>
    <w:p w14:paraId="1ABEB390" w14:textId="77777777" w:rsidR="00D439F3" w:rsidRPr="00D74D8D" w:rsidRDefault="00D439F3" w:rsidP="00C51B0E">
      <w:pPr>
        <w:numPr>
          <w:ilvl w:val="0"/>
          <w:numId w:val="1"/>
        </w:numPr>
        <w:spacing w:before="100" w:beforeAutospacing="1" w:after="100" w:afterAutospacing="1" w:line="480" w:lineRule="auto"/>
        <w:jc w:val="left"/>
        <w:rPr>
          <w:rFonts w:ascii="Times New Roman" w:hAnsi="Times New Roman" w:cs="Times New Roman"/>
          <w:color w:val="000000"/>
          <w:lang w:val="en-US"/>
        </w:rPr>
      </w:pPr>
      <w:r w:rsidRPr="00D74D8D">
        <w:rPr>
          <w:rFonts w:ascii="Times New Roman" w:hAnsi="Times New Roman" w:cs="Times New Roman"/>
          <w:color w:val="000000"/>
          <w:lang w:val="en-US"/>
        </w:rPr>
        <w:t>RfD: Cd = 0.001 µg/g/day, Pb = 0.004 µg/g/day, Hg = 0.0001 µg/g/day (USEPA, 2023)</w:t>
      </w:r>
    </w:p>
    <w:p w14:paraId="20FB5995" w14:textId="77777777" w:rsidR="00D439F3" w:rsidRPr="00D74D8D" w:rsidRDefault="00D439F3" w:rsidP="00C51B0E">
      <w:pPr>
        <w:numPr>
          <w:ilvl w:val="0"/>
          <w:numId w:val="1"/>
        </w:numPr>
        <w:spacing w:before="100" w:beforeAutospacing="1" w:after="100" w:afterAutospacing="1" w:line="480" w:lineRule="auto"/>
        <w:jc w:val="left"/>
        <w:rPr>
          <w:rFonts w:ascii="Times New Roman" w:hAnsi="Times New Roman" w:cs="Times New Roman"/>
          <w:color w:val="000000"/>
        </w:rPr>
      </w:pPr>
      <w:r w:rsidRPr="00D74D8D">
        <w:rPr>
          <w:rFonts w:ascii="Times New Roman" w:hAnsi="Times New Roman" w:cs="Times New Roman"/>
          <w:color w:val="000000"/>
        </w:rPr>
        <w:t>ATn (Average Time for Non-Carcinogens): EF × ED</w:t>
      </w:r>
    </w:p>
    <w:p w14:paraId="65A865EE" w14:textId="77777777" w:rsidR="00D439F3" w:rsidRPr="00D74D8D" w:rsidRDefault="00D439F3" w:rsidP="00C51B0E">
      <w:pPr>
        <w:numPr>
          <w:ilvl w:val="0"/>
          <w:numId w:val="1"/>
        </w:numPr>
        <w:spacing w:before="100" w:beforeAutospacing="1" w:after="100" w:afterAutospacing="1" w:line="480" w:lineRule="auto"/>
        <w:jc w:val="left"/>
        <w:rPr>
          <w:rFonts w:ascii="Times New Roman" w:hAnsi="Times New Roman" w:cs="Times New Roman"/>
          <w:color w:val="000000"/>
          <w:lang w:val="en-US"/>
        </w:rPr>
      </w:pPr>
      <w:r w:rsidRPr="00D74D8D">
        <w:rPr>
          <w:rFonts w:ascii="Times New Roman" w:hAnsi="Times New Roman" w:cs="Times New Roman"/>
          <w:color w:val="000000"/>
          <w:lang w:val="en-US"/>
        </w:rPr>
        <w:t>AT (Average Time for Carcinogens): EF × 70 years</w:t>
      </w:r>
    </w:p>
    <w:p w14:paraId="085B57E2" w14:textId="77777777" w:rsidR="00D439F3" w:rsidRPr="00967E36" w:rsidRDefault="00D439F3" w:rsidP="00C51B0E">
      <w:pPr>
        <w:pStyle w:val="Heading4"/>
        <w:spacing w:line="480" w:lineRule="auto"/>
        <w:rPr>
          <w:rFonts w:ascii="Times New Roman" w:hAnsi="Times New Roman" w:cs="Times New Roman"/>
          <w:color w:val="000000"/>
          <w:lang w:val="en-US"/>
        </w:rPr>
      </w:pPr>
      <w:r w:rsidRPr="00967E36">
        <w:rPr>
          <w:rStyle w:val="Strong"/>
          <w:rFonts w:ascii="Times New Roman" w:hAnsi="Times New Roman" w:cs="Times New Roman"/>
          <w:b w:val="0"/>
          <w:bCs w:val="0"/>
          <w:color w:val="000000"/>
          <w:lang w:val="en-US"/>
        </w:rPr>
        <w:lastRenderedPageBreak/>
        <w:t xml:space="preserve">Cancer </w:t>
      </w:r>
      <w:r w:rsidR="008E407A" w:rsidRPr="00967E36">
        <w:rPr>
          <w:rStyle w:val="Strong"/>
          <w:rFonts w:ascii="Times New Roman" w:hAnsi="Times New Roman" w:cs="Times New Roman"/>
          <w:b w:val="0"/>
          <w:bCs w:val="0"/>
          <w:color w:val="000000"/>
          <w:lang w:val="en-US"/>
        </w:rPr>
        <w:t>r</w:t>
      </w:r>
      <w:r w:rsidRPr="00967E36">
        <w:rPr>
          <w:rStyle w:val="Strong"/>
          <w:rFonts w:ascii="Times New Roman" w:hAnsi="Times New Roman" w:cs="Times New Roman"/>
          <w:b w:val="0"/>
          <w:bCs w:val="0"/>
          <w:color w:val="000000"/>
          <w:lang w:val="en-US"/>
        </w:rPr>
        <w:t>isk (CR)</w:t>
      </w:r>
    </w:p>
    <w:p w14:paraId="33473100" w14:textId="75D6A72A" w:rsidR="00D439F3" w:rsidRPr="00967E36" w:rsidRDefault="00D439F3" w:rsidP="00C51B0E">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967E36">
        <w:rPr>
          <w:rFonts w:ascii="Times New Roman" w:eastAsia="Times New Roman" w:hAnsi="Times New Roman" w:cs="Times New Roman"/>
          <w:color w:val="000000"/>
          <w:lang w:val="en-US" w:eastAsia="fr-FR"/>
        </w:rPr>
        <w:t>Cancer risk is calculated using the Cancer Slope Factor (CSF), as defined by USEPA (1989), using the following formula (</w:t>
      </w:r>
      <w:r w:rsidR="008B27C6" w:rsidRPr="008B27C6">
        <w:rPr>
          <w:rFonts w:ascii="Times New Roman" w:eastAsia="Times New Roman" w:hAnsi="Times New Roman" w:cs="Times New Roman"/>
          <w:color w:val="000000"/>
          <w:lang w:val="en-US" w:eastAsia="fr-FR"/>
        </w:rPr>
        <w:t>Javed &amp; Usmani, 2016</w:t>
      </w:r>
      <w:r w:rsidR="008B27C6">
        <w:rPr>
          <w:rFonts w:ascii="Times New Roman" w:eastAsia="Times New Roman" w:hAnsi="Times New Roman" w:cs="Times New Roman"/>
          <w:color w:val="000000"/>
          <w:lang w:val="en-US" w:eastAsia="fr-FR"/>
        </w:rPr>
        <w:t xml:space="preserve">; </w:t>
      </w:r>
      <w:r w:rsidR="0075520F" w:rsidRPr="008B27C6">
        <w:rPr>
          <w:rFonts w:ascii="Times New Roman" w:eastAsia="Times New Roman" w:hAnsi="Times New Roman" w:cs="Times New Roman"/>
          <w:color w:val="000000"/>
          <w:lang w:val="en-US" w:eastAsia="fr-FR"/>
        </w:rPr>
        <w:t>Varol &amp; Sünbül, 2018</w:t>
      </w:r>
      <w:r w:rsidRPr="00967E36">
        <w:rPr>
          <w:rFonts w:ascii="Times New Roman" w:eastAsia="Times New Roman" w:hAnsi="Times New Roman" w:cs="Times New Roman"/>
          <w:color w:val="000000"/>
          <w:lang w:val="en-US" w:eastAsia="fr-FR"/>
        </w:rPr>
        <w:t>):</w:t>
      </w:r>
    </w:p>
    <w:p w14:paraId="4D2F93CF" w14:textId="77777777" w:rsidR="004934C7" w:rsidRPr="00967E36" w:rsidRDefault="004934C7" w:rsidP="00C51B0E">
      <w:pPr>
        <w:spacing w:line="480" w:lineRule="auto"/>
        <w:jc w:val="center"/>
        <w:rPr>
          <w:rFonts w:ascii="Times New Roman" w:hAnsi="Times New Roman" w:cs="Times New Roman"/>
          <w:lang w:val="en-US"/>
        </w:rPr>
      </w:pPr>
      <w:r w:rsidRPr="00967E36">
        <w:rPr>
          <w:rFonts w:ascii="Times New Roman" w:hAnsi="Times New Roman" w:cs="Times New Roman"/>
          <w:lang w:val="en-US"/>
        </w:rPr>
        <w:t>CR = [(EF × ED × IRd × MC × CSF) / (BW × AT)] × 10</w:t>
      </w:r>
      <w:r w:rsidRPr="00967E36">
        <w:rPr>
          <w:rFonts w:ascii="Times New Roman" w:hAnsi="Times New Roman" w:cs="Times New Roman"/>
          <w:vertAlign w:val="superscript"/>
          <w:lang w:val="en-US"/>
        </w:rPr>
        <w:t xml:space="preserve">−3.   </w:t>
      </w:r>
      <w:r w:rsidRPr="00967E36">
        <w:rPr>
          <w:rFonts w:ascii="Times New Roman" w:hAnsi="Times New Roman" w:cs="Times New Roman"/>
          <w:lang w:val="en-US"/>
        </w:rPr>
        <w:t xml:space="preserve"> (4)</w:t>
      </w:r>
    </w:p>
    <w:p w14:paraId="354638A1" w14:textId="77777777" w:rsidR="00D439F3" w:rsidRPr="00967E36" w:rsidRDefault="00D439F3" w:rsidP="00C51B0E">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967E36">
        <w:rPr>
          <w:rFonts w:ascii="Times New Roman" w:eastAsia="Times New Roman" w:hAnsi="Times New Roman" w:cs="Times New Roman"/>
          <w:color w:val="000000"/>
          <w:lang w:val="en-US" w:eastAsia="fr-FR"/>
        </w:rPr>
        <w:t>CSF is the oral cancer slope factor from the USEPA IRIS database.</w:t>
      </w:r>
    </w:p>
    <w:p w14:paraId="61F73674" w14:textId="77777777" w:rsidR="00D439F3" w:rsidRPr="00967E36" w:rsidRDefault="00D439F3" w:rsidP="00C51B0E">
      <w:pPr>
        <w:numPr>
          <w:ilvl w:val="0"/>
          <w:numId w:val="2"/>
        </w:numPr>
        <w:spacing w:before="100" w:beforeAutospacing="1" w:after="100" w:afterAutospacing="1" w:line="480" w:lineRule="auto"/>
        <w:jc w:val="left"/>
        <w:rPr>
          <w:rFonts w:ascii="Times New Roman" w:hAnsi="Times New Roman" w:cs="Times New Roman"/>
          <w:color w:val="000000"/>
        </w:rPr>
      </w:pPr>
      <w:r w:rsidRPr="00967E36">
        <w:rPr>
          <w:rFonts w:ascii="Times New Roman" w:hAnsi="Times New Roman" w:cs="Times New Roman"/>
          <w:color w:val="000000"/>
        </w:rPr>
        <w:t>CR &gt; 1×10⁻⁴: unacceptable risk</w:t>
      </w:r>
    </w:p>
    <w:p w14:paraId="63F0E24B" w14:textId="77777777" w:rsidR="00D439F3" w:rsidRPr="00967E36" w:rsidRDefault="00D439F3" w:rsidP="00C51B0E">
      <w:pPr>
        <w:numPr>
          <w:ilvl w:val="0"/>
          <w:numId w:val="2"/>
        </w:numPr>
        <w:spacing w:before="100" w:beforeAutospacing="1" w:after="100" w:afterAutospacing="1" w:line="480" w:lineRule="auto"/>
        <w:jc w:val="left"/>
        <w:rPr>
          <w:rFonts w:ascii="Times New Roman" w:hAnsi="Times New Roman" w:cs="Times New Roman"/>
          <w:color w:val="000000"/>
        </w:rPr>
      </w:pPr>
      <w:r w:rsidRPr="00967E36">
        <w:rPr>
          <w:rFonts w:ascii="Times New Roman" w:hAnsi="Times New Roman" w:cs="Times New Roman"/>
          <w:color w:val="000000"/>
        </w:rPr>
        <w:t>1×10⁻⁶ ≤ CR ≤ 1×10⁻⁴: acceptable risk</w:t>
      </w:r>
    </w:p>
    <w:p w14:paraId="2B265580" w14:textId="77777777" w:rsidR="00D439F3" w:rsidRPr="00967E36" w:rsidRDefault="00D439F3" w:rsidP="00C51B0E">
      <w:pPr>
        <w:numPr>
          <w:ilvl w:val="0"/>
          <w:numId w:val="2"/>
        </w:numPr>
        <w:spacing w:before="100" w:beforeAutospacing="1" w:after="100" w:afterAutospacing="1" w:line="480" w:lineRule="auto"/>
        <w:jc w:val="left"/>
        <w:rPr>
          <w:rFonts w:ascii="Times New Roman" w:hAnsi="Times New Roman" w:cs="Times New Roman"/>
          <w:color w:val="000000"/>
        </w:rPr>
      </w:pPr>
      <w:r w:rsidRPr="00967E36">
        <w:rPr>
          <w:rFonts w:ascii="Times New Roman" w:hAnsi="Times New Roman" w:cs="Times New Roman"/>
          <w:color w:val="000000"/>
        </w:rPr>
        <w:t>CR &lt; 1×10⁻⁶: negligible risk</w:t>
      </w:r>
    </w:p>
    <w:p w14:paraId="78AAEBCF" w14:textId="77777777" w:rsidR="00D439F3" w:rsidRPr="00967E36" w:rsidRDefault="00D439F3" w:rsidP="00C51B0E">
      <w:pPr>
        <w:spacing w:before="100" w:beforeAutospacing="1" w:after="100" w:afterAutospacing="1" w:line="480" w:lineRule="auto"/>
        <w:ind w:left="0" w:firstLine="0"/>
        <w:rPr>
          <w:rFonts w:ascii="Times New Roman" w:hAnsi="Times New Roman" w:cs="Times New Roman"/>
          <w:color w:val="000000"/>
          <w:lang w:val="en-US"/>
        </w:rPr>
      </w:pPr>
      <w:r w:rsidRPr="00967E36">
        <w:rPr>
          <w:rFonts w:ascii="Times New Roman" w:hAnsi="Times New Roman" w:cs="Times New Roman"/>
          <w:color w:val="000000"/>
          <w:lang w:val="en-US"/>
        </w:rPr>
        <w:t>Only cadmium (Cd) was evaluated for carcinogenic risk, as it is classified by IARC as a Group 1 human carcinogen. For lead and mercury, no CSF values are currently available.</w:t>
      </w:r>
    </w:p>
    <w:p w14:paraId="50255C02" w14:textId="77777777" w:rsidR="00D439F3" w:rsidRPr="00967E36" w:rsidRDefault="00D439F3" w:rsidP="00C51B0E">
      <w:pPr>
        <w:spacing w:before="100" w:beforeAutospacing="1" w:after="100" w:afterAutospacing="1" w:line="480" w:lineRule="auto"/>
        <w:ind w:left="0" w:firstLine="0"/>
        <w:rPr>
          <w:rFonts w:ascii="Times New Roman" w:hAnsi="Times New Roman" w:cs="Times New Roman"/>
          <w:b/>
          <w:color w:val="000000"/>
          <w:lang w:val="en-US"/>
        </w:rPr>
      </w:pPr>
      <w:r w:rsidRPr="00967E36">
        <w:rPr>
          <w:rFonts w:ascii="Times New Roman" w:hAnsi="Times New Roman" w:cs="Times New Roman"/>
          <w:b/>
          <w:lang w:val="en-US"/>
        </w:rPr>
        <w:t xml:space="preserve">2.6. Statistical </w:t>
      </w:r>
      <w:r w:rsidR="008E407A" w:rsidRPr="00967E36">
        <w:rPr>
          <w:rFonts w:ascii="Times New Roman" w:hAnsi="Times New Roman" w:cs="Times New Roman"/>
          <w:b/>
          <w:lang w:val="en-US"/>
        </w:rPr>
        <w:t>d</w:t>
      </w:r>
      <w:r w:rsidRPr="00967E36">
        <w:rPr>
          <w:rFonts w:ascii="Times New Roman" w:hAnsi="Times New Roman" w:cs="Times New Roman"/>
          <w:b/>
          <w:lang w:val="en-US"/>
        </w:rPr>
        <w:t xml:space="preserve">ata </w:t>
      </w:r>
      <w:r w:rsidR="008E407A" w:rsidRPr="00967E36">
        <w:rPr>
          <w:rFonts w:ascii="Times New Roman" w:hAnsi="Times New Roman" w:cs="Times New Roman"/>
          <w:b/>
          <w:lang w:val="en-US"/>
        </w:rPr>
        <w:t>t</w:t>
      </w:r>
      <w:r w:rsidRPr="00967E36">
        <w:rPr>
          <w:rFonts w:ascii="Times New Roman" w:hAnsi="Times New Roman" w:cs="Times New Roman"/>
          <w:b/>
          <w:lang w:val="en-US"/>
        </w:rPr>
        <w:t>reatment</w:t>
      </w:r>
    </w:p>
    <w:p w14:paraId="4447A3A6" w14:textId="77777777" w:rsidR="00D439F3" w:rsidRPr="00967E36" w:rsidRDefault="00D439F3" w:rsidP="00C51B0E">
      <w:pPr>
        <w:spacing w:before="100" w:beforeAutospacing="1" w:after="100" w:afterAutospacing="1" w:line="480" w:lineRule="auto"/>
        <w:ind w:left="0" w:firstLine="0"/>
        <w:rPr>
          <w:rFonts w:ascii="Times New Roman" w:hAnsi="Times New Roman" w:cs="Times New Roman"/>
          <w:color w:val="000000"/>
          <w:lang w:val="en-US"/>
        </w:rPr>
      </w:pPr>
      <w:r w:rsidRPr="00967E36">
        <w:rPr>
          <w:rFonts w:ascii="Times New Roman" w:hAnsi="Times New Roman" w:cs="Times New Roman"/>
          <w:color w:val="000000"/>
          <w:lang w:val="en-US"/>
        </w:rPr>
        <w:t>Metal concentrations were expressed in mg·kg⁻¹ dry weight. Given the small sample size and non-normal distribution of data, only non-parametric statistical tests were used.</w:t>
      </w:r>
      <w:r w:rsidR="002776F5" w:rsidRPr="00967E36">
        <w:rPr>
          <w:rFonts w:ascii="Times New Roman" w:hAnsi="Times New Roman" w:cs="Times New Roman"/>
          <w:color w:val="000000"/>
          <w:lang w:val="en-US"/>
        </w:rPr>
        <w:t xml:space="preserve"> </w:t>
      </w:r>
      <w:r w:rsidRPr="00967E36">
        <w:rPr>
          <w:rFonts w:ascii="Times New Roman" w:hAnsi="Times New Roman" w:cs="Times New Roman"/>
          <w:color w:val="000000"/>
          <w:lang w:val="en-US"/>
        </w:rPr>
        <w:t>Data analysis was performed using Excel and RStudio, with the NADA package for censored data below detection limits. Shapiro-Wilk and Levene’s tests were used for normality and variance homogeneity. In the absence of normality, Kruskal-Wallis and Wilcoxon tests assessed differences among categories.</w:t>
      </w:r>
      <w:r w:rsidR="002776F5" w:rsidRPr="00967E36">
        <w:rPr>
          <w:rFonts w:ascii="Times New Roman" w:hAnsi="Times New Roman" w:cs="Times New Roman"/>
          <w:color w:val="000000"/>
          <w:lang w:val="en-US"/>
        </w:rPr>
        <w:t xml:space="preserve"> </w:t>
      </w:r>
      <w:r w:rsidRPr="00967E36">
        <w:rPr>
          <w:rFonts w:ascii="Times New Roman" w:hAnsi="Times New Roman" w:cs="Times New Roman"/>
          <w:color w:val="000000"/>
          <w:lang w:val="en-US"/>
        </w:rPr>
        <w:t xml:space="preserve">Kruskal-Wallis tests detected overall differences, while Dunn’s test was used for pairwise comparisons with Bonferroni-adjusted p-values. Kendall’s correlation test evaluated relationships between metals to assess potential shared sources. Results are expressed as p-values (0 to 1). A p-value ≤ 0.05 was considered statistically significant. </w:t>
      </w:r>
    </w:p>
    <w:p w14:paraId="0B5DF8DD" w14:textId="77777777" w:rsidR="00D439F3" w:rsidRPr="00967E36" w:rsidRDefault="00D439F3" w:rsidP="00C51B0E">
      <w:pPr>
        <w:pStyle w:val="Heading3"/>
        <w:spacing w:line="480" w:lineRule="auto"/>
        <w:rPr>
          <w:rStyle w:val="Strong"/>
          <w:b/>
          <w:bCs/>
          <w:color w:val="000000"/>
          <w:sz w:val="24"/>
          <w:szCs w:val="24"/>
          <w:lang w:val="en-US"/>
        </w:rPr>
        <w:sectPr w:rsidR="00D439F3" w:rsidRPr="00967E36" w:rsidSect="00A56412">
          <w:pgSz w:w="11900" w:h="16840"/>
          <w:pgMar w:top="1417" w:right="1417" w:bottom="1417" w:left="1417" w:header="708" w:footer="708" w:gutter="0"/>
          <w:cols w:space="708"/>
          <w:docGrid w:linePitch="360"/>
        </w:sectPr>
      </w:pPr>
    </w:p>
    <w:p w14:paraId="2F20FCCB" w14:textId="77777777" w:rsidR="00D439F3" w:rsidRPr="00967E36" w:rsidRDefault="00D439F3" w:rsidP="00C51B0E">
      <w:pPr>
        <w:pStyle w:val="ListParagraph"/>
        <w:numPr>
          <w:ilvl w:val="0"/>
          <w:numId w:val="3"/>
        </w:numPr>
        <w:spacing w:line="480" w:lineRule="auto"/>
        <w:rPr>
          <w:rFonts w:ascii="Times New Roman" w:hAnsi="Times New Roman" w:cs="Times New Roman"/>
          <w:b/>
        </w:rPr>
      </w:pPr>
      <w:r w:rsidRPr="00967E36">
        <w:rPr>
          <w:rFonts w:ascii="Times New Roman" w:hAnsi="Times New Roman" w:cs="Times New Roman"/>
          <w:b/>
        </w:rPr>
        <w:lastRenderedPageBreak/>
        <w:t>RESULTS</w:t>
      </w:r>
    </w:p>
    <w:p w14:paraId="1F8ECEAA" w14:textId="77777777" w:rsidR="00D439F3" w:rsidRPr="00967E36" w:rsidRDefault="00D439F3" w:rsidP="00C51B0E">
      <w:pPr>
        <w:spacing w:before="100" w:beforeAutospacing="1" w:after="120" w:line="480" w:lineRule="auto"/>
        <w:ind w:left="0" w:firstLine="0"/>
        <w:rPr>
          <w:rFonts w:ascii="Times New Roman" w:hAnsi="Times New Roman" w:cs="Times New Roman"/>
          <w:b/>
          <w:color w:val="000000"/>
          <w:lang w:val="en-US"/>
        </w:rPr>
      </w:pPr>
      <w:r w:rsidRPr="00967E36">
        <w:rPr>
          <w:rFonts w:ascii="Times New Roman" w:hAnsi="Times New Roman" w:cs="Times New Roman"/>
          <w:b/>
          <w:lang w:val="en-US"/>
        </w:rPr>
        <w:t xml:space="preserve">3.1. Levels of </w:t>
      </w:r>
      <w:r w:rsidR="008E407A" w:rsidRPr="00967E36">
        <w:rPr>
          <w:rFonts w:ascii="Times New Roman" w:hAnsi="Times New Roman" w:cs="Times New Roman"/>
          <w:b/>
        </w:rPr>
        <w:t>f</w:t>
      </w:r>
      <w:r w:rsidRPr="00967E36">
        <w:rPr>
          <w:rFonts w:ascii="Times New Roman" w:hAnsi="Times New Roman" w:cs="Times New Roman"/>
          <w:b/>
          <w:lang w:val="en-US"/>
        </w:rPr>
        <w:t xml:space="preserve">ish </w:t>
      </w:r>
      <w:r w:rsidR="008E407A" w:rsidRPr="00967E36">
        <w:rPr>
          <w:rFonts w:ascii="Times New Roman" w:hAnsi="Times New Roman" w:cs="Times New Roman"/>
          <w:b/>
        </w:rPr>
        <w:t>c</w:t>
      </w:r>
      <w:r w:rsidRPr="00967E36">
        <w:rPr>
          <w:rFonts w:ascii="Times New Roman" w:hAnsi="Times New Roman" w:cs="Times New Roman"/>
          <w:b/>
          <w:lang w:val="en-US"/>
        </w:rPr>
        <w:t>ontamination</w:t>
      </w:r>
    </w:p>
    <w:p w14:paraId="449B1E35" w14:textId="77777777" w:rsidR="00D439F3" w:rsidRPr="00967E36" w:rsidRDefault="00D439F3" w:rsidP="00C51B0E">
      <w:pPr>
        <w:spacing w:before="100" w:beforeAutospacing="1" w:after="100" w:afterAutospacing="1" w:line="480" w:lineRule="auto"/>
        <w:ind w:left="0" w:firstLine="0"/>
        <w:rPr>
          <w:rFonts w:ascii="Times New Roman" w:hAnsi="Times New Roman" w:cs="Times New Roman"/>
          <w:color w:val="000000"/>
          <w:lang w:val="en-US"/>
        </w:rPr>
      </w:pPr>
      <w:r w:rsidRPr="00967E36">
        <w:rPr>
          <w:rFonts w:ascii="Times New Roman" w:hAnsi="Times New Roman" w:cs="Times New Roman"/>
          <w:color w:val="000000"/>
          <w:lang w:val="en-US"/>
        </w:rPr>
        <w:t>The analysis of Cd, Hg, and Pb concentrations revealed heterogeneous contamination, marked by high levels for some metals and significant variability (Table 1).</w:t>
      </w:r>
    </w:p>
    <w:p w14:paraId="0DE2B7EA" w14:textId="61992207" w:rsidR="00D439F3" w:rsidRPr="00967E36" w:rsidRDefault="00D439F3" w:rsidP="00C51B0E">
      <w:pPr>
        <w:spacing w:before="100" w:beforeAutospacing="1" w:after="100" w:afterAutospacing="1" w:line="480" w:lineRule="auto"/>
        <w:ind w:left="0" w:firstLine="0"/>
        <w:rPr>
          <w:rFonts w:ascii="Times New Roman" w:hAnsi="Times New Roman" w:cs="Times New Roman"/>
          <w:bCs/>
          <w:lang w:val="en-US"/>
        </w:rPr>
      </w:pPr>
      <w:r w:rsidRPr="00967E36">
        <w:rPr>
          <w:rFonts w:ascii="Times New Roman" w:hAnsi="Times New Roman" w:cs="Times New Roman"/>
          <w:b/>
          <w:bCs/>
          <w:lang w:val="en-US"/>
        </w:rPr>
        <w:t>Table 1</w:t>
      </w:r>
      <w:r w:rsidRPr="00967E36">
        <w:rPr>
          <w:rFonts w:ascii="Times New Roman" w:hAnsi="Times New Roman" w:cs="Times New Roman"/>
          <w:bCs/>
          <w:lang w:val="en-US"/>
        </w:rPr>
        <w:t xml:space="preserve">. Maximum, minimum, and mean concentrations (mg/kg) of TMEs in S. melanotheron muscle tissue from the </w:t>
      </w:r>
      <w:r w:rsidR="00247A7A" w:rsidRPr="00967E36">
        <w:rPr>
          <w:rFonts w:ascii="Times New Roman" w:hAnsi="Times New Roman" w:cs="Times New Roman"/>
          <w:bCs/>
          <w:lang w:val="en-US"/>
        </w:rPr>
        <w:t>UNRGNPD</w:t>
      </w:r>
      <w:r w:rsidRPr="00967E36">
        <w:rPr>
          <w:rFonts w:ascii="Times New Roman" w:hAnsi="Times New Roman" w:cs="Times New Roman"/>
          <w:bCs/>
          <w:lang w:val="en-US"/>
        </w:rPr>
        <w:t xml:space="preserve"> (2021–2024)</w:t>
      </w:r>
      <w:r w:rsidR="004934C7" w:rsidRPr="00967E36">
        <w:rPr>
          <w:rFonts w:ascii="Times New Roman" w:hAnsi="Times New Roman" w:cs="Times New Roman"/>
          <w:bCs/>
          <w:lang w:val="en-US"/>
        </w:rPr>
        <w:t xml:space="preserve">. </w:t>
      </w:r>
    </w:p>
    <w:tbl>
      <w:tblPr>
        <w:tblStyle w:val="TableGrid"/>
        <w:tblW w:w="7463" w:type="dxa"/>
        <w:tblLook w:val="04A0" w:firstRow="1" w:lastRow="0" w:firstColumn="1" w:lastColumn="0" w:noHBand="0" w:noVBand="1"/>
      </w:tblPr>
      <w:tblGrid>
        <w:gridCol w:w="1470"/>
        <w:gridCol w:w="1403"/>
        <w:gridCol w:w="1363"/>
        <w:gridCol w:w="923"/>
        <w:gridCol w:w="2304"/>
      </w:tblGrid>
      <w:tr w:rsidR="004934C7" w:rsidRPr="00967E36" w14:paraId="18B7E177" w14:textId="77777777" w:rsidTr="004934C7">
        <w:trPr>
          <w:trHeight w:val="270"/>
        </w:trPr>
        <w:tc>
          <w:tcPr>
            <w:tcW w:w="1470" w:type="dxa"/>
            <w:vAlign w:val="center"/>
          </w:tcPr>
          <w:p w14:paraId="4DB64B9F" w14:textId="77777777" w:rsidR="004934C7" w:rsidRPr="00967E36" w:rsidRDefault="004934C7" w:rsidP="00C51B0E">
            <w:pPr>
              <w:spacing w:after="0" w:line="480" w:lineRule="auto"/>
              <w:jc w:val="center"/>
              <w:rPr>
                <w:rFonts w:ascii="Times New Roman" w:hAnsi="Times New Roman" w:cs="Times New Roman"/>
                <w:b/>
                <w:bCs/>
                <w:color w:val="000000"/>
              </w:rPr>
            </w:pPr>
            <w:r w:rsidRPr="00967E36">
              <w:rPr>
                <w:rFonts w:ascii="Times New Roman" w:hAnsi="Times New Roman" w:cs="Times New Roman"/>
                <w:b/>
                <w:bCs/>
                <w:color w:val="000000"/>
              </w:rPr>
              <w:t>TME</w:t>
            </w:r>
          </w:p>
        </w:tc>
        <w:tc>
          <w:tcPr>
            <w:tcW w:w="1403" w:type="dxa"/>
            <w:vAlign w:val="center"/>
          </w:tcPr>
          <w:p w14:paraId="657FF4C4" w14:textId="77777777" w:rsidR="004934C7" w:rsidRPr="00967E36" w:rsidRDefault="004934C7" w:rsidP="00C51B0E">
            <w:pPr>
              <w:spacing w:line="480" w:lineRule="auto"/>
              <w:jc w:val="center"/>
              <w:rPr>
                <w:rFonts w:ascii="Times New Roman" w:hAnsi="Times New Roman" w:cs="Times New Roman"/>
                <w:b/>
                <w:bCs/>
                <w:color w:val="000000"/>
              </w:rPr>
            </w:pPr>
            <w:r w:rsidRPr="00967E36">
              <w:rPr>
                <w:rFonts w:ascii="Times New Roman" w:hAnsi="Times New Roman" w:cs="Times New Roman"/>
                <w:b/>
                <w:bCs/>
                <w:color w:val="000000"/>
              </w:rPr>
              <w:t>Maximum</w:t>
            </w:r>
          </w:p>
        </w:tc>
        <w:tc>
          <w:tcPr>
            <w:tcW w:w="1363" w:type="dxa"/>
            <w:vAlign w:val="center"/>
          </w:tcPr>
          <w:p w14:paraId="78DDF384" w14:textId="77777777" w:rsidR="004934C7" w:rsidRPr="00967E36" w:rsidRDefault="004934C7" w:rsidP="00C51B0E">
            <w:pPr>
              <w:spacing w:line="480" w:lineRule="auto"/>
              <w:jc w:val="center"/>
              <w:rPr>
                <w:rFonts w:ascii="Times New Roman" w:hAnsi="Times New Roman" w:cs="Times New Roman"/>
                <w:b/>
                <w:bCs/>
                <w:color w:val="000000"/>
              </w:rPr>
            </w:pPr>
            <w:r w:rsidRPr="00967E36">
              <w:rPr>
                <w:rFonts w:ascii="Times New Roman" w:hAnsi="Times New Roman" w:cs="Times New Roman"/>
                <w:b/>
                <w:bCs/>
                <w:color w:val="000000"/>
              </w:rPr>
              <w:t>Minimum</w:t>
            </w:r>
          </w:p>
        </w:tc>
        <w:tc>
          <w:tcPr>
            <w:tcW w:w="923" w:type="dxa"/>
            <w:vAlign w:val="center"/>
          </w:tcPr>
          <w:p w14:paraId="75D419DE" w14:textId="77777777" w:rsidR="004934C7" w:rsidRPr="00967E36" w:rsidRDefault="004934C7" w:rsidP="00C51B0E">
            <w:pPr>
              <w:spacing w:line="480" w:lineRule="auto"/>
              <w:jc w:val="center"/>
              <w:rPr>
                <w:rFonts w:ascii="Times New Roman" w:hAnsi="Times New Roman" w:cs="Times New Roman"/>
                <w:b/>
                <w:bCs/>
                <w:color w:val="000000"/>
              </w:rPr>
            </w:pPr>
            <w:r w:rsidRPr="00967E36">
              <w:rPr>
                <w:rFonts w:ascii="Times New Roman" w:hAnsi="Times New Roman" w:cs="Times New Roman"/>
                <w:b/>
                <w:bCs/>
                <w:color w:val="000000"/>
              </w:rPr>
              <w:t>Mean</w:t>
            </w:r>
          </w:p>
        </w:tc>
        <w:tc>
          <w:tcPr>
            <w:tcW w:w="2304" w:type="dxa"/>
            <w:vAlign w:val="center"/>
          </w:tcPr>
          <w:p w14:paraId="64F150DC" w14:textId="77777777" w:rsidR="004934C7" w:rsidRPr="00967E36" w:rsidRDefault="004934C7" w:rsidP="00C51B0E">
            <w:pPr>
              <w:spacing w:line="480" w:lineRule="auto"/>
              <w:jc w:val="center"/>
              <w:rPr>
                <w:rFonts w:ascii="Times New Roman" w:hAnsi="Times New Roman" w:cs="Times New Roman"/>
                <w:b/>
                <w:bCs/>
                <w:color w:val="000000"/>
              </w:rPr>
            </w:pPr>
            <w:r w:rsidRPr="00967E36">
              <w:rPr>
                <w:rFonts w:ascii="Times New Roman" w:hAnsi="Times New Roman" w:cs="Times New Roman"/>
                <w:b/>
                <w:bCs/>
                <w:color w:val="000000"/>
              </w:rPr>
              <w:t>Std. Deviation</w:t>
            </w:r>
          </w:p>
        </w:tc>
      </w:tr>
      <w:tr w:rsidR="004934C7" w:rsidRPr="00967E36" w14:paraId="3F3283AC" w14:textId="77777777" w:rsidTr="004934C7">
        <w:trPr>
          <w:trHeight w:val="673"/>
        </w:trPr>
        <w:tc>
          <w:tcPr>
            <w:tcW w:w="1470" w:type="dxa"/>
            <w:vAlign w:val="center"/>
          </w:tcPr>
          <w:p w14:paraId="61514807" w14:textId="77777777" w:rsidR="004934C7" w:rsidRPr="00967E36" w:rsidRDefault="004934C7" w:rsidP="00C51B0E">
            <w:pPr>
              <w:spacing w:line="480" w:lineRule="auto"/>
              <w:jc w:val="center"/>
              <w:rPr>
                <w:rFonts w:ascii="Times New Roman" w:hAnsi="Times New Roman" w:cs="Times New Roman"/>
              </w:rPr>
            </w:pPr>
            <w:r w:rsidRPr="00967E36">
              <w:rPr>
                <w:rFonts w:ascii="Times New Roman" w:hAnsi="Times New Roman" w:cs="Times New Roman"/>
              </w:rPr>
              <w:t>Cd</w:t>
            </w:r>
          </w:p>
        </w:tc>
        <w:tc>
          <w:tcPr>
            <w:tcW w:w="1403" w:type="dxa"/>
            <w:vAlign w:val="center"/>
          </w:tcPr>
          <w:p w14:paraId="06451E6C" w14:textId="77777777" w:rsidR="004934C7" w:rsidRPr="00967E36" w:rsidRDefault="004934C7" w:rsidP="00C51B0E">
            <w:pPr>
              <w:spacing w:line="480" w:lineRule="auto"/>
              <w:jc w:val="center"/>
              <w:rPr>
                <w:rFonts w:ascii="Times New Roman" w:hAnsi="Times New Roman" w:cs="Times New Roman"/>
              </w:rPr>
            </w:pPr>
            <w:r w:rsidRPr="00967E36">
              <w:rPr>
                <w:rFonts w:ascii="Times New Roman" w:hAnsi="Times New Roman" w:cs="Times New Roman"/>
              </w:rPr>
              <w:t>28.19</w:t>
            </w:r>
          </w:p>
        </w:tc>
        <w:tc>
          <w:tcPr>
            <w:tcW w:w="1363" w:type="dxa"/>
            <w:vAlign w:val="center"/>
          </w:tcPr>
          <w:p w14:paraId="24ACBB9A" w14:textId="77777777" w:rsidR="004934C7" w:rsidRPr="00967E36" w:rsidRDefault="004934C7" w:rsidP="00C51B0E">
            <w:pPr>
              <w:spacing w:line="480" w:lineRule="auto"/>
              <w:jc w:val="center"/>
              <w:rPr>
                <w:rFonts w:ascii="Times New Roman" w:hAnsi="Times New Roman" w:cs="Times New Roman"/>
              </w:rPr>
            </w:pPr>
            <w:r w:rsidRPr="00967E36">
              <w:rPr>
                <w:rFonts w:ascii="Times New Roman" w:hAnsi="Times New Roman" w:cs="Times New Roman"/>
              </w:rPr>
              <w:t>0.025</w:t>
            </w:r>
          </w:p>
        </w:tc>
        <w:tc>
          <w:tcPr>
            <w:tcW w:w="923" w:type="dxa"/>
            <w:vAlign w:val="center"/>
          </w:tcPr>
          <w:p w14:paraId="11A5B66D" w14:textId="77777777" w:rsidR="004934C7" w:rsidRPr="00967E36" w:rsidRDefault="004934C7" w:rsidP="00C51B0E">
            <w:pPr>
              <w:spacing w:line="480" w:lineRule="auto"/>
              <w:jc w:val="center"/>
              <w:rPr>
                <w:rFonts w:ascii="Times New Roman" w:hAnsi="Times New Roman" w:cs="Times New Roman"/>
              </w:rPr>
            </w:pPr>
            <w:r w:rsidRPr="00967E36">
              <w:rPr>
                <w:rFonts w:ascii="Times New Roman" w:hAnsi="Times New Roman" w:cs="Times New Roman"/>
              </w:rPr>
              <w:t>4.03</w:t>
            </w:r>
          </w:p>
        </w:tc>
        <w:tc>
          <w:tcPr>
            <w:tcW w:w="2304" w:type="dxa"/>
            <w:vAlign w:val="center"/>
          </w:tcPr>
          <w:p w14:paraId="1D541EE9" w14:textId="77777777" w:rsidR="004934C7" w:rsidRPr="00967E36" w:rsidRDefault="004934C7" w:rsidP="00C51B0E">
            <w:pPr>
              <w:spacing w:line="480" w:lineRule="auto"/>
              <w:jc w:val="center"/>
              <w:rPr>
                <w:rFonts w:ascii="Times New Roman" w:hAnsi="Times New Roman" w:cs="Times New Roman"/>
              </w:rPr>
            </w:pPr>
            <w:r w:rsidRPr="00967E36">
              <w:rPr>
                <w:rFonts w:ascii="Times New Roman" w:hAnsi="Times New Roman" w:cs="Times New Roman"/>
              </w:rPr>
              <w:t>9.57</w:t>
            </w:r>
          </w:p>
        </w:tc>
      </w:tr>
      <w:tr w:rsidR="004934C7" w:rsidRPr="00967E36" w14:paraId="58B99E58" w14:textId="77777777" w:rsidTr="004934C7">
        <w:trPr>
          <w:trHeight w:val="555"/>
        </w:trPr>
        <w:tc>
          <w:tcPr>
            <w:tcW w:w="1470" w:type="dxa"/>
            <w:vAlign w:val="center"/>
          </w:tcPr>
          <w:p w14:paraId="0FF22BB6" w14:textId="77777777" w:rsidR="004934C7" w:rsidRPr="00967E36" w:rsidRDefault="004934C7" w:rsidP="00C51B0E">
            <w:pPr>
              <w:spacing w:line="480" w:lineRule="auto"/>
              <w:jc w:val="center"/>
              <w:rPr>
                <w:rFonts w:ascii="Times New Roman" w:hAnsi="Times New Roman" w:cs="Times New Roman"/>
              </w:rPr>
            </w:pPr>
            <w:r w:rsidRPr="00967E36">
              <w:rPr>
                <w:rFonts w:ascii="Times New Roman" w:hAnsi="Times New Roman" w:cs="Times New Roman"/>
              </w:rPr>
              <w:t>Hg</w:t>
            </w:r>
          </w:p>
        </w:tc>
        <w:tc>
          <w:tcPr>
            <w:tcW w:w="1403" w:type="dxa"/>
            <w:vAlign w:val="center"/>
          </w:tcPr>
          <w:p w14:paraId="5883B0DE" w14:textId="77777777" w:rsidR="004934C7" w:rsidRPr="00967E36" w:rsidRDefault="004934C7" w:rsidP="00C51B0E">
            <w:pPr>
              <w:spacing w:line="480" w:lineRule="auto"/>
              <w:jc w:val="center"/>
              <w:rPr>
                <w:rFonts w:ascii="Times New Roman" w:hAnsi="Times New Roman" w:cs="Times New Roman"/>
              </w:rPr>
            </w:pPr>
            <w:r w:rsidRPr="00967E36">
              <w:rPr>
                <w:rFonts w:ascii="Times New Roman" w:hAnsi="Times New Roman" w:cs="Times New Roman"/>
              </w:rPr>
              <w:t>7.92</w:t>
            </w:r>
          </w:p>
        </w:tc>
        <w:tc>
          <w:tcPr>
            <w:tcW w:w="1363" w:type="dxa"/>
            <w:vAlign w:val="center"/>
          </w:tcPr>
          <w:p w14:paraId="4F2526FD" w14:textId="77777777" w:rsidR="004934C7" w:rsidRPr="00967E36" w:rsidRDefault="004934C7" w:rsidP="00C51B0E">
            <w:pPr>
              <w:spacing w:line="480" w:lineRule="auto"/>
              <w:jc w:val="center"/>
              <w:rPr>
                <w:rFonts w:ascii="Times New Roman" w:hAnsi="Times New Roman" w:cs="Times New Roman"/>
              </w:rPr>
            </w:pPr>
            <w:r w:rsidRPr="00967E36">
              <w:rPr>
                <w:rFonts w:ascii="Times New Roman" w:hAnsi="Times New Roman" w:cs="Times New Roman"/>
              </w:rPr>
              <w:t>0.01</w:t>
            </w:r>
          </w:p>
        </w:tc>
        <w:tc>
          <w:tcPr>
            <w:tcW w:w="923" w:type="dxa"/>
            <w:vAlign w:val="center"/>
          </w:tcPr>
          <w:p w14:paraId="5F5598CA" w14:textId="77777777" w:rsidR="004934C7" w:rsidRPr="00967E36" w:rsidRDefault="004934C7" w:rsidP="00C51B0E">
            <w:pPr>
              <w:spacing w:line="480" w:lineRule="auto"/>
              <w:jc w:val="center"/>
              <w:rPr>
                <w:rFonts w:ascii="Times New Roman" w:hAnsi="Times New Roman" w:cs="Times New Roman"/>
              </w:rPr>
            </w:pPr>
            <w:r w:rsidRPr="00967E36">
              <w:rPr>
                <w:rFonts w:ascii="Times New Roman" w:hAnsi="Times New Roman" w:cs="Times New Roman"/>
              </w:rPr>
              <w:t>1.13</w:t>
            </w:r>
          </w:p>
        </w:tc>
        <w:tc>
          <w:tcPr>
            <w:tcW w:w="2304" w:type="dxa"/>
            <w:vAlign w:val="center"/>
          </w:tcPr>
          <w:p w14:paraId="71D37843" w14:textId="77777777" w:rsidR="004934C7" w:rsidRPr="00967E36" w:rsidRDefault="004934C7" w:rsidP="00C51B0E">
            <w:pPr>
              <w:spacing w:line="480" w:lineRule="auto"/>
              <w:jc w:val="center"/>
              <w:rPr>
                <w:rFonts w:ascii="Times New Roman" w:hAnsi="Times New Roman" w:cs="Times New Roman"/>
              </w:rPr>
            </w:pPr>
            <w:r w:rsidRPr="00967E36">
              <w:rPr>
                <w:rFonts w:ascii="Times New Roman" w:hAnsi="Times New Roman" w:cs="Times New Roman"/>
              </w:rPr>
              <w:t>2.77</w:t>
            </w:r>
          </w:p>
        </w:tc>
      </w:tr>
      <w:tr w:rsidR="004934C7" w:rsidRPr="00967E36" w14:paraId="3C181227" w14:textId="77777777" w:rsidTr="004934C7">
        <w:trPr>
          <w:trHeight w:val="393"/>
        </w:trPr>
        <w:tc>
          <w:tcPr>
            <w:tcW w:w="1470" w:type="dxa"/>
            <w:vAlign w:val="center"/>
          </w:tcPr>
          <w:p w14:paraId="63FC877C" w14:textId="77777777" w:rsidR="004934C7" w:rsidRPr="00967E36" w:rsidRDefault="004934C7" w:rsidP="00C51B0E">
            <w:pPr>
              <w:spacing w:line="480" w:lineRule="auto"/>
              <w:jc w:val="center"/>
              <w:rPr>
                <w:rFonts w:ascii="Times New Roman" w:hAnsi="Times New Roman" w:cs="Times New Roman"/>
              </w:rPr>
            </w:pPr>
            <w:r w:rsidRPr="00967E36">
              <w:rPr>
                <w:rFonts w:ascii="Times New Roman" w:hAnsi="Times New Roman" w:cs="Times New Roman"/>
              </w:rPr>
              <w:t>Pb</w:t>
            </w:r>
          </w:p>
        </w:tc>
        <w:tc>
          <w:tcPr>
            <w:tcW w:w="1403" w:type="dxa"/>
            <w:vAlign w:val="center"/>
          </w:tcPr>
          <w:p w14:paraId="69E68100" w14:textId="77777777" w:rsidR="004934C7" w:rsidRPr="00967E36" w:rsidRDefault="004934C7" w:rsidP="00C51B0E">
            <w:pPr>
              <w:spacing w:line="480" w:lineRule="auto"/>
              <w:jc w:val="center"/>
              <w:rPr>
                <w:rFonts w:ascii="Times New Roman" w:hAnsi="Times New Roman" w:cs="Times New Roman"/>
              </w:rPr>
            </w:pPr>
            <w:r w:rsidRPr="00967E36">
              <w:rPr>
                <w:rFonts w:ascii="Times New Roman" w:hAnsi="Times New Roman" w:cs="Times New Roman"/>
              </w:rPr>
              <w:t>2.24</w:t>
            </w:r>
          </w:p>
        </w:tc>
        <w:tc>
          <w:tcPr>
            <w:tcW w:w="1363" w:type="dxa"/>
            <w:vAlign w:val="center"/>
          </w:tcPr>
          <w:p w14:paraId="4AEFDEDA" w14:textId="77777777" w:rsidR="004934C7" w:rsidRPr="00967E36" w:rsidRDefault="004934C7" w:rsidP="00C51B0E">
            <w:pPr>
              <w:spacing w:line="480" w:lineRule="auto"/>
              <w:jc w:val="center"/>
              <w:rPr>
                <w:rFonts w:ascii="Times New Roman" w:hAnsi="Times New Roman" w:cs="Times New Roman"/>
              </w:rPr>
            </w:pPr>
            <w:r w:rsidRPr="00967E36">
              <w:rPr>
                <w:rFonts w:ascii="Times New Roman" w:hAnsi="Times New Roman" w:cs="Times New Roman"/>
              </w:rPr>
              <w:t>0.025</w:t>
            </w:r>
          </w:p>
        </w:tc>
        <w:tc>
          <w:tcPr>
            <w:tcW w:w="923" w:type="dxa"/>
            <w:vAlign w:val="center"/>
          </w:tcPr>
          <w:p w14:paraId="6F4522B7" w14:textId="77777777" w:rsidR="004934C7" w:rsidRPr="00967E36" w:rsidRDefault="004934C7" w:rsidP="00C51B0E">
            <w:pPr>
              <w:spacing w:line="480" w:lineRule="auto"/>
              <w:jc w:val="center"/>
              <w:rPr>
                <w:rFonts w:ascii="Times New Roman" w:hAnsi="Times New Roman" w:cs="Times New Roman"/>
              </w:rPr>
            </w:pPr>
            <w:r w:rsidRPr="00967E36">
              <w:rPr>
                <w:rFonts w:ascii="Times New Roman" w:hAnsi="Times New Roman" w:cs="Times New Roman"/>
              </w:rPr>
              <w:t>0.66</w:t>
            </w:r>
          </w:p>
        </w:tc>
        <w:tc>
          <w:tcPr>
            <w:tcW w:w="2304" w:type="dxa"/>
            <w:vAlign w:val="center"/>
          </w:tcPr>
          <w:p w14:paraId="4A51B84C" w14:textId="77777777" w:rsidR="004934C7" w:rsidRPr="00967E36" w:rsidRDefault="004934C7" w:rsidP="00C51B0E">
            <w:pPr>
              <w:spacing w:line="480" w:lineRule="auto"/>
              <w:jc w:val="center"/>
              <w:rPr>
                <w:rFonts w:ascii="Times New Roman" w:hAnsi="Times New Roman" w:cs="Times New Roman"/>
              </w:rPr>
            </w:pPr>
            <w:r w:rsidRPr="00967E36">
              <w:rPr>
                <w:rFonts w:ascii="Times New Roman" w:hAnsi="Times New Roman" w:cs="Times New Roman"/>
              </w:rPr>
              <w:t>0.78</w:t>
            </w:r>
          </w:p>
        </w:tc>
      </w:tr>
    </w:tbl>
    <w:p w14:paraId="027D3425" w14:textId="77777777" w:rsidR="00D439F3" w:rsidRPr="00967E36" w:rsidRDefault="00D439F3" w:rsidP="00C51B0E">
      <w:pPr>
        <w:spacing w:before="100" w:beforeAutospacing="1" w:after="100" w:afterAutospacing="1" w:line="480" w:lineRule="auto"/>
        <w:ind w:left="0" w:firstLine="0"/>
        <w:rPr>
          <w:rFonts w:ascii="Times New Roman" w:hAnsi="Times New Roman" w:cs="Times New Roman"/>
          <w:color w:val="000000"/>
          <w:lang w:val="en-US"/>
        </w:rPr>
      </w:pPr>
      <w:r w:rsidRPr="00967E36">
        <w:rPr>
          <w:rFonts w:ascii="Times New Roman" w:hAnsi="Times New Roman" w:cs="Times New Roman"/>
          <w:color w:val="000000"/>
          <w:lang w:val="en-US"/>
        </w:rPr>
        <w:t>Cadmium (Cd) exhibited particularly high concentrations, reaching up to 28.19 mg/kg, with a minimum of 0.025 mg/kg and an average of 4.03 ± 9.57 mg/kg. Mercury (Hg) was also present, with an average of 1.13 ± 2.77 mg/kg and a maximum of 7.92 mg/kg. In contrast, lead (Pb) showed more moderate levels, with an average of 0.66 ± 0.78 mg/kg and a maximum of 2.24 mg/kg.</w:t>
      </w:r>
      <w:r w:rsidR="00B37B51" w:rsidRPr="00967E36">
        <w:rPr>
          <w:rFonts w:ascii="Times New Roman" w:hAnsi="Times New Roman" w:cs="Times New Roman"/>
          <w:color w:val="000000"/>
          <w:lang w:val="en-US"/>
        </w:rPr>
        <w:t xml:space="preserve"> </w:t>
      </w:r>
      <w:r w:rsidRPr="00967E36">
        <w:rPr>
          <w:rFonts w:ascii="Times New Roman" w:hAnsi="Times New Roman" w:cs="Times New Roman"/>
          <w:color w:val="000000"/>
          <w:lang w:val="en-US"/>
        </w:rPr>
        <w:t>The spatial distribution analysis of trace metals showed that fish from Lake Kakhira had significantly higher bioaccumulation levels than those from other sites (Figure 2a). However, Kruskal-Wallis tests applied to each metal did not reveal statistically significant differences between sites (</w:t>
      </w:r>
      <w:r w:rsidRPr="00967E36">
        <w:rPr>
          <w:rFonts w:ascii="Times New Roman" w:hAnsi="Times New Roman" w:cs="Times New Roman"/>
          <w:i/>
          <w:color w:val="000000"/>
          <w:lang w:val="en-US"/>
        </w:rPr>
        <w:t>p &gt; 0.05</w:t>
      </w:r>
      <w:r w:rsidRPr="00967E36">
        <w:rPr>
          <w:rFonts w:ascii="Times New Roman" w:hAnsi="Times New Roman" w:cs="Times New Roman"/>
          <w:color w:val="000000"/>
          <w:lang w:val="en-US"/>
        </w:rPr>
        <w:t>), indicating spatial homogeneity of metal contamination.</w:t>
      </w:r>
      <w:r w:rsidR="00B37B51" w:rsidRPr="00967E36">
        <w:rPr>
          <w:rFonts w:ascii="Times New Roman" w:hAnsi="Times New Roman" w:cs="Times New Roman"/>
          <w:color w:val="000000"/>
          <w:lang w:val="en-US"/>
        </w:rPr>
        <w:t xml:space="preserve"> </w:t>
      </w:r>
      <w:r w:rsidRPr="00967E36">
        <w:rPr>
          <w:rFonts w:ascii="Times New Roman" w:hAnsi="Times New Roman" w:cs="Times New Roman"/>
          <w:color w:val="000000"/>
          <w:lang w:val="en-US"/>
        </w:rPr>
        <w:t>Seasonal trends showed notably higher Cd and Hg concentrations during the rainy season, while Pb slightly increased during the dry season (Figure 2c). Among the metals, only Cd exhibited a statistically significant seasonal variation (</w:t>
      </w:r>
      <w:r w:rsidRPr="00967E36">
        <w:rPr>
          <w:rFonts w:ascii="Times New Roman" w:hAnsi="Times New Roman" w:cs="Times New Roman"/>
          <w:i/>
          <w:color w:val="000000"/>
          <w:lang w:val="en-US"/>
        </w:rPr>
        <w:t>p &lt; 0.05</w:t>
      </w:r>
      <w:r w:rsidRPr="00967E36">
        <w:rPr>
          <w:rFonts w:ascii="Times New Roman" w:hAnsi="Times New Roman" w:cs="Times New Roman"/>
          <w:color w:val="000000"/>
          <w:lang w:val="en-US"/>
        </w:rPr>
        <w:t>), whereas Hg and Pb did not (</w:t>
      </w:r>
      <w:r w:rsidRPr="00967E36">
        <w:rPr>
          <w:rFonts w:ascii="Times New Roman" w:hAnsi="Times New Roman" w:cs="Times New Roman"/>
          <w:i/>
          <w:color w:val="000000"/>
          <w:lang w:val="en-US"/>
        </w:rPr>
        <w:t>p &gt; 0.05</w:t>
      </w:r>
      <w:r w:rsidRPr="00967E36">
        <w:rPr>
          <w:rFonts w:ascii="Times New Roman" w:hAnsi="Times New Roman" w:cs="Times New Roman"/>
          <w:color w:val="000000"/>
          <w:lang w:val="en-US"/>
        </w:rPr>
        <w:t>).</w:t>
      </w:r>
      <w:r w:rsidR="00B37B51" w:rsidRPr="00967E36">
        <w:rPr>
          <w:rFonts w:ascii="Times New Roman" w:hAnsi="Times New Roman" w:cs="Times New Roman"/>
          <w:color w:val="000000"/>
          <w:lang w:val="en-US"/>
        </w:rPr>
        <w:t xml:space="preserve"> </w:t>
      </w:r>
      <w:r w:rsidRPr="00967E36">
        <w:rPr>
          <w:rFonts w:ascii="Times New Roman" w:hAnsi="Times New Roman" w:cs="Times New Roman"/>
          <w:color w:val="000000"/>
          <w:lang w:val="en-US"/>
        </w:rPr>
        <w:t xml:space="preserve">Interannual variations were more pronounced, with peaks in Pb and Hg concentrations in 2021 </w:t>
      </w:r>
      <w:r w:rsidRPr="00967E36">
        <w:rPr>
          <w:rFonts w:ascii="Times New Roman" w:hAnsi="Times New Roman" w:cs="Times New Roman"/>
          <w:color w:val="000000"/>
          <w:lang w:val="en-US"/>
        </w:rPr>
        <w:lastRenderedPageBreak/>
        <w:t>and a Pb maximum in 2024 (Figure 2b). In contrast, 2022 and 2023 recorded particularly low TME concentrations. These temporal dynamics were supported by highly significant interannual differences in all metals (</w:t>
      </w:r>
      <w:r w:rsidRPr="00967E36">
        <w:rPr>
          <w:rFonts w:ascii="Times New Roman" w:hAnsi="Times New Roman" w:cs="Times New Roman"/>
          <w:i/>
          <w:color w:val="000000"/>
          <w:lang w:val="en-US"/>
        </w:rPr>
        <w:t>p &lt; 0.01</w:t>
      </w:r>
      <w:r w:rsidRPr="00967E36">
        <w:rPr>
          <w:rFonts w:ascii="Times New Roman" w:hAnsi="Times New Roman" w:cs="Times New Roman"/>
          <w:color w:val="000000"/>
          <w:lang w:val="en-US"/>
        </w:rPr>
        <w:t>).</w:t>
      </w:r>
    </w:p>
    <w:p w14:paraId="184617FB" w14:textId="77777777" w:rsidR="00B37B51" w:rsidRPr="00C51B0E" w:rsidRDefault="00B37B51" w:rsidP="00C51B0E">
      <w:pPr>
        <w:spacing w:before="100" w:beforeAutospacing="1" w:after="100" w:afterAutospacing="1" w:line="480" w:lineRule="auto"/>
        <w:ind w:left="0" w:firstLine="0"/>
        <w:rPr>
          <w:rFonts w:ascii="Times New Roman" w:hAnsi="Times New Roman" w:cs="Times New Roman"/>
          <w:color w:val="000000"/>
          <w:sz w:val="22"/>
          <w:szCs w:val="22"/>
        </w:rPr>
      </w:pPr>
      <w:r w:rsidRPr="00C51B0E">
        <w:rPr>
          <w:rFonts w:ascii="Times New Roman" w:hAnsi="Times New Roman" w:cs="Times New Roman"/>
          <w:noProof/>
          <w:sz w:val="22"/>
          <w:szCs w:val="22"/>
          <w:lang w:val="en-US"/>
        </w:rPr>
        <w:drawing>
          <wp:inline distT="0" distB="0" distL="0" distR="0" wp14:anchorId="14B666CF" wp14:editId="3492D4C3">
            <wp:extent cx="2829600" cy="1800764"/>
            <wp:effectExtent l="0" t="0" r="2540" b="317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29600" cy="1800764"/>
                    </a:xfrm>
                    <a:prstGeom prst="rect">
                      <a:avLst/>
                    </a:prstGeom>
                  </pic:spPr>
                </pic:pic>
              </a:graphicData>
            </a:graphic>
          </wp:inline>
        </w:drawing>
      </w:r>
      <w:r w:rsidRPr="00C51B0E">
        <w:rPr>
          <w:rFonts w:ascii="Times New Roman" w:hAnsi="Times New Roman" w:cs="Times New Roman"/>
          <w:noProof/>
          <w:sz w:val="22"/>
          <w:szCs w:val="22"/>
          <w:lang w:val="en-US"/>
        </w:rPr>
        <w:drawing>
          <wp:inline distT="0" distB="0" distL="0" distR="0" wp14:anchorId="7FF91434" wp14:editId="11890727">
            <wp:extent cx="2826000" cy="1800576"/>
            <wp:effectExtent l="0" t="0" r="0" b="317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26000" cy="1800576"/>
                    </a:xfrm>
                    <a:prstGeom prst="rect">
                      <a:avLst/>
                    </a:prstGeom>
                  </pic:spPr>
                </pic:pic>
              </a:graphicData>
            </a:graphic>
          </wp:inline>
        </w:drawing>
      </w:r>
      <w:r w:rsidRPr="00C51B0E">
        <w:rPr>
          <w:rFonts w:ascii="Times New Roman" w:hAnsi="Times New Roman" w:cs="Times New Roman"/>
          <w:noProof/>
          <w:sz w:val="22"/>
          <w:szCs w:val="22"/>
          <w:lang w:val="en-US"/>
        </w:rPr>
        <w:drawing>
          <wp:inline distT="0" distB="0" distL="0" distR="0" wp14:anchorId="50E42B2C" wp14:editId="5C59262D">
            <wp:extent cx="2829600" cy="1800764"/>
            <wp:effectExtent l="0" t="0" r="2540" b="317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829600" cy="1800764"/>
                    </a:xfrm>
                    <a:prstGeom prst="rect">
                      <a:avLst/>
                    </a:prstGeom>
                  </pic:spPr>
                </pic:pic>
              </a:graphicData>
            </a:graphic>
          </wp:inline>
        </w:drawing>
      </w:r>
    </w:p>
    <w:p w14:paraId="5412B5ED" w14:textId="6EF85932" w:rsidR="00B37B51" w:rsidRPr="00967E36" w:rsidRDefault="00B37B51" w:rsidP="00C51B0E">
      <w:pPr>
        <w:spacing w:after="0" w:line="480" w:lineRule="auto"/>
        <w:ind w:left="0" w:firstLine="0"/>
        <w:rPr>
          <w:rFonts w:ascii="Times New Roman" w:eastAsia="Times New Roman" w:hAnsi="Times New Roman" w:cs="Times New Roman"/>
          <w:lang w:val="en-US" w:eastAsia="fr-FR"/>
        </w:rPr>
      </w:pPr>
      <w:r w:rsidRPr="00967E36">
        <w:rPr>
          <w:rFonts w:ascii="Times New Roman" w:eastAsia="Times New Roman" w:hAnsi="Times New Roman" w:cs="Times New Roman"/>
          <w:lang w:val="en-US" w:eastAsia="fr-FR"/>
        </w:rPr>
        <w:t xml:space="preserve">Figure 2: Spatiotemporal variations in the average concentrations of trace metal elements (TMEs) in the flesh of </w:t>
      </w:r>
      <w:r w:rsidRPr="00967E36">
        <w:rPr>
          <w:rFonts w:ascii="Times New Roman" w:eastAsia="Times New Roman" w:hAnsi="Times New Roman" w:cs="Times New Roman"/>
          <w:i/>
          <w:iCs/>
          <w:lang w:val="en-US" w:eastAsia="fr-FR"/>
        </w:rPr>
        <w:t>Sarotherodon melanotheron</w:t>
      </w:r>
      <w:r w:rsidRPr="00967E36">
        <w:rPr>
          <w:rFonts w:ascii="Times New Roman" w:eastAsia="Times New Roman" w:hAnsi="Times New Roman" w:cs="Times New Roman"/>
          <w:lang w:val="en-US" w:eastAsia="fr-FR"/>
        </w:rPr>
        <w:t xml:space="preserve"> from the </w:t>
      </w:r>
      <w:r w:rsidR="00247A7A" w:rsidRPr="00967E36">
        <w:rPr>
          <w:rFonts w:ascii="Times New Roman" w:eastAsia="Times New Roman" w:hAnsi="Times New Roman" w:cs="Times New Roman"/>
          <w:lang w:val="en-US" w:eastAsia="fr-FR"/>
        </w:rPr>
        <w:t>UNRGNPD</w:t>
      </w:r>
      <w:r w:rsidRPr="00967E36">
        <w:rPr>
          <w:rFonts w:ascii="Times New Roman" w:eastAsia="Times New Roman" w:hAnsi="Times New Roman" w:cs="Times New Roman"/>
          <w:lang w:val="en-US" w:eastAsia="fr-FR"/>
        </w:rPr>
        <w:t>.</w:t>
      </w:r>
    </w:p>
    <w:p w14:paraId="6CDA2959" w14:textId="77777777" w:rsidR="004934C7" w:rsidRPr="00967E36" w:rsidRDefault="004934C7" w:rsidP="00C51B0E">
      <w:pPr>
        <w:spacing w:before="100" w:beforeAutospacing="1" w:after="100" w:afterAutospacing="1" w:line="480" w:lineRule="auto"/>
        <w:ind w:left="0" w:firstLine="0"/>
        <w:rPr>
          <w:rFonts w:ascii="Times New Roman" w:hAnsi="Times New Roman" w:cs="Times New Roman"/>
          <w:b/>
          <w:color w:val="000000"/>
          <w:lang w:val="en-US"/>
        </w:rPr>
      </w:pPr>
      <w:r w:rsidRPr="00967E36">
        <w:rPr>
          <w:rFonts w:ascii="Times New Roman" w:hAnsi="Times New Roman" w:cs="Times New Roman"/>
          <w:b/>
          <w:color w:val="000000"/>
          <w:lang w:val="en-US"/>
        </w:rPr>
        <w:t xml:space="preserve">3.2. Metal </w:t>
      </w:r>
      <w:r w:rsidR="008E407A" w:rsidRPr="00967E36">
        <w:rPr>
          <w:rFonts w:ascii="Times New Roman" w:hAnsi="Times New Roman" w:cs="Times New Roman"/>
          <w:b/>
          <w:color w:val="000000"/>
          <w:lang w:val="en-US"/>
        </w:rPr>
        <w:t>p</w:t>
      </w:r>
      <w:r w:rsidRPr="00967E36">
        <w:rPr>
          <w:rFonts w:ascii="Times New Roman" w:hAnsi="Times New Roman" w:cs="Times New Roman"/>
          <w:b/>
          <w:color w:val="000000"/>
          <w:lang w:val="en-US"/>
        </w:rPr>
        <w:t xml:space="preserve">ollution </w:t>
      </w:r>
      <w:r w:rsidR="008E407A" w:rsidRPr="00967E36">
        <w:rPr>
          <w:rFonts w:ascii="Times New Roman" w:hAnsi="Times New Roman" w:cs="Times New Roman"/>
          <w:b/>
          <w:color w:val="000000"/>
          <w:lang w:val="en-US"/>
        </w:rPr>
        <w:t>i</w:t>
      </w:r>
      <w:r w:rsidRPr="00967E36">
        <w:rPr>
          <w:rFonts w:ascii="Times New Roman" w:hAnsi="Times New Roman" w:cs="Times New Roman"/>
          <w:b/>
          <w:color w:val="000000"/>
          <w:lang w:val="en-US"/>
        </w:rPr>
        <w:t>ndex (MPI)</w:t>
      </w:r>
    </w:p>
    <w:p w14:paraId="08713CE3" w14:textId="77777777" w:rsidR="004934C7" w:rsidRPr="00967E36" w:rsidRDefault="004934C7" w:rsidP="00C51B0E">
      <w:pPr>
        <w:spacing w:before="100" w:beforeAutospacing="1" w:after="100" w:afterAutospacing="1" w:line="480" w:lineRule="auto"/>
        <w:ind w:left="0" w:firstLine="0"/>
        <w:rPr>
          <w:rFonts w:ascii="Times New Roman" w:hAnsi="Times New Roman" w:cs="Times New Roman"/>
          <w:color w:val="000000"/>
          <w:lang w:val="en-US"/>
        </w:rPr>
      </w:pPr>
      <w:r w:rsidRPr="00967E36">
        <w:rPr>
          <w:rFonts w:ascii="Times New Roman" w:hAnsi="Times New Roman" w:cs="Times New Roman"/>
          <w:color w:val="000000"/>
          <w:lang w:val="en-US"/>
        </w:rPr>
        <w:t>The MPI analysis (Table 2) revealed strong interannual variability. The MPI dropped from 6.20 in 2021 to 0.18 in 2024, indicating a marked decrease in overall contamination levels after the first year of monitoring. Kruskal-Wallis tests confirmed statistically significant differences between 2021 and the following years (</w:t>
      </w:r>
      <w:r w:rsidRPr="00967E36">
        <w:rPr>
          <w:rFonts w:ascii="Times New Roman" w:hAnsi="Times New Roman" w:cs="Times New Roman"/>
          <w:i/>
          <w:color w:val="000000"/>
          <w:lang w:val="en-US"/>
        </w:rPr>
        <w:t>p &lt;&lt; 0.05</w:t>
      </w:r>
      <w:r w:rsidRPr="00967E36">
        <w:rPr>
          <w:rFonts w:ascii="Times New Roman" w:hAnsi="Times New Roman" w:cs="Times New Roman"/>
          <w:color w:val="000000"/>
          <w:lang w:val="en-US"/>
        </w:rPr>
        <w:t>). However, no significant differences were found among 2022, 2023, and 2024, suggesting a stabilization of pollution levels during this period.</w:t>
      </w:r>
      <w:r w:rsidR="00B37B51" w:rsidRPr="00967E36">
        <w:rPr>
          <w:rFonts w:ascii="Times New Roman" w:hAnsi="Times New Roman" w:cs="Times New Roman"/>
          <w:color w:val="000000"/>
          <w:lang w:val="en-US"/>
        </w:rPr>
        <w:t xml:space="preserve"> Seasonally, MPI values tended to be higher during the rainy season, though this trend </w:t>
      </w:r>
      <w:r w:rsidR="00B37B51" w:rsidRPr="00967E36">
        <w:rPr>
          <w:rFonts w:ascii="Times New Roman" w:hAnsi="Times New Roman" w:cs="Times New Roman"/>
          <w:color w:val="000000"/>
          <w:lang w:val="en-US"/>
        </w:rPr>
        <w:lastRenderedPageBreak/>
        <w:t>was not statistically significant (</w:t>
      </w:r>
      <w:r w:rsidR="00B37B51" w:rsidRPr="00967E36">
        <w:rPr>
          <w:rFonts w:ascii="Times New Roman" w:hAnsi="Times New Roman" w:cs="Times New Roman"/>
          <w:i/>
          <w:color w:val="000000"/>
          <w:lang w:val="en-US"/>
        </w:rPr>
        <w:t>p &gt; 0.05</w:t>
      </w:r>
      <w:r w:rsidR="00B37B51" w:rsidRPr="00967E36">
        <w:rPr>
          <w:rFonts w:ascii="Times New Roman" w:hAnsi="Times New Roman" w:cs="Times New Roman"/>
          <w:color w:val="000000"/>
          <w:lang w:val="en-US"/>
        </w:rPr>
        <w:t xml:space="preserve">), suggesting no clear seasonal impact on overall contamination dynamics. </w:t>
      </w:r>
    </w:p>
    <w:p w14:paraId="7B39862F" w14:textId="77777777" w:rsidR="00B37B51" w:rsidRPr="00967E36" w:rsidRDefault="00B37B51" w:rsidP="00C51B0E">
      <w:pPr>
        <w:spacing w:after="0" w:line="480" w:lineRule="auto"/>
        <w:ind w:left="0" w:firstLine="0"/>
        <w:jc w:val="left"/>
        <w:rPr>
          <w:rFonts w:ascii="Times New Roman" w:eastAsia="Times New Roman" w:hAnsi="Times New Roman" w:cs="Times New Roman"/>
          <w:lang w:val="en-US" w:eastAsia="fr-FR"/>
        </w:rPr>
      </w:pPr>
      <w:r w:rsidRPr="00967E36">
        <w:rPr>
          <w:rFonts w:ascii="Times New Roman" w:eastAsia="Times New Roman" w:hAnsi="Times New Roman" w:cs="Times New Roman"/>
          <w:color w:val="000000"/>
          <w:lang w:val="en-US" w:eastAsia="fr-FR"/>
        </w:rPr>
        <w:t>Table 2. MPI by year and season</w:t>
      </w:r>
    </w:p>
    <w:tbl>
      <w:tblPr>
        <w:tblStyle w:val="TableGrid"/>
        <w:tblW w:w="0" w:type="auto"/>
        <w:jc w:val="center"/>
        <w:tblLook w:val="04A0" w:firstRow="1" w:lastRow="0" w:firstColumn="1" w:lastColumn="0" w:noHBand="0" w:noVBand="1"/>
      </w:tblPr>
      <w:tblGrid>
        <w:gridCol w:w="1316"/>
        <w:gridCol w:w="1596"/>
        <w:gridCol w:w="1305"/>
        <w:gridCol w:w="823"/>
        <w:gridCol w:w="823"/>
        <w:gridCol w:w="823"/>
        <w:gridCol w:w="830"/>
      </w:tblGrid>
      <w:tr w:rsidR="00B37B51" w:rsidRPr="00C51B0E" w14:paraId="0949EE51" w14:textId="77777777" w:rsidTr="008D5AAD">
        <w:trPr>
          <w:jc w:val="center"/>
        </w:trPr>
        <w:tc>
          <w:tcPr>
            <w:tcW w:w="1316" w:type="dxa"/>
            <w:vMerge w:val="restart"/>
          </w:tcPr>
          <w:p w14:paraId="68DDC257" w14:textId="77777777" w:rsidR="00B37B51" w:rsidRPr="00C51B0E" w:rsidRDefault="00B37B51" w:rsidP="00C51B0E">
            <w:pPr>
              <w:spacing w:line="480" w:lineRule="auto"/>
              <w:rPr>
                <w:rFonts w:ascii="Times New Roman" w:hAnsi="Times New Roman" w:cs="Times New Roman"/>
                <w:sz w:val="22"/>
                <w:szCs w:val="22"/>
              </w:rPr>
            </w:pPr>
          </w:p>
          <w:p w14:paraId="1E757AD2" w14:textId="77777777" w:rsidR="00B37B51" w:rsidRPr="00C51B0E" w:rsidRDefault="00B37B51" w:rsidP="00C51B0E">
            <w:pPr>
              <w:spacing w:line="480" w:lineRule="auto"/>
              <w:rPr>
                <w:rFonts w:ascii="Times New Roman" w:hAnsi="Times New Roman" w:cs="Times New Roman"/>
                <w:sz w:val="22"/>
                <w:szCs w:val="22"/>
              </w:rPr>
            </w:pPr>
          </w:p>
        </w:tc>
        <w:tc>
          <w:tcPr>
            <w:tcW w:w="2901" w:type="dxa"/>
            <w:gridSpan w:val="2"/>
          </w:tcPr>
          <w:p w14:paraId="1BF57D65" w14:textId="77777777" w:rsidR="00B37B51" w:rsidRPr="00C51B0E" w:rsidRDefault="00B37B51" w:rsidP="00C51B0E">
            <w:pPr>
              <w:spacing w:line="480" w:lineRule="auto"/>
              <w:jc w:val="center"/>
              <w:rPr>
                <w:rFonts w:ascii="Times New Roman" w:hAnsi="Times New Roman" w:cs="Times New Roman"/>
                <w:sz w:val="22"/>
                <w:szCs w:val="22"/>
              </w:rPr>
            </w:pPr>
            <w:r w:rsidRPr="00C51B0E">
              <w:rPr>
                <w:rFonts w:ascii="Times New Roman" w:hAnsi="Times New Roman" w:cs="Times New Roman"/>
                <w:sz w:val="22"/>
                <w:szCs w:val="22"/>
              </w:rPr>
              <w:t>Season</w:t>
            </w:r>
          </w:p>
        </w:tc>
        <w:tc>
          <w:tcPr>
            <w:tcW w:w="3299" w:type="dxa"/>
            <w:gridSpan w:val="4"/>
          </w:tcPr>
          <w:p w14:paraId="33D83A86" w14:textId="77777777" w:rsidR="00B37B51" w:rsidRPr="00C51B0E" w:rsidRDefault="00B37B51" w:rsidP="00C51B0E">
            <w:pPr>
              <w:spacing w:line="480" w:lineRule="auto"/>
              <w:jc w:val="center"/>
              <w:rPr>
                <w:rFonts w:ascii="Times New Roman" w:hAnsi="Times New Roman" w:cs="Times New Roman"/>
                <w:sz w:val="22"/>
                <w:szCs w:val="22"/>
              </w:rPr>
            </w:pPr>
            <w:r w:rsidRPr="00C51B0E">
              <w:rPr>
                <w:rFonts w:ascii="Times New Roman" w:hAnsi="Times New Roman" w:cs="Times New Roman"/>
                <w:sz w:val="22"/>
                <w:szCs w:val="22"/>
              </w:rPr>
              <w:t>Year</w:t>
            </w:r>
          </w:p>
        </w:tc>
      </w:tr>
      <w:tr w:rsidR="00B37B51" w:rsidRPr="00C51B0E" w14:paraId="5E271EE6" w14:textId="77777777" w:rsidTr="008D5AAD">
        <w:trPr>
          <w:jc w:val="center"/>
        </w:trPr>
        <w:tc>
          <w:tcPr>
            <w:tcW w:w="1316" w:type="dxa"/>
            <w:vMerge/>
          </w:tcPr>
          <w:p w14:paraId="74483F69" w14:textId="77777777" w:rsidR="00B37B51" w:rsidRPr="00C51B0E" w:rsidRDefault="00B37B51" w:rsidP="00C51B0E">
            <w:pPr>
              <w:spacing w:line="480" w:lineRule="auto"/>
              <w:rPr>
                <w:rFonts w:ascii="Times New Roman" w:hAnsi="Times New Roman" w:cs="Times New Roman"/>
                <w:sz w:val="22"/>
                <w:szCs w:val="22"/>
              </w:rPr>
            </w:pPr>
          </w:p>
        </w:tc>
        <w:tc>
          <w:tcPr>
            <w:tcW w:w="1596" w:type="dxa"/>
          </w:tcPr>
          <w:p w14:paraId="12B5A2DF" w14:textId="77777777" w:rsidR="00B37B51" w:rsidRPr="00C51B0E" w:rsidRDefault="00B37B51" w:rsidP="00C51B0E">
            <w:pPr>
              <w:spacing w:line="480" w:lineRule="auto"/>
              <w:jc w:val="center"/>
              <w:rPr>
                <w:rFonts w:ascii="Times New Roman" w:hAnsi="Times New Roman" w:cs="Times New Roman"/>
                <w:sz w:val="22"/>
                <w:szCs w:val="22"/>
              </w:rPr>
            </w:pPr>
            <w:r w:rsidRPr="00C51B0E">
              <w:rPr>
                <w:rFonts w:ascii="Times New Roman" w:hAnsi="Times New Roman" w:cs="Times New Roman"/>
                <w:sz w:val="22"/>
                <w:szCs w:val="22"/>
              </w:rPr>
              <w:t>Rainy season</w:t>
            </w:r>
          </w:p>
        </w:tc>
        <w:tc>
          <w:tcPr>
            <w:tcW w:w="1305" w:type="dxa"/>
          </w:tcPr>
          <w:p w14:paraId="5D360513" w14:textId="77777777" w:rsidR="00B37B51" w:rsidRPr="00C51B0E" w:rsidRDefault="00B37B51" w:rsidP="00C51B0E">
            <w:pPr>
              <w:spacing w:line="480" w:lineRule="auto"/>
              <w:jc w:val="center"/>
              <w:rPr>
                <w:rFonts w:ascii="Times New Roman" w:hAnsi="Times New Roman" w:cs="Times New Roman"/>
                <w:sz w:val="22"/>
                <w:szCs w:val="22"/>
              </w:rPr>
            </w:pPr>
            <w:r w:rsidRPr="00C51B0E">
              <w:rPr>
                <w:rFonts w:ascii="Times New Roman" w:hAnsi="Times New Roman" w:cs="Times New Roman"/>
                <w:sz w:val="22"/>
                <w:szCs w:val="22"/>
              </w:rPr>
              <w:t>Dry season</w:t>
            </w:r>
          </w:p>
        </w:tc>
        <w:tc>
          <w:tcPr>
            <w:tcW w:w="823" w:type="dxa"/>
          </w:tcPr>
          <w:p w14:paraId="7C6D8F5A" w14:textId="77777777" w:rsidR="00B37B51" w:rsidRPr="00C51B0E" w:rsidRDefault="00B37B51" w:rsidP="00C51B0E">
            <w:pPr>
              <w:spacing w:line="480" w:lineRule="auto"/>
              <w:jc w:val="center"/>
              <w:rPr>
                <w:rFonts w:ascii="Times New Roman" w:hAnsi="Times New Roman" w:cs="Times New Roman"/>
                <w:sz w:val="22"/>
                <w:szCs w:val="22"/>
              </w:rPr>
            </w:pPr>
            <w:r w:rsidRPr="00C51B0E">
              <w:rPr>
                <w:rFonts w:ascii="Times New Roman" w:hAnsi="Times New Roman" w:cs="Times New Roman"/>
                <w:sz w:val="22"/>
                <w:szCs w:val="22"/>
              </w:rPr>
              <w:t>2021</w:t>
            </w:r>
          </w:p>
        </w:tc>
        <w:tc>
          <w:tcPr>
            <w:tcW w:w="823" w:type="dxa"/>
          </w:tcPr>
          <w:p w14:paraId="12216DA7" w14:textId="77777777" w:rsidR="00B37B51" w:rsidRPr="00C51B0E" w:rsidRDefault="00B37B51" w:rsidP="00C51B0E">
            <w:pPr>
              <w:spacing w:line="480" w:lineRule="auto"/>
              <w:jc w:val="center"/>
              <w:rPr>
                <w:rFonts w:ascii="Times New Roman" w:hAnsi="Times New Roman" w:cs="Times New Roman"/>
                <w:sz w:val="22"/>
                <w:szCs w:val="22"/>
              </w:rPr>
            </w:pPr>
            <w:r w:rsidRPr="00C51B0E">
              <w:rPr>
                <w:rFonts w:ascii="Times New Roman" w:hAnsi="Times New Roman" w:cs="Times New Roman"/>
                <w:sz w:val="22"/>
                <w:szCs w:val="22"/>
              </w:rPr>
              <w:t>2022</w:t>
            </w:r>
          </w:p>
        </w:tc>
        <w:tc>
          <w:tcPr>
            <w:tcW w:w="823" w:type="dxa"/>
          </w:tcPr>
          <w:p w14:paraId="2778602F" w14:textId="77777777" w:rsidR="00B37B51" w:rsidRPr="00C51B0E" w:rsidRDefault="00B37B51" w:rsidP="00C51B0E">
            <w:pPr>
              <w:spacing w:line="480" w:lineRule="auto"/>
              <w:jc w:val="center"/>
              <w:rPr>
                <w:rFonts w:ascii="Times New Roman" w:hAnsi="Times New Roman" w:cs="Times New Roman"/>
                <w:sz w:val="22"/>
                <w:szCs w:val="22"/>
              </w:rPr>
            </w:pPr>
            <w:r w:rsidRPr="00C51B0E">
              <w:rPr>
                <w:rFonts w:ascii="Times New Roman" w:hAnsi="Times New Roman" w:cs="Times New Roman"/>
                <w:sz w:val="22"/>
                <w:szCs w:val="22"/>
              </w:rPr>
              <w:t>2023</w:t>
            </w:r>
          </w:p>
        </w:tc>
        <w:tc>
          <w:tcPr>
            <w:tcW w:w="830" w:type="dxa"/>
          </w:tcPr>
          <w:p w14:paraId="500EAD9C" w14:textId="77777777" w:rsidR="00B37B51" w:rsidRPr="00C51B0E" w:rsidRDefault="00B37B51" w:rsidP="00C51B0E">
            <w:pPr>
              <w:spacing w:line="480" w:lineRule="auto"/>
              <w:jc w:val="center"/>
              <w:rPr>
                <w:rFonts w:ascii="Times New Roman" w:hAnsi="Times New Roman" w:cs="Times New Roman"/>
                <w:sz w:val="22"/>
                <w:szCs w:val="22"/>
              </w:rPr>
            </w:pPr>
            <w:r w:rsidRPr="00C51B0E">
              <w:rPr>
                <w:rFonts w:ascii="Times New Roman" w:hAnsi="Times New Roman" w:cs="Times New Roman"/>
                <w:sz w:val="22"/>
                <w:szCs w:val="22"/>
              </w:rPr>
              <w:t>2024</w:t>
            </w:r>
          </w:p>
        </w:tc>
      </w:tr>
      <w:tr w:rsidR="00B37B51" w:rsidRPr="00C51B0E" w14:paraId="39C80315" w14:textId="77777777" w:rsidTr="008D5AAD">
        <w:trPr>
          <w:jc w:val="center"/>
        </w:trPr>
        <w:tc>
          <w:tcPr>
            <w:tcW w:w="1316" w:type="dxa"/>
          </w:tcPr>
          <w:p w14:paraId="1DD9469B" w14:textId="77777777" w:rsidR="00B37B51" w:rsidRPr="00C51B0E" w:rsidRDefault="00B37B51" w:rsidP="00C51B0E">
            <w:pPr>
              <w:spacing w:line="480" w:lineRule="auto"/>
              <w:rPr>
                <w:rFonts w:ascii="Times New Roman" w:hAnsi="Times New Roman" w:cs="Times New Roman"/>
                <w:sz w:val="22"/>
                <w:szCs w:val="22"/>
              </w:rPr>
            </w:pPr>
            <w:r w:rsidRPr="00C51B0E">
              <w:rPr>
                <w:rFonts w:ascii="Times New Roman" w:hAnsi="Times New Roman" w:cs="Times New Roman"/>
                <w:sz w:val="22"/>
                <w:szCs w:val="22"/>
              </w:rPr>
              <w:t>IPM</w:t>
            </w:r>
          </w:p>
        </w:tc>
        <w:tc>
          <w:tcPr>
            <w:tcW w:w="1596" w:type="dxa"/>
          </w:tcPr>
          <w:p w14:paraId="3376751C" w14:textId="77777777" w:rsidR="00B37B51" w:rsidRPr="00C51B0E" w:rsidRDefault="00B37B51" w:rsidP="00C51B0E">
            <w:pPr>
              <w:spacing w:line="480" w:lineRule="auto"/>
              <w:jc w:val="center"/>
              <w:rPr>
                <w:rFonts w:ascii="Times New Roman" w:hAnsi="Times New Roman" w:cs="Times New Roman"/>
                <w:sz w:val="22"/>
                <w:szCs w:val="22"/>
              </w:rPr>
            </w:pPr>
            <w:r w:rsidRPr="00C51B0E">
              <w:rPr>
                <w:rFonts w:ascii="Times New Roman" w:hAnsi="Times New Roman" w:cs="Times New Roman"/>
                <w:sz w:val="22"/>
                <w:szCs w:val="22"/>
              </w:rPr>
              <w:t>1.69</w:t>
            </w:r>
          </w:p>
        </w:tc>
        <w:tc>
          <w:tcPr>
            <w:tcW w:w="1305" w:type="dxa"/>
          </w:tcPr>
          <w:p w14:paraId="627793FA" w14:textId="77777777" w:rsidR="00B37B51" w:rsidRPr="00C51B0E" w:rsidRDefault="00B37B51" w:rsidP="00C51B0E">
            <w:pPr>
              <w:spacing w:line="480" w:lineRule="auto"/>
              <w:jc w:val="center"/>
              <w:rPr>
                <w:rFonts w:ascii="Times New Roman" w:hAnsi="Times New Roman" w:cs="Times New Roman"/>
                <w:sz w:val="22"/>
                <w:szCs w:val="22"/>
              </w:rPr>
            </w:pPr>
            <w:r w:rsidRPr="00C51B0E">
              <w:rPr>
                <w:rFonts w:ascii="Times New Roman" w:hAnsi="Times New Roman" w:cs="Times New Roman"/>
                <w:sz w:val="22"/>
                <w:szCs w:val="22"/>
              </w:rPr>
              <w:t>0.14</w:t>
            </w:r>
          </w:p>
        </w:tc>
        <w:tc>
          <w:tcPr>
            <w:tcW w:w="823" w:type="dxa"/>
          </w:tcPr>
          <w:p w14:paraId="2074D1BD" w14:textId="77777777" w:rsidR="00B37B51" w:rsidRPr="00C51B0E" w:rsidRDefault="00B37B51" w:rsidP="00C51B0E">
            <w:pPr>
              <w:spacing w:line="480" w:lineRule="auto"/>
              <w:jc w:val="center"/>
              <w:rPr>
                <w:rFonts w:ascii="Times New Roman" w:hAnsi="Times New Roman" w:cs="Times New Roman"/>
                <w:sz w:val="22"/>
                <w:szCs w:val="22"/>
              </w:rPr>
            </w:pPr>
            <w:r w:rsidRPr="00C51B0E">
              <w:rPr>
                <w:rFonts w:ascii="Times New Roman" w:hAnsi="Times New Roman" w:cs="Times New Roman"/>
                <w:sz w:val="22"/>
                <w:szCs w:val="22"/>
              </w:rPr>
              <w:t>6.20</w:t>
            </w:r>
          </w:p>
        </w:tc>
        <w:tc>
          <w:tcPr>
            <w:tcW w:w="823" w:type="dxa"/>
          </w:tcPr>
          <w:p w14:paraId="3C9EF310" w14:textId="77777777" w:rsidR="00B37B51" w:rsidRPr="00C51B0E" w:rsidRDefault="00B37B51" w:rsidP="00C51B0E">
            <w:pPr>
              <w:spacing w:line="480" w:lineRule="auto"/>
              <w:jc w:val="center"/>
              <w:rPr>
                <w:rFonts w:ascii="Times New Roman" w:hAnsi="Times New Roman" w:cs="Times New Roman"/>
                <w:sz w:val="22"/>
                <w:szCs w:val="22"/>
              </w:rPr>
            </w:pPr>
            <w:r w:rsidRPr="00C51B0E">
              <w:rPr>
                <w:rFonts w:ascii="Times New Roman" w:hAnsi="Times New Roman" w:cs="Times New Roman"/>
                <w:sz w:val="22"/>
                <w:szCs w:val="22"/>
              </w:rPr>
              <w:t>0.06</w:t>
            </w:r>
          </w:p>
        </w:tc>
        <w:tc>
          <w:tcPr>
            <w:tcW w:w="823" w:type="dxa"/>
          </w:tcPr>
          <w:p w14:paraId="38DF7784" w14:textId="77777777" w:rsidR="00B37B51" w:rsidRPr="00C51B0E" w:rsidRDefault="00B37B51" w:rsidP="00C51B0E">
            <w:pPr>
              <w:spacing w:line="480" w:lineRule="auto"/>
              <w:jc w:val="center"/>
              <w:rPr>
                <w:rFonts w:ascii="Times New Roman" w:hAnsi="Times New Roman" w:cs="Times New Roman"/>
                <w:sz w:val="22"/>
                <w:szCs w:val="22"/>
              </w:rPr>
            </w:pPr>
            <w:r w:rsidRPr="00C51B0E">
              <w:rPr>
                <w:rFonts w:ascii="Times New Roman" w:hAnsi="Times New Roman" w:cs="Times New Roman"/>
                <w:sz w:val="22"/>
                <w:szCs w:val="22"/>
              </w:rPr>
              <w:t>0.09</w:t>
            </w:r>
          </w:p>
        </w:tc>
        <w:tc>
          <w:tcPr>
            <w:tcW w:w="830" w:type="dxa"/>
          </w:tcPr>
          <w:p w14:paraId="6FF8E076" w14:textId="77777777" w:rsidR="00B37B51" w:rsidRPr="00C51B0E" w:rsidRDefault="00B37B51" w:rsidP="00C51B0E">
            <w:pPr>
              <w:spacing w:line="480" w:lineRule="auto"/>
              <w:jc w:val="center"/>
              <w:rPr>
                <w:rFonts w:ascii="Times New Roman" w:hAnsi="Times New Roman" w:cs="Times New Roman"/>
                <w:sz w:val="22"/>
                <w:szCs w:val="22"/>
              </w:rPr>
            </w:pPr>
            <w:r w:rsidRPr="00C51B0E">
              <w:rPr>
                <w:rFonts w:ascii="Times New Roman" w:hAnsi="Times New Roman" w:cs="Times New Roman"/>
                <w:sz w:val="22"/>
                <w:szCs w:val="22"/>
              </w:rPr>
              <w:t>0.18</w:t>
            </w:r>
          </w:p>
        </w:tc>
      </w:tr>
    </w:tbl>
    <w:p w14:paraId="13775D60" w14:textId="77777777" w:rsidR="00B37B51" w:rsidRPr="00967E36" w:rsidRDefault="00B37B51" w:rsidP="008D5AAD">
      <w:pPr>
        <w:spacing w:after="0" w:line="480" w:lineRule="auto"/>
        <w:ind w:left="0" w:firstLine="0"/>
        <w:jc w:val="left"/>
        <w:rPr>
          <w:rFonts w:ascii="Times New Roman" w:hAnsi="Times New Roman" w:cs="Times New Roman"/>
          <w:b/>
          <w:color w:val="000000"/>
          <w:lang w:val="en-US"/>
        </w:rPr>
      </w:pPr>
      <w:r w:rsidRPr="00967E36">
        <w:rPr>
          <w:rFonts w:ascii="Times New Roman" w:hAnsi="Times New Roman" w:cs="Times New Roman"/>
          <w:b/>
          <w:lang w:val="en-US"/>
        </w:rPr>
        <w:t xml:space="preserve">3.3. Health </w:t>
      </w:r>
      <w:r w:rsidR="008E407A" w:rsidRPr="00967E36">
        <w:rPr>
          <w:rFonts w:ascii="Times New Roman" w:hAnsi="Times New Roman" w:cs="Times New Roman"/>
          <w:b/>
          <w:lang w:val="en-US"/>
        </w:rPr>
        <w:t>r</w:t>
      </w:r>
      <w:r w:rsidRPr="00967E36">
        <w:rPr>
          <w:rFonts w:ascii="Times New Roman" w:hAnsi="Times New Roman" w:cs="Times New Roman"/>
          <w:b/>
          <w:lang w:val="en-US"/>
        </w:rPr>
        <w:t xml:space="preserve">isk </w:t>
      </w:r>
      <w:r w:rsidR="008E407A" w:rsidRPr="00967E36">
        <w:rPr>
          <w:rFonts w:ascii="Times New Roman" w:hAnsi="Times New Roman" w:cs="Times New Roman"/>
          <w:b/>
          <w:lang w:val="en-US"/>
        </w:rPr>
        <w:t>a</w:t>
      </w:r>
      <w:r w:rsidRPr="00967E36">
        <w:rPr>
          <w:rFonts w:ascii="Times New Roman" w:hAnsi="Times New Roman" w:cs="Times New Roman"/>
          <w:b/>
          <w:lang w:val="en-US"/>
        </w:rPr>
        <w:t>ssessment</w:t>
      </w:r>
    </w:p>
    <w:p w14:paraId="6545E066" w14:textId="77777777" w:rsidR="00B37B51" w:rsidRPr="00967E36" w:rsidRDefault="00B37B51" w:rsidP="008D5AAD">
      <w:pPr>
        <w:pStyle w:val="Heading5"/>
        <w:spacing w:before="0" w:line="480" w:lineRule="auto"/>
        <w:jc w:val="left"/>
        <w:rPr>
          <w:rFonts w:ascii="Times New Roman" w:hAnsi="Times New Roman" w:cs="Times New Roman"/>
          <w:i/>
          <w:color w:val="000000"/>
          <w:lang w:val="en-US"/>
        </w:rPr>
      </w:pPr>
      <w:r w:rsidRPr="00967E36">
        <w:rPr>
          <w:rStyle w:val="Strong"/>
          <w:rFonts w:ascii="Times New Roman" w:hAnsi="Times New Roman" w:cs="Times New Roman"/>
          <w:b w:val="0"/>
          <w:bCs w:val="0"/>
          <w:i/>
          <w:color w:val="000000"/>
          <w:lang w:val="en-US"/>
        </w:rPr>
        <w:t xml:space="preserve">3.3.1. Target </w:t>
      </w:r>
      <w:r w:rsidR="008E407A" w:rsidRPr="00967E36">
        <w:rPr>
          <w:rStyle w:val="Strong"/>
          <w:rFonts w:ascii="Times New Roman" w:hAnsi="Times New Roman" w:cs="Times New Roman"/>
          <w:b w:val="0"/>
          <w:bCs w:val="0"/>
          <w:i/>
          <w:color w:val="000000"/>
          <w:lang w:val="en-US"/>
        </w:rPr>
        <w:t>h</w:t>
      </w:r>
      <w:r w:rsidRPr="00967E36">
        <w:rPr>
          <w:rStyle w:val="Strong"/>
          <w:rFonts w:ascii="Times New Roman" w:hAnsi="Times New Roman" w:cs="Times New Roman"/>
          <w:b w:val="0"/>
          <w:bCs w:val="0"/>
          <w:i/>
          <w:color w:val="000000"/>
          <w:lang w:val="en-US"/>
        </w:rPr>
        <w:t xml:space="preserve">azard </w:t>
      </w:r>
      <w:r w:rsidR="008E407A" w:rsidRPr="00967E36">
        <w:rPr>
          <w:rStyle w:val="Strong"/>
          <w:rFonts w:ascii="Times New Roman" w:hAnsi="Times New Roman" w:cs="Times New Roman"/>
          <w:b w:val="0"/>
          <w:bCs w:val="0"/>
          <w:i/>
          <w:color w:val="000000"/>
          <w:lang w:val="en-US"/>
        </w:rPr>
        <w:t>q</w:t>
      </w:r>
      <w:r w:rsidRPr="00967E36">
        <w:rPr>
          <w:rStyle w:val="Strong"/>
          <w:rFonts w:ascii="Times New Roman" w:hAnsi="Times New Roman" w:cs="Times New Roman"/>
          <w:b w:val="0"/>
          <w:bCs w:val="0"/>
          <w:i/>
          <w:color w:val="000000"/>
          <w:lang w:val="en-US"/>
        </w:rPr>
        <w:t>uotient (THQ)</w:t>
      </w:r>
    </w:p>
    <w:p w14:paraId="44BE8F8E" w14:textId="77777777" w:rsidR="00B37B51" w:rsidRPr="00967E36" w:rsidRDefault="00B37B51" w:rsidP="008D5AAD">
      <w:pPr>
        <w:spacing w:after="0" w:line="480" w:lineRule="auto"/>
        <w:ind w:left="0" w:firstLine="0"/>
        <w:jc w:val="left"/>
        <w:rPr>
          <w:rFonts w:ascii="Times New Roman" w:hAnsi="Times New Roman" w:cs="Times New Roman"/>
          <w:color w:val="000000"/>
          <w:lang w:val="en-US"/>
        </w:rPr>
      </w:pPr>
      <w:r w:rsidRPr="00967E36">
        <w:rPr>
          <w:rFonts w:ascii="Times New Roman" w:hAnsi="Times New Roman" w:cs="Times New Roman"/>
          <w:color w:val="000000"/>
          <w:lang w:val="en-US"/>
        </w:rPr>
        <w:t>Seasonal variations showed that the highest THQ values for Cd were recorded during the rainy season, especially in children, indicating increased exposure in this vulnerable group (Table 3). THQ values were lower and similar between adults and children in the dry season. Kruskal-Wallis tests confirmed a significant seasonal difference for Cd (</w:t>
      </w:r>
      <w:r w:rsidRPr="00967E36">
        <w:rPr>
          <w:rFonts w:ascii="Times New Roman" w:hAnsi="Times New Roman" w:cs="Times New Roman"/>
          <w:i/>
          <w:color w:val="000000"/>
          <w:lang w:val="en-US"/>
        </w:rPr>
        <w:t>p &lt; 0.05</w:t>
      </w:r>
      <w:r w:rsidRPr="00967E36">
        <w:rPr>
          <w:rFonts w:ascii="Times New Roman" w:hAnsi="Times New Roman" w:cs="Times New Roman"/>
          <w:color w:val="000000"/>
          <w:lang w:val="en-US"/>
        </w:rPr>
        <w:t>). For Hg, THQ values remained low across all groups and seasons, with no significant differences (</w:t>
      </w:r>
      <w:r w:rsidRPr="00967E36">
        <w:rPr>
          <w:rFonts w:ascii="Times New Roman" w:hAnsi="Times New Roman" w:cs="Times New Roman"/>
          <w:i/>
          <w:color w:val="000000"/>
          <w:lang w:val="en-US"/>
        </w:rPr>
        <w:t>p &gt; 0.05</w:t>
      </w:r>
      <w:r w:rsidRPr="00967E36">
        <w:rPr>
          <w:rFonts w:ascii="Times New Roman" w:hAnsi="Times New Roman" w:cs="Times New Roman"/>
          <w:color w:val="000000"/>
          <w:lang w:val="en-US"/>
        </w:rPr>
        <w:t>). Pb THQ values were higher during the dry season, particularly in children, with statistically significant seasonal differences (</w:t>
      </w:r>
      <w:r w:rsidRPr="00967E36">
        <w:rPr>
          <w:rFonts w:ascii="Times New Roman" w:hAnsi="Times New Roman" w:cs="Times New Roman"/>
          <w:i/>
          <w:color w:val="000000"/>
          <w:lang w:val="en-US"/>
        </w:rPr>
        <w:t>p &lt; 0.05</w:t>
      </w:r>
      <w:r w:rsidRPr="00967E36">
        <w:rPr>
          <w:rFonts w:ascii="Times New Roman" w:hAnsi="Times New Roman" w:cs="Times New Roman"/>
          <w:color w:val="000000"/>
          <w:lang w:val="en-US"/>
        </w:rPr>
        <w:t>).</w:t>
      </w:r>
    </w:p>
    <w:p w14:paraId="5D962701" w14:textId="77777777" w:rsidR="00DA6E6A" w:rsidRPr="00967E36" w:rsidRDefault="00DA6E6A" w:rsidP="00C51B0E">
      <w:pPr>
        <w:spacing w:before="100" w:beforeAutospacing="1" w:after="0" w:line="480" w:lineRule="auto"/>
        <w:ind w:left="0" w:firstLine="0"/>
        <w:jc w:val="left"/>
        <w:rPr>
          <w:rFonts w:ascii="Times New Roman" w:eastAsia="Times New Roman" w:hAnsi="Times New Roman" w:cs="Times New Roman"/>
          <w:color w:val="000000"/>
          <w:lang w:val="en-US" w:eastAsia="fr-FR"/>
        </w:rPr>
      </w:pPr>
      <w:r w:rsidRPr="00967E36">
        <w:rPr>
          <w:rFonts w:ascii="Times New Roman" w:eastAsia="Times New Roman" w:hAnsi="Times New Roman" w:cs="Times New Roman"/>
          <w:b/>
          <w:bCs/>
          <w:color w:val="000000"/>
          <w:lang w:val="en-US" w:eastAsia="fr-FR"/>
        </w:rPr>
        <w:t xml:space="preserve">Table 3. </w:t>
      </w:r>
      <w:r w:rsidRPr="00967E36">
        <w:rPr>
          <w:rFonts w:ascii="Times New Roman" w:eastAsia="Times New Roman" w:hAnsi="Times New Roman" w:cs="Times New Roman"/>
          <w:bCs/>
          <w:color w:val="000000"/>
          <w:lang w:val="en-US" w:eastAsia="fr-FR"/>
        </w:rPr>
        <w:t>Seasonal THQ values in adults and children.</w:t>
      </w:r>
    </w:p>
    <w:tbl>
      <w:tblPr>
        <w:tblStyle w:val="TableGrid"/>
        <w:tblW w:w="0" w:type="auto"/>
        <w:jc w:val="center"/>
        <w:tblLook w:val="04A0" w:firstRow="1" w:lastRow="0" w:firstColumn="1" w:lastColumn="0" w:noHBand="0" w:noVBand="1"/>
      </w:tblPr>
      <w:tblGrid>
        <w:gridCol w:w="864"/>
        <w:gridCol w:w="999"/>
        <w:gridCol w:w="840"/>
        <w:gridCol w:w="1056"/>
      </w:tblGrid>
      <w:tr w:rsidR="00DA6E6A" w:rsidRPr="00C51B0E" w14:paraId="6A73BAB6" w14:textId="77777777" w:rsidTr="008D5AAD">
        <w:trPr>
          <w:jc w:val="center"/>
        </w:trPr>
        <w:tc>
          <w:tcPr>
            <w:tcW w:w="0" w:type="auto"/>
            <w:vAlign w:val="center"/>
            <w:hideMark/>
          </w:tcPr>
          <w:p w14:paraId="64634B32" w14:textId="77777777" w:rsidR="00DA6E6A" w:rsidRPr="00C51B0E" w:rsidRDefault="00DA6E6A" w:rsidP="00C51B0E">
            <w:pPr>
              <w:spacing w:after="0" w:line="480" w:lineRule="auto"/>
              <w:jc w:val="center"/>
              <w:rPr>
                <w:rFonts w:ascii="Times New Roman" w:eastAsia="Times New Roman" w:hAnsi="Times New Roman" w:cs="Times New Roman"/>
                <w:b/>
                <w:bCs/>
                <w:sz w:val="22"/>
                <w:szCs w:val="22"/>
                <w:lang w:eastAsia="fr-FR"/>
              </w:rPr>
            </w:pPr>
            <w:r w:rsidRPr="00C51B0E">
              <w:rPr>
                <w:rFonts w:ascii="Times New Roman" w:eastAsia="Times New Roman" w:hAnsi="Times New Roman" w:cs="Times New Roman"/>
                <w:b/>
                <w:bCs/>
                <w:sz w:val="22"/>
                <w:szCs w:val="22"/>
                <w:lang w:eastAsia="fr-FR"/>
              </w:rPr>
              <w:t>Season</w:t>
            </w:r>
          </w:p>
        </w:tc>
        <w:tc>
          <w:tcPr>
            <w:tcW w:w="0" w:type="auto"/>
            <w:vAlign w:val="center"/>
            <w:hideMark/>
          </w:tcPr>
          <w:p w14:paraId="5048A457" w14:textId="77777777" w:rsidR="00DA6E6A" w:rsidRPr="00C51B0E" w:rsidRDefault="00DA6E6A" w:rsidP="00C51B0E">
            <w:pPr>
              <w:spacing w:after="0" w:line="480" w:lineRule="auto"/>
              <w:jc w:val="center"/>
              <w:rPr>
                <w:rFonts w:ascii="Times New Roman" w:eastAsia="Times New Roman" w:hAnsi="Times New Roman" w:cs="Times New Roman"/>
                <w:b/>
                <w:bCs/>
                <w:sz w:val="22"/>
                <w:szCs w:val="22"/>
                <w:lang w:eastAsia="fr-FR"/>
              </w:rPr>
            </w:pPr>
            <w:r w:rsidRPr="00C51B0E">
              <w:rPr>
                <w:rFonts w:ascii="Times New Roman" w:eastAsia="Times New Roman" w:hAnsi="Times New Roman" w:cs="Times New Roman"/>
                <w:b/>
                <w:bCs/>
                <w:sz w:val="22"/>
                <w:szCs w:val="22"/>
                <w:lang w:eastAsia="fr-FR"/>
              </w:rPr>
              <w:t>Element</w:t>
            </w:r>
          </w:p>
        </w:tc>
        <w:tc>
          <w:tcPr>
            <w:tcW w:w="0" w:type="auto"/>
            <w:vAlign w:val="center"/>
            <w:hideMark/>
          </w:tcPr>
          <w:p w14:paraId="0DD57C05" w14:textId="77777777" w:rsidR="00DA6E6A" w:rsidRPr="00C51B0E" w:rsidRDefault="00DA6E6A" w:rsidP="00C51B0E">
            <w:pPr>
              <w:spacing w:after="0" w:line="480" w:lineRule="auto"/>
              <w:jc w:val="center"/>
              <w:rPr>
                <w:rFonts w:ascii="Times New Roman" w:eastAsia="Times New Roman" w:hAnsi="Times New Roman" w:cs="Times New Roman"/>
                <w:b/>
                <w:bCs/>
                <w:sz w:val="22"/>
                <w:szCs w:val="22"/>
                <w:lang w:eastAsia="fr-FR"/>
              </w:rPr>
            </w:pPr>
            <w:r w:rsidRPr="00C51B0E">
              <w:rPr>
                <w:rFonts w:ascii="Times New Roman" w:eastAsia="Times New Roman" w:hAnsi="Times New Roman" w:cs="Times New Roman"/>
                <w:b/>
                <w:bCs/>
                <w:sz w:val="22"/>
                <w:szCs w:val="22"/>
                <w:lang w:eastAsia="fr-FR"/>
              </w:rPr>
              <w:t>Adults</w:t>
            </w:r>
          </w:p>
        </w:tc>
        <w:tc>
          <w:tcPr>
            <w:tcW w:w="0" w:type="auto"/>
            <w:vAlign w:val="center"/>
            <w:hideMark/>
          </w:tcPr>
          <w:p w14:paraId="52037A32" w14:textId="77777777" w:rsidR="00DA6E6A" w:rsidRPr="00C51B0E" w:rsidRDefault="00DA6E6A" w:rsidP="00C51B0E">
            <w:pPr>
              <w:spacing w:after="0" w:line="480" w:lineRule="auto"/>
              <w:jc w:val="center"/>
              <w:rPr>
                <w:rFonts w:ascii="Times New Roman" w:eastAsia="Times New Roman" w:hAnsi="Times New Roman" w:cs="Times New Roman"/>
                <w:b/>
                <w:bCs/>
                <w:sz w:val="22"/>
                <w:szCs w:val="22"/>
                <w:lang w:eastAsia="fr-FR"/>
              </w:rPr>
            </w:pPr>
            <w:r w:rsidRPr="00C51B0E">
              <w:rPr>
                <w:rFonts w:ascii="Times New Roman" w:eastAsia="Times New Roman" w:hAnsi="Times New Roman" w:cs="Times New Roman"/>
                <w:b/>
                <w:bCs/>
                <w:sz w:val="22"/>
                <w:szCs w:val="22"/>
                <w:lang w:eastAsia="fr-FR"/>
              </w:rPr>
              <w:t>Children</w:t>
            </w:r>
          </w:p>
        </w:tc>
      </w:tr>
      <w:tr w:rsidR="00DA6E6A" w:rsidRPr="00C51B0E" w14:paraId="3A0B5C11" w14:textId="77777777" w:rsidTr="008D5AAD">
        <w:trPr>
          <w:jc w:val="center"/>
        </w:trPr>
        <w:tc>
          <w:tcPr>
            <w:tcW w:w="0" w:type="auto"/>
            <w:vMerge w:val="restart"/>
            <w:vAlign w:val="center"/>
            <w:hideMark/>
          </w:tcPr>
          <w:p w14:paraId="74CEBD31"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Wet</w:t>
            </w:r>
          </w:p>
        </w:tc>
        <w:tc>
          <w:tcPr>
            <w:tcW w:w="0" w:type="auto"/>
            <w:vAlign w:val="center"/>
            <w:hideMark/>
          </w:tcPr>
          <w:p w14:paraId="3A3D0247"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Cd</w:t>
            </w:r>
          </w:p>
        </w:tc>
        <w:tc>
          <w:tcPr>
            <w:tcW w:w="0" w:type="auto"/>
            <w:vAlign w:val="center"/>
            <w:hideMark/>
          </w:tcPr>
          <w:p w14:paraId="518D32D6"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7.69</w:t>
            </w:r>
          </w:p>
        </w:tc>
        <w:tc>
          <w:tcPr>
            <w:tcW w:w="0" w:type="auto"/>
            <w:vAlign w:val="center"/>
            <w:hideMark/>
          </w:tcPr>
          <w:p w14:paraId="30E41BCD"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15.37</w:t>
            </w:r>
          </w:p>
        </w:tc>
      </w:tr>
      <w:tr w:rsidR="00DA6E6A" w:rsidRPr="00C51B0E" w14:paraId="1DC5809E" w14:textId="77777777" w:rsidTr="008D5AAD">
        <w:trPr>
          <w:jc w:val="center"/>
        </w:trPr>
        <w:tc>
          <w:tcPr>
            <w:tcW w:w="0" w:type="auto"/>
            <w:vMerge/>
            <w:vAlign w:val="center"/>
            <w:hideMark/>
          </w:tcPr>
          <w:p w14:paraId="60D7D4C9"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p>
        </w:tc>
        <w:tc>
          <w:tcPr>
            <w:tcW w:w="0" w:type="auto"/>
            <w:vAlign w:val="center"/>
            <w:hideMark/>
          </w:tcPr>
          <w:p w14:paraId="530B1057"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Hg</w:t>
            </w:r>
          </w:p>
        </w:tc>
        <w:tc>
          <w:tcPr>
            <w:tcW w:w="0" w:type="auto"/>
            <w:vAlign w:val="center"/>
            <w:hideMark/>
          </w:tcPr>
          <w:p w14:paraId="6A7EB3F7"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0.53</w:t>
            </w:r>
          </w:p>
        </w:tc>
        <w:tc>
          <w:tcPr>
            <w:tcW w:w="0" w:type="auto"/>
            <w:vAlign w:val="center"/>
            <w:hideMark/>
          </w:tcPr>
          <w:p w14:paraId="19CB0D2F"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1.06</w:t>
            </w:r>
          </w:p>
        </w:tc>
      </w:tr>
      <w:tr w:rsidR="00DA6E6A" w:rsidRPr="00C51B0E" w14:paraId="3822CE38" w14:textId="77777777" w:rsidTr="008D5AAD">
        <w:trPr>
          <w:jc w:val="center"/>
        </w:trPr>
        <w:tc>
          <w:tcPr>
            <w:tcW w:w="0" w:type="auto"/>
            <w:vMerge/>
            <w:vAlign w:val="center"/>
            <w:hideMark/>
          </w:tcPr>
          <w:p w14:paraId="3CE3FE3F"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p>
        </w:tc>
        <w:tc>
          <w:tcPr>
            <w:tcW w:w="0" w:type="auto"/>
            <w:vAlign w:val="center"/>
            <w:hideMark/>
          </w:tcPr>
          <w:p w14:paraId="119D905B"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Pb</w:t>
            </w:r>
          </w:p>
        </w:tc>
        <w:tc>
          <w:tcPr>
            <w:tcW w:w="0" w:type="auto"/>
            <w:vAlign w:val="center"/>
            <w:hideMark/>
          </w:tcPr>
          <w:p w14:paraId="64B7A1E3"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3.85</w:t>
            </w:r>
          </w:p>
        </w:tc>
        <w:tc>
          <w:tcPr>
            <w:tcW w:w="0" w:type="auto"/>
            <w:vAlign w:val="center"/>
            <w:hideMark/>
          </w:tcPr>
          <w:p w14:paraId="73CA6F75"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7.71</w:t>
            </w:r>
          </w:p>
        </w:tc>
      </w:tr>
      <w:tr w:rsidR="00DA6E6A" w:rsidRPr="00C51B0E" w14:paraId="57BA13C8" w14:textId="77777777" w:rsidTr="008D5AAD">
        <w:trPr>
          <w:jc w:val="center"/>
        </w:trPr>
        <w:tc>
          <w:tcPr>
            <w:tcW w:w="0" w:type="auto"/>
            <w:vMerge w:val="restart"/>
            <w:vAlign w:val="center"/>
            <w:hideMark/>
          </w:tcPr>
          <w:p w14:paraId="2A4E17C8"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Dry</w:t>
            </w:r>
          </w:p>
        </w:tc>
        <w:tc>
          <w:tcPr>
            <w:tcW w:w="0" w:type="auto"/>
            <w:vAlign w:val="center"/>
            <w:hideMark/>
          </w:tcPr>
          <w:p w14:paraId="10F31A8B"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Cd</w:t>
            </w:r>
          </w:p>
        </w:tc>
        <w:tc>
          <w:tcPr>
            <w:tcW w:w="0" w:type="auto"/>
            <w:vAlign w:val="center"/>
            <w:hideMark/>
          </w:tcPr>
          <w:p w14:paraId="594DF387"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0.07</w:t>
            </w:r>
          </w:p>
        </w:tc>
        <w:tc>
          <w:tcPr>
            <w:tcW w:w="0" w:type="auto"/>
            <w:vAlign w:val="center"/>
            <w:hideMark/>
          </w:tcPr>
          <w:p w14:paraId="1E846241"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0.14</w:t>
            </w:r>
          </w:p>
        </w:tc>
      </w:tr>
      <w:tr w:rsidR="00DA6E6A" w:rsidRPr="00C51B0E" w14:paraId="63B56E71" w14:textId="77777777" w:rsidTr="008D5AAD">
        <w:trPr>
          <w:jc w:val="center"/>
        </w:trPr>
        <w:tc>
          <w:tcPr>
            <w:tcW w:w="0" w:type="auto"/>
            <w:vMerge/>
            <w:vAlign w:val="center"/>
            <w:hideMark/>
          </w:tcPr>
          <w:p w14:paraId="1895B407"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p>
        </w:tc>
        <w:tc>
          <w:tcPr>
            <w:tcW w:w="0" w:type="auto"/>
            <w:vAlign w:val="center"/>
            <w:hideMark/>
          </w:tcPr>
          <w:p w14:paraId="42283840"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Hg</w:t>
            </w:r>
          </w:p>
        </w:tc>
        <w:tc>
          <w:tcPr>
            <w:tcW w:w="0" w:type="auto"/>
            <w:vAlign w:val="center"/>
            <w:hideMark/>
          </w:tcPr>
          <w:p w14:paraId="1C02C293"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0.01</w:t>
            </w:r>
          </w:p>
        </w:tc>
        <w:tc>
          <w:tcPr>
            <w:tcW w:w="0" w:type="auto"/>
            <w:vAlign w:val="center"/>
            <w:hideMark/>
          </w:tcPr>
          <w:p w14:paraId="30EF3448"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0.02</w:t>
            </w:r>
          </w:p>
        </w:tc>
      </w:tr>
      <w:tr w:rsidR="00DA6E6A" w:rsidRPr="00C51B0E" w14:paraId="3A6500FC" w14:textId="77777777" w:rsidTr="008D5AAD">
        <w:trPr>
          <w:jc w:val="center"/>
        </w:trPr>
        <w:tc>
          <w:tcPr>
            <w:tcW w:w="0" w:type="auto"/>
            <w:vMerge/>
            <w:vAlign w:val="center"/>
            <w:hideMark/>
          </w:tcPr>
          <w:p w14:paraId="425ADF69"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p>
        </w:tc>
        <w:tc>
          <w:tcPr>
            <w:tcW w:w="0" w:type="auto"/>
            <w:vAlign w:val="center"/>
            <w:hideMark/>
          </w:tcPr>
          <w:p w14:paraId="33398A60"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Pb</w:t>
            </w:r>
          </w:p>
        </w:tc>
        <w:tc>
          <w:tcPr>
            <w:tcW w:w="0" w:type="auto"/>
            <w:vAlign w:val="center"/>
            <w:hideMark/>
          </w:tcPr>
          <w:p w14:paraId="417E4670"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11.68</w:t>
            </w:r>
          </w:p>
        </w:tc>
        <w:tc>
          <w:tcPr>
            <w:tcW w:w="0" w:type="auto"/>
            <w:vAlign w:val="center"/>
            <w:hideMark/>
          </w:tcPr>
          <w:p w14:paraId="24610E0E"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23.37</w:t>
            </w:r>
          </w:p>
        </w:tc>
      </w:tr>
    </w:tbl>
    <w:p w14:paraId="00EEC614" w14:textId="46DEBB51" w:rsidR="00DA6E6A" w:rsidRPr="00E577EF" w:rsidRDefault="00DA6E6A" w:rsidP="00C51B0E">
      <w:pPr>
        <w:spacing w:before="100" w:beforeAutospacing="1" w:after="100" w:afterAutospacing="1" w:line="480" w:lineRule="auto"/>
        <w:ind w:left="0" w:firstLine="0"/>
        <w:rPr>
          <w:rFonts w:ascii="Times New Roman" w:hAnsi="Times New Roman" w:cs="Times New Roman"/>
          <w:color w:val="000000"/>
          <w:lang w:val="en-US"/>
        </w:rPr>
      </w:pPr>
      <w:r w:rsidRPr="00E577EF">
        <w:rPr>
          <w:rFonts w:ascii="Times New Roman" w:hAnsi="Times New Roman" w:cs="Times New Roman"/>
          <w:color w:val="000000"/>
          <w:lang w:val="en-US"/>
        </w:rPr>
        <w:lastRenderedPageBreak/>
        <w:t>Interannual variability revealed that the highest THQ for Cd was recorded in 2021, reaching ~30 in adults and over 60 in children, indicating severe health risks. From 2022 onward, THQ values fell below the critical threshold of 1 for both groups. Kruskal-Wallis tests showed significant interannual differences (</w:t>
      </w:r>
      <w:r w:rsidRPr="00E577EF">
        <w:rPr>
          <w:rFonts w:ascii="Times New Roman" w:hAnsi="Times New Roman" w:cs="Times New Roman"/>
          <w:i/>
          <w:color w:val="000000"/>
          <w:lang w:val="en-US"/>
        </w:rPr>
        <w:t>p &lt; 0.05</w:t>
      </w:r>
      <w:r w:rsidRPr="00E577EF">
        <w:rPr>
          <w:rFonts w:ascii="Times New Roman" w:hAnsi="Times New Roman" w:cs="Times New Roman"/>
          <w:color w:val="000000"/>
          <w:lang w:val="en-US"/>
        </w:rPr>
        <w:t>), and Dunn’s post hoc test identified significant changes only between 2021 and 2022. For Hg, THQ values remained below 1 throughout the study, suggesting consistently low risk. However, Kruskal-Wallis indicated a significant difference between years (</w:t>
      </w:r>
      <w:r w:rsidRPr="00E577EF">
        <w:rPr>
          <w:rFonts w:ascii="Times New Roman" w:hAnsi="Times New Roman" w:cs="Times New Roman"/>
          <w:i/>
          <w:color w:val="000000"/>
          <w:lang w:val="en-US"/>
        </w:rPr>
        <w:t>p &lt; 0.05</w:t>
      </w:r>
      <w:r w:rsidRPr="00E577EF">
        <w:rPr>
          <w:rFonts w:ascii="Times New Roman" w:hAnsi="Times New Roman" w:cs="Times New Roman"/>
          <w:color w:val="000000"/>
          <w:lang w:val="en-US"/>
        </w:rPr>
        <w:t>), with Dunn’s test revealing only a marginal difference between 2021 and 2022. For Pb, THQ values in children exceeded 1 in 2021, 2022, and 2024, indicating persistent potential risk. In adults, values were more moderate but still near 1 during the same years. Both Kruskal-Wallis and Dunn tests confirmed significant differences, especially between 2021 and 2022 (</w:t>
      </w:r>
      <w:r w:rsidRPr="00E577EF">
        <w:rPr>
          <w:rFonts w:ascii="Times New Roman" w:hAnsi="Times New Roman" w:cs="Times New Roman"/>
          <w:i/>
          <w:color w:val="000000"/>
          <w:lang w:val="en-US"/>
        </w:rPr>
        <w:t>p &lt; 0.05</w:t>
      </w:r>
      <w:r w:rsidRPr="00E577EF">
        <w:rPr>
          <w:rFonts w:ascii="Times New Roman" w:hAnsi="Times New Roman" w:cs="Times New Roman"/>
          <w:color w:val="000000"/>
          <w:lang w:val="en-US"/>
        </w:rPr>
        <w:t>).</w:t>
      </w:r>
    </w:p>
    <w:p w14:paraId="63319055" w14:textId="77777777" w:rsidR="00DA6E6A" w:rsidRPr="00E577EF" w:rsidRDefault="00DA6E6A" w:rsidP="00C51B0E">
      <w:pPr>
        <w:spacing w:before="100" w:beforeAutospacing="1" w:after="0" w:line="480" w:lineRule="auto"/>
        <w:ind w:left="0" w:firstLine="0"/>
        <w:jc w:val="left"/>
        <w:rPr>
          <w:rFonts w:ascii="Times New Roman" w:eastAsia="Times New Roman" w:hAnsi="Times New Roman" w:cs="Times New Roman"/>
          <w:color w:val="000000"/>
          <w:lang w:val="en-US" w:eastAsia="fr-FR"/>
        </w:rPr>
      </w:pPr>
      <w:r w:rsidRPr="00E577EF">
        <w:rPr>
          <w:rFonts w:ascii="Times New Roman" w:eastAsia="Times New Roman" w:hAnsi="Times New Roman" w:cs="Times New Roman"/>
          <w:b/>
          <w:bCs/>
          <w:color w:val="000000"/>
          <w:lang w:val="en-US" w:eastAsia="fr-FR"/>
        </w:rPr>
        <w:t xml:space="preserve">Table 4. </w:t>
      </w:r>
      <w:r w:rsidRPr="00E577EF">
        <w:rPr>
          <w:rFonts w:ascii="Times New Roman" w:eastAsia="Times New Roman" w:hAnsi="Times New Roman" w:cs="Times New Roman"/>
          <w:bCs/>
          <w:color w:val="000000"/>
          <w:lang w:val="en-US" w:eastAsia="fr-FR"/>
        </w:rPr>
        <w:t>Interannual THQ variation in adults and children.</w:t>
      </w:r>
    </w:p>
    <w:tbl>
      <w:tblPr>
        <w:tblStyle w:val="TableGrid"/>
        <w:tblW w:w="0" w:type="auto"/>
        <w:jc w:val="center"/>
        <w:tblLook w:val="04A0" w:firstRow="1" w:lastRow="0" w:firstColumn="1" w:lastColumn="0" w:noHBand="0" w:noVBand="1"/>
      </w:tblPr>
      <w:tblGrid>
        <w:gridCol w:w="816"/>
        <w:gridCol w:w="1190"/>
        <w:gridCol w:w="1017"/>
        <w:gridCol w:w="1252"/>
      </w:tblGrid>
      <w:tr w:rsidR="00DA6E6A" w:rsidRPr="00C51B0E" w14:paraId="21CCDEF0" w14:textId="77777777" w:rsidTr="00E577EF">
        <w:trPr>
          <w:jc w:val="center"/>
        </w:trPr>
        <w:tc>
          <w:tcPr>
            <w:tcW w:w="816" w:type="dxa"/>
            <w:vAlign w:val="center"/>
            <w:hideMark/>
          </w:tcPr>
          <w:p w14:paraId="7F7AFE03" w14:textId="77777777" w:rsidR="00DA6E6A" w:rsidRPr="00C51B0E" w:rsidRDefault="00DA6E6A" w:rsidP="00C51B0E">
            <w:pPr>
              <w:spacing w:after="0" w:line="480" w:lineRule="auto"/>
              <w:jc w:val="center"/>
              <w:rPr>
                <w:rFonts w:ascii="Times New Roman" w:eastAsia="Times New Roman" w:hAnsi="Times New Roman" w:cs="Times New Roman"/>
                <w:b/>
                <w:bCs/>
                <w:sz w:val="22"/>
                <w:szCs w:val="22"/>
                <w:lang w:eastAsia="fr-FR"/>
              </w:rPr>
            </w:pPr>
            <w:r w:rsidRPr="00C51B0E">
              <w:rPr>
                <w:rFonts w:ascii="Times New Roman" w:eastAsia="Times New Roman" w:hAnsi="Times New Roman" w:cs="Times New Roman"/>
                <w:b/>
                <w:bCs/>
                <w:sz w:val="22"/>
                <w:szCs w:val="22"/>
                <w:lang w:eastAsia="fr-FR"/>
              </w:rPr>
              <w:t>Year</w:t>
            </w:r>
          </w:p>
        </w:tc>
        <w:tc>
          <w:tcPr>
            <w:tcW w:w="1190" w:type="dxa"/>
            <w:vAlign w:val="center"/>
            <w:hideMark/>
          </w:tcPr>
          <w:p w14:paraId="2C6FB0D4" w14:textId="77777777" w:rsidR="00DA6E6A" w:rsidRPr="00C51B0E" w:rsidRDefault="00DA6E6A" w:rsidP="00C51B0E">
            <w:pPr>
              <w:spacing w:after="0" w:line="480" w:lineRule="auto"/>
              <w:jc w:val="center"/>
              <w:rPr>
                <w:rFonts w:ascii="Times New Roman" w:eastAsia="Times New Roman" w:hAnsi="Times New Roman" w:cs="Times New Roman"/>
                <w:b/>
                <w:bCs/>
                <w:sz w:val="22"/>
                <w:szCs w:val="22"/>
                <w:lang w:eastAsia="fr-FR"/>
              </w:rPr>
            </w:pPr>
            <w:r w:rsidRPr="00C51B0E">
              <w:rPr>
                <w:rFonts w:ascii="Times New Roman" w:eastAsia="Times New Roman" w:hAnsi="Times New Roman" w:cs="Times New Roman"/>
                <w:b/>
                <w:bCs/>
                <w:sz w:val="22"/>
                <w:szCs w:val="22"/>
                <w:lang w:eastAsia="fr-FR"/>
              </w:rPr>
              <w:t>Element</w:t>
            </w:r>
          </w:p>
        </w:tc>
        <w:tc>
          <w:tcPr>
            <w:tcW w:w="1017" w:type="dxa"/>
            <w:vAlign w:val="center"/>
            <w:hideMark/>
          </w:tcPr>
          <w:p w14:paraId="53DF72AE" w14:textId="77777777" w:rsidR="00DA6E6A" w:rsidRPr="00C51B0E" w:rsidRDefault="00DA6E6A" w:rsidP="00C51B0E">
            <w:pPr>
              <w:spacing w:after="0" w:line="480" w:lineRule="auto"/>
              <w:jc w:val="center"/>
              <w:rPr>
                <w:rFonts w:ascii="Times New Roman" w:eastAsia="Times New Roman" w:hAnsi="Times New Roman" w:cs="Times New Roman"/>
                <w:b/>
                <w:bCs/>
                <w:sz w:val="22"/>
                <w:szCs w:val="22"/>
                <w:lang w:eastAsia="fr-FR"/>
              </w:rPr>
            </w:pPr>
            <w:r w:rsidRPr="00C51B0E">
              <w:rPr>
                <w:rFonts w:ascii="Times New Roman" w:eastAsia="Times New Roman" w:hAnsi="Times New Roman" w:cs="Times New Roman"/>
                <w:b/>
                <w:bCs/>
                <w:sz w:val="22"/>
                <w:szCs w:val="22"/>
                <w:lang w:eastAsia="fr-FR"/>
              </w:rPr>
              <w:t>Adults</w:t>
            </w:r>
          </w:p>
        </w:tc>
        <w:tc>
          <w:tcPr>
            <w:tcW w:w="1252" w:type="dxa"/>
            <w:vAlign w:val="center"/>
            <w:hideMark/>
          </w:tcPr>
          <w:p w14:paraId="3E3F69DB" w14:textId="77777777" w:rsidR="00DA6E6A" w:rsidRPr="00C51B0E" w:rsidRDefault="00DA6E6A" w:rsidP="00C51B0E">
            <w:pPr>
              <w:spacing w:after="0" w:line="480" w:lineRule="auto"/>
              <w:jc w:val="center"/>
              <w:rPr>
                <w:rFonts w:ascii="Times New Roman" w:eastAsia="Times New Roman" w:hAnsi="Times New Roman" w:cs="Times New Roman"/>
                <w:b/>
                <w:bCs/>
                <w:sz w:val="22"/>
                <w:szCs w:val="22"/>
                <w:lang w:eastAsia="fr-FR"/>
              </w:rPr>
            </w:pPr>
            <w:r w:rsidRPr="00C51B0E">
              <w:rPr>
                <w:rFonts w:ascii="Times New Roman" w:eastAsia="Times New Roman" w:hAnsi="Times New Roman" w:cs="Times New Roman"/>
                <w:b/>
                <w:bCs/>
                <w:sz w:val="22"/>
                <w:szCs w:val="22"/>
                <w:lang w:eastAsia="fr-FR"/>
              </w:rPr>
              <w:t>Children</w:t>
            </w:r>
          </w:p>
        </w:tc>
      </w:tr>
      <w:tr w:rsidR="00DA6E6A" w:rsidRPr="00C51B0E" w14:paraId="79D67F48" w14:textId="77777777" w:rsidTr="00E577EF">
        <w:trPr>
          <w:jc w:val="center"/>
        </w:trPr>
        <w:tc>
          <w:tcPr>
            <w:tcW w:w="816" w:type="dxa"/>
            <w:vMerge w:val="restart"/>
            <w:vAlign w:val="center"/>
            <w:hideMark/>
          </w:tcPr>
          <w:p w14:paraId="4B9151A3"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2021</w:t>
            </w:r>
          </w:p>
        </w:tc>
        <w:tc>
          <w:tcPr>
            <w:tcW w:w="1190" w:type="dxa"/>
            <w:vAlign w:val="center"/>
            <w:hideMark/>
          </w:tcPr>
          <w:p w14:paraId="20F5B9C0"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Cd</w:t>
            </w:r>
          </w:p>
        </w:tc>
        <w:tc>
          <w:tcPr>
            <w:tcW w:w="1017" w:type="dxa"/>
            <w:vAlign w:val="center"/>
            <w:hideMark/>
          </w:tcPr>
          <w:p w14:paraId="0DE3C4EF"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29.372</w:t>
            </w:r>
          </w:p>
        </w:tc>
        <w:tc>
          <w:tcPr>
            <w:tcW w:w="1252" w:type="dxa"/>
            <w:vAlign w:val="center"/>
            <w:hideMark/>
          </w:tcPr>
          <w:p w14:paraId="7606B18E"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58.74</w:t>
            </w:r>
          </w:p>
        </w:tc>
      </w:tr>
      <w:tr w:rsidR="00DA6E6A" w:rsidRPr="00C51B0E" w14:paraId="023B5A12" w14:textId="77777777" w:rsidTr="00E577EF">
        <w:trPr>
          <w:jc w:val="center"/>
        </w:trPr>
        <w:tc>
          <w:tcPr>
            <w:tcW w:w="816" w:type="dxa"/>
            <w:vMerge/>
            <w:vAlign w:val="center"/>
            <w:hideMark/>
          </w:tcPr>
          <w:p w14:paraId="34DDE02C"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p>
        </w:tc>
        <w:tc>
          <w:tcPr>
            <w:tcW w:w="1190" w:type="dxa"/>
            <w:vAlign w:val="center"/>
            <w:hideMark/>
          </w:tcPr>
          <w:p w14:paraId="3EEDCAEE"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Hg</w:t>
            </w:r>
          </w:p>
        </w:tc>
        <w:tc>
          <w:tcPr>
            <w:tcW w:w="1017" w:type="dxa"/>
            <w:vAlign w:val="center"/>
            <w:hideMark/>
          </w:tcPr>
          <w:p w14:paraId="438EE939"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2.120</w:t>
            </w:r>
          </w:p>
        </w:tc>
        <w:tc>
          <w:tcPr>
            <w:tcW w:w="1252" w:type="dxa"/>
            <w:vAlign w:val="center"/>
            <w:hideMark/>
          </w:tcPr>
          <w:p w14:paraId="5C960499"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4.24</w:t>
            </w:r>
          </w:p>
        </w:tc>
      </w:tr>
      <w:tr w:rsidR="00DA6E6A" w:rsidRPr="00C51B0E" w14:paraId="270F293C" w14:textId="77777777" w:rsidTr="00E577EF">
        <w:trPr>
          <w:jc w:val="center"/>
        </w:trPr>
        <w:tc>
          <w:tcPr>
            <w:tcW w:w="816" w:type="dxa"/>
            <w:vMerge/>
            <w:vAlign w:val="center"/>
            <w:hideMark/>
          </w:tcPr>
          <w:p w14:paraId="39FB1B03"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p>
        </w:tc>
        <w:tc>
          <w:tcPr>
            <w:tcW w:w="1190" w:type="dxa"/>
            <w:vAlign w:val="center"/>
            <w:hideMark/>
          </w:tcPr>
          <w:p w14:paraId="71481DF4"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Pb</w:t>
            </w:r>
          </w:p>
        </w:tc>
        <w:tc>
          <w:tcPr>
            <w:tcW w:w="1017" w:type="dxa"/>
            <w:vAlign w:val="center"/>
            <w:hideMark/>
          </w:tcPr>
          <w:p w14:paraId="76B1FEA4"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12.566</w:t>
            </w:r>
          </w:p>
        </w:tc>
        <w:tc>
          <w:tcPr>
            <w:tcW w:w="1252" w:type="dxa"/>
            <w:vAlign w:val="center"/>
            <w:hideMark/>
          </w:tcPr>
          <w:p w14:paraId="2582D416"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25.13</w:t>
            </w:r>
          </w:p>
        </w:tc>
      </w:tr>
      <w:tr w:rsidR="00DA6E6A" w:rsidRPr="00C51B0E" w14:paraId="69B203F1" w14:textId="77777777" w:rsidTr="00E577EF">
        <w:trPr>
          <w:jc w:val="center"/>
        </w:trPr>
        <w:tc>
          <w:tcPr>
            <w:tcW w:w="816" w:type="dxa"/>
            <w:vMerge w:val="restart"/>
            <w:vAlign w:val="center"/>
            <w:hideMark/>
          </w:tcPr>
          <w:p w14:paraId="0BADA317"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2022</w:t>
            </w:r>
          </w:p>
        </w:tc>
        <w:tc>
          <w:tcPr>
            <w:tcW w:w="1190" w:type="dxa"/>
            <w:vAlign w:val="center"/>
            <w:hideMark/>
          </w:tcPr>
          <w:p w14:paraId="1F5656FD"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Cd</w:t>
            </w:r>
          </w:p>
        </w:tc>
        <w:tc>
          <w:tcPr>
            <w:tcW w:w="1017" w:type="dxa"/>
            <w:vAlign w:val="center"/>
            <w:hideMark/>
          </w:tcPr>
          <w:p w14:paraId="4E53F323"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0.139</w:t>
            </w:r>
          </w:p>
        </w:tc>
        <w:tc>
          <w:tcPr>
            <w:tcW w:w="1252" w:type="dxa"/>
            <w:vAlign w:val="center"/>
            <w:hideMark/>
          </w:tcPr>
          <w:p w14:paraId="05A36DA5"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0.28</w:t>
            </w:r>
          </w:p>
        </w:tc>
      </w:tr>
      <w:tr w:rsidR="00DA6E6A" w:rsidRPr="00C51B0E" w14:paraId="2670BA06" w14:textId="77777777" w:rsidTr="00E577EF">
        <w:trPr>
          <w:jc w:val="center"/>
        </w:trPr>
        <w:tc>
          <w:tcPr>
            <w:tcW w:w="816" w:type="dxa"/>
            <w:vMerge/>
            <w:vAlign w:val="center"/>
            <w:hideMark/>
          </w:tcPr>
          <w:p w14:paraId="6D4E2CCF"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p>
        </w:tc>
        <w:tc>
          <w:tcPr>
            <w:tcW w:w="1190" w:type="dxa"/>
            <w:vAlign w:val="center"/>
            <w:hideMark/>
          </w:tcPr>
          <w:p w14:paraId="6B19EF7E"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Hg</w:t>
            </w:r>
          </w:p>
        </w:tc>
        <w:tc>
          <w:tcPr>
            <w:tcW w:w="1017" w:type="dxa"/>
            <w:vAlign w:val="center"/>
            <w:hideMark/>
          </w:tcPr>
          <w:p w14:paraId="5D059CFF"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0.016</w:t>
            </w:r>
          </w:p>
        </w:tc>
        <w:tc>
          <w:tcPr>
            <w:tcW w:w="1252" w:type="dxa"/>
            <w:vAlign w:val="center"/>
            <w:hideMark/>
          </w:tcPr>
          <w:p w14:paraId="3B64D5F4"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0.03</w:t>
            </w:r>
          </w:p>
        </w:tc>
      </w:tr>
      <w:tr w:rsidR="00DA6E6A" w:rsidRPr="00C51B0E" w14:paraId="6CBDC4AC" w14:textId="77777777" w:rsidTr="00E577EF">
        <w:trPr>
          <w:jc w:val="center"/>
        </w:trPr>
        <w:tc>
          <w:tcPr>
            <w:tcW w:w="816" w:type="dxa"/>
            <w:vMerge/>
            <w:vAlign w:val="center"/>
            <w:hideMark/>
          </w:tcPr>
          <w:p w14:paraId="4D9D3D7D"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p>
        </w:tc>
        <w:tc>
          <w:tcPr>
            <w:tcW w:w="1190" w:type="dxa"/>
            <w:vAlign w:val="center"/>
            <w:hideMark/>
          </w:tcPr>
          <w:p w14:paraId="244CBEED"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Pb</w:t>
            </w:r>
          </w:p>
        </w:tc>
        <w:tc>
          <w:tcPr>
            <w:tcW w:w="1017" w:type="dxa"/>
            <w:vAlign w:val="center"/>
            <w:hideMark/>
          </w:tcPr>
          <w:p w14:paraId="2F454DC2"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0.274</w:t>
            </w:r>
          </w:p>
        </w:tc>
        <w:tc>
          <w:tcPr>
            <w:tcW w:w="1252" w:type="dxa"/>
            <w:vAlign w:val="center"/>
            <w:hideMark/>
          </w:tcPr>
          <w:p w14:paraId="10C4E625"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0.55</w:t>
            </w:r>
          </w:p>
        </w:tc>
      </w:tr>
      <w:tr w:rsidR="00DA6E6A" w:rsidRPr="00C51B0E" w14:paraId="425E3E99" w14:textId="77777777" w:rsidTr="00E577EF">
        <w:trPr>
          <w:jc w:val="center"/>
        </w:trPr>
        <w:tc>
          <w:tcPr>
            <w:tcW w:w="816" w:type="dxa"/>
            <w:vMerge w:val="restart"/>
            <w:vAlign w:val="center"/>
            <w:hideMark/>
          </w:tcPr>
          <w:p w14:paraId="472EF345"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2023</w:t>
            </w:r>
          </w:p>
        </w:tc>
        <w:tc>
          <w:tcPr>
            <w:tcW w:w="1190" w:type="dxa"/>
            <w:vAlign w:val="center"/>
            <w:hideMark/>
          </w:tcPr>
          <w:p w14:paraId="6F377069"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Cd</w:t>
            </w:r>
          </w:p>
        </w:tc>
        <w:tc>
          <w:tcPr>
            <w:tcW w:w="1017" w:type="dxa"/>
            <w:vAlign w:val="center"/>
            <w:hideMark/>
          </w:tcPr>
          <w:p w14:paraId="3CE05DE3"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0.126</w:t>
            </w:r>
          </w:p>
        </w:tc>
        <w:tc>
          <w:tcPr>
            <w:tcW w:w="1252" w:type="dxa"/>
            <w:vAlign w:val="center"/>
            <w:hideMark/>
          </w:tcPr>
          <w:p w14:paraId="067E9D1E"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0.25</w:t>
            </w:r>
          </w:p>
        </w:tc>
      </w:tr>
      <w:tr w:rsidR="00DA6E6A" w:rsidRPr="00C51B0E" w14:paraId="66A0A9DB" w14:textId="77777777" w:rsidTr="00E577EF">
        <w:trPr>
          <w:jc w:val="center"/>
        </w:trPr>
        <w:tc>
          <w:tcPr>
            <w:tcW w:w="816" w:type="dxa"/>
            <w:vMerge/>
            <w:vAlign w:val="center"/>
            <w:hideMark/>
          </w:tcPr>
          <w:p w14:paraId="34943DFD"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p>
        </w:tc>
        <w:tc>
          <w:tcPr>
            <w:tcW w:w="1190" w:type="dxa"/>
            <w:vAlign w:val="center"/>
            <w:hideMark/>
          </w:tcPr>
          <w:p w14:paraId="361AD48C"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Hg</w:t>
            </w:r>
          </w:p>
        </w:tc>
        <w:tc>
          <w:tcPr>
            <w:tcW w:w="1017" w:type="dxa"/>
            <w:vAlign w:val="center"/>
            <w:hideMark/>
          </w:tcPr>
          <w:p w14:paraId="3E58DD32"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0.003</w:t>
            </w:r>
          </w:p>
        </w:tc>
        <w:tc>
          <w:tcPr>
            <w:tcW w:w="1252" w:type="dxa"/>
            <w:vAlign w:val="center"/>
            <w:hideMark/>
          </w:tcPr>
          <w:p w14:paraId="722A94F0"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0.01</w:t>
            </w:r>
          </w:p>
        </w:tc>
      </w:tr>
      <w:tr w:rsidR="00DA6E6A" w:rsidRPr="00C51B0E" w14:paraId="04E69000" w14:textId="77777777" w:rsidTr="00E577EF">
        <w:trPr>
          <w:jc w:val="center"/>
        </w:trPr>
        <w:tc>
          <w:tcPr>
            <w:tcW w:w="816" w:type="dxa"/>
            <w:vMerge/>
            <w:vAlign w:val="center"/>
            <w:hideMark/>
          </w:tcPr>
          <w:p w14:paraId="3CA11B56"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p>
        </w:tc>
        <w:tc>
          <w:tcPr>
            <w:tcW w:w="1190" w:type="dxa"/>
            <w:vAlign w:val="center"/>
            <w:hideMark/>
          </w:tcPr>
          <w:p w14:paraId="0BA297D9"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Pb</w:t>
            </w:r>
          </w:p>
        </w:tc>
        <w:tc>
          <w:tcPr>
            <w:tcW w:w="1017" w:type="dxa"/>
            <w:vAlign w:val="center"/>
            <w:hideMark/>
          </w:tcPr>
          <w:p w14:paraId="77A81EFE"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6.283</w:t>
            </w:r>
          </w:p>
        </w:tc>
        <w:tc>
          <w:tcPr>
            <w:tcW w:w="1252" w:type="dxa"/>
            <w:vAlign w:val="center"/>
            <w:hideMark/>
          </w:tcPr>
          <w:p w14:paraId="07B9FB33"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12.57</w:t>
            </w:r>
          </w:p>
        </w:tc>
      </w:tr>
      <w:tr w:rsidR="00DA6E6A" w:rsidRPr="00C51B0E" w14:paraId="258909B5" w14:textId="77777777" w:rsidTr="00E577EF">
        <w:trPr>
          <w:jc w:val="center"/>
        </w:trPr>
        <w:tc>
          <w:tcPr>
            <w:tcW w:w="816" w:type="dxa"/>
            <w:vMerge w:val="restart"/>
            <w:vAlign w:val="center"/>
            <w:hideMark/>
          </w:tcPr>
          <w:p w14:paraId="1C2EF385"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2024</w:t>
            </w:r>
          </w:p>
        </w:tc>
        <w:tc>
          <w:tcPr>
            <w:tcW w:w="1190" w:type="dxa"/>
            <w:vAlign w:val="center"/>
            <w:hideMark/>
          </w:tcPr>
          <w:p w14:paraId="5040EC8A"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Cd</w:t>
            </w:r>
          </w:p>
        </w:tc>
        <w:tc>
          <w:tcPr>
            <w:tcW w:w="1017" w:type="dxa"/>
            <w:vAlign w:val="center"/>
            <w:hideMark/>
          </w:tcPr>
          <w:p w14:paraId="65BF3EF3"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0.529</w:t>
            </w:r>
          </w:p>
        </w:tc>
        <w:tc>
          <w:tcPr>
            <w:tcW w:w="1252" w:type="dxa"/>
            <w:vAlign w:val="center"/>
            <w:hideMark/>
          </w:tcPr>
          <w:p w14:paraId="74DEE1CA"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1.06</w:t>
            </w:r>
          </w:p>
        </w:tc>
      </w:tr>
      <w:tr w:rsidR="00DA6E6A" w:rsidRPr="00C51B0E" w14:paraId="7E4204B8" w14:textId="77777777" w:rsidTr="00E577EF">
        <w:trPr>
          <w:jc w:val="center"/>
        </w:trPr>
        <w:tc>
          <w:tcPr>
            <w:tcW w:w="816" w:type="dxa"/>
            <w:vMerge/>
            <w:vAlign w:val="center"/>
            <w:hideMark/>
          </w:tcPr>
          <w:p w14:paraId="15461A08"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p>
        </w:tc>
        <w:tc>
          <w:tcPr>
            <w:tcW w:w="1190" w:type="dxa"/>
            <w:vAlign w:val="center"/>
            <w:hideMark/>
          </w:tcPr>
          <w:p w14:paraId="3D615E01"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Hg</w:t>
            </w:r>
          </w:p>
        </w:tc>
        <w:tc>
          <w:tcPr>
            <w:tcW w:w="1017" w:type="dxa"/>
            <w:vAlign w:val="center"/>
            <w:hideMark/>
          </w:tcPr>
          <w:p w14:paraId="5B600F93"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0.003</w:t>
            </w:r>
          </w:p>
        </w:tc>
        <w:tc>
          <w:tcPr>
            <w:tcW w:w="1252" w:type="dxa"/>
            <w:vAlign w:val="center"/>
            <w:hideMark/>
          </w:tcPr>
          <w:p w14:paraId="0F42519F"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0.01</w:t>
            </w:r>
          </w:p>
        </w:tc>
      </w:tr>
      <w:tr w:rsidR="00DA6E6A" w:rsidRPr="00C51B0E" w14:paraId="6CB7FD4C" w14:textId="77777777" w:rsidTr="00E577EF">
        <w:trPr>
          <w:jc w:val="center"/>
        </w:trPr>
        <w:tc>
          <w:tcPr>
            <w:tcW w:w="816" w:type="dxa"/>
            <w:vMerge/>
            <w:vAlign w:val="center"/>
            <w:hideMark/>
          </w:tcPr>
          <w:p w14:paraId="45BBFD61"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p>
        </w:tc>
        <w:tc>
          <w:tcPr>
            <w:tcW w:w="1190" w:type="dxa"/>
            <w:vAlign w:val="center"/>
            <w:hideMark/>
          </w:tcPr>
          <w:p w14:paraId="57F459DD"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Pb</w:t>
            </w:r>
          </w:p>
        </w:tc>
        <w:tc>
          <w:tcPr>
            <w:tcW w:w="1017" w:type="dxa"/>
            <w:vAlign w:val="center"/>
            <w:hideMark/>
          </w:tcPr>
          <w:p w14:paraId="54285524"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12.392</w:t>
            </w:r>
          </w:p>
        </w:tc>
        <w:tc>
          <w:tcPr>
            <w:tcW w:w="1252" w:type="dxa"/>
            <w:vAlign w:val="center"/>
            <w:hideMark/>
          </w:tcPr>
          <w:p w14:paraId="2A572876" w14:textId="77777777" w:rsidR="00DA6E6A" w:rsidRPr="00C51B0E" w:rsidRDefault="00DA6E6A" w:rsidP="00C51B0E">
            <w:pPr>
              <w:spacing w:after="0" w:line="480" w:lineRule="auto"/>
              <w:jc w:val="center"/>
              <w:rPr>
                <w:rFonts w:ascii="Times New Roman" w:eastAsia="Times New Roman" w:hAnsi="Times New Roman" w:cs="Times New Roman"/>
                <w:sz w:val="22"/>
                <w:szCs w:val="22"/>
                <w:lang w:eastAsia="fr-FR"/>
              </w:rPr>
            </w:pPr>
            <w:r w:rsidRPr="00C51B0E">
              <w:rPr>
                <w:rFonts w:ascii="Times New Roman" w:eastAsia="Times New Roman" w:hAnsi="Times New Roman" w:cs="Times New Roman"/>
                <w:sz w:val="22"/>
                <w:szCs w:val="22"/>
                <w:lang w:eastAsia="fr-FR"/>
              </w:rPr>
              <w:t>24.78</w:t>
            </w:r>
          </w:p>
        </w:tc>
      </w:tr>
    </w:tbl>
    <w:p w14:paraId="057D2A62" w14:textId="77777777" w:rsidR="00DA6E6A" w:rsidRPr="00E577EF" w:rsidRDefault="00DA6E6A" w:rsidP="00C51B0E">
      <w:pPr>
        <w:pStyle w:val="Heading5"/>
        <w:spacing w:line="480" w:lineRule="auto"/>
        <w:rPr>
          <w:rStyle w:val="Strong"/>
          <w:rFonts w:ascii="Times New Roman" w:hAnsi="Times New Roman" w:cs="Times New Roman"/>
          <w:b w:val="0"/>
          <w:i/>
          <w:color w:val="000000" w:themeColor="text1"/>
          <w:lang w:val="en-US"/>
        </w:rPr>
      </w:pPr>
      <w:r w:rsidRPr="00E577EF">
        <w:rPr>
          <w:rStyle w:val="Strong"/>
          <w:rFonts w:ascii="Times New Roman" w:hAnsi="Times New Roman" w:cs="Times New Roman"/>
          <w:b w:val="0"/>
          <w:i/>
          <w:color w:val="000000" w:themeColor="text1"/>
          <w:lang w:val="en-US"/>
        </w:rPr>
        <w:lastRenderedPageBreak/>
        <w:t xml:space="preserve">3.3.2. Cancer </w:t>
      </w:r>
      <w:r w:rsidR="008E407A" w:rsidRPr="00E577EF">
        <w:rPr>
          <w:rStyle w:val="Strong"/>
          <w:rFonts w:ascii="Times New Roman" w:hAnsi="Times New Roman" w:cs="Times New Roman"/>
          <w:b w:val="0"/>
          <w:i/>
          <w:color w:val="000000" w:themeColor="text1"/>
          <w:lang w:val="en-US"/>
        </w:rPr>
        <w:t>r</w:t>
      </w:r>
      <w:r w:rsidRPr="00E577EF">
        <w:rPr>
          <w:rStyle w:val="Strong"/>
          <w:rFonts w:ascii="Times New Roman" w:hAnsi="Times New Roman" w:cs="Times New Roman"/>
          <w:b w:val="0"/>
          <w:i/>
          <w:color w:val="000000" w:themeColor="text1"/>
          <w:lang w:val="en-US"/>
        </w:rPr>
        <w:t>isk (CR)</w:t>
      </w:r>
    </w:p>
    <w:p w14:paraId="2DCFB27E" w14:textId="77777777" w:rsidR="00DA6E6A" w:rsidRPr="00E577EF" w:rsidRDefault="00DA6E6A" w:rsidP="00C51B0E">
      <w:pPr>
        <w:spacing w:before="100" w:beforeAutospacing="1" w:after="100" w:afterAutospacing="1" w:line="480" w:lineRule="auto"/>
        <w:ind w:left="0" w:firstLine="0"/>
        <w:rPr>
          <w:rFonts w:ascii="Times New Roman" w:hAnsi="Times New Roman" w:cs="Times New Roman"/>
          <w:color w:val="000000"/>
          <w:lang w:val="en-US"/>
        </w:rPr>
      </w:pPr>
      <w:r w:rsidRPr="00E577EF">
        <w:rPr>
          <w:rFonts w:ascii="Times New Roman" w:hAnsi="Times New Roman" w:cs="Times New Roman"/>
          <w:color w:val="000000"/>
          <w:lang w:val="en-US"/>
        </w:rPr>
        <w:t>Cadmium-related cancer risk (CR) was assessed by season and year (Table 5). In the rainy season, CR reached 0.047, well above the acceptable threshold (1 × 10⁻⁴), indicating serious concern. During the dry season, CR dropped to 0.0004, still above the threshold, although lower than in the rainy season. However, Kruskal-Wallis tests showed no significant seasonal difference (</w:t>
      </w:r>
      <w:r w:rsidRPr="00E577EF">
        <w:rPr>
          <w:rFonts w:ascii="Times New Roman" w:hAnsi="Times New Roman" w:cs="Times New Roman"/>
          <w:i/>
          <w:color w:val="000000"/>
          <w:lang w:val="en-US"/>
        </w:rPr>
        <w:t>p &gt; 0.05</w:t>
      </w:r>
      <w:r w:rsidRPr="00E577EF">
        <w:rPr>
          <w:rFonts w:ascii="Times New Roman" w:hAnsi="Times New Roman" w:cs="Times New Roman"/>
          <w:color w:val="000000"/>
          <w:lang w:val="en-US"/>
        </w:rPr>
        <w:t>). Interannual analysis revealed that CR peaked at 0.18 in 2021, far exceeding acceptable limits. Although values declined in subsequent years, they remained above the threshold (0.0008 in 2022 and 2023, 0.003 in 2024). Kruskal-Wallis confirmed highly significant interannual differences (</w:t>
      </w:r>
      <w:r w:rsidRPr="00E577EF">
        <w:rPr>
          <w:rFonts w:ascii="Times New Roman" w:hAnsi="Times New Roman" w:cs="Times New Roman"/>
          <w:i/>
          <w:color w:val="000000"/>
          <w:lang w:val="en-US"/>
        </w:rPr>
        <w:t>p &lt;&lt; 0.05</w:t>
      </w:r>
      <w:r w:rsidRPr="00E577EF">
        <w:rPr>
          <w:rFonts w:ascii="Times New Roman" w:hAnsi="Times New Roman" w:cs="Times New Roman"/>
          <w:color w:val="000000"/>
          <w:lang w:val="en-US"/>
        </w:rPr>
        <w:t>), and Dunn’s test indicated that only the difference between 2021 and 2022 was statistically significant (</w:t>
      </w:r>
      <w:r w:rsidRPr="00E577EF">
        <w:rPr>
          <w:rFonts w:ascii="Times New Roman" w:hAnsi="Times New Roman" w:cs="Times New Roman"/>
          <w:i/>
          <w:color w:val="000000"/>
          <w:lang w:val="en-US"/>
        </w:rPr>
        <w:t>p &lt; 0.05</w:t>
      </w:r>
      <w:r w:rsidRPr="00E577EF">
        <w:rPr>
          <w:rFonts w:ascii="Times New Roman" w:hAnsi="Times New Roman" w:cs="Times New Roman"/>
          <w:color w:val="000000"/>
          <w:lang w:val="en-US"/>
        </w:rPr>
        <w:t>).</w:t>
      </w:r>
    </w:p>
    <w:p w14:paraId="13FF4ACB" w14:textId="77777777" w:rsidR="00DA6E6A" w:rsidRPr="00E577EF" w:rsidRDefault="00DA6E6A" w:rsidP="00C51B0E">
      <w:pPr>
        <w:spacing w:before="100" w:beforeAutospacing="1" w:after="0" w:line="480" w:lineRule="auto"/>
        <w:ind w:left="0" w:firstLine="0"/>
        <w:jc w:val="left"/>
        <w:rPr>
          <w:rFonts w:ascii="Times New Roman" w:eastAsia="Times New Roman" w:hAnsi="Times New Roman" w:cs="Times New Roman"/>
          <w:color w:val="000000"/>
          <w:lang w:val="en-US" w:eastAsia="fr-FR"/>
        </w:rPr>
      </w:pPr>
      <w:r w:rsidRPr="00E577EF">
        <w:rPr>
          <w:rFonts w:ascii="Times New Roman" w:eastAsia="Times New Roman" w:hAnsi="Times New Roman" w:cs="Times New Roman"/>
          <w:b/>
          <w:bCs/>
          <w:color w:val="000000"/>
          <w:lang w:val="en-US" w:eastAsia="fr-FR"/>
        </w:rPr>
        <w:t xml:space="preserve">Table 5. </w:t>
      </w:r>
      <w:r w:rsidRPr="00E577EF">
        <w:rPr>
          <w:rFonts w:ascii="Times New Roman" w:eastAsia="Times New Roman" w:hAnsi="Times New Roman" w:cs="Times New Roman"/>
          <w:bCs/>
          <w:color w:val="000000"/>
          <w:lang w:val="en-US" w:eastAsia="fr-FR"/>
        </w:rPr>
        <w:t>Seasonal and interannual variation in cancer risk (CR) for Cd.</w:t>
      </w:r>
      <w:r w:rsidRPr="00E577EF">
        <w:rPr>
          <w:rFonts w:ascii="Times New Roman" w:eastAsia="Times New Roman" w:hAnsi="Times New Roman" w:cs="Times New Roman"/>
          <w:b/>
          <w:bCs/>
          <w:color w:val="000000"/>
          <w:lang w:val="en-US" w:eastAsia="fr-FR"/>
        </w:rPr>
        <w:t xml:space="preserve"> </w:t>
      </w:r>
    </w:p>
    <w:tbl>
      <w:tblPr>
        <w:tblW w:w="4531" w:type="pct"/>
        <w:jc w:val="center"/>
        <w:tblCellMar>
          <w:left w:w="70" w:type="dxa"/>
          <w:right w:w="70" w:type="dxa"/>
        </w:tblCellMar>
        <w:tblLook w:val="04A0" w:firstRow="1" w:lastRow="0" w:firstColumn="1" w:lastColumn="0" w:noHBand="0" w:noVBand="1"/>
      </w:tblPr>
      <w:tblGrid>
        <w:gridCol w:w="1733"/>
        <w:gridCol w:w="1433"/>
        <w:gridCol w:w="8"/>
        <w:gridCol w:w="1192"/>
        <w:gridCol w:w="1316"/>
        <w:gridCol w:w="1316"/>
        <w:gridCol w:w="1202"/>
        <w:gridCol w:w="7"/>
      </w:tblGrid>
      <w:tr w:rsidR="00DA6E6A" w:rsidRPr="00C51B0E" w14:paraId="413BB714" w14:textId="77777777" w:rsidTr="00A86DD7">
        <w:trPr>
          <w:trHeight w:val="315"/>
          <w:jc w:val="center"/>
        </w:trPr>
        <w:tc>
          <w:tcPr>
            <w:tcW w:w="193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E4F801" w14:textId="77777777" w:rsidR="00DA6E6A" w:rsidRPr="00C51B0E" w:rsidRDefault="00DA6E6A" w:rsidP="00C51B0E">
            <w:pPr>
              <w:tabs>
                <w:tab w:val="left" w:pos="705"/>
              </w:tabs>
              <w:spacing w:before="120" w:after="120" w:line="480" w:lineRule="auto"/>
              <w:ind w:left="283" w:right="283"/>
              <w:jc w:val="center"/>
              <w:rPr>
                <w:rFonts w:ascii="Times New Roman" w:hAnsi="Times New Roman" w:cs="Times New Roman"/>
                <w:bCs/>
                <w:sz w:val="22"/>
                <w:szCs w:val="22"/>
              </w:rPr>
            </w:pPr>
            <w:r w:rsidRPr="00C51B0E">
              <w:rPr>
                <w:rFonts w:ascii="Times New Roman" w:hAnsi="Times New Roman" w:cs="Times New Roman"/>
                <w:bCs/>
                <w:sz w:val="22"/>
                <w:szCs w:val="22"/>
              </w:rPr>
              <w:t>Season</w:t>
            </w:r>
          </w:p>
        </w:tc>
        <w:tc>
          <w:tcPr>
            <w:tcW w:w="3066" w:type="pct"/>
            <w:gridSpan w:val="5"/>
            <w:tcBorders>
              <w:top w:val="single" w:sz="4" w:space="0" w:color="auto"/>
              <w:left w:val="nil"/>
              <w:bottom w:val="single" w:sz="4" w:space="0" w:color="auto"/>
              <w:right w:val="single" w:sz="4" w:space="0" w:color="auto"/>
            </w:tcBorders>
            <w:shd w:val="clear" w:color="auto" w:fill="auto"/>
            <w:vAlign w:val="center"/>
            <w:hideMark/>
          </w:tcPr>
          <w:p w14:paraId="420B2949" w14:textId="77777777" w:rsidR="00DA6E6A" w:rsidRPr="00C51B0E" w:rsidRDefault="00DA6E6A" w:rsidP="00C51B0E">
            <w:pPr>
              <w:tabs>
                <w:tab w:val="left" w:pos="705"/>
              </w:tabs>
              <w:spacing w:before="120" w:after="120" w:line="480" w:lineRule="auto"/>
              <w:ind w:left="283" w:right="283"/>
              <w:jc w:val="center"/>
              <w:rPr>
                <w:rFonts w:ascii="Times New Roman" w:hAnsi="Times New Roman" w:cs="Times New Roman"/>
                <w:bCs/>
                <w:sz w:val="22"/>
                <w:szCs w:val="22"/>
              </w:rPr>
            </w:pPr>
            <w:r w:rsidRPr="00C51B0E">
              <w:rPr>
                <w:rFonts w:ascii="Times New Roman" w:hAnsi="Times New Roman" w:cs="Times New Roman"/>
                <w:bCs/>
                <w:sz w:val="22"/>
                <w:szCs w:val="22"/>
              </w:rPr>
              <w:t>Year</w:t>
            </w:r>
          </w:p>
        </w:tc>
      </w:tr>
      <w:tr w:rsidR="00DA6E6A" w:rsidRPr="00C51B0E" w14:paraId="3C418708" w14:textId="77777777" w:rsidTr="00A86DD7">
        <w:trPr>
          <w:gridAfter w:val="1"/>
          <w:wAfter w:w="4" w:type="pct"/>
          <w:trHeight w:val="315"/>
          <w:jc w:val="center"/>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2AEB40C6" w14:textId="77777777" w:rsidR="00DA6E6A" w:rsidRPr="00C51B0E" w:rsidRDefault="00DA6E6A" w:rsidP="00C5372D">
            <w:pPr>
              <w:tabs>
                <w:tab w:val="left" w:pos="705"/>
              </w:tabs>
              <w:spacing w:before="120" w:after="120" w:line="480" w:lineRule="auto"/>
              <w:ind w:left="283" w:right="283"/>
              <w:jc w:val="center"/>
              <w:rPr>
                <w:rFonts w:ascii="Times New Roman" w:hAnsi="Times New Roman" w:cs="Times New Roman"/>
                <w:bCs/>
                <w:sz w:val="22"/>
                <w:szCs w:val="22"/>
              </w:rPr>
            </w:pPr>
            <w:r w:rsidRPr="00C51B0E">
              <w:rPr>
                <w:rFonts w:ascii="Times New Roman" w:hAnsi="Times New Roman" w:cs="Times New Roman"/>
                <w:bCs/>
                <w:sz w:val="22"/>
                <w:szCs w:val="22"/>
              </w:rPr>
              <w:t>Rainy season</w:t>
            </w:r>
          </w:p>
        </w:tc>
        <w:tc>
          <w:tcPr>
            <w:tcW w:w="873" w:type="pct"/>
            <w:tcBorders>
              <w:top w:val="nil"/>
              <w:left w:val="nil"/>
              <w:bottom w:val="single" w:sz="4" w:space="0" w:color="auto"/>
              <w:right w:val="single" w:sz="4" w:space="0" w:color="auto"/>
            </w:tcBorders>
            <w:shd w:val="clear" w:color="auto" w:fill="auto"/>
            <w:vAlign w:val="center"/>
            <w:hideMark/>
          </w:tcPr>
          <w:p w14:paraId="1E20C2D9" w14:textId="77777777" w:rsidR="00DA6E6A" w:rsidRPr="00C51B0E" w:rsidRDefault="00DA6E6A" w:rsidP="00C5372D">
            <w:pPr>
              <w:tabs>
                <w:tab w:val="left" w:pos="705"/>
              </w:tabs>
              <w:spacing w:before="120" w:after="120" w:line="480" w:lineRule="auto"/>
              <w:ind w:left="283" w:right="283"/>
              <w:jc w:val="center"/>
              <w:rPr>
                <w:rFonts w:ascii="Times New Roman" w:hAnsi="Times New Roman" w:cs="Times New Roman"/>
                <w:bCs/>
                <w:sz w:val="22"/>
                <w:szCs w:val="22"/>
              </w:rPr>
            </w:pPr>
            <w:r w:rsidRPr="00C51B0E">
              <w:rPr>
                <w:rFonts w:ascii="Times New Roman" w:hAnsi="Times New Roman" w:cs="Times New Roman"/>
                <w:bCs/>
                <w:sz w:val="22"/>
                <w:szCs w:val="22"/>
              </w:rPr>
              <w:t>Dry season</w:t>
            </w:r>
          </w:p>
        </w:tc>
        <w:tc>
          <w:tcPr>
            <w:tcW w:w="731" w:type="pct"/>
            <w:gridSpan w:val="2"/>
            <w:tcBorders>
              <w:top w:val="nil"/>
              <w:left w:val="nil"/>
              <w:bottom w:val="single" w:sz="4" w:space="0" w:color="auto"/>
              <w:right w:val="single" w:sz="4" w:space="0" w:color="auto"/>
            </w:tcBorders>
            <w:shd w:val="clear" w:color="auto" w:fill="auto"/>
            <w:vAlign w:val="center"/>
            <w:hideMark/>
          </w:tcPr>
          <w:p w14:paraId="69DFCD48" w14:textId="77777777" w:rsidR="00DA6E6A" w:rsidRPr="00C51B0E" w:rsidRDefault="00DA6E6A" w:rsidP="00C5372D">
            <w:pPr>
              <w:tabs>
                <w:tab w:val="left" w:pos="705"/>
              </w:tabs>
              <w:spacing w:before="120" w:after="120" w:line="480" w:lineRule="auto"/>
              <w:ind w:left="283" w:right="283"/>
              <w:jc w:val="center"/>
              <w:rPr>
                <w:rFonts w:ascii="Times New Roman" w:hAnsi="Times New Roman" w:cs="Times New Roman"/>
                <w:bCs/>
                <w:sz w:val="22"/>
                <w:szCs w:val="22"/>
              </w:rPr>
            </w:pPr>
            <w:r w:rsidRPr="00C51B0E">
              <w:rPr>
                <w:rFonts w:ascii="Times New Roman" w:hAnsi="Times New Roman" w:cs="Times New Roman"/>
                <w:bCs/>
                <w:sz w:val="22"/>
                <w:szCs w:val="22"/>
              </w:rPr>
              <w:t>2021</w:t>
            </w:r>
          </w:p>
        </w:tc>
        <w:tc>
          <w:tcPr>
            <w:tcW w:w="802" w:type="pct"/>
            <w:tcBorders>
              <w:top w:val="nil"/>
              <w:left w:val="nil"/>
              <w:bottom w:val="single" w:sz="4" w:space="0" w:color="auto"/>
              <w:right w:val="single" w:sz="4" w:space="0" w:color="auto"/>
            </w:tcBorders>
            <w:shd w:val="clear" w:color="auto" w:fill="auto"/>
            <w:vAlign w:val="center"/>
            <w:hideMark/>
          </w:tcPr>
          <w:p w14:paraId="49D323D0" w14:textId="77777777" w:rsidR="00DA6E6A" w:rsidRPr="00C51B0E" w:rsidRDefault="00DA6E6A" w:rsidP="00C5372D">
            <w:pPr>
              <w:tabs>
                <w:tab w:val="left" w:pos="705"/>
              </w:tabs>
              <w:spacing w:before="120" w:after="120" w:line="480" w:lineRule="auto"/>
              <w:ind w:left="283" w:right="283"/>
              <w:jc w:val="center"/>
              <w:rPr>
                <w:rFonts w:ascii="Times New Roman" w:hAnsi="Times New Roman" w:cs="Times New Roman"/>
                <w:bCs/>
                <w:sz w:val="22"/>
                <w:szCs w:val="22"/>
              </w:rPr>
            </w:pPr>
            <w:r w:rsidRPr="00C51B0E">
              <w:rPr>
                <w:rFonts w:ascii="Times New Roman" w:hAnsi="Times New Roman" w:cs="Times New Roman"/>
                <w:bCs/>
                <w:sz w:val="22"/>
                <w:szCs w:val="22"/>
              </w:rPr>
              <w:t>2022</w:t>
            </w:r>
          </w:p>
        </w:tc>
        <w:tc>
          <w:tcPr>
            <w:tcW w:w="802" w:type="pct"/>
            <w:tcBorders>
              <w:top w:val="nil"/>
              <w:left w:val="nil"/>
              <w:bottom w:val="single" w:sz="4" w:space="0" w:color="auto"/>
              <w:right w:val="single" w:sz="4" w:space="0" w:color="auto"/>
            </w:tcBorders>
            <w:shd w:val="clear" w:color="auto" w:fill="auto"/>
          </w:tcPr>
          <w:p w14:paraId="4411C88A" w14:textId="77777777" w:rsidR="00DA6E6A" w:rsidRPr="00C51B0E" w:rsidRDefault="00DA6E6A" w:rsidP="00C5372D">
            <w:pPr>
              <w:tabs>
                <w:tab w:val="left" w:pos="705"/>
              </w:tabs>
              <w:spacing w:before="120" w:after="120" w:line="480" w:lineRule="auto"/>
              <w:ind w:left="283" w:right="283"/>
              <w:jc w:val="center"/>
              <w:rPr>
                <w:rFonts w:ascii="Times New Roman" w:hAnsi="Times New Roman" w:cs="Times New Roman"/>
                <w:bCs/>
                <w:sz w:val="22"/>
                <w:szCs w:val="22"/>
              </w:rPr>
            </w:pPr>
            <w:r w:rsidRPr="00C51B0E">
              <w:rPr>
                <w:rFonts w:ascii="Times New Roman" w:hAnsi="Times New Roman" w:cs="Times New Roman"/>
                <w:bCs/>
                <w:sz w:val="22"/>
                <w:szCs w:val="22"/>
              </w:rPr>
              <w:t>2023</w:t>
            </w:r>
          </w:p>
        </w:tc>
        <w:tc>
          <w:tcPr>
            <w:tcW w:w="732" w:type="pct"/>
            <w:tcBorders>
              <w:top w:val="nil"/>
              <w:left w:val="nil"/>
              <w:bottom w:val="single" w:sz="4" w:space="0" w:color="auto"/>
              <w:right w:val="single" w:sz="4" w:space="0" w:color="auto"/>
            </w:tcBorders>
            <w:shd w:val="clear" w:color="auto" w:fill="auto"/>
          </w:tcPr>
          <w:p w14:paraId="79473823" w14:textId="77777777" w:rsidR="00DA6E6A" w:rsidRPr="00C51B0E" w:rsidRDefault="00DA6E6A" w:rsidP="00C5372D">
            <w:pPr>
              <w:tabs>
                <w:tab w:val="left" w:pos="705"/>
              </w:tabs>
              <w:spacing w:before="120" w:after="120" w:line="480" w:lineRule="auto"/>
              <w:ind w:left="283" w:right="283"/>
              <w:jc w:val="center"/>
              <w:rPr>
                <w:rFonts w:ascii="Times New Roman" w:hAnsi="Times New Roman" w:cs="Times New Roman"/>
                <w:bCs/>
                <w:sz w:val="22"/>
                <w:szCs w:val="22"/>
              </w:rPr>
            </w:pPr>
            <w:r w:rsidRPr="00C51B0E">
              <w:rPr>
                <w:rFonts w:ascii="Times New Roman" w:hAnsi="Times New Roman" w:cs="Times New Roman"/>
                <w:bCs/>
                <w:sz w:val="22"/>
                <w:szCs w:val="22"/>
              </w:rPr>
              <w:t>2024</w:t>
            </w:r>
          </w:p>
        </w:tc>
      </w:tr>
      <w:tr w:rsidR="00DA6E6A" w:rsidRPr="00C51B0E" w14:paraId="76C9F057" w14:textId="77777777" w:rsidTr="00A86DD7">
        <w:trPr>
          <w:gridAfter w:val="1"/>
          <w:wAfter w:w="4" w:type="pct"/>
          <w:trHeight w:val="315"/>
          <w:jc w:val="center"/>
        </w:trPr>
        <w:tc>
          <w:tcPr>
            <w:tcW w:w="1056" w:type="pct"/>
            <w:tcBorders>
              <w:top w:val="nil"/>
              <w:left w:val="single" w:sz="4" w:space="0" w:color="auto"/>
              <w:bottom w:val="single" w:sz="4" w:space="0" w:color="auto"/>
              <w:right w:val="single" w:sz="4" w:space="0" w:color="auto"/>
            </w:tcBorders>
            <w:shd w:val="clear" w:color="auto" w:fill="auto"/>
            <w:vAlign w:val="center"/>
            <w:hideMark/>
          </w:tcPr>
          <w:p w14:paraId="38E62289" w14:textId="77777777" w:rsidR="00DA6E6A" w:rsidRPr="00C51B0E" w:rsidRDefault="00DA6E6A" w:rsidP="00C5372D">
            <w:pPr>
              <w:tabs>
                <w:tab w:val="left" w:pos="705"/>
              </w:tabs>
              <w:spacing w:before="120" w:after="120" w:line="480" w:lineRule="auto"/>
              <w:ind w:left="283" w:right="283"/>
              <w:jc w:val="center"/>
              <w:rPr>
                <w:rFonts w:ascii="Times New Roman" w:hAnsi="Times New Roman" w:cs="Times New Roman"/>
                <w:sz w:val="22"/>
                <w:szCs w:val="22"/>
              </w:rPr>
            </w:pPr>
            <w:r w:rsidRPr="00C51B0E">
              <w:rPr>
                <w:rFonts w:ascii="Times New Roman" w:hAnsi="Times New Roman" w:cs="Times New Roman"/>
                <w:sz w:val="22"/>
                <w:szCs w:val="22"/>
              </w:rPr>
              <w:t>0,047</w:t>
            </w:r>
          </w:p>
        </w:tc>
        <w:tc>
          <w:tcPr>
            <w:tcW w:w="873" w:type="pct"/>
            <w:tcBorders>
              <w:top w:val="nil"/>
              <w:left w:val="nil"/>
              <w:bottom w:val="single" w:sz="4" w:space="0" w:color="auto"/>
              <w:right w:val="single" w:sz="4" w:space="0" w:color="auto"/>
            </w:tcBorders>
            <w:shd w:val="clear" w:color="auto" w:fill="auto"/>
            <w:vAlign w:val="center"/>
            <w:hideMark/>
          </w:tcPr>
          <w:p w14:paraId="6FC7B96F" w14:textId="77777777" w:rsidR="00DA6E6A" w:rsidRPr="00C51B0E" w:rsidRDefault="00DA6E6A" w:rsidP="00C5372D">
            <w:pPr>
              <w:tabs>
                <w:tab w:val="left" w:pos="705"/>
              </w:tabs>
              <w:spacing w:before="120" w:after="120" w:line="480" w:lineRule="auto"/>
              <w:ind w:left="283" w:right="283"/>
              <w:jc w:val="center"/>
              <w:rPr>
                <w:rFonts w:ascii="Times New Roman" w:hAnsi="Times New Roman" w:cs="Times New Roman"/>
                <w:sz w:val="22"/>
                <w:szCs w:val="22"/>
                <w:lang w:val="en-US"/>
              </w:rPr>
            </w:pPr>
            <w:r w:rsidRPr="00C51B0E">
              <w:rPr>
                <w:rFonts w:ascii="Times New Roman" w:hAnsi="Times New Roman" w:cs="Times New Roman"/>
                <w:sz w:val="22"/>
                <w:szCs w:val="22"/>
              </w:rPr>
              <w:t>0,00045</w:t>
            </w:r>
          </w:p>
        </w:tc>
        <w:tc>
          <w:tcPr>
            <w:tcW w:w="731" w:type="pct"/>
            <w:gridSpan w:val="2"/>
            <w:tcBorders>
              <w:top w:val="nil"/>
              <w:left w:val="nil"/>
              <w:bottom w:val="single" w:sz="4" w:space="0" w:color="auto"/>
              <w:right w:val="single" w:sz="4" w:space="0" w:color="auto"/>
            </w:tcBorders>
            <w:shd w:val="clear" w:color="auto" w:fill="auto"/>
            <w:vAlign w:val="center"/>
            <w:hideMark/>
          </w:tcPr>
          <w:p w14:paraId="5C21C518" w14:textId="77777777" w:rsidR="00DA6E6A" w:rsidRPr="00C51B0E" w:rsidRDefault="00DA6E6A" w:rsidP="00C5372D">
            <w:pPr>
              <w:tabs>
                <w:tab w:val="left" w:pos="705"/>
              </w:tabs>
              <w:spacing w:before="120" w:after="120" w:line="480" w:lineRule="auto"/>
              <w:ind w:left="283" w:right="283"/>
              <w:jc w:val="center"/>
              <w:rPr>
                <w:rFonts w:ascii="Times New Roman" w:hAnsi="Times New Roman" w:cs="Times New Roman"/>
                <w:sz w:val="22"/>
                <w:szCs w:val="22"/>
              </w:rPr>
            </w:pPr>
            <w:r w:rsidRPr="00C51B0E">
              <w:rPr>
                <w:rFonts w:ascii="Times New Roman" w:hAnsi="Times New Roman" w:cs="Times New Roman"/>
                <w:sz w:val="22"/>
                <w:szCs w:val="22"/>
              </w:rPr>
              <w:t>0,18</w:t>
            </w:r>
          </w:p>
        </w:tc>
        <w:tc>
          <w:tcPr>
            <w:tcW w:w="802" w:type="pct"/>
            <w:tcBorders>
              <w:top w:val="nil"/>
              <w:left w:val="nil"/>
              <w:bottom w:val="single" w:sz="4" w:space="0" w:color="auto"/>
              <w:right w:val="single" w:sz="4" w:space="0" w:color="auto"/>
            </w:tcBorders>
            <w:shd w:val="clear" w:color="auto" w:fill="auto"/>
            <w:vAlign w:val="center"/>
            <w:hideMark/>
          </w:tcPr>
          <w:p w14:paraId="1693079B" w14:textId="77777777" w:rsidR="00DA6E6A" w:rsidRPr="00C51B0E" w:rsidRDefault="00DA6E6A" w:rsidP="00C5372D">
            <w:pPr>
              <w:tabs>
                <w:tab w:val="left" w:pos="705"/>
              </w:tabs>
              <w:spacing w:before="120" w:after="120" w:line="480" w:lineRule="auto"/>
              <w:ind w:left="283" w:right="283"/>
              <w:jc w:val="center"/>
              <w:rPr>
                <w:rFonts w:ascii="Times New Roman" w:hAnsi="Times New Roman" w:cs="Times New Roman"/>
                <w:sz w:val="22"/>
                <w:szCs w:val="22"/>
              </w:rPr>
            </w:pPr>
            <w:r w:rsidRPr="00C51B0E">
              <w:rPr>
                <w:rFonts w:ascii="Times New Roman" w:hAnsi="Times New Roman" w:cs="Times New Roman"/>
                <w:sz w:val="22"/>
                <w:szCs w:val="22"/>
              </w:rPr>
              <w:t>0,0008</w:t>
            </w:r>
          </w:p>
        </w:tc>
        <w:tc>
          <w:tcPr>
            <w:tcW w:w="802" w:type="pct"/>
            <w:tcBorders>
              <w:top w:val="nil"/>
              <w:left w:val="nil"/>
              <w:bottom w:val="single" w:sz="4" w:space="0" w:color="auto"/>
              <w:right w:val="single" w:sz="4" w:space="0" w:color="auto"/>
            </w:tcBorders>
            <w:shd w:val="clear" w:color="auto" w:fill="auto"/>
          </w:tcPr>
          <w:p w14:paraId="21978FA4" w14:textId="77777777" w:rsidR="00DA6E6A" w:rsidRPr="00C51B0E" w:rsidRDefault="00DA6E6A" w:rsidP="00C5372D">
            <w:pPr>
              <w:tabs>
                <w:tab w:val="left" w:pos="705"/>
              </w:tabs>
              <w:spacing w:before="120" w:after="120" w:line="480" w:lineRule="auto"/>
              <w:ind w:left="283" w:right="283"/>
              <w:jc w:val="center"/>
              <w:rPr>
                <w:rFonts w:ascii="Times New Roman" w:hAnsi="Times New Roman" w:cs="Times New Roman"/>
                <w:sz w:val="22"/>
                <w:szCs w:val="22"/>
              </w:rPr>
            </w:pPr>
            <w:r w:rsidRPr="00C51B0E">
              <w:rPr>
                <w:rFonts w:ascii="Times New Roman" w:hAnsi="Times New Roman" w:cs="Times New Roman"/>
                <w:sz w:val="22"/>
                <w:szCs w:val="22"/>
              </w:rPr>
              <w:t>0,0008</w:t>
            </w:r>
          </w:p>
        </w:tc>
        <w:tc>
          <w:tcPr>
            <w:tcW w:w="732" w:type="pct"/>
            <w:tcBorders>
              <w:top w:val="nil"/>
              <w:left w:val="nil"/>
              <w:bottom w:val="single" w:sz="4" w:space="0" w:color="auto"/>
              <w:right w:val="single" w:sz="4" w:space="0" w:color="auto"/>
            </w:tcBorders>
            <w:shd w:val="clear" w:color="auto" w:fill="auto"/>
          </w:tcPr>
          <w:p w14:paraId="4E6E413F" w14:textId="77777777" w:rsidR="00DA6E6A" w:rsidRPr="00C51B0E" w:rsidRDefault="00DA6E6A" w:rsidP="00C5372D">
            <w:pPr>
              <w:tabs>
                <w:tab w:val="left" w:pos="705"/>
              </w:tabs>
              <w:spacing w:before="120" w:after="120" w:line="480" w:lineRule="auto"/>
              <w:ind w:left="283" w:right="283"/>
              <w:jc w:val="center"/>
              <w:rPr>
                <w:rFonts w:ascii="Times New Roman" w:hAnsi="Times New Roman" w:cs="Times New Roman"/>
                <w:sz w:val="22"/>
                <w:szCs w:val="22"/>
              </w:rPr>
            </w:pPr>
            <w:r w:rsidRPr="00C51B0E">
              <w:rPr>
                <w:rFonts w:ascii="Times New Roman" w:hAnsi="Times New Roman" w:cs="Times New Roman"/>
                <w:sz w:val="22"/>
                <w:szCs w:val="22"/>
              </w:rPr>
              <w:t>0,003</w:t>
            </w:r>
          </w:p>
        </w:tc>
      </w:tr>
    </w:tbl>
    <w:p w14:paraId="3C162D5F" w14:textId="77777777" w:rsidR="00DA6E6A" w:rsidRPr="00C51B0E" w:rsidRDefault="00DA6E6A" w:rsidP="00C51B0E">
      <w:pPr>
        <w:spacing w:before="100" w:beforeAutospacing="1" w:after="100" w:afterAutospacing="1" w:line="480" w:lineRule="auto"/>
        <w:ind w:left="0" w:firstLine="0"/>
        <w:rPr>
          <w:rFonts w:ascii="Times New Roman" w:hAnsi="Times New Roman" w:cs="Times New Roman"/>
          <w:color w:val="000000"/>
          <w:sz w:val="22"/>
          <w:szCs w:val="22"/>
          <w:lang w:val="en-US"/>
        </w:rPr>
      </w:pPr>
    </w:p>
    <w:p w14:paraId="39D7616A" w14:textId="77777777" w:rsidR="00DA6E6A" w:rsidRPr="00C51B0E" w:rsidRDefault="00DA6E6A" w:rsidP="00C51B0E">
      <w:pPr>
        <w:spacing w:before="100" w:beforeAutospacing="1" w:after="100" w:afterAutospacing="1" w:line="480" w:lineRule="auto"/>
        <w:ind w:left="0" w:firstLine="0"/>
        <w:rPr>
          <w:rFonts w:ascii="Times New Roman" w:hAnsi="Times New Roman" w:cs="Times New Roman"/>
          <w:color w:val="000000"/>
          <w:sz w:val="22"/>
          <w:szCs w:val="22"/>
          <w:lang w:val="en-US"/>
        </w:rPr>
        <w:sectPr w:rsidR="00DA6E6A" w:rsidRPr="00C51B0E" w:rsidSect="00A56412">
          <w:pgSz w:w="11900" w:h="16840"/>
          <w:pgMar w:top="1417" w:right="1417" w:bottom="1417" w:left="1417" w:header="708" w:footer="708" w:gutter="0"/>
          <w:cols w:space="708"/>
          <w:docGrid w:linePitch="360"/>
        </w:sectPr>
      </w:pPr>
    </w:p>
    <w:p w14:paraId="16C0F96D" w14:textId="77777777" w:rsidR="00DA6E6A" w:rsidRPr="00A86DD7" w:rsidRDefault="00DA6E6A" w:rsidP="00C51B0E">
      <w:pPr>
        <w:pStyle w:val="ListParagraph"/>
        <w:numPr>
          <w:ilvl w:val="0"/>
          <w:numId w:val="3"/>
        </w:numPr>
        <w:spacing w:line="480" w:lineRule="auto"/>
        <w:rPr>
          <w:rFonts w:ascii="Times New Roman" w:hAnsi="Times New Roman" w:cs="Times New Roman"/>
          <w:b/>
        </w:rPr>
      </w:pPr>
      <w:r w:rsidRPr="00A86DD7">
        <w:rPr>
          <w:rFonts w:ascii="Times New Roman" w:hAnsi="Times New Roman" w:cs="Times New Roman"/>
          <w:b/>
        </w:rPr>
        <w:lastRenderedPageBreak/>
        <w:t>DISCUSSION</w:t>
      </w:r>
    </w:p>
    <w:p w14:paraId="042D7CE1" w14:textId="77777777" w:rsidR="00DA6E6A" w:rsidRPr="00A86DD7" w:rsidRDefault="00DA6E6A" w:rsidP="00C51B0E">
      <w:pPr>
        <w:spacing w:before="100" w:beforeAutospacing="1" w:after="100" w:afterAutospacing="1" w:line="480" w:lineRule="auto"/>
        <w:ind w:left="0" w:firstLine="0"/>
        <w:rPr>
          <w:rFonts w:ascii="Times New Roman" w:hAnsi="Times New Roman" w:cs="Times New Roman"/>
          <w:b/>
          <w:color w:val="000000"/>
          <w:lang w:val="en-US"/>
        </w:rPr>
      </w:pPr>
      <w:r w:rsidRPr="00A86DD7">
        <w:rPr>
          <w:rFonts w:ascii="Times New Roman" w:hAnsi="Times New Roman" w:cs="Times New Roman"/>
          <w:b/>
          <w:color w:val="000000"/>
          <w:lang w:val="en-US"/>
        </w:rPr>
        <w:t xml:space="preserve">4.1. Contamination </w:t>
      </w:r>
      <w:r w:rsidR="008E407A" w:rsidRPr="00A86DD7">
        <w:rPr>
          <w:rFonts w:ascii="Times New Roman" w:hAnsi="Times New Roman" w:cs="Times New Roman"/>
          <w:b/>
          <w:color w:val="000000"/>
          <w:lang w:val="en-US"/>
        </w:rPr>
        <w:t>l</w:t>
      </w:r>
      <w:r w:rsidRPr="00A86DD7">
        <w:rPr>
          <w:rFonts w:ascii="Times New Roman" w:hAnsi="Times New Roman" w:cs="Times New Roman"/>
          <w:b/>
          <w:color w:val="000000"/>
          <w:lang w:val="en-US"/>
        </w:rPr>
        <w:t>evels</w:t>
      </w:r>
    </w:p>
    <w:p w14:paraId="601C72A4" w14:textId="1CBBD541" w:rsidR="00DA6E6A" w:rsidRPr="00A86DD7" w:rsidRDefault="00DA6E6A" w:rsidP="00C51B0E">
      <w:pPr>
        <w:spacing w:before="100" w:beforeAutospacing="1" w:after="100" w:afterAutospacing="1" w:line="480" w:lineRule="auto"/>
        <w:ind w:left="0" w:firstLine="0"/>
        <w:rPr>
          <w:rFonts w:ascii="Times New Roman" w:hAnsi="Times New Roman" w:cs="Times New Roman"/>
          <w:color w:val="000000"/>
          <w:lang w:val="en-US"/>
        </w:rPr>
      </w:pPr>
      <w:r w:rsidRPr="00A86DD7">
        <w:rPr>
          <w:rFonts w:ascii="Times New Roman" w:hAnsi="Times New Roman" w:cs="Times New Roman"/>
          <w:color w:val="000000"/>
          <w:lang w:val="en-US"/>
        </w:rPr>
        <w:t>The findings of this study reveal significant contamination by cadmium (Cd), mercury (Hg), and lead (Pb) in Sarotherodon melanotheron collected from the Grande Niaye de Pikine Urban Nature Reserve and Dependencies (</w:t>
      </w:r>
      <w:r w:rsidR="00247A7A" w:rsidRPr="00A86DD7">
        <w:rPr>
          <w:rFonts w:ascii="Times New Roman" w:hAnsi="Times New Roman" w:cs="Times New Roman"/>
          <w:color w:val="000000"/>
          <w:lang w:val="en-US"/>
        </w:rPr>
        <w:t>UNRGNPD</w:t>
      </w:r>
      <w:r w:rsidRPr="00A86DD7">
        <w:rPr>
          <w:rFonts w:ascii="Times New Roman" w:hAnsi="Times New Roman" w:cs="Times New Roman"/>
          <w:color w:val="000000"/>
          <w:lang w:val="en-US"/>
        </w:rPr>
        <w:t xml:space="preserve">). The metal concentrations measured in 2021 far exceeded the food safety limits established by the FAO and WHO: 0.05 mg·kg⁻¹ for Cd, 0.5 mg·kg⁻¹ for Pb, and 1.0 mg·kg⁻¹ for Hg (FAO/WHO, 2011). Specifically, concentrations reached 28.19 mg·kg⁻¹ for Cd (approx. 81 times the limit), 2.24 mg·kg⁻¹ for Pb (≈ 4.5 times over the limit), and 7.92 mg·kg⁻¹ for Hg (≈ 1.3 times the limit). </w:t>
      </w:r>
      <w:r w:rsidR="00A578E7" w:rsidRPr="00A578E7">
        <w:rPr>
          <w:rFonts w:ascii="Times New Roman" w:hAnsi="Times New Roman" w:cs="Times New Roman"/>
          <w:color w:val="000000"/>
          <w:lang w:val="en-US"/>
        </w:rPr>
        <w:t xml:space="preserve">These exceptionally high values reflect intense anthropogenic pressure in this urban zone, likely due to domestic discharges, urban agriculture, the use of unregulated fertilizers, and informal industrial activities, similar to trends observed in other African urban ecosystems (Fayiga, Ipinmoroti &amp; Chirenje, 2018). These results sharply contrast with those of Diop et al. </w:t>
      </w:r>
      <w:r w:rsidR="00A578E7" w:rsidRPr="00C5372D">
        <w:rPr>
          <w:rFonts w:ascii="Times New Roman" w:hAnsi="Times New Roman" w:cs="Times New Roman"/>
          <w:color w:val="000000"/>
          <w:lang w:val="en-US"/>
        </w:rPr>
        <w:t>(2019), who reported an absence of Cd and only low Pb levels in fish from this area. Regionally, N’Doua et al. (2024) found Cd concentrations of 0.002–0.074 mg·kg⁻¹, Pb at 0.04–0.204 mg·kg⁻¹, and Hg at 0.01–0.341 mg·kg⁻¹ in fish from Jacqueville (Ivory Coast), all significantly lower than levels observed in this study, particularly during the rainy season of 2021. Among heavy metals, copper, lead, and zinc are frequently found in runoff waters, which are particularly abundant during the rainy season, a period when soils and sediments can release these elements into the water column (Bouamama Abbar, 2018).</w:t>
      </w:r>
      <w:r w:rsidRPr="00A86DD7">
        <w:rPr>
          <w:rFonts w:ascii="Times New Roman" w:hAnsi="Times New Roman" w:cs="Times New Roman"/>
          <w:color w:val="000000"/>
          <w:lang w:val="en-US"/>
        </w:rPr>
        <w:t xml:space="preserve"> Overall, the levels measured in 2021 align with recent research on metal bioaccumulation in fish species adapted to polluted environments, emphasizing the role of sentinel species in coastal ecosystem monitoring (</w:t>
      </w:r>
      <w:r w:rsidR="000758E5" w:rsidRPr="00EF1518">
        <w:rPr>
          <w:rFonts w:ascii="Times New Roman" w:hAnsi="Times New Roman" w:cs="Times New Roman"/>
          <w:color w:val="000000"/>
          <w:lang w:val="en-US"/>
        </w:rPr>
        <w:t>Tchaa Badassan, 2021</w:t>
      </w:r>
      <w:r w:rsidRPr="00A86DD7">
        <w:rPr>
          <w:rFonts w:ascii="Times New Roman" w:hAnsi="Times New Roman" w:cs="Times New Roman"/>
          <w:color w:val="000000"/>
          <w:lang w:val="en-US"/>
        </w:rPr>
        <w:t>).</w:t>
      </w:r>
    </w:p>
    <w:p w14:paraId="3E66F28B" w14:textId="77777777" w:rsidR="00DA6E6A" w:rsidRPr="00A86DD7" w:rsidRDefault="00DA6E6A" w:rsidP="00C51B0E">
      <w:pPr>
        <w:spacing w:before="100" w:beforeAutospacing="1" w:after="100" w:afterAutospacing="1" w:line="480" w:lineRule="auto"/>
        <w:ind w:left="0" w:firstLine="0"/>
        <w:rPr>
          <w:rFonts w:ascii="Times New Roman" w:hAnsi="Times New Roman" w:cs="Times New Roman"/>
          <w:b/>
          <w:color w:val="000000"/>
          <w:lang w:val="en-US"/>
        </w:rPr>
      </w:pPr>
      <w:r w:rsidRPr="00A86DD7">
        <w:rPr>
          <w:rFonts w:ascii="Times New Roman" w:hAnsi="Times New Roman" w:cs="Times New Roman"/>
          <w:b/>
          <w:color w:val="000000"/>
          <w:lang w:val="en-US"/>
        </w:rPr>
        <w:t xml:space="preserve">4.2. Probable </w:t>
      </w:r>
      <w:r w:rsidR="008E407A" w:rsidRPr="00A86DD7">
        <w:rPr>
          <w:rFonts w:ascii="Times New Roman" w:hAnsi="Times New Roman" w:cs="Times New Roman"/>
          <w:b/>
          <w:color w:val="000000"/>
          <w:lang w:val="en-US"/>
        </w:rPr>
        <w:t>s</w:t>
      </w:r>
      <w:r w:rsidRPr="00A86DD7">
        <w:rPr>
          <w:rFonts w:ascii="Times New Roman" w:hAnsi="Times New Roman" w:cs="Times New Roman"/>
          <w:b/>
          <w:color w:val="000000"/>
          <w:lang w:val="en-US"/>
        </w:rPr>
        <w:t xml:space="preserve">ources of </w:t>
      </w:r>
      <w:r w:rsidR="008E407A" w:rsidRPr="00A86DD7">
        <w:rPr>
          <w:rFonts w:ascii="Times New Roman" w:hAnsi="Times New Roman" w:cs="Times New Roman"/>
          <w:b/>
          <w:color w:val="000000"/>
          <w:lang w:val="en-US"/>
        </w:rPr>
        <w:t>c</w:t>
      </w:r>
      <w:r w:rsidRPr="00A86DD7">
        <w:rPr>
          <w:rFonts w:ascii="Times New Roman" w:hAnsi="Times New Roman" w:cs="Times New Roman"/>
          <w:b/>
          <w:color w:val="000000"/>
          <w:lang w:val="en-US"/>
        </w:rPr>
        <w:t>ontamination</w:t>
      </w:r>
    </w:p>
    <w:p w14:paraId="0E7386BB" w14:textId="3CAC0E30" w:rsidR="00DA6E6A" w:rsidRPr="00A86DD7" w:rsidRDefault="00DA6E6A" w:rsidP="00C51B0E">
      <w:pPr>
        <w:spacing w:before="100" w:beforeAutospacing="1" w:after="100" w:afterAutospacing="1" w:line="480" w:lineRule="auto"/>
        <w:ind w:left="0" w:firstLine="0"/>
        <w:rPr>
          <w:rFonts w:ascii="Times New Roman" w:hAnsi="Times New Roman" w:cs="Times New Roman"/>
          <w:color w:val="000000"/>
          <w:lang w:val="en-US"/>
        </w:rPr>
      </w:pPr>
      <w:r w:rsidRPr="00A86DD7">
        <w:rPr>
          <w:rFonts w:ascii="Times New Roman" w:hAnsi="Times New Roman" w:cs="Times New Roman"/>
          <w:color w:val="000000"/>
          <w:lang w:val="en-US"/>
        </w:rPr>
        <w:lastRenderedPageBreak/>
        <w:t>Although TMEs naturally occur in environmental compartments (water, soil, sediment), their accumulation at high levels in aquatic organisms generally points to anthropogenic origins (</w:t>
      </w:r>
      <w:r w:rsidR="00EF1518" w:rsidRPr="00FB37C6">
        <w:rPr>
          <w:rFonts w:ascii="Times New Roman" w:hAnsi="Times New Roman" w:cs="Times New Roman"/>
          <w:color w:val="000000"/>
          <w:lang w:val="en-US"/>
        </w:rPr>
        <w:t>Saulnier-Talbot &amp; Lavoie, 2018</w:t>
      </w:r>
      <w:r w:rsidRPr="00A86DD7">
        <w:rPr>
          <w:rFonts w:ascii="Times New Roman" w:hAnsi="Times New Roman" w:cs="Times New Roman"/>
          <w:color w:val="000000"/>
          <w:lang w:val="en-US"/>
        </w:rPr>
        <w:t>). The RNUGNPD is highly impacted by urban effluents from Dakar, including untreated or poorly treated wastewater (</w:t>
      </w:r>
      <w:r w:rsidR="00FB37C6" w:rsidRPr="00A42B81">
        <w:rPr>
          <w:rFonts w:ascii="Times New Roman" w:hAnsi="Times New Roman" w:cs="Times New Roman"/>
          <w:color w:val="000000"/>
          <w:lang w:val="en-US"/>
        </w:rPr>
        <w:t>Mekdjian &amp; Ndong, 2023</w:t>
      </w:r>
      <w:r w:rsidRPr="00A86DD7">
        <w:rPr>
          <w:rFonts w:ascii="Times New Roman" w:hAnsi="Times New Roman" w:cs="Times New Roman"/>
          <w:color w:val="000000"/>
          <w:lang w:val="en-US"/>
        </w:rPr>
        <w:t>). The persistence of TMEs in aquatic environments, combined with their bioaccumulative and biomagnifying nature within trophic chains, poses major ecological and health risks (</w:t>
      </w:r>
      <w:r w:rsidR="00A42B81" w:rsidRPr="000B0369">
        <w:rPr>
          <w:rFonts w:ascii="Times New Roman" w:hAnsi="Times New Roman" w:cs="Times New Roman"/>
          <w:color w:val="000000"/>
          <w:lang w:val="en-US"/>
        </w:rPr>
        <w:t>Saidon, Szabó, Budai, &amp; Lehel, 2024</w:t>
      </w:r>
      <w:r w:rsidRPr="00A86DD7">
        <w:rPr>
          <w:rFonts w:ascii="Times New Roman" w:hAnsi="Times New Roman" w:cs="Times New Roman"/>
          <w:color w:val="000000"/>
          <w:lang w:val="en-US"/>
        </w:rPr>
        <w:t>). The benthic feeding behavior of tilapia, which forages near sediments, makes it particularly vulnerable to sediment-bound pollutants (Diop et al., 2019). A significant positive correlation between Cd and Hg suggests a shared source, likely contaminated sediments. This hypothesis aligns with higher concentrations observed during the rainy season, when metal remobilization through runoff is intensified (</w:t>
      </w:r>
      <w:r w:rsidR="00A80ABA" w:rsidRPr="00C5372D">
        <w:rPr>
          <w:rFonts w:ascii="Times New Roman" w:hAnsi="Times New Roman" w:cs="Times New Roman"/>
          <w:color w:val="000000"/>
          <w:lang w:val="en-US"/>
        </w:rPr>
        <w:t>Bouamama Abbar, 2018</w:t>
      </w:r>
      <w:r w:rsidRPr="00A86DD7">
        <w:rPr>
          <w:rFonts w:ascii="Times New Roman" w:hAnsi="Times New Roman" w:cs="Times New Roman"/>
          <w:color w:val="000000"/>
          <w:lang w:val="en-US"/>
        </w:rPr>
        <w:t>). Agricultural inputs, particularly phosphate fertilizers, are a major Cd source, whereas Hg primarily originates from fossil fuel combustion, electronics manufacturing, batteries, fluorescent lamps, and certain artisanal practices (</w:t>
      </w:r>
      <w:r w:rsidR="008D690D" w:rsidRPr="008D690D">
        <w:rPr>
          <w:rFonts w:ascii="Times New Roman" w:hAnsi="Times New Roman" w:cs="Times New Roman"/>
          <w:color w:val="000000"/>
          <w:lang w:val="en-US"/>
        </w:rPr>
        <w:t>Li et al., 2020</w:t>
      </w:r>
      <w:r w:rsidRPr="00A86DD7">
        <w:rPr>
          <w:rFonts w:ascii="Times New Roman" w:hAnsi="Times New Roman" w:cs="Times New Roman"/>
          <w:color w:val="000000"/>
          <w:lang w:val="en-US"/>
        </w:rPr>
        <w:t xml:space="preserve">; </w:t>
      </w:r>
      <w:r w:rsidR="00641198" w:rsidRPr="001731F6">
        <w:rPr>
          <w:rFonts w:ascii="Times New Roman" w:hAnsi="Times New Roman" w:cs="Times New Roman"/>
          <w:color w:val="000000"/>
          <w:lang w:val="en-US"/>
        </w:rPr>
        <w:t>Basu, 2023</w:t>
      </w:r>
      <w:r w:rsidRPr="00A86DD7">
        <w:rPr>
          <w:rFonts w:ascii="Times New Roman" w:hAnsi="Times New Roman" w:cs="Times New Roman"/>
          <w:color w:val="000000"/>
          <w:lang w:val="en-US"/>
        </w:rPr>
        <w:t>). These metals also exhibit high bioavailability: Cd as soluble Cd²⁺ and Hg as methylmercury (MeHg), which is highly toxic and readily absorbed by biological membranes. Such chemical speciation promotes accumulation in fish muscle tissues and enhances trophic transfer (</w:t>
      </w:r>
      <w:r w:rsidR="001731F6">
        <w:rPr>
          <w:rFonts w:ascii="Times New Roman" w:hAnsi="Times New Roman" w:cs="Times New Roman"/>
          <w:color w:val="000000"/>
          <w:lang w:val="en-US"/>
        </w:rPr>
        <w:t>Oros, 2025</w:t>
      </w:r>
      <w:r w:rsidRPr="00A86DD7">
        <w:rPr>
          <w:rFonts w:ascii="Times New Roman" w:hAnsi="Times New Roman" w:cs="Times New Roman"/>
          <w:color w:val="000000"/>
          <w:lang w:val="en-US"/>
        </w:rPr>
        <w:t>). Conversely, Pb is not correlated with Cd or Hg, due to distinct sources and speciation. Pb mainly comes from legacy sources</w:t>
      </w:r>
      <w:r w:rsidR="008E407A" w:rsidRPr="00A86DD7">
        <w:rPr>
          <w:rFonts w:ascii="Times New Roman" w:hAnsi="Times New Roman" w:cs="Times New Roman"/>
          <w:color w:val="000000"/>
          <w:lang w:val="en-US"/>
        </w:rPr>
        <w:t xml:space="preserve">, </w:t>
      </w:r>
      <w:r w:rsidRPr="00A86DD7">
        <w:rPr>
          <w:rFonts w:ascii="Times New Roman" w:hAnsi="Times New Roman" w:cs="Times New Roman"/>
          <w:color w:val="000000"/>
          <w:lang w:val="en-US"/>
        </w:rPr>
        <w:t xml:space="preserve">such as leaded fuel, paints, and industrial waste. In aquatic environments, it is often immobilized in sediment as inorganic forms (PbCO₃, PbS), making it less bioavailable (Botté et al., 2022; Adetutu et al., 2023). This explains the moderate levels found in fish muscle despite environmental presence. Thus, exposure mechanisms differ: Cd and Hg are highly mobile and bioavailable, while Pb tends to be sequestered in sediments. This underscores the importance of integrating chemical speciation, ecological traits of bioindicator </w:t>
      </w:r>
      <w:r w:rsidRPr="00A86DD7">
        <w:rPr>
          <w:rFonts w:ascii="Times New Roman" w:hAnsi="Times New Roman" w:cs="Times New Roman"/>
          <w:color w:val="000000"/>
          <w:lang w:val="en-US"/>
        </w:rPr>
        <w:lastRenderedPageBreak/>
        <w:t>species, and local human activities to accurately interpret metal contamination profiles in tropical ecosystems.</w:t>
      </w:r>
    </w:p>
    <w:p w14:paraId="01046B4F" w14:textId="77777777" w:rsidR="00DA6E6A" w:rsidRPr="00A86DD7" w:rsidRDefault="00DA6E6A" w:rsidP="00C51B0E">
      <w:pPr>
        <w:spacing w:before="100" w:beforeAutospacing="1" w:after="100" w:afterAutospacing="1" w:line="480" w:lineRule="auto"/>
        <w:ind w:left="0" w:firstLine="0"/>
        <w:rPr>
          <w:rFonts w:ascii="Times New Roman" w:hAnsi="Times New Roman" w:cs="Times New Roman"/>
          <w:b/>
          <w:color w:val="000000"/>
          <w:lang w:val="en-US"/>
        </w:rPr>
      </w:pPr>
      <w:r w:rsidRPr="00A86DD7">
        <w:rPr>
          <w:rFonts w:ascii="Times New Roman" w:hAnsi="Times New Roman" w:cs="Times New Roman"/>
          <w:b/>
          <w:color w:val="000000"/>
          <w:lang w:val="en-US"/>
        </w:rPr>
        <w:t xml:space="preserve">4.3. Spatiotemporal </w:t>
      </w:r>
      <w:r w:rsidR="008E407A" w:rsidRPr="00A86DD7">
        <w:rPr>
          <w:rFonts w:ascii="Times New Roman" w:hAnsi="Times New Roman" w:cs="Times New Roman"/>
          <w:b/>
          <w:color w:val="000000"/>
          <w:lang w:val="en-US"/>
        </w:rPr>
        <w:t>v</w:t>
      </w:r>
      <w:r w:rsidRPr="00A86DD7">
        <w:rPr>
          <w:rFonts w:ascii="Times New Roman" w:hAnsi="Times New Roman" w:cs="Times New Roman"/>
          <w:b/>
          <w:color w:val="000000"/>
          <w:lang w:val="en-US"/>
        </w:rPr>
        <w:t>ariability</w:t>
      </w:r>
    </w:p>
    <w:p w14:paraId="21957218" w14:textId="10B16CB9" w:rsidR="00DA6E6A" w:rsidRPr="00A86DD7" w:rsidRDefault="00DA6E6A" w:rsidP="00C51B0E">
      <w:pPr>
        <w:spacing w:before="100" w:beforeAutospacing="1" w:after="100" w:afterAutospacing="1" w:line="480" w:lineRule="auto"/>
        <w:ind w:left="0" w:firstLine="0"/>
        <w:rPr>
          <w:rFonts w:ascii="Times New Roman" w:hAnsi="Times New Roman" w:cs="Times New Roman"/>
          <w:color w:val="000000"/>
          <w:lang w:val="en-US"/>
        </w:rPr>
      </w:pPr>
      <w:r w:rsidRPr="00A86DD7">
        <w:rPr>
          <w:rFonts w:ascii="Times New Roman" w:hAnsi="Times New Roman" w:cs="Times New Roman"/>
          <w:color w:val="000000"/>
          <w:lang w:val="en-US"/>
        </w:rPr>
        <w:t>The lack of significant differences among the three studied water bodies may be attributed to their natural hydrological connectivity, which intensifies during the rainy season. This facilitates mixing and redistribution of contaminants, leading to spatial homogenization. Such processes have been observed in other systems, such as mixed-use catchments in northeast Germany, where seasonal hydrological connectivity reduced contamination gradients (Wang et al., 2024). The relatively stable Cd and Pb concentrations during 2022</w:t>
      </w:r>
      <w:r w:rsidR="008E407A" w:rsidRPr="00A86DD7">
        <w:rPr>
          <w:rFonts w:ascii="Times New Roman" w:hAnsi="Times New Roman" w:cs="Times New Roman"/>
          <w:color w:val="000000"/>
          <w:lang w:val="en-US"/>
        </w:rPr>
        <w:t>-</w:t>
      </w:r>
      <w:r w:rsidRPr="00A86DD7">
        <w:rPr>
          <w:rFonts w:ascii="Times New Roman" w:hAnsi="Times New Roman" w:cs="Times New Roman"/>
          <w:color w:val="000000"/>
          <w:lang w:val="en-US"/>
        </w:rPr>
        <w:t xml:space="preserve">2024 (excluding 2021) are consistent with studies by Togbé et al. (2019) on Ebrié Lagoon waters and by </w:t>
      </w:r>
      <w:r w:rsidR="00303D4C" w:rsidRPr="00303D4C">
        <w:rPr>
          <w:rFonts w:ascii="Times New Roman" w:hAnsi="Times New Roman" w:cs="Times New Roman"/>
          <w:color w:val="000000"/>
          <w:lang w:val="en-US"/>
        </w:rPr>
        <w:t xml:space="preserve">Nakweti, Lusasi, &amp; Tembeni </w:t>
      </w:r>
      <w:r w:rsidRPr="00A86DD7">
        <w:rPr>
          <w:rFonts w:ascii="Times New Roman" w:hAnsi="Times New Roman" w:cs="Times New Roman"/>
          <w:color w:val="000000"/>
          <w:lang w:val="en-US"/>
        </w:rPr>
        <w:t xml:space="preserve">(2021) in Pool Malebo (DRC), which reported low but persistent levels of these metals. These patterns are often attributed to a convergence of industrial, domestic, and urban runoff discharges. However, the MPI reveals pronounced seasonal variability, with markedly higher values in the rainy season, especially in 2021, the year with the most severe contamination. Similar findings were reported by </w:t>
      </w:r>
      <w:r w:rsidR="00D0084C" w:rsidRPr="00F633C6">
        <w:rPr>
          <w:rFonts w:ascii="Times New Roman" w:hAnsi="Times New Roman" w:cs="Times New Roman"/>
          <w:color w:val="000000"/>
          <w:lang w:val="en-US"/>
        </w:rPr>
        <w:t>Taghavi et al. (2024)</w:t>
      </w:r>
      <w:r w:rsidRPr="00A86DD7">
        <w:rPr>
          <w:rFonts w:ascii="Times New Roman" w:hAnsi="Times New Roman" w:cs="Times New Roman"/>
          <w:color w:val="000000"/>
          <w:lang w:val="en-US"/>
        </w:rPr>
        <w:t>, where the Hazard Index (HI) exceeded 1 in fish exposed to contaminated sediments, indicating unacceptable health risks. Peak contamination may be linked to exceptional hydrological conditions or pollution events, such as industrial spills or wastewater treatment failures. The extreme contamination observed in 2021 likely reflects a one-time pollution event coupled with heavy rainfall and intensive soil runoff (</w:t>
      </w:r>
      <w:r w:rsidR="00F633C6" w:rsidRPr="00C5372D">
        <w:rPr>
          <w:rFonts w:ascii="Times New Roman" w:hAnsi="Times New Roman" w:cs="Times New Roman"/>
          <w:color w:val="000000"/>
          <w:lang w:val="en-US"/>
        </w:rPr>
        <w:t>Bouamama Abbar, 2018</w:t>
      </w:r>
      <w:r w:rsidRPr="00A86DD7">
        <w:rPr>
          <w:rFonts w:ascii="Times New Roman" w:hAnsi="Times New Roman" w:cs="Times New Roman"/>
          <w:color w:val="000000"/>
          <w:lang w:val="en-US"/>
        </w:rPr>
        <w:t>). This interpretation is reinforced by the sharp decline in concentrations from 2022 onward, suggesting a transient anomaly rather than a continuous trend. These results highlight the need to consider hydrological regimes, land use, and extreme events in understanding contaminant dynamics in vulnerable tropical ecosystems.</w:t>
      </w:r>
    </w:p>
    <w:p w14:paraId="7D46C5A1" w14:textId="77777777" w:rsidR="00DA6E6A" w:rsidRPr="00A86DD7" w:rsidRDefault="00DA6E6A" w:rsidP="00C51B0E">
      <w:pPr>
        <w:spacing w:before="100" w:beforeAutospacing="1" w:after="100" w:afterAutospacing="1" w:line="480" w:lineRule="auto"/>
        <w:ind w:left="0" w:firstLine="0"/>
        <w:jc w:val="left"/>
        <w:outlineLvl w:val="2"/>
        <w:rPr>
          <w:rFonts w:ascii="Times New Roman" w:eastAsia="Times New Roman" w:hAnsi="Times New Roman" w:cs="Times New Roman"/>
          <w:b/>
          <w:bCs/>
          <w:color w:val="000000"/>
          <w:lang w:val="en-US" w:eastAsia="fr-FR"/>
        </w:rPr>
        <w:sectPr w:rsidR="00DA6E6A" w:rsidRPr="00A86DD7" w:rsidSect="00A56412">
          <w:pgSz w:w="11900" w:h="16840"/>
          <w:pgMar w:top="1417" w:right="1417" w:bottom="1417" w:left="1417" w:header="708" w:footer="708" w:gutter="0"/>
          <w:cols w:space="708"/>
          <w:docGrid w:linePitch="360"/>
        </w:sectPr>
      </w:pPr>
    </w:p>
    <w:p w14:paraId="1F189EB3" w14:textId="77777777" w:rsidR="00DA6E6A" w:rsidRPr="00D900F8" w:rsidRDefault="00DA6E6A" w:rsidP="00C51B0E">
      <w:pPr>
        <w:pStyle w:val="ListParagraph"/>
        <w:numPr>
          <w:ilvl w:val="0"/>
          <w:numId w:val="3"/>
        </w:numPr>
        <w:spacing w:line="480" w:lineRule="auto"/>
        <w:rPr>
          <w:rFonts w:ascii="Times New Roman" w:hAnsi="Times New Roman" w:cs="Times New Roman"/>
          <w:b/>
        </w:rPr>
      </w:pPr>
      <w:r w:rsidRPr="00D900F8">
        <w:rPr>
          <w:rFonts w:ascii="Times New Roman" w:hAnsi="Times New Roman" w:cs="Times New Roman"/>
          <w:b/>
        </w:rPr>
        <w:lastRenderedPageBreak/>
        <w:t>CONCLUSION</w:t>
      </w:r>
    </w:p>
    <w:p w14:paraId="0E8CF5CC" w14:textId="13D4D1D1" w:rsidR="00DA6E6A" w:rsidRDefault="00DA6E6A" w:rsidP="00C51B0E">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r w:rsidRPr="00D900F8">
        <w:rPr>
          <w:rFonts w:ascii="Times New Roman" w:eastAsia="Times New Roman" w:hAnsi="Times New Roman" w:cs="Times New Roman"/>
          <w:color w:val="000000"/>
          <w:lang w:val="en-US" w:eastAsia="fr-FR"/>
        </w:rPr>
        <w:t>This study highlights alarming contamination levels in the aquatic ecosystems of the Grande Niaye de Pikine Urban Nature Reserve and Dependencies (</w:t>
      </w:r>
      <w:r w:rsidR="00247A7A" w:rsidRPr="00D900F8">
        <w:rPr>
          <w:rFonts w:ascii="Times New Roman" w:eastAsia="Times New Roman" w:hAnsi="Times New Roman" w:cs="Times New Roman"/>
          <w:color w:val="000000"/>
          <w:lang w:val="en-US" w:eastAsia="fr-FR"/>
        </w:rPr>
        <w:t>UNRGNPD</w:t>
      </w:r>
      <w:r w:rsidRPr="00D900F8">
        <w:rPr>
          <w:rFonts w:ascii="Times New Roman" w:eastAsia="Times New Roman" w:hAnsi="Times New Roman" w:cs="Times New Roman"/>
          <w:color w:val="000000"/>
          <w:lang w:val="en-US" w:eastAsia="fr-FR"/>
        </w:rPr>
        <w:t>) by three trace metals, cadmium (Cd), mercury (Hg), and lead (Pb), which were detected in significant quantities in the muscle tissues of </w:t>
      </w:r>
      <w:r w:rsidRPr="00D900F8">
        <w:rPr>
          <w:rFonts w:ascii="Times New Roman" w:eastAsia="Times New Roman" w:hAnsi="Times New Roman" w:cs="Times New Roman"/>
          <w:i/>
          <w:iCs/>
          <w:color w:val="000000"/>
          <w:lang w:val="en-US" w:eastAsia="fr-FR"/>
        </w:rPr>
        <w:t>Sarotherodon melanotheron</w:t>
      </w:r>
      <w:r w:rsidRPr="00D900F8">
        <w:rPr>
          <w:rFonts w:ascii="Times New Roman" w:eastAsia="Times New Roman" w:hAnsi="Times New Roman" w:cs="Times New Roman"/>
          <w:color w:val="000000"/>
          <w:lang w:val="en-US" w:eastAsia="fr-FR"/>
        </w:rPr>
        <w:t>. Maximum concentrations recorded in 2021 far exceeded international safety standards (FAO/WHO), particularly for cadmium, reflecting acute pollution likely driven by anthropogenic activities, including domestic, agricultural, and industrial discharges. Spatiotemporal analysis revealed substantial interannual variability, with a contamination peak in 2021 followed by a notable decrease in Cd and Hg levels from 2022 onward. In contrast, Pb concentrations remained consistently high throughout the study period, especially during the rainy season, indicating its persistent bioavailability and environmental stability. Health risk assessments revealed chronic exposure risks, particularly among children, for whom Target Hazard Quotient (THQ) values frequently exceeded the critical threshold, especially for lead. The cancer risk (CR) associated with Cd exposure in 2021 was estimated at 0.18, vastly surpassing the tolerable limit of 1 × 10⁻⁴, and thus represents a serious public health concern. In light of these findings, urgent measures are needed to mitigate the risks: strengthening environmental monitoring, identifying specific sources of contamination, improving wastewater treatment systems, and reducing agricultural and industrial pollutant inputs. Furthermore, it is essential to conduct complementary studies focused on metal speciation and trophic transfer processes to better understand contamination dynamics and to develop sustainable remediation strategies for urbanized tropical wetlands.</w:t>
      </w:r>
    </w:p>
    <w:p w14:paraId="081848D9" w14:textId="77777777" w:rsidR="00BE14AA" w:rsidRPr="00A83A42" w:rsidRDefault="00BE14AA" w:rsidP="00BE14AA">
      <w:pPr>
        <w:rPr>
          <w:highlight w:val="yellow"/>
          <w:lang w:val="en-US"/>
        </w:rPr>
      </w:pPr>
      <w:r w:rsidRPr="00A83A42">
        <w:rPr>
          <w:highlight w:val="yellow"/>
          <w:lang w:val="en-US"/>
        </w:rPr>
        <w:t>Disclaimer (Artificial intelligence)</w:t>
      </w:r>
    </w:p>
    <w:p w14:paraId="326778DA" w14:textId="77777777" w:rsidR="00BE14AA" w:rsidRPr="00A83A42" w:rsidRDefault="00BE14AA" w:rsidP="00BE14AA">
      <w:pPr>
        <w:rPr>
          <w:highlight w:val="yellow"/>
          <w:lang w:val="en-US"/>
        </w:rPr>
      </w:pPr>
      <w:r w:rsidRPr="00A83A42">
        <w:rPr>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306FC59A" w14:textId="77777777" w:rsidR="00EC11EE" w:rsidRPr="00D900F8" w:rsidRDefault="00EC11EE" w:rsidP="00C51B0E">
      <w:pPr>
        <w:spacing w:before="100" w:beforeAutospacing="1" w:after="100" w:afterAutospacing="1" w:line="480" w:lineRule="auto"/>
        <w:ind w:left="0" w:firstLine="0"/>
        <w:rPr>
          <w:rFonts w:ascii="Times New Roman" w:eastAsia="Times New Roman" w:hAnsi="Times New Roman" w:cs="Times New Roman"/>
          <w:b/>
          <w:color w:val="000000"/>
          <w:lang w:val="en-US" w:eastAsia="fr-FR"/>
        </w:rPr>
      </w:pPr>
      <w:r w:rsidRPr="00D900F8">
        <w:rPr>
          <w:rFonts w:ascii="Times New Roman" w:eastAsia="Times New Roman" w:hAnsi="Times New Roman" w:cs="Times New Roman"/>
          <w:b/>
          <w:color w:val="000000"/>
          <w:lang w:val="en-US" w:eastAsia="fr-FR"/>
        </w:rPr>
        <w:lastRenderedPageBreak/>
        <w:t>REFERENCES</w:t>
      </w:r>
    </w:p>
    <w:p w14:paraId="1AB0A5B0" w14:textId="5512A6DA" w:rsidR="005E6576" w:rsidRPr="002054B2" w:rsidRDefault="005E6576" w:rsidP="002054B2">
      <w:pPr>
        <w:pStyle w:val="ListParagraph"/>
        <w:numPr>
          <w:ilvl w:val="0"/>
          <w:numId w:val="4"/>
        </w:numPr>
        <w:spacing w:before="100" w:beforeAutospacing="1" w:after="100" w:afterAutospacing="1" w:line="480" w:lineRule="auto"/>
        <w:rPr>
          <w:rFonts w:ascii="Times New Roman" w:eastAsia="Times New Roman" w:hAnsi="Times New Roman" w:cs="Times New Roman"/>
          <w:color w:val="000000"/>
          <w:lang w:val="en-US" w:eastAsia="fr-FR"/>
        </w:rPr>
      </w:pPr>
      <w:r w:rsidRPr="002054B2">
        <w:rPr>
          <w:rFonts w:ascii="Times New Roman" w:eastAsia="Times New Roman" w:hAnsi="Times New Roman" w:cs="Times New Roman"/>
          <w:color w:val="000000"/>
          <w:lang w:val="en-US" w:eastAsia="fr-FR"/>
        </w:rPr>
        <w:t>Adetutu, E. M., Adegbola, P. I., &amp; Aborisade, A. B. (2023). Heavy metal concentrations in four fish species from the Lagos lagoon and their human health implications. Heliyon, 9(10), e21689.</w:t>
      </w:r>
      <w:r w:rsidRPr="002054B2">
        <w:rPr>
          <w:rFonts w:ascii="Times New Roman" w:eastAsia="Times New Roman" w:hAnsi="Times New Roman" w:cs="Times New Roman"/>
          <w:color w:val="000000"/>
          <w:lang w:val="en-US" w:eastAsia="fr-FR"/>
        </w:rPr>
        <w:tab/>
      </w:r>
      <w:hyperlink r:id="rId22" w:history="1">
        <w:r w:rsidR="00DE7E17" w:rsidRPr="002054B2">
          <w:rPr>
            <w:rStyle w:val="Hyperlink"/>
            <w:rFonts w:ascii="Times New Roman" w:eastAsia="Times New Roman" w:hAnsi="Times New Roman" w:cs="Times New Roman"/>
            <w:lang w:val="en-US" w:eastAsia="fr-FR"/>
          </w:rPr>
          <w:t>https://doi.org/10.1016/j.heliyon.2023.e21689</w:t>
        </w:r>
      </w:hyperlink>
      <w:r w:rsidR="00DE7E17" w:rsidRPr="002054B2">
        <w:rPr>
          <w:rFonts w:ascii="Times New Roman" w:eastAsia="Times New Roman" w:hAnsi="Times New Roman" w:cs="Times New Roman"/>
          <w:color w:val="000000"/>
          <w:lang w:val="en-US" w:eastAsia="fr-FR"/>
        </w:rPr>
        <w:t xml:space="preserve"> </w:t>
      </w:r>
      <w:r w:rsidRPr="002054B2">
        <w:rPr>
          <w:rFonts w:ascii="Times New Roman" w:eastAsia="Times New Roman" w:hAnsi="Times New Roman" w:cs="Times New Roman"/>
          <w:color w:val="000000"/>
          <w:lang w:val="en-US" w:eastAsia="fr-FR"/>
        </w:rPr>
        <w:t xml:space="preserve"> </w:t>
      </w:r>
    </w:p>
    <w:p w14:paraId="05D12443" w14:textId="1B2BB4E2" w:rsidR="005E6576" w:rsidRPr="002054B2" w:rsidRDefault="005E6576" w:rsidP="002054B2">
      <w:pPr>
        <w:pStyle w:val="ListParagraph"/>
        <w:numPr>
          <w:ilvl w:val="0"/>
          <w:numId w:val="4"/>
        </w:numPr>
        <w:spacing w:before="100" w:beforeAutospacing="1" w:after="100" w:afterAutospacing="1" w:line="480" w:lineRule="auto"/>
        <w:rPr>
          <w:rFonts w:ascii="Times New Roman" w:eastAsia="Times New Roman" w:hAnsi="Times New Roman" w:cs="Times New Roman"/>
          <w:color w:val="000000"/>
          <w:lang w:val="en-US" w:eastAsia="fr-FR"/>
        </w:rPr>
      </w:pPr>
      <w:r w:rsidRPr="002054B2">
        <w:rPr>
          <w:rFonts w:ascii="Times New Roman" w:eastAsia="Times New Roman" w:hAnsi="Times New Roman" w:cs="Times New Roman"/>
          <w:color w:val="000000"/>
          <w:lang w:val="en-US" w:eastAsia="fr-FR"/>
        </w:rPr>
        <w:t>Aendo, P., Thongyuan, S., Songserm, T., &amp; Tulayakul, P. (2019). Carcinogenic and non-carcinogenic risk assessment of heavy metals contamination in duck eggs and meat as a warning scenario in Thailand. Science of the Total Environment, 689, 215–222.</w:t>
      </w:r>
      <w:r w:rsidRPr="002054B2">
        <w:rPr>
          <w:rFonts w:ascii="Times New Roman" w:eastAsia="Times New Roman" w:hAnsi="Times New Roman" w:cs="Times New Roman"/>
          <w:color w:val="000000"/>
          <w:lang w:val="en-US" w:eastAsia="fr-FR"/>
        </w:rPr>
        <w:tab/>
      </w:r>
      <w:hyperlink r:id="rId23" w:history="1">
        <w:r w:rsidR="00DE7E17" w:rsidRPr="002054B2">
          <w:rPr>
            <w:rStyle w:val="Hyperlink"/>
            <w:rFonts w:ascii="Times New Roman" w:eastAsia="Times New Roman" w:hAnsi="Times New Roman" w:cs="Times New Roman"/>
            <w:lang w:val="en-US" w:eastAsia="fr-FR"/>
          </w:rPr>
          <w:t>https://doi.org/10.1016/j.scitotenv.2019.06.414</w:t>
        </w:r>
      </w:hyperlink>
      <w:r w:rsidR="00DE7E17" w:rsidRPr="002054B2">
        <w:rPr>
          <w:rFonts w:ascii="Times New Roman" w:eastAsia="Times New Roman" w:hAnsi="Times New Roman" w:cs="Times New Roman"/>
          <w:color w:val="000000"/>
          <w:lang w:val="en-US" w:eastAsia="fr-FR"/>
        </w:rPr>
        <w:t xml:space="preserve"> </w:t>
      </w:r>
    </w:p>
    <w:p w14:paraId="7D1724B1" w14:textId="77777777" w:rsidR="005E6576" w:rsidRPr="005E6576" w:rsidRDefault="005E6576" w:rsidP="005E6576">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p>
    <w:p w14:paraId="4368D137" w14:textId="7A9EFE2E" w:rsidR="005E6576" w:rsidRPr="002054B2" w:rsidRDefault="005E6576" w:rsidP="002054B2">
      <w:pPr>
        <w:pStyle w:val="ListParagraph"/>
        <w:numPr>
          <w:ilvl w:val="0"/>
          <w:numId w:val="4"/>
        </w:numPr>
        <w:spacing w:before="100" w:beforeAutospacing="1" w:after="100" w:afterAutospacing="1" w:line="480" w:lineRule="auto"/>
        <w:rPr>
          <w:rFonts w:ascii="Times New Roman" w:eastAsia="Times New Roman" w:hAnsi="Times New Roman" w:cs="Times New Roman"/>
          <w:color w:val="000000"/>
          <w:lang w:val="en-US" w:eastAsia="fr-FR"/>
        </w:rPr>
      </w:pPr>
      <w:r w:rsidRPr="002054B2">
        <w:rPr>
          <w:rFonts w:ascii="Times New Roman" w:eastAsia="Times New Roman" w:hAnsi="Times New Roman" w:cs="Times New Roman"/>
          <w:color w:val="000000"/>
          <w:lang w:val="en-US" w:eastAsia="fr-FR"/>
        </w:rPr>
        <w:t xml:space="preserve">Aoshima, K., Horiguchi, H. (2019). Historical Lessons on Cadmium Environmental Pollution Problems in Japan and Current Cadmium Exposure Situation. In: Himeno, S., Aoshima, K. (eds) Cadmium Toxicity. Current Topics in Environmental Health and Preventive Medicine. Springer, Singapore. </w:t>
      </w:r>
      <w:r w:rsidRPr="002054B2">
        <w:rPr>
          <w:rFonts w:ascii="Times New Roman" w:eastAsia="Times New Roman" w:hAnsi="Times New Roman" w:cs="Times New Roman"/>
          <w:color w:val="000000"/>
          <w:lang w:val="en-US" w:eastAsia="fr-FR"/>
        </w:rPr>
        <w:tab/>
      </w:r>
      <w:hyperlink r:id="rId24" w:history="1">
        <w:r w:rsidR="006F2ED4" w:rsidRPr="002054B2">
          <w:rPr>
            <w:rStyle w:val="Hyperlink"/>
            <w:rFonts w:ascii="Times New Roman" w:eastAsia="Times New Roman" w:hAnsi="Times New Roman" w:cs="Times New Roman"/>
            <w:lang w:val="en-US" w:eastAsia="fr-FR"/>
          </w:rPr>
          <w:t>https://doi.org/10.1007/978-981-13-3630-0_1</w:t>
        </w:r>
      </w:hyperlink>
      <w:r w:rsidR="006F2ED4" w:rsidRPr="002054B2">
        <w:rPr>
          <w:rFonts w:ascii="Times New Roman" w:eastAsia="Times New Roman" w:hAnsi="Times New Roman" w:cs="Times New Roman"/>
          <w:color w:val="000000"/>
          <w:lang w:val="en-US" w:eastAsia="fr-FR"/>
        </w:rPr>
        <w:t xml:space="preserve"> </w:t>
      </w:r>
    </w:p>
    <w:p w14:paraId="53C447D8" w14:textId="05D8C3EA" w:rsidR="005E6576" w:rsidRPr="002054B2" w:rsidRDefault="005E6576" w:rsidP="002054B2">
      <w:pPr>
        <w:pStyle w:val="ListParagraph"/>
        <w:numPr>
          <w:ilvl w:val="0"/>
          <w:numId w:val="4"/>
        </w:numPr>
        <w:spacing w:before="100" w:beforeAutospacing="1" w:after="100" w:afterAutospacing="1" w:line="480" w:lineRule="auto"/>
        <w:rPr>
          <w:rFonts w:ascii="Times New Roman" w:eastAsia="Times New Roman" w:hAnsi="Times New Roman" w:cs="Times New Roman"/>
          <w:color w:val="000000"/>
          <w:lang w:val="en-US" w:eastAsia="fr-FR"/>
        </w:rPr>
      </w:pPr>
      <w:r w:rsidRPr="002054B2">
        <w:rPr>
          <w:rFonts w:ascii="Times New Roman" w:eastAsia="Times New Roman" w:hAnsi="Times New Roman" w:cs="Times New Roman"/>
          <w:color w:val="000000"/>
          <w:lang w:val="en-US" w:eastAsia="fr-FR"/>
        </w:rPr>
        <w:t xml:space="preserve">Basu, M. (2023). Impact of Mercury and Its Toxicity on Health and Environment: A General Perspective. In: Kumar, N. (eds) Mercury Toxicity. Environmental Science and Engineering. Springer, Singapore. </w:t>
      </w:r>
      <w:r w:rsidRPr="002054B2">
        <w:rPr>
          <w:rFonts w:ascii="Times New Roman" w:eastAsia="Times New Roman" w:hAnsi="Times New Roman" w:cs="Times New Roman"/>
          <w:color w:val="000000"/>
          <w:lang w:val="en-US" w:eastAsia="fr-FR"/>
        </w:rPr>
        <w:tab/>
      </w:r>
      <w:hyperlink r:id="rId25" w:history="1">
        <w:r w:rsidR="006F2ED4" w:rsidRPr="002054B2">
          <w:rPr>
            <w:rStyle w:val="Hyperlink"/>
            <w:rFonts w:ascii="Times New Roman" w:eastAsia="Times New Roman" w:hAnsi="Times New Roman" w:cs="Times New Roman"/>
            <w:lang w:val="en-US" w:eastAsia="fr-FR"/>
          </w:rPr>
          <w:t>https://doi.org/10.1007/978-981-99-7719-2_4</w:t>
        </w:r>
      </w:hyperlink>
      <w:r w:rsidR="006F2ED4" w:rsidRPr="002054B2">
        <w:rPr>
          <w:rFonts w:ascii="Times New Roman" w:eastAsia="Times New Roman" w:hAnsi="Times New Roman" w:cs="Times New Roman"/>
          <w:color w:val="000000"/>
          <w:lang w:val="en-US" w:eastAsia="fr-FR"/>
        </w:rPr>
        <w:t xml:space="preserve"> </w:t>
      </w:r>
      <w:r w:rsidRPr="002054B2">
        <w:rPr>
          <w:rFonts w:ascii="Times New Roman" w:eastAsia="Times New Roman" w:hAnsi="Times New Roman" w:cs="Times New Roman"/>
          <w:color w:val="000000"/>
          <w:lang w:val="en-US" w:eastAsia="fr-FR"/>
        </w:rPr>
        <w:t xml:space="preserve"> </w:t>
      </w:r>
    </w:p>
    <w:p w14:paraId="7BE79422" w14:textId="77777777" w:rsidR="005E6576" w:rsidRPr="005E6576" w:rsidRDefault="005E6576" w:rsidP="005E6576">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p>
    <w:p w14:paraId="7E2AC3AD" w14:textId="2BE24DF9" w:rsidR="005E6576" w:rsidRPr="002054B2" w:rsidRDefault="005E6576" w:rsidP="002054B2">
      <w:pPr>
        <w:pStyle w:val="ListParagraph"/>
        <w:numPr>
          <w:ilvl w:val="0"/>
          <w:numId w:val="4"/>
        </w:numPr>
        <w:spacing w:before="100" w:beforeAutospacing="1" w:after="100" w:afterAutospacing="1" w:line="480" w:lineRule="auto"/>
        <w:rPr>
          <w:rFonts w:ascii="Times New Roman" w:eastAsia="Times New Roman" w:hAnsi="Times New Roman" w:cs="Times New Roman"/>
          <w:color w:val="000000"/>
          <w:lang w:val="en-US" w:eastAsia="fr-FR"/>
        </w:rPr>
      </w:pPr>
      <w:r w:rsidRPr="002054B2">
        <w:rPr>
          <w:rFonts w:ascii="Times New Roman" w:eastAsia="Times New Roman" w:hAnsi="Times New Roman" w:cs="Times New Roman"/>
          <w:color w:val="000000"/>
          <w:lang w:val="en-US" w:eastAsia="fr-FR"/>
        </w:rPr>
        <w:t>Berger, E. (2022). Pollution assessment of the landfill of Mbeubeuss and the natural urban reserve of the Grande Niaye of Pikine in Dakar, Senegal (Master’s thesis, École Polytechnique Fédérale</w:t>
      </w:r>
      <w:r w:rsidR="006F2ED4" w:rsidRPr="002054B2">
        <w:rPr>
          <w:rFonts w:ascii="Times New Roman" w:eastAsia="Times New Roman" w:hAnsi="Times New Roman" w:cs="Times New Roman"/>
          <w:color w:val="000000"/>
          <w:lang w:val="en-US" w:eastAsia="fr-FR"/>
        </w:rPr>
        <w:t xml:space="preserve"> </w:t>
      </w:r>
      <w:r w:rsidRPr="002054B2">
        <w:rPr>
          <w:rFonts w:ascii="Times New Roman" w:eastAsia="Times New Roman" w:hAnsi="Times New Roman" w:cs="Times New Roman"/>
          <w:color w:val="000000"/>
          <w:lang w:val="en-US" w:eastAsia="fr-FR"/>
        </w:rPr>
        <w:t>de Lausanne). EPFL Infoscience</w:t>
      </w:r>
      <w:r w:rsidR="006F2ED4" w:rsidRPr="002054B2">
        <w:rPr>
          <w:rFonts w:ascii="Times New Roman" w:eastAsia="Times New Roman" w:hAnsi="Times New Roman" w:cs="Times New Roman"/>
          <w:color w:val="000000"/>
          <w:lang w:val="en-US" w:eastAsia="fr-FR"/>
        </w:rPr>
        <w:t>.</w:t>
      </w:r>
      <w:r w:rsidRPr="002054B2">
        <w:rPr>
          <w:rFonts w:ascii="Times New Roman" w:eastAsia="Times New Roman" w:hAnsi="Times New Roman" w:cs="Times New Roman"/>
          <w:color w:val="000000"/>
          <w:lang w:val="en-US" w:eastAsia="fr-FR"/>
        </w:rPr>
        <w:tab/>
      </w:r>
      <w:hyperlink r:id="rId26" w:history="1">
        <w:r w:rsidR="006F2ED4" w:rsidRPr="002054B2">
          <w:rPr>
            <w:rStyle w:val="Hyperlink"/>
            <w:rFonts w:ascii="Times New Roman" w:eastAsia="Times New Roman" w:hAnsi="Times New Roman" w:cs="Times New Roman"/>
            <w:lang w:val="en-US" w:eastAsia="fr-FR"/>
          </w:rPr>
          <w:t>https://infoscience.epfl.ch/server/api/core/bitstreams/9c18a477-fa94-470b-a2a8-237ea72c962e/content</w:t>
        </w:r>
      </w:hyperlink>
      <w:r w:rsidR="006F2ED4" w:rsidRPr="002054B2">
        <w:rPr>
          <w:rFonts w:ascii="Times New Roman" w:eastAsia="Times New Roman" w:hAnsi="Times New Roman" w:cs="Times New Roman"/>
          <w:color w:val="000000"/>
          <w:lang w:val="en-US" w:eastAsia="fr-FR"/>
        </w:rPr>
        <w:t xml:space="preserve"> </w:t>
      </w:r>
    </w:p>
    <w:p w14:paraId="49A1B045" w14:textId="5D553F4C" w:rsidR="005E6576" w:rsidRPr="002054B2" w:rsidRDefault="005E6576" w:rsidP="002054B2">
      <w:pPr>
        <w:pStyle w:val="ListParagraph"/>
        <w:numPr>
          <w:ilvl w:val="0"/>
          <w:numId w:val="4"/>
        </w:numPr>
        <w:spacing w:before="100" w:beforeAutospacing="1" w:after="100" w:afterAutospacing="1" w:line="480" w:lineRule="auto"/>
        <w:rPr>
          <w:rFonts w:ascii="Times New Roman" w:eastAsia="Times New Roman" w:hAnsi="Times New Roman" w:cs="Times New Roman"/>
          <w:color w:val="000000"/>
          <w:lang w:val="fr-FR" w:eastAsia="fr-FR"/>
        </w:rPr>
      </w:pPr>
      <w:r w:rsidRPr="002054B2">
        <w:rPr>
          <w:rFonts w:ascii="Times New Roman" w:eastAsia="Times New Roman" w:hAnsi="Times New Roman" w:cs="Times New Roman"/>
          <w:color w:val="000000"/>
          <w:lang w:val="fr-FR" w:eastAsia="fr-FR"/>
        </w:rPr>
        <w:lastRenderedPageBreak/>
        <w:t xml:space="preserve">Bouamama Abbar. (2018). Influence de la physico-chimie des eaux de ruissellement sur la vulnérabilité des ouvrages de rétention [Thèse de doctorat, Normandie Université]. HAL. </w:t>
      </w:r>
      <w:r w:rsidRPr="002054B2">
        <w:rPr>
          <w:rFonts w:ascii="Times New Roman" w:eastAsia="Times New Roman" w:hAnsi="Times New Roman" w:cs="Times New Roman"/>
          <w:color w:val="000000"/>
          <w:lang w:val="fr-FR" w:eastAsia="fr-FR"/>
        </w:rPr>
        <w:tab/>
      </w:r>
      <w:hyperlink r:id="rId27" w:history="1">
        <w:r w:rsidR="006F2ED4" w:rsidRPr="002054B2">
          <w:rPr>
            <w:rStyle w:val="Hyperlink"/>
            <w:rFonts w:ascii="Times New Roman" w:eastAsia="Times New Roman" w:hAnsi="Times New Roman" w:cs="Times New Roman"/>
            <w:lang w:val="fr-FR" w:eastAsia="fr-FR"/>
          </w:rPr>
          <w:t>https://theses.hal.science/tel-01792499v1</w:t>
        </w:r>
      </w:hyperlink>
      <w:r w:rsidR="006F2ED4" w:rsidRPr="002054B2">
        <w:rPr>
          <w:rFonts w:ascii="Times New Roman" w:eastAsia="Times New Roman" w:hAnsi="Times New Roman" w:cs="Times New Roman"/>
          <w:color w:val="000000"/>
          <w:lang w:val="fr-FR" w:eastAsia="fr-FR"/>
        </w:rPr>
        <w:t xml:space="preserve"> </w:t>
      </w:r>
    </w:p>
    <w:p w14:paraId="2957983E" w14:textId="5191F17C" w:rsidR="005E6576" w:rsidRPr="002054B2" w:rsidRDefault="005E6576" w:rsidP="002054B2">
      <w:pPr>
        <w:pStyle w:val="ListParagraph"/>
        <w:numPr>
          <w:ilvl w:val="0"/>
          <w:numId w:val="4"/>
        </w:numPr>
        <w:spacing w:before="100" w:beforeAutospacing="1" w:after="100" w:afterAutospacing="1" w:line="480" w:lineRule="auto"/>
        <w:rPr>
          <w:rFonts w:ascii="Times New Roman" w:eastAsia="Times New Roman" w:hAnsi="Times New Roman" w:cs="Times New Roman"/>
          <w:color w:val="000000"/>
          <w:lang w:val="en-US" w:eastAsia="fr-FR"/>
        </w:rPr>
      </w:pPr>
      <w:r w:rsidRPr="002054B2">
        <w:rPr>
          <w:rFonts w:ascii="Times New Roman" w:eastAsia="Times New Roman" w:hAnsi="Times New Roman" w:cs="Times New Roman"/>
          <w:color w:val="000000"/>
          <w:lang w:val="fr-FR" w:eastAsia="fr-FR"/>
        </w:rPr>
        <w:t xml:space="preserve">Bošković, N., Joksimović, D., &amp; Bajt, O. (2023). </w:t>
      </w:r>
      <w:r w:rsidRPr="002054B2">
        <w:rPr>
          <w:rFonts w:ascii="Times New Roman" w:eastAsia="Times New Roman" w:hAnsi="Times New Roman" w:cs="Times New Roman"/>
          <w:color w:val="000000"/>
          <w:lang w:val="en-US" w:eastAsia="fr-FR"/>
        </w:rPr>
        <w:t>Content of trace elements and human health risk assessment via consumption of commercially important fishes from Montenegrin coast. Foods, 12(4), 762.</w:t>
      </w:r>
      <w:r w:rsidRPr="002054B2">
        <w:rPr>
          <w:rFonts w:ascii="Times New Roman" w:eastAsia="Times New Roman" w:hAnsi="Times New Roman" w:cs="Times New Roman"/>
          <w:color w:val="000000"/>
          <w:lang w:val="en-US" w:eastAsia="fr-FR"/>
        </w:rPr>
        <w:tab/>
      </w:r>
      <w:hyperlink r:id="rId28" w:history="1">
        <w:r w:rsidR="00F26C9A" w:rsidRPr="002054B2">
          <w:rPr>
            <w:rStyle w:val="Hyperlink"/>
            <w:rFonts w:ascii="Times New Roman" w:eastAsia="Times New Roman" w:hAnsi="Times New Roman" w:cs="Times New Roman"/>
            <w:lang w:val="en-US" w:eastAsia="fr-FR"/>
          </w:rPr>
          <w:t>https://doi.org/10.3390/foods12040762</w:t>
        </w:r>
      </w:hyperlink>
      <w:r w:rsidR="00F26C9A" w:rsidRPr="002054B2">
        <w:rPr>
          <w:rFonts w:ascii="Times New Roman" w:eastAsia="Times New Roman" w:hAnsi="Times New Roman" w:cs="Times New Roman"/>
          <w:color w:val="000000"/>
          <w:lang w:val="en-US" w:eastAsia="fr-FR"/>
        </w:rPr>
        <w:t xml:space="preserve"> </w:t>
      </w:r>
    </w:p>
    <w:p w14:paraId="5AF41A9C" w14:textId="77777777" w:rsidR="005E6576" w:rsidRPr="005E6576" w:rsidRDefault="005E6576" w:rsidP="005E6576">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p>
    <w:p w14:paraId="434B7B2A" w14:textId="5C55F7DC" w:rsidR="005E6576" w:rsidRPr="002054B2" w:rsidRDefault="005E6576" w:rsidP="002054B2">
      <w:pPr>
        <w:pStyle w:val="ListParagraph"/>
        <w:numPr>
          <w:ilvl w:val="0"/>
          <w:numId w:val="4"/>
        </w:numPr>
        <w:spacing w:before="100" w:beforeAutospacing="1" w:after="100" w:afterAutospacing="1" w:line="480" w:lineRule="auto"/>
        <w:rPr>
          <w:rFonts w:ascii="Times New Roman" w:eastAsia="Times New Roman" w:hAnsi="Times New Roman" w:cs="Times New Roman"/>
          <w:color w:val="000000"/>
          <w:lang w:val="en-US" w:eastAsia="fr-FR"/>
        </w:rPr>
      </w:pPr>
      <w:r w:rsidRPr="002054B2">
        <w:rPr>
          <w:rFonts w:ascii="Times New Roman" w:eastAsia="Times New Roman" w:hAnsi="Times New Roman" w:cs="Times New Roman"/>
          <w:color w:val="000000"/>
          <w:lang w:val="en-US" w:eastAsia="fr-FR"/>
        </w:rPr>
        <w:t xml:space="preserve">Botté, C., Seguin, C., &amp; Nahrgang, J. (2022). Lead in the marine environment: Concentrations and effects on invertebrates. Ecotoxicology, 31, 194–207. </w:t>
      </w:r>
      <w:r w:rsidR="00BE3071" w:rsidRPr="002054B2">
        <w:rPr>
          <w:rFonts w:ascii="Times New Roman" w:eastAsia="Times New Roman" w:hAnsi="Times New Roman" w:cs="Times New Roman"/>
          <w:color w:val="000000"/>
          <w:lang w:val="en-US" w:eastAsia="fr-FR"/>
        </w:rPr>
        <w:t xml:space="preserve"> </w:t>
      </w:r>
      <w:r w:rsidRPr="002054B2">
        <w:rPr>
          <w:rFonts w:ascii="Times New Roman" w:eastAsia="Times New Roman" w:hAnsi="Times New Roman" w:cs="Times New Roman"/>
          <w:color w:val="000000"/>
          <w:lang w:val="en-US" w:eastAsia="fr-FR"/>
        </w:rPr>
        <w:tab/>
      </w:r>
      <w:hyperlink r:id="rId29" w:history="1">
        <w:r w:rsidR="00BE3071" w:rsidRPr="002054B2">
          <w:rPr>
            <w:rStyle w:val="Hyperlink"/>
            <w:rFonts w:ascii="Times New Roman" w:eastAsia="Times New Roman" w:hAnsi="Times New Roman" w:cs="Times New Roman"/>
            <w:lang w:val="en-US" w:eastAsia="fr-FR"/>
          </w:rPr>
          <w:t>https://doi.org/10.1007/s10646-021-02504-4</w:t>
        </w:r>
      </w:hyperlink>
      <w:r w:rsidR="00BE3071" w:rsidRPr="002054B2">
        <w:rPr>
          <w:rFonts w:ascii="Times New Roman" w:eastAsia="Times New Roman" w:hAnsi="Times New Roman" w:cs="Times New Roman"/>
          <w:color w:val="000000"/>
          <w:lang w:val="en-US" w:eastAsia="fr-FR"/>
        </w:rPr>
        <w:t xml:space="preserve"> </w:t>
      </w:r>
    </w:p>
    <w:p w14:paraId="61ADC0D1" w14:textId="59A1252B" w:rsidR="005E6576" w:rsidRPr="002054B2" w:rsidRDefault="005E6576" w:rsidP="002054B2">
      <w:pPr>
        <w:pStyle w:val="ListParagraph"/>
        <w:numPr>
          <w:ilvl w:val="0"/>
          <w:numId w:val="4"/>
        </w:numPr>
        <w:spacing w:before="100" w:beforeAutospacing="1" w:after="100" w:afterAutospacing="1" w:line="480" w:lineRule="auto"/>
        <w:rPr>
          <w:rFonts w:ascii="Times New Roman" w:eastAsia="Times New Roman" w:hAnsi="Times New Roman" w:cs="Times New Roman"/>
          <w:color w:val="000000"/>
          <w:lang w:val="en-US" w:eastAsia="fr-FR"/>
        </w:rPr>
      </w:pPr>
      <w:r w:rsidRPr="002054B2">
        <w:rPr>
          <w:rFonts w:ascii="Times New Roman" w:eastAsia="Times New Roman" w:hAnsi="Times New Roman" w:cs="Times New Roman"/>
          <w:color w:val="000000"/>
          <w:lang w:val="en-US" w:eastAsia="fr-FR"/>
        </w:rPr>
        <w:t xml:space="preserve">Chakraborty, B. K. (2023). Effect of pesticide and heavy metal toxicants on fish and human health. Journal of Pharmacognosy and Phytochemistry, 19(1), Article 1669. </w:t>
      </w:r>
      <w:r w:rsidRPr="002054B2">
        <w:rPr>
          <w:rFonts w:ascii="Times New Roman" w:eastAsia="Times New Roman" w:hAnsi="Times New Roman" w:cs="Times New Roman"/>
          <w:color w:val="000000"/>
          <w:lang w:val="en-US" w:eastAsia="fr-FR"/>
        </w:rPr>
        <w:tab/>
      </w:r>
      <w:hyperlink r:id="rId30" w:history="1">
        <w:r w:rsidR="00BE3071" w:rsidRPr="002054B2">
          <w:rPr>
            <w:rStyle w:val="Hyperlink"/>
            <w:rFonts w:ascii="Times New Roman" w:eastAsia="Times New Roman" w:hAnsi="Times New Roman" w:cs="Times New Roman"/>
            <w:lang w:val="en-US" w:eastAsia="fr-FR"/>
          </w:rPr>
          <w:t>https://doi.org/10.22271/09746315.2023.v19.i1.1669</w:t>
        </w:r>
      </w:hyperlink>
      <w:r w:rsidR="00BE3071" w:rsidRPr="002054B2">
        <w:rPr>
          <w:rFonts w:ascii="Times New Roman" w:eastAsia="Times New Roman" w:hAnsi="Times New Roman" w:cs="Times New Roman"/>
          <w:color w:val="000000"/>
          <w:lang w:val="en-US" w:eastAsia="fr-FR"/>
        </w:rPr>
        <w:t xml:space="preserve"> </w:t>
      </w:r>
    </w:p>
    <w:p w14:paraId="2D36E5D3" w14:textId="77777777" w:rsidR="00BE3071" w:rsidRPr="002054B2" w:rsidRDefault="005E6576" w:rsidP="002054B2">
      <w:pPr>
        <w:pStyle w:val="ListParagraph"/>
        <w:numPr>
          <w:ilvl w:val="0"/>
          <w:numId w:val="4"/>
        </w:numPr>
        <w:spacing w:before="100" w:beforeAutospacing="1" w:after="100" w:afterAutospacing="1" w:line="480" w:lineRule="auto"/>
        <w:rPr>
          <w:rFonts w:ascii="Times New Roman" w:eastAsia="Times New Roman" w:hAnsi="Times New Roman" w:cs="Times New Roman"/>
          <w:color w:val="000000"/>
          <w:lang w:val="en-US" w:eastAsia="fr-FR"/>
        </w:rPr>
      </w:pPr>
      <w:r w:rsidRPr="002054B2">
        <w:rPr>
          <w:rFonts w:ascii="Times New Roman" w:eastAsia="Times New Roman" w:hAnsi="Times New Roman" w:cs="Times New Roman"/>
          <w:color w:val="000000"/>
          <w:lang w:val="fr-FR" w:eastAsia="fr-FR"/>
        </w:rPr>
        <w:t xml:space="preserve">Chien, L. C., et al. </w:t>
      </w:r>
      <w:r w:rsidRPr="002054B2">
        <w:rPr>
          <w:rFonts w:ascii="Times New Roman" w:eastAsia="Times New Roman" w:hAnsi="Times New Roman" w:cs="Times New Roman"/>
          <w:color w:val="000000"/>
          <w:lang w:val="en-US" w:eastAsia="fr-FR"/>
        </w:rPr>
        <w:t>(2002). Daily intake of TBT, Cu, Zn, Cd and As for fishermen in Taiwan. Science of the Total Environment, 285(1–3), 177–185.</w:t>
      </w:r>
    </w:p>
    <w:p w14:paraId="61CAEC36" w14:textId="6FC2D888" w:rsidR="005E6576" w:rsidRPr="002054B2" w:rsidRDefault="005E6576" w:rsidP="002054B2">
      <w:pPr>
        <w:pStyle w:val="ListParagraph"/>
        <w:numPr>
          <w:ilvl w:val="0"/>
          <w:numId w:val="4"/>
        </w:numPr>
        <w:spacing w:before="100" w:beforeAutospacing="1" w:after="100" w:afterAutospacing="1" w:line="480" w:lineRule="auto"/>
        <w:rPr>
          <w:rFonts w:ascii="Times New Roman" w:eastAsia="Times New Roman" w:hAnsi="Times New Roman" w:cs="Times New Roman"/>
          <w:color w:val="000000"/>
          <w:lang w:val="en-US" w:eastAsia="fr-FR"/>
        </w:rPr>
      </w:pPr>
      <w:r w:rsidRPr="002054B2">
        <w:rPr>
          <w:rFonts w:ascii="Times New Roman" w:eastAsia="Times New Roman" w:hAnsi="Times New Roman" w:cs="Times New Roman"/>
          <w:color w:val="000000"/>
          <w:lang w:val="en-US" w:eastAsia="fr-FR"/>
        </w:rPr>
        <w:tab/>
      </w:r>
      <w:hyperlink r:id="rId31" w:history="1">
        <w:r w:rsidR="00BE3071" w:rsidRPr="002054B2">
          <w:rPr>
            <w:rStyle w:val="Hyperlink"/>
            <w:rFonts w:ascii="Times New Roman" w:eastAsia="Times New Roman" w:hAnsi="Times New Roman" w:cs="Times New Roman"/>
            <w:lang w:val="en-US" w:eastAsia="fr-FR"/>
          </w:rPr>
          <w:t>https://doi.org/10.1016/S0048-9697(01)00916-0</w:t>
        </w:r>
      </w:hyperlink>
      <w:r w:rsidR="00BE3071" w:rsidRPr="002054B2">
        <w:rPr>
          <w:rFonts w:ascii="Times New Roman" w:eastAsia="Times New Roman" w:hAnsi="Times New Roman" w:cs="Times New Roman"/>
          <w:color w:val="000000"/>
          <w:lang w:val="en-US" w:eastAsia="fr-FR"/>
        </w:rPr>
        <w:t xml:space="preserve"> </w:t>
      </w:r>
    </w:p>
    <w:p w14:paraId="4347F483" w14:textId="4C78A593" w:rsidR="005E6576" w:rsidRPr="002054B2" w:rsidRDefault="005E6576" w:rsidP="002054B2">
      <w:pPr>
        <w:pStyle w:val="ListParagraph"/>
        <w:numPr>
          <w:ilvl w:val="0"/>
          <w:numId w:val="4"/>
        </w:numPr>
        <w:spacing w:before="100" w:beforeAutospacing="1" w:after="100" w:afterAutospacing="1" w:line="480" w:lineRule="auto"/>
        <w:rPr>
          <w:rFonts w:ascii="Times New Roman" w:eastAsia="Times New Roman" w:hAnsi="Times New Roman" w:cs="Times New Roman"/>
          <w:color w:val="000000"/>
          <w:lang w:val="en-US" w:eastAsia="fr-FR"/>
        </w:rPr>
      </w:pPr>
      <w:r w:rsidRPr="002054B2">
        <w:rPr>
          <w:rFonts w:ascii="Times New Roman" w:eastAsia="Times New Roman" w:hAnsi="Times New Roman" w:cs="Times New Roman"/>
          <w:color w:val="000000"/>
          <w:lang w:val="en-US" w:eastAsia="fr-FR"/>
        </w:rPr>
        <w:t xml:space="preserve">de Almeida, C. C., Baião, D. d. S., Rodrigues, P. d. A., Saint’Pierre, T. D., Hauser-Davis, R. A., Leandro, K. C., Paschoalin, V. M. F., da Costa, M. P., &amp; Conte-Junior, C. A. (2022). Toxic Metals and Metalloids in Infant Formulas Marketed in Brazil, and Child Health Risks According to the Target Hazard Quotients and Target Cancer Risk. International Journal of Environmental Research and Public Health, 19(18), 11178. </w:t>
      </w:r>
      <w:r w:rsidRPr="002054B2">
        <w:rPr>
          <w:rFonts w:ascii="Times New Roman" w:eastAsia="Times New Roman" w:hAnsi="Times New Roman" w:cs="Times New Roman"/>
          <w:color w:val="000000"/>
          <w:lang w:val="en-US" w:eastAsia="fr-FR"/>
        </w:rPr>
        <w:tab/>
      </w:r>
      <w:hyperlink r:id="rId32" w:history="1">
        <w:r w:rsidR="00BE3071" w:rsidRPr="002054B2">
          <w:rPr>
            <w:rStyle w:val="Hyperlink"/>
            <w:rFonts w:ascii="Times New Roman" w:eastAsia="Times New Roman" w:hAnsi="Times New Roman" w:cs="Times New Roman"/>
            <w:lang w:val="en-US" w:eastAsia="fr-FR"/>
          </w:rPr>
          <w:t>https://doi.org/10.3390/ijerph191811178</w:t>
        </w:r>
      </w:hyperlink>
      <w:r w:rsidR="00BE3071" w:rsidRPr="002054B2">
        <w:rPr>
          <w:rFonts w:ascii="Times New Roman" w:eastAsia="Times New Roman" w:hAnsi="Times New Roman" w:cs="Times New Roman"/>
          <w:color w:val="000000"/>
          <w:lang w:val="en-US" w:eastAsia="fr-FR"/>
        </w:rPr>
        <w:t xml:space="preserve"> </w:t>
      </w:r>
      <w:r w:rsidRPr="002054B2">
        <w:rPr>
          <w:rFonts w:ascii="Times New Roman" w:eastAsia="Times New Roman" w:hAnsi="Times New Roman" w:cs="Times New Roman"/>
          <w:color w:val="000000"/>
          <w:lang w:val="en-US" w:eastAsia="fr-FR"/>
        </w:rPr>
        <w:t xml:space="preserve"> </w:t>
      </w:r>
    </w:p>
    <w:p w14:paraId="3A7C0F05" w14:textId="497A9F19" w:rsidR="005E6576" w:rsidRPr="002054B2" w:rsidRDefault="005E6576" w:rsidP="002054B2">
      <w:pPr>
        <w:pStyle w:val="ListParagraph"/>
        <w:numPr>
          <w:ilvl w:val="0"/>
          <w:numId w:val="4"/>
        </w:numPr>
        <w:spacing w:before="100" w:beforeAutospacing="1" w:after="100" w:afterAutospacing="1" w:line="480" w:lineRule="auto"/>
        <w:rPr>
          <w:rFonts w:ascii="Times New Roman" w:eastAsia="Times New Roman" w:hAnsi="Times New Roman" w:cs="Times New Roman"/>
          <w:color w:val="000000"/>
          <w:lang w:val="en-US" w:eastAsia="fr-FR"/>
        </w:rPr>
      </w:pPr>
      <w:r w:rsidRPr="002054B2">
        <w:rPr>
          <w:rFonts w:ascii="Times New Roman" w:eastAsia="Times New Roman" w:hAnsi="Times New Roman" w:cs="Times New Roman"/>
          <w:color w:val="000000"/>
          <w:lang w:val="fr-FR" w:eastAsia="fr-FR"/>
        </w:rPr>
        <w:lastRenderedPageBreak/>
        <w:t xml:space="preserve">Diop, C., Sambou, A., Sane, M., &amp; Cissé, G. (2019). Teneurs en métaux traces des eaux et poissons de cinq étangs de Dakar et risques pour la santé humaine. </w:t>
      </w:r>
      <w:r w:rsidRPr="002054B2">
        <w:rPr>
          <w:rFonts w:ascii="Times New Roman" w:eastAsia="Times New Roman" w:hAnsi="Times New Roman" w:cs="Times New Roman"/>
          <w:color w:val="000000"/>
          <w:lang w:val="en-US" w:eastAsia="fr-FR"/>
        </w:rPr>
        <w:t>Journal of Applied Biosciences, 137, 1–12</w:t>
      </w:r>
      <w:r w:rsidRPr="002054B2">
        <w:rPr>
          <w:rFonts w:ascii="Times New Roman" w:eastAsia="Times New Roman" w:hAnsi="Times New Roman" w:cs="Times New Roman"/>
          <w:color w:val="000000"/>
          <w:lang w:val="en-US" w:eastAsia="fr-FR"/>
        </w:rPr>
        <w:tab/>
      </w:r>
      <w:hyperlink r:id="rId33" w:history="1">
        <w:r w:rsidR="00BE3071" w:rsidRPr="002054B2">
          <w:rPr>
            <w:rStyle w:val="Hyperlink"/>
            <w:rFonts w:ascii="Times New Roman" w:eastAsia="Times New Roman" w:hAnsi="Times New Roman" w:cs="Times New Roman"/>
            <w:lang w:val="en-US" w:eastAsia="fr-FR"/>
          </w:rPr>
          <w:t>https://doi.org/10.4314/jab.v137i1.1</w:t>
        </w:r>
      </w:hyperlink>
      <w:r w:rsidR="00BE3071" w:rsidRPr="002054B2">
        <w:rPr>
          <w:rFonts w:ascii="Times New Roman" w:eastAsia="Times New Roman" w:hAnsi="Times New Roman" w:cs="Times New Roman"/>
          <w:color w:val="000000"/>
          <w:lang w:val="en-US" w:eastAsia="fr-FR"/>
        </w:rPr>
        <w:t xml:space="preserve"> </w:t>
      </w:r>
      <w:r w:rsidRPr="002054B2">
        <w:rPr>
          <w:rFonts w:ascii="Times New Roman" w:eastAsia="Times New Roman" w:hAnsi="Times New Roman" w:cs="Times New Roman"/>
          <w:color w:val="000000"/>
          <w:lang w:val="en-US" w:eastAsia="fr-FR"/>
        </w:rPr>
        <w:t xml:space="preserve"> </w:t>
      </w:r>
    </w:p>
    <w:p w14:paraId="44590CF5" w14:textId="77777777" w:rsidR="005E6576" w:rsidRPr="005E6576" w:rsidRDefault="005E6576" w:rsidP="005E6576">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p>
    <w:p w14:paraId="1976FBB2" w14:textId="0B51044A" w:rsidR="005E6576" w:rsidRPr="002054B2" w:rsidRDefault="005E6576" w:rsidP="002054B2">
      <w:pPr>
        <w:pStyle w:val="ListParagraph"/>
        <w:numPr>
          <w:ilvl w:val="0"/>
          <w:numId w:val="4"/>
        </w:numPr>
        <w:spacing w:before="100" w:beforeAutospacing="1" w:after="100" w:afterAutospacing="1" w:line="480" w:lineRule="auto"/>
        <w:rPr>
          <w:rFonts w:ascii="Times New Roman" w:eastAsia="Times New Roman" w:hAnsi="Times New Roman" w:cs="Times New Roman"/>
          <w:color w:val="000000"/>
          <w:lang w:val="en-US" w:eastAsia="fr-FR"/>
        </w:rPr>
      </w:pPr>
      <w:r w:rsidRPr="002054B2">
        <w:rPr>
          <w:rFonts w:ascii="Times New Roman" w:eastAsia="Times New Roman" w:hAnsi="Times New Roman" w:cs="Times New Roman"/>
          <w:color w:val="000000"/>
          <w:lang w:val="en-US" w:eastAsia="fr-FR"/>
        </w:rPr>
        <w:t>FAO/WHO. (2011). Codex Alimentarius: General Standard for Contaminants and Toxins in Food and Feed (Codex Stan 193-1995). Rome: FAO/OMS. https://www.fao.org/fao-who-codexalimentarius/codex-texts/list-standards/en/</w:t>
      </w:r>
      <w:r w:rsidRPr="002054B2">
        <w:rPr>
          <w:rFonts w:ascii="Times New Roman" w:eastAsia="Times New Roman" w:hAnsi="Times New Roman" w:cs="Times New Roman"/>
          <w:color w:val="000000"/>
          <w:lang w:val="en-US" w:eastAsia="fr-FR"/>
        </w:rPr>
        <w:tab/>
      </w:r>
      <w:hyperlink r:id="rId34" w:history="1">
        <w:r w:rsidR="00BE3071" w:rsidRPr="002054B2">
          <w:rPr>
            <w:rStyle w:val="Hyperlink"/>
            <w:rFonts w:ascii="Times New Roman" w:eastAsia="Times New Roman" w:hAnsi="Times New Roman" w:cs="Times New Roman"/>
            <w:lang w:val="en-US" w:eastAsia="fr-FR"/>
          </w:rPr>
          <w:t>https://www.fao.org/fao-who-codexalimentarius/sh-</w:t>
        </w:r>
      </w:hyperlink>
      <w:r w:rsidR="00BE3071" w:rsidRPr="002054B2">
        <w:rPr>
          <w:rFonts w:ascii="Times New Roman" w:eastAsia="Times New Roman" w:hAnsi="Times New Roman" w:cs="Times New Roman"/>
          <w:color w:val="000000"/>
          <w:lang w:val="en-US" w:eastAsia="fr-FR"/>
        </w:rPr>
        <w:t xml:space="preserve"> </w:t>
      </w:r>
      <w:r w:rsidRPr="002054B2">
        <w:rPr>
          <w:rFonts w:ascii="Times New Roman" w:eastAsia="Times New Roman" w:hAnsi="Times New Roman" w:cs="Times New Roman"/>
          <w:color w:val="000000"/>
          <w:lang w:val="en-US" w:eastAsia="fr-FR"/>
        </w:rPr>
        <w:t>proxy/fr/?lnk=1&amp;url=https%253A%252F%252Fworkspace.fao.org%252Fsites%252Fcodex%252FStandards%252FCXS%2B193-1995%252FCXS_193e.pdf</w:t>
      </w:r>
    </w:p>
    <w:p w14:paraId="3F19D91C" w14:textId="301E05D4" w:rsidR="005E6576" w:rsidRPr="002054B2" w:rsidRDefault="005E6576" w:rsidP="002054B2">
      <w:pPr>
        <w:pStyle w:val="ListParagraph"/>
        <w:numPr>
          <w:ilvl w:val="0"/>
          <w:numId w:val="4"/>
        </w:numPr>
        <w:spacing w:before="100" w:beforeAutospacing="1" w:after="100" w:afterAutospacing="1" w:line="480" w:lineRule="auto"/>
        <w:rPr>
          <w:rFonts w:ascii="Times New Roman" w:eastAsia="Times New Roman" w:hAnsi="Times New Roman" w:cs="Times New Roman"/>
          <w:color w:val="000000"/>
          <w:lang w:val="en-US" w:eastAsia="fr-FR"/>
        </w:rPr>
      </w:pPr>
      <w:r w:rsidRPr="002054B2">
        <w:rPr>
          <w:rFonts w:ascii="Times New Roman" w:eastAsia="Times New Roman" w:hAnsi="Times New Roman" w:cs="Times New Roman"/>
          <w:color w:val="000000"/>
          <w:lang w:val="en-US" w:eastAsia="fr-FR"/>
        </w:rPr>
        <w:t xml:space="preserve">Food and Agriculture Organization of the United Nations. (2023). FAO yearbook: Fishery and aquaculture statistics 2021. FAO. </w:t>
      </w:r>
      <w:r w:rsidRPr="002054B2">
        <w:rPr>
          <w:rFonts w:ascii="Times New Roman" w:eastAsia="Times New Roman" w:hAnsi="Times New Roman" w:cs="Times New Roman"/>
          <w:color w:val="000000"/>
          <w:lang w:val="en-US" w:eastAsia="fr-FR"/>
        </w:rPr>
        <w:tab/>
      </w:r>
      <w:hyperlink r:id="rId35" w:history="1">
        <w:r w:rsidR="00BE3071" w:rsidRPr="002054B2">
          <w:rPr>
            <w:rStyle w:val="Hyperlink"/>
            <w:rFonts w:ascii="Times New Roman" w:eastAsia="Times New Roman" w:hAnsi="Times New Roman" w:cs="Times New Roman"/>
            <w:lang w:val="en-US" w:eastAsia="fr-FR"/>
          </w:rPr>
          <w:t>https://openknowledge.fao.org/server/api/core/bitstreams/03bf9cde-6189-4d84-8371-eb939311283f/content</w:t>
        </w:r>
      </w:hyperlink>
      <w:r w:rsidR="00BE3071" w:rsidRPr="002054B2">
        <w:rPr>
          <w:rFonts w:ascii="Times New Roman" w:eastAsia="Times New Roman" w:hAnsi="Times New Roman" w:cs="Times New Roman"/>
          <w:color w:val="000000"/>
          <w:lang w:val="en-US" w:eastAsia="fr-FR"/>
        </w:rPr>
        <w:t xml:space="preserve"> </w:t>
      </w:r>
    </w:p>
    <w:p w14:paraId="5DAAD7A5" w14:textId="306D528C" w:rsidR="005E6576" w:rsidRPr="002054B2" w:rsidRDefault="005E6576" w:rsidP="002054B2">
      <w:pPr>
        <w:pStyle w:val="ListParagraph"/>
        <w:numPr>
          <w:ilvl w:val="0"/>
          <w:numId w:val="4"/>
        </w:numPr>
        <w:spacing w:before="100" w:beforeAutospacing="1" w:after="100" w:afterAutospacing="1" w:line="480" w:lineRule="auto"/>
        <w:rPr>
          <w:rFonts w:ascii="Times New Roman" w:eastAsia="Times New Roman" w:hAnsi="Times New Roman" w:cs="Times New Roman"/>
          <w:color w:val="000000"/>
          <w:lang w:val="en-US" w:eastAsia="fr-FR"/>
        </w:rPr>
      </w:pPr>
      <w:r w:rsidRPr="002054B2">
        <w:rPr>
          <w:rFonts w:ascii="Times New Roman" w:eastAsia="Times New Roman" w:hAnsi="Times New Roman" w:cs="Times New Roman"/>
          <w:color w:val="000000"/>
          <w:lang w:val="fr-FR" w:eastAsia="fr-FR"/>
        </w:rPr>
        <w:t xml:space="preserve">Fayiga, A. O., Ipinmoroti, M. O., &amp; Chirenje, T. (2018). </w:t>
      </w:r>
      <w:r w:rsidRPr="002054B2">
        <w:rPr>
          <w:rFonts w:ascii="Times New Roman" w:eastAsia="Times New Roman" w:hAnsi="Times New Roman" w:cs="Times New Roman"/>
          <w:color w:val="000000"/>
          <w:lang w:val="en-US" w:eastAsia="fr-FR"/>
        </w:rPr>
        <w:t xml:space="preserve">Environmental pollution in Africa. Environment, Development and Sustainability, 20(1), 41–73. </w:t>
      </w:r>
      <w:r w:rsidRPr="002054B2">
        <w:rPr>
          <w:rFonts w:ascii="Times New Roman" w:eastAsia="Times New Roman" w:hAnsi="Times New Roman" w:cs="Times New Roman"/>
          <w:color w:val="000000"/>
          <w:lang w:val="en-US" w:eastAsia="fr-FR"/>
        </w:rPr>
        <w:tab/>
      </w:r>
      <w:hyperlink r:id="rId36" w:history="1">
        <w:r w:rsidR="00BE3071" w:rsidRPr="002054B2">
          <w:rPr>
            <w:rStyle w:val="Hyperlink"/>
            <w:rFonts w:ascii="Times New Roman" w:eastAsia="Times New Roman" w:hAnsi="Times New Roman" w:cs="Times New Roman"/>
            <w:lang w:val="en-US" w:eastAsia="fr-FR"/>
          </w:rPr>
          <w:t>https://doi.org/10.1007/s10668-016-9894-4</w:t>
        </w:r>
      </w:hyperlink>
      <w:r w:rsidR="00BE3071" w:rsidRPr="002054B2">
        <w:rPr>
          <w:rFonts w:ascii="Times New Roman" w:eastAsia="Times New Roman" w:hAnsi="Times New Roman" w:cs="Times New Roman"/>
          <w:color w:val="000000"/>
          <w:lang w:val="en-US" w:eastAsia="fr-FR"/>
        </w:rPr>
        <w:t xml:space="preserve"> </w:t>
      </w:r>
      <w:r w:rsidRPr="002054B2">
        <w:rPr>
          <w:rFonts w:ascii="Times New Roman" w:eastAsia="Times New Roman" w:hAnsi="Times New Roman" w:cs="Times New Roman"/>
          <w:color w:val="000000"/>
          <w:lang w:val="en-US" w:eastAsia="fr-FR"/>
        </w:rPr>
        <w:t xml:space="preserve"> </w:t>
      </w:r>
    </w:p>
    <w:p w14:paraId="7E1FB1ED" w14:textId="5AE3E62A" w:rsidR="005E6576" w:rsidRPr="002054B2" w:rsidRDefault="005E6576" w:rsidP="002054B2">
      <w:pPr>
        <w:pStyle w:val="ListParagraph"/>
        <w:numPr>
          <w:ilvl w:val="0"/>
          <w:numId w:val="4"/>
        </w:numPr>
        <w:spacing w:before="100" w:beforeAutospacing="1" w:after="100" w:afterAutospacing="1" w:line="480" w:lineRule="auto"/>
        <w:rPr>
          <w:rFonts w:ascii="Times New Roman" w:eastAsia="Times New Roman" w:hAnsi="Times New Roman" w:cs="Times New Roman"/>
          <w:color w:val="000000"/>
          <w:lang w:val="en-US" w:eastAsia="fr-FR"/>
        </w:rPr>
      </w:pPr>
      <w:r w:rsidRPr="002054B2">
        <w:rPr>
          <w:rFonts w:ascii="Times New Roman" w:eastAsia="Times New Roman" w:hAnsi="Times New Roman" w:cs="Times New Roman"/>
          <w:color w:val="000000"/>
          <w:lang w:val="en-US" w:eastAsia="fr-FR"/>
        </w:rPr>
        <w:t>Förstner, U., &amp; Wittmann, G. T. W. (2012). Metal Pollution in the Aquatic Environment. Springer.</w:t>
      </w:r>
      <w:r w:rsidRPr="002054B2">
        <w:rPr>
          <w:rFonts w:ascii="Times New Roman" w:eastAsia="Times New Roman" w:hAnsi="Times New Roman" w:cs="Times New Roman"/>
          <w:color w:val="000000"/>
          <w:lang w:val="en-US" w:eastAsia="fr-FR"/>
        </w:rPr>
        <w:tab/>
      </w:r>
      <w:hyperlink r:id="rId37" w:anchor="v=onepage&amp;q&amp;f=false" w:history="1">
        <w:r w:rsidR="00BE3071" w:rsidRPr="002054B2">
          <w:rPr>
            <w:rStyle w:val="Hyperlink"/>
            <w:rFonts w:ascii="Times New Roman" w:eastAsia="Times New Roman" w:hAnsi="Times New Roman" w:cs="Times New Roman"/>
            <w:lang w:val="en-US" w:eastAsia="fr-FR"/>
          </w:rPr>
          <w:t>https://books.google.sn/books?hl=en&amp;lr=&amp;id=9PLuCAAAQBAJ&amp;oi=fnd&amp;pg=PA1&amp;dq=Förstner,+U.,+%26+Wittmann,+G.+T.+W.+(2012).+Metal+Pollution+in+the+Aquatic+Environment.+Springer.+https://doi.org/10.1007/978-3-642-70776-2""&amp;ots=4TVc1Im8-N&amp;sig=nZzN4oTXaUE_KfGUZ1lLKqnyJi8&amp;redir_esc=y#v=onepage&amp;q&amp;f=false</w:t>
        </w:r>
      </w:hyperlink>
      <w:r w:rsidR="00BE3071" w:rsidRPr="002054B2">
        <w:rPr>
          <w:rFonts w:ascii="Times New Roman" w:eastAsia="Times New Roman" w:hAnsi="Times New Roman" w:cs="Times New Roman"/>
          <w:color w:val="000000"/>
          <w:lang w:val="en-US" w:eastAsia="fr-FR"/>
        </w:rPr>
        <w:t xml:space="preserve"> </w:t>
      </w:r>
    </w:p>
    <w:p w14:paraId="20F9BAE6" w14:textId="4FF7F41C" w:rsidR="005E6576" w:rsidRPr="002054B2" w:rsidRDefault="005E6576" w:rsidP="002054B2">
      <w:pPr>
        <w:pStyle w:val="ListParagraph"/>
        <w:numPr>
          <w:ilvl w:val="0"/>
          <w:numId w:val="4"/>
        </w:numPr>
        <w:spacing w:before="100" w:beforeAutospacing="1" w:after="100" w:afterAutospacing="1" w:line="480" w:lineRule="auto"/>
        <w:rPr>
          <w:rFonts w:ascii="Times New Roman" w:eastAsia="Times New Roman" w:hAnsi="Times New Roman" w:cs="Times New Roman"/>
          <w:color w:val="000000"/>
          <w:lang w:val="en-US" w:eastAsia="fr-FR"/>
        </w:rPr>
      </w:pPr>
      <w:r w:rsidRPr="002054B2">
        <w:rPr>
          <w:rFonts w:ascii="Times New Roman" w:eastAsia="Times New Roman" w:hAnsi="Times New Roman" w:cs="Times New Roman"/>
          <w:color w:val="000000"/>
          <w:lang w:val="en-US" w:eastAsia="fr-FR"/>
        </w:rPr>
        <w:lastRenderedPageBreak/>
        <w:t>Harada, M. (1995). Minamata disease: Methylmercury poisoning in Japan caused by environmental pollution. Critical Reviews in Toxicology, 25(1), 1–24.</w:t>
      </w:r>
      <w:r w:rsidRPr="002054B2">
        <w:rPr>
          <w:rFonts w:ascii="Times New Roman" w:eastAsia="Times New Roman" w:hAnsi="Times New Roman" w:cs="Times New Roman"/>
          <w:color w:val="000000"/>
          <w:lang w:val="en-US" w:eastAsia="fr-FR"/>
        </w:rPr>
        <w:tab/>
      </w:r>
      <w:hyperlink r:id="rId38" w:history="1">
        <w:r w:rsidR="00BE3071" w:rsidRPr="002054B2">
          <w:rPr>
            <w:rStyle w:val="Hyperlink"/>
            <w:rFonts w:ascii="Times New Roman" w:eastAsia="Times New Roman" w:hAnsi="Times New Roman" w:cs="Times New Roman"/>
            <w:lang w:val="en-US" w:eastAsia="fr-FR"/>
          </w:rPr>
          <w:t>https://doi.org/10.3109/10408449509089885</w:t>
        </w:r>
      </w:hyperlink>
      <w:r w:rsidR="00BE3071" w:rsidRPr="002054B2">
        <w:rPr>
          <w:rFonts w:ascii="Times New Roman" w:eastAsia="Times New Roman" w:hAnsi="Times New Roman" w:cs="Times New Roman"/>
          <w:color w:val="000000"/>
          <w:lang w:val="en-US" w:eastAsia="fr-FR"/>
        </w:rPr>
        <w:t xml:space="preserve"> </w:t>
      </w:r>
      <w:r w:rsidRPr="002054B2">
        <w:rPr>
          <w:rFonts w:ascii="Times New Roman" w:eastAsia="Times New Roman" w:hAnsi="Times New Roman" w:cs="Times New Roman"/>
          <w:color w:val="000000"/>
          <w:lang w:val="en-US" w:eastAsia="fr-FR"/>
        </w:rPr>
        <w:t xml:space="preserve"> </w:t>
      </w:r>
    </w:p>
    <w:p w14:paraId="2C97F125" w14:textId="4FAAB09E" w:rsidR="005E6576" w:rsidRPr="002054B2" w:rsidRDefault="005E6576" w:rsidP="002054B2">
      <w:pPr>
        <w:pStyle w:val="ListParagraph"/>
        <w:numPr>
          <w:ilvl w:val="0"/>
          <w:numId w:val="4"/>
        </w:numPr>
        <w:spacing w:before="100" w:beforeAutospacing="1" w:after="100" w:afterAutospacing="1" w:line="480" w:lineRule="auto"/>
        <w:rPr>
          <w:rFonts w:ascii="Times New Roman" w:eastAsia="Times New Roman" w:hAnsi="Times New Roman" w:cs="Times New Roman"/>
          <w:color w:val="000000"/>
          <w:lang w:val="en-US" w:eastAsia="fr-FR"/>
        </w:rPr>
      </w:pPr>
      <w:r w:rsidRPr="002054B2">
        <w:rPr>
          <w:rFonts w:ascii="Times New Roman" w:eastAsia="Times New Roman" w:hAnsi="Times New Roman" w:cs="Times New Roman"/>
          <w:color w:val="000000"/>
          <w:lang w:val="en-US" w:eastAsia="fr-FR"/>
        </w:rPr>
        <w:t>Järup, L. (2003). Hazards of heavy metal contamination. British Medical Bulletin, 68(1), 167–182. https://doi.org/10.1093/bmb/ldg032</w:t>
      </w:r>
      <w:r w:rsidRPr="002054B2">
        <w:rPr>
          <w:rFonts w:ascii="Times New Roman" w:eastAsia="Times New Roman" w:hAnsi="Times New Roman" w:cs="Times New Roman"/>
          <w:color w:val="000000"/>
          <w:lang w:val="en-US" w:eastAsia="fr-FR"/>
        </w:rPr>
        <w:tab/>
      </w:r>
      <w:hyperlink r:id="rId39" w:history="1">
        <w:r w:rsidR="00BE3071" w:rsidRPr="002054B2">
          <w:rPr>
            <w:rStyle w:val="Hyperlink"/>
            <w:rFonts w:ascii="Times New Roman" w:eastAsia="Times New Roman" w:hAnsi="Times New Roman" w:cs="Times New Roman"/>
            <w:lang w:val="en-US" w:eastAsia="fr-FR"/>
          </w:rPr>
          <w:t>https://doi.org/10.1093/bmb/ldg032</w:t>
        </w:r>
      </w:hyperlink>
      <w:r w:rsidR="00BE3071" w:rsidRPr="002054B2">
        <w:rPr>
          <w:rFonts w:ascii="Times New Roman" w:eastAsia="Times New Roman" w:hAnsi="Times New Roman" w:cs="Times New Roman"/>
          <w:color w:val="000000"/>
          <w:lang w:val="en-US" w:eastAsia="fr-FR"/>
        </w:rPr>
        <w:t xml:space="preserve"> </w:t>
      </w:r>
      <w:r w:rsidRPr="002054B2">
        <w:rPr>
          <w:rFonts w:ascii="Times New Roman" w:eastAsia="Times New Roman" w:hAnsi="Times New Roman" w:cs="Times New Roman"/>
          <w:color w:val="000000"/>
          <w:lang w:val="en-US" w:eastAsia="fr-FR"/>
        </w:rPr>
        <w:t xml:space="preserve"> </w:t>
      </w:r>
    </w:p>
    <w:p w14:paraId="2783CF51" w14:textId="77777777" w:rsidR="005E6576" w:rsidRPr="005E6576" w:rsidRDefault="005E6576" w:rsidP="005E6576">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p>
    <w:p w14:paraId="06B50E07" w14:textId="77BFF969" w:rsidR="005E6576" w:rsidRPr="002054B2" w:rsidRDefault="005E6576" w:rsidP="002054B2">
      <w:pPr>
        <w:pStyle w:val="ListParagraph"/>
        <w:numPr>
          <w:ilvl w:val="0"/>
          <w:numId w:val="4"/>
        </w:numPr>
        <w:spacing w:before="100" w:beforeAutospacing="1" w:after="100" w:afterAutospacing="1" w:line="480" w:lineRule="auto"/>
        <w:rPr>
          <w:rFonts w:ascii="Times New Roman" w:eastAsia="Times New Roman" w:hAnsi="Times New Roman" w:cs="Times New Roman"/>
          <w:color w:val="000000"/>
          <w:lang w:val="en-US" w:eastAsia="fr-FR"/>
        </w:rPr>
      </w:pPr>
      <w:r w:rsidRPr="002054B2">
        <w:rPr>
          <w:rFonts w:ascii="Times New Roman" w:eastAsia="Times New Roman" w:hAnsi="Times New Roman" w:cs="Times New Roman"/>
          <w:color w:val="000000"/>
          <w:lang w:val="en-US" w:eastAsia="fr-FR"/>
        </w:rPr>
        <w:t xml:space="preserve">Javed, M., &amp; Usmani, N. (2016). Accumulation of heavy metals and human health risk assessment via the consumption of freshwater fish Mastacembelus armatus inhabiting thermal power plant effluent loaded canal. SpringerPlus, 5, 776. </w:t>
      </w:r>
      <w:r w:rsidRPr="002054B2">
        <w:rPr>
          <w:rFonts w:ascii="Times New Roman" w:eastAsia="Times New Roman" w:hAnsi="Times New Roman" w:cs="Times New Roman"/>
          <w:color w:val="000000"/>
          <w:lang w:val="en-US" w:eastAsia="fr-FR"/>
        </w:rPr>
        <w:tab/>
      </w:r>
      <w:hyperlink r:id="rId40" w:history="1">
        <w:r w:rsidR="00BE3071" w:rsidRPr="002054B2">
          <w:rPr>
            <w:rStyle w:val="Hyperlink"/>
            <w:rFonts w:ascii="Times New Roman" w:eastAsia="Times New Roman" w:hAnsi="Times New Roman" w:cs="Times New Roman"/>
            <w:lang w:val="en-US" w:eastAsia="fr-FR"/>
          </w:rPr>
          <w:t>https://doi.org/10.1186/s40064-016-2471-3</w:t>
        </w:r>
      </w:hyperlink>
      <w:r w:rsidR="00BE3071" w:rsidRPr="002054B2">
        <w:rPr>
          <w:rFonts w:ascii="Times New Roman" w:eastAsia="Times New Roman" w:hAnsi="Times New Roman" w:cs="Times New Roman"/>
          <w:color w:val="000000"/>
          <w:lang w:val="en-US" w:eastAsia="fr-FR"/>
        </w:rPr>
        <w:t xml:space="preserve"> </w:t>
      </w:r>
    </w:p>
    <w:p w14:paraId="59C29E3B" w14:textId="2E94725A" w:rsidR="005E6576" w:rsidRPr="002054B2" w:rsidRDefault="005E6576" w:rsidP="002054B2">
      <w:pPr>
        <w:pStyle w:val="ListParagraph"/>
        <w:numPr>
          <w:ilvl w:val="0"/>
          <w:numId w:val="4"/>
        </w:numPr>
        <w:spacing w:before="100" w:beforeAutospacing="1" w:after="100" w:afterAutospacing="1" w:line="480" w:lineRule="auto"/>
        <w:rPr>
          <w:rFonts w:ascii="Times New Roman" w:eastAsia="Times New Roman" w:hAnsi="Times New Roman" w:cs="Times New Roman"/>
          <w:color w:val="000000"/>
          <w:lang w:val="en-US" w:eastAsia="fr-FR"/>
        </w:rPr>
      </w:pPr>
      <w:r w:rsidRPr="002054B2">
        <w:rPr>
          <w:rFonts w:ascii="Times New Roman" w:eastAsia="Times New Roman" w:hAnsi="Times New Roman" w:cs="Times New Roman"/>
          <w:color w:val="000000"/>
          <w:lang w:val="en-US" w:eastAsia="fr-FR"/>
        </w:rPr>
        <w:t xml:space="preserve">Li, H., Yang, Z., Dai, M., Diao, X., Dai, S., Fang, T., &amp; Dong, X. (2020). Input of Cd from agriculture phosphate fertilizer application in China during 2006–2016. Science of The Total Environment, 698, 134149. </w:t>
      </w:r>
      <w:r w:rsidRPr="002054B2">
        <w:rPr>
          <w:rFonts w:ascii="Times New Roman" w:eastAsia="Times New Roman" w:hAnsi="Times New Roman" w:cs="Times New Roman"/>
          <w:color w:val="000000"/>
          <w:lang w:val="en-US" w:eastAsia="fr-FR"/>
        </w:rPr>
        <w:tab/>
      </w:r>
      <w:hyperlink r:id="rId41" w:history="1">
        <w:r w:rsidR="00BE3071" w:rsidRPr="002054B2">
          <w:rPr>
            <w:rStyle w:val="Hyperlink"/>
            <w:rFonts w:ascii="Times New Roman" w:eastAsia="Times New Roman" w:hAnsi="Times New Roman" w:cs="Times New Roman"/>
            <w:lang w:val="en-US" w:eastAsia="fr-FR"/>
          </w:rPr>
          <w:t>https://doi.org/10.1016/j.scitotenv.2019.134149</w:t>
        </w:r>
      </w:hyperlink>
      <w:r w:rsidR="00BE3071" w:rsidRPr="002054B2">
        <w:rPr>
          <w:rFonts w:ascii="Times New Roman" w:eastAsia="Times New Roman" w:hAnsi="Times New Roman" w:cs="Times New Roman"/>
          <w:color w:val="000000"/>
          <w:lang w:val="en-US" w:eastAsia="fr-FR"/>
        </w:rPr>
        <w:t xml:space="preserve"> </w:t>
      </w:r>
    </w:p>
    <w:p w14:paraId="03E0FA11" w14:textId="2CAAE220" w:rsidR="005E6576" w:rsidRPr="002054B2" w:rsidRDefault="005E6576" w:rsidP="002054B2">
      <w:pPr>
        <w:pStyle w:val="ListParagraph"/>
        <w:numPr>
          <w:ilvl w:val="0"/>
          <w:numId w:val="4"/>
        </w:numPr>
        <w:spacing w:before="100" w:beforeAutospacing="1" w:after="100" w:afterAutospacing="1" w:line="480" w:lineRule="auto"/>
        <w:rPr>
          <w:rFonts w:ascii="Times New Roman" w:eastAsia="Times New Roman" w:hAnsi="Times New Roman" w:cs="Times New Roman"/>
          <w:color w:val="000000"/>
          <w:lang w:val="fr-FR" w:eastAsia="fr-FR"/>
        </w:rPr>
      </w:pPr>
      <w:r w:rsidRPr="002054B2">
        <w:rPr>
          <w:rFonts w:ascii="Times New Roman" w:eastAsia="Times New Roman" w:hAnsi="Times New Roman" w:cs="Times New Roman"/>
          <w:color w:val="000000"/>
          <w:lang w:val="fr-FR" w:eastAsia="fr-FR"/>
        </w:rPr>
        <w:t xml:space="preserve">Mekdjian, S., &amp; Ndong, K. (2023, juillet). Lutter contre la vulnérabilité ou la cultiver ? Les milieux relationnels des zones humides de la Grande Niaye de Pikine, Commune de Golf Sud (Dakar, Sénégal). Département de géographie de l’Université Cheikh Anta Diop de Dakar, L’Harmattan Sénégal. </w:t>
      </w:r>
      <w:r w:rsidRPr="002054B2">
        <w:rPr>
          <w:rFonts w:ascii="Times New Roman" w:eastAsia="Times New Roman" w:hAnsi="Times New Roman" w:cs="Times New Roman"/>
          <w:color w:val="000000"/>
          <w:lang w:val="fr-FR" w:eastAsia="fr-FR"/>
        </w:rPr>
        <w:tab/>
      </w:r>
      <w:hyperlink r:id="rId42" w:history="1">
        <w:r w:rsidR="00BE3071" w:rsidRPr="002054B2">
          <w:rPr>
            <w:rStyle w:val="Hyperlink"/>
            <w:rFonts w:ascii="Times New Roman" w:eastAsia="Times New Roman" w:hAnsi="Times New Roman" w:cs="Times New Roman"/>
            <w:lang w:val="fr-FR" w:eastAsia="fr-FR"/>
          </w:rPr>
          <w:t>https://hal.science/hal-04359177</w:t>
        </w:r>
      </w:hyperlink>
      <w:r w:rsidR="00BE3071" w:rsidRPr="002054B2">
        <w:rPr>
          <w:rFonts w:ascii="Times New Roman" w:eastAsia="Times New Roman" w:hAnsi="Times New Roman" w:cs="Times New Roman"/>
          <w:color w:val="000000"/>
          <w:lang w:val="fr-FR" w:eastAsia="fr-FR"/>
        </w:rPr>
        <w:t xml:space="preserve"> </w:t>
      </w:r>
    </w:p>
    <w:p w14:paraId="5FC10880" w14:textId="2BB5B02E" w:rsidR="005E6576" w:rsidRPr="002054B2" w:rsidRDefault="005E6576" w:rsidP="002054B2">
      <w:pPr>
        <w:pStyle w:val="ListParagraph"/>
        <w:numPr>
          <w:ilvl w:val="0"/>
          <w:numId w:val="4"/>
        </w:numPr>
        <w:spacing w:before="100" w:beforeAutospacing="1" w:after="100" w:afterAutospacing="1" w:line="480" w:lineRule="auto"/>
        <w:rPr>
          <w:rFonts w:ascii="Times New Roman" w:eastAsia="Times New Roman" w:hAnsi="Times New Roman" w:cs="Times New Roman"/>
          <w:color w:val="000000"/>
          <w:lang w:val="fr-FR" w:eastAsia="fr-FR"/>
        </w:rPr>
      </w:pPr>
      <w:r w:rsidRPr="002054B2">
        <w:rPr>
          <w:rFonts w:ascii="Times New Roman" w:eastAsia="Times New Roman" w:hAnsi="Times New Roman" w:cs="Times New Roman"/>
          <w:color w:val="000000"/>
          <w:lang w:val="fr-FR" w:eastAsia="fr-FR"/>
        </w:rPr>
        <w:t xml:space="preserve">N’Doua A.D.Y.S., Adjessan M.A.M.N. &amp; Koffi K.M. (2024). Détermination du Niveau de Contamination en Métaux Lourds (Arsenic, Cadmium, Mercure et Plomb) de Quatre Espèces de Poissons Consommées par les Familles de Pêcheurs de Jacqueville. European Scientific Journal, ESJ, 20 (3), 53. </w:t>
      </w:r>
      <w:r w:rsidRPr="002054B2">
        <w:rPr>
          <w:rFonts w:ascii="Times New Roman" w:eastAsia="Times New Roman" w:hAnsi="Times New Roman" w:cs="Times New Roman"/>
          <w:color w:val="000000"/>
          <w:lang w:val="fr-FR" w:eastAsia="fr-FR"/>
        </w:rPr>
        <w:tab/>
      </w:r>
      <w:hyperlink r:id="rId43" w:history="1">
        <w:r w:rsidR="00BE3071" w:rsidRPr="002054B2">
          <w:rPr>
            <w:rStyle w:val="Hyperlink"/>
            <w:rFonts w:ascii="Times New Roman" w:eastAsia="Times New Roman" w:hAnsi="Times New Roman" w:cs="Times New Roman"/>
            <w:lang w:val="fr-FR" w:eastAsia="fr-FR"/>
          </w:rPr>
          <w:t>https://doi.org/10.19044/esj.2024.v20n3p53</w:t>
        </w:r>
      </w:hyperlink>
      <w:r w:rsidR="00BE3071" w:rsidRPr="002054B2">
        <w:rPr>
          <w:rFonts w:ascii="Times New Roman" w:eastAsia="Times New Roman" w:hAnsi="Times New Roman" w:cs="Times New Roman"/>
          <w:color w:val="000000"/>
          <w:lang w:val="fr-FR" w:eastAsia="fr-FR"/>
        </w:rPr>
        <w:t xml:space="preserve"> </w:t>
      </w:r>
    </w:p>
    <w:p w14:paraId="1A3D2044" w14:textId="53C20A7D" w:rsidR="005E6576" w:rsidRPr="002054B2" w:rsidRDefault="005E6576" w:rsidP="002054B2">
      <w:pPr>
        <w:pStyle w:val="ListParagraph"/>
        <w:numPr>
          <w:ilvl w:val="0"/>
          <w:numId w:val="4"/>
        </w:numPr>
        <w:spacing w:before="100" w:beforeAutospacing="1" w:after="100" w:afterAutospacing="1" w:line="480" w:lineRule="auto"/>
        <w:rPr>
          <w:rFonts w:ascii="Times New Roman" w:eastAsia="Times New Roman" w:hAnsi="Times New Roman" w:cs="Times New Roman"/>
          <w:color w:val="000000"/>
          <w:lang w:val="en-US" w:eastAsia="fr-FR"/>
        </w:rPr>
      </w:pPr>
      <w:r w:rsidRPr="002054B2">
        <w:rPr>
          <w:rFonts w:ascii="Times New Roman" w:eastAsia="Times New Roman" w:hAnsi="Times New Roman" w:cs="Times New Roman"/>
          <w:color w:val="000000"/>
          <w:lang w:val="fr-FR" w:eastAsia="fr-FR"/>
        </w:rPr>
        <w:lastRenderedPageBreak/>
        <w:t xml:space="preserve">Nakweti, K. J., Lusasi, S. W., &amp; Tembeni, M. J. (2021). Évaluation des teneurs en éléments traces métalliques (cadmium et plomb) dans l’eau, les sédiments et deux espèces de poissons Clarias gariepinus (Burchell, 1822) et Oreochromis niloticus (Linné, 1758) dans le Pool Malebo (Fleuve Congo), RD Congo. </w:t>
      </w:r>
      <w:r w:rsidRPr="002054B2">
        <w:rPr>
          <w:rFonts w:ascii="Times New Roman" w:eastAsia="Times New Roman" w:hAnsi="Times New Roman" w:cs="Times New Roman"/>
          <w:color w:val="000000"/>
          <w:lang w:val="en-US" w:eastAsia="fr-FR"/>
        </w:rPr>
        <w:t xml:space="preserve">European Scientific Journal, ESJ, 17(25), 174–190. </w:t>
      </w:r>
      <w:r w:rsidRPr="002054B2">
        <w:rPr>
          <w:rFonts w:ascii="Times New Roman" w:eastAsia="Times New Roman" w:hAnsi="Times New Roman" w:cs="Times New Roman"/>
          <w:color w:val="000000"/>
          <w:lang w:val="en-US" w:eastAsia="fr-FR"/>
        </w:rPr>
        <w:tab/>
      </w:r>
      <w:hyperlink r:id="rId44" w:history="1">
        <w:r w:rsidR="00BE3071" w:rsidRPr="002054B2">
          <w:rPr>
            <w:rStyle w:val="Hyperlink"/>
            <w:rFonts w:ascii="Times New Roman" w:eastAsia="Times New Roman" w:hAnsi="Times New Roman" w:cs="Times New Roman"/>
            <w:lang w:val="en-US" w:eastAsia="fr-FR"/>
          </w:rPr>
          <w:t>https://doi.org/10.19044/esj.2021.v17n25p174</w:t>
        </w:r>
      </w:hyperlink>
      <w:r w:rsidR="00BE3071" w:rsidRPr="002054B2">
        <w:rPr>
          <w:rFonts w:ascii="Times New Roman" w:eastAsia="Times New Roman" w:hAnsi="Times New Roman" w:cs="Times New Roman"/>
          <w:color w:val="000000"/>
          <w:lang w:val="en-US" w:eastAsia="fr-FR"/>
        </w:rPr>
        <w:t xml:space="preserve"> </w:t>
      </w:r>
    </w:p>
    <w:p w14:paraId="360B9A95" w14:textId="23B5BF7B" w:rsidR="005E6576" w:rsidRPr="002054B2" w:rsidRDefault="005E6576" w:rsidP="002054B2">
      <w:pPr>
        <w:pStyle w:val="ListParagraph"/>
        <w:numPr>
          <w:ilvl w:val="0"/>
          <w:numId w:val="4"/>
        </w:numPr>
        <w:spacing w:before="100" w:beforeAutospacing="1" w:after="100" w:afterAutospacing="1" w:line="480" w:lineRule="auto"/>
        <w:rPr>
          <w:rFonts w:ascii="Times New Roman" w:eastAsia="Times New Roman" w:hAnsi="Times New Roman" w:cs="Times New Roman"/>
          <w:color w:val="000000"/>
          <w:lang w:val="en-US" w:eastAsia="fr-FR"/>
        </w:rPr>
      </w:pPr>
      <w:r w:rsidRPr="002054B2">
        <w:rPr>
          <w:rFonts w:ascii="Times New Roman" w:eastAsia="Times New Roman" w:hAnsi="Times New Roman" w:cs="Times New Roman"/>
          <w:color w:val="000000"/>
          <w:lang w:val="en-US" w:eastAsia="fr-FR"/>
        </w:rPr>
        <w:t xml:space="preserve">Omisore, A. G. (2018). Attaining Sustainable Development Goals in sub-Saharan Africa: The need to address environmental challenges. Environmental Development, 25, 138–145. </w:t>
      </w:r>
      <w:r w:rsidRPr="002054B2">
        <w:rPr>
          <w:rFonts w:ascii="Times New Roman" w:eastAsia="Times New Roman" w:hAnsi="Times New Roman" w:cs="Times New Roman"/>
          <w:color w:val="000000"/>
          <w:lang w:val="en-US" w:eastAsia="fr-FR"/>
        </w:rPr>
        <w:tab/>
      </w:r>
      <w:hyperlink r:id="rId45" w:history="1">
        <w:r w:rsidR="00BE3071" w:rsidRPr="002054B2">
          <w:rPr>
            <w:rStyle w:val="Hyperlink"/>
            <w:rFonts w:ascii="Times New Roman" w:eastAsia="Times New Roman" w:hAnsi="Times New Roman" w:cs="Times New Roman"/>
            <w:lang w:val="en-US" w:eastAsia="fr-FR"/>
          </w:rPr>
          <w:t>https://doi.org/10.1016/j.envdev.2017.09.002</w:t>
        </w:r>
      </w:hyperlink>
      <w:r w:rsidR="00BE3071" w:rsidRPr="002054B2">
        <w:rPr>
          <w:rFonts w:ascii="Times New Roman" w:eastAsia="Times New Roman" w:hAnsi="Times New Roman" w:cs="Times New Roman"/>
          <w:color w:val="000000"/>
          <w:lang w:val="en-US" w:eastAsia="fr-FR"/>
        </w:rPr>
        <w:t xml:space="preserve"> </w:t>
      </w:r>
    </w:p>
    <w:p w14:paraId="763623B6" w14:textId="37D6F1CB" w:rsidR="005E6576" w:rsidRPr="002054B2" w:rsidRDefault="005E6576" w:rsidP="002054B2">
      <w:pPr>
        <w:pStyle w:val="ListParagraph"/>
        <w:numPr>
          <w:ilvl w:val="0"/>
          <w:numId w:val="4"/>
        </w:numPr>
        <w:spacing w:before="100" w:beforeAutospacing="1" w:after="100" w:afterAutospacing="1" w:line="480" w:lineRule="auto"/>
        <w:rPr>
          <w:rFonts w:ascii="Times New Roman" w:eastAsia="Times New Roman" w:hAnsi="Times New Roman" w:cs="Times New Roman"/>
          <w:color w:val="000000"/>
          <w:lang w:val="fr-FR" w:eastAsia="fr-FR"/>
        </w:rPr>
      </w:pPr>
      <w:r w:rsidRPr="002054B2">
        <w:rPr>
          <w:rFonts w:ascii="Times New Roman" w:eastAsia="Times New Roman" w:hAnsi="Times New Roman" w:cs="Times New Roman"/>
          <w:color w:val="000000"/>
          <w:lang w:val="en-US" w:eastAsia="fr-FR"/>
        </w:rPr>
        <w:t xml:space="preserve">Oros, A. (2025). Bioaccumulation and Trophic Transfer of Heavy Metals in Marine Fish: Ecological and Ecosystem-Level Impacts. </w:t>
      </w:r>
      <w:r w:rsidRPr="002054B2">
        <w:rPr>
          <w:rFonts w:ascii="Times New Roman" w:eastAsia="Times New Roman" w:hAnsi="Times New Roman" w:cs="Times New Roman"/>
          <w:color w:val="000000"/>
          <w:lang w:val="fr-FR" w:eastAsia="fr-FR"/>
        </w:rPr>
        <w:t xml:space="preserve">Journal of Xenobiotics, 15(2), 59. </w:t>
      </w:r>
      <w:r w:rsidRPr="002054B2">
        <w:rPr>
          <w:rFonts w:ascii="Times New Roman" w:eastAsia="Times New Roman" w:hAnsi="Times New Roman" w:cs="Times New Roman"/>
          <w:color w:val="000000"/>
          <w:lang w:val="fr-FR" w:eastAsia="fr-FR"/>
        </w:rPr>
        <w:tab/>
      </w:r>
      <w:hyperlink r:id="rId46" w:history="1">
        <w:r w:rsidR="00BE3071" w:rsidRPr="002054B2">
          <w:rPr>
            <w:rStyle w:val="Hyperlink"/>
            <w:rFonts w:ascii="Times New Roman" w:eastAsia="Times New Roman" w:hAnsi="Times New Roman" w:cs="Times New Roman"/>
            <w:lang w:val="fr-FR" w:eastAsia="fr-FR"/>
          </w:rPr>
          <w:t>https://doi.org/10.3390/jox15020059</w:t>
        </w:r>
      </w:hyperlink>
      <w:r w:rsidR="00BE3071" w:rsidRPr="002054B2">
        <w:rPr>
          <w:rFonts w:ascii="Times New Roman" w:eastAsia="Times New Roman" w:hAnsi="Times New Roman" w:cs="Times New Roman"/>
          <w:color w:val="000000"/>
          <w:lang w:val="fr-FR" w:eastAsia="fr-FR"/>
        </w:rPr>
        <w:t xml:space="preserve"> </w:t>
      </w:r>
      <w:r w:rsidRPr="002054B2">
        <w:rPr>
          <w:rFonts w:ascii="Times New Roman" w:eastAsia="Times New Roman" w:hAnsi="Times New Roman" w:cs="Times New Roman"/>
          <w:color w:val="000000"/>
          <w:lang w:val="fr-FR" w:eastAsia="fr-FR"/>
        </w:rPr>
        <w:t xml:space="preserve"> </w:t>
      </w:r>
    </w:p>
    <w:p w14:paraId="1604F84D" w14:textId="1FCBB639" w:rsidR="005E6576" w:rsidRPr="002054B2" w:rsidRDefault="005E6576" w:rsidP="002054B2">
      <w:pPr>
        <w:pStyle w:val="ListParagraph"/>
        <w:numPr>
          <w:ilvl w:val="0"/>
          <w:numId w:val="4"/>
        </w:numPr>
        <w:spacing w:before="100" w:beforeAutospacing="1" w:after="100" w:afterAutospacing="1" w:line="480" w:lineRule="auto"/>
        <w:rPr>
          <w:rFonts w:ascii="Times New Roman" w:eastAsia="Times New Roman" w:hAnsi="Times New Roman" w:cs="Times New Roman"/>
          <w:color w:val="000000"/>
          <w:lang w:val="fr-FR" w:eastAsia="fr-FR"/>
        </w:rPr>
      </w:pPr>
      <w:r w:rsidRPr="002054B2">
        <w:rPr>
          <w:rFonts w:ascii="Times New Roman" w:eastAsia="Times New Roman" w:hAnsi="Times New Roman" w:cs="Times New Roman"/>
          <w:color w:val="000000"/>
          <w:lang w:val="fr-FR" w:eastAsia="fr-FR"/>
        </w:rPr>
        <w:t>République du Sénégal. (2019). Décret n° 2019-1758 du 16 octobre 2019 modifiant le décret n° 2019-748 du 29 mars 2019 portant création de la Réserve naturelle urbaine de la Grande Niaye de Pikine et dépendances. Ministère de l’Environnement et du Développement Durable.</w:t>
      </w:r>
      <w:r w:rsidRPr="002054B2">
        <w:rPr>
          <w:rFonts w:ascii="Times New Roman" w:eastAsia="Times New Roman" w:hAnsi="Times New Roman" w:cs="Times New Roman"/>
          <w:color w:val="000000"/>
          <w:lang w:val="fr-FR" w:eastAsia="fr-FR"/>
        </w:rPr>
        <w:tab/>
      </w:r>
      <w:hyperlink r:id="rId47" w:history="1">
        <w:r w:rsidR="00BE3071" w:rsidRPr="002054B2">
          <w:rPr>
            <w:rStyle w:val="Hyperlink"/>
            <w:rFonts w:ascii="Times New Roman" w:eastAsia="Times New Roman" w:hAnsi="Times New Roman" w:cs="Times New Roman"/>
            <w:lang w:val="fr-FR" w:eastAsia="fr-FR"/>
          </w:rPr>
          <w:t>https://faolex.fao.org/docs/pdf/sen204537.pdf</w:t>
        </w:r>
      </w:hyperlink>
      <w:r w:rsidR="00BE3071" w:rsidRPr="002054B2">
        <w:rPr>
          <w:rFonts w:ascii="Times New Roman" w:eastAsia="Times New Roman" w:hAnsi="Times New Roman" w:cs="Times New Roman"/>
          <w:color w:val="000000"/>
          <w:lang w:val="fr-FR" w:eastAsia="fr-FR"/>
        </w:rPr>
        <w:t xml:space="preserve"> </w:t>
      </w:r>
      <w:r w:rsidRPr="002054B2">
        <w:rPr>
          <w:rFonts w:ascii="Times New Roman" w:eastAsia="Times New Roman" w:hAnsi="Times New Roman" w:cs="Times New Roman"/>
          <w:color w:val="000000"/>
          <w:lang w:val="fr-FR" w:eastAsia="fr-FR"/>
        </w:rPr>
        <w:t xml:space="preserve"> </w:t>
      </w:r>
    </w:p>
    <w:p w14:paraId="57B66D20" w14:textId="01E8C055" w:rsidR="005E6576" w:rsidRPr="002054B2" w:rsidRDefault="005E6576" w:rsidP="002054B2">
      <w:pPr>
        <w:pStyle w:val="ListParagraph"/>
        <w:numPr>
          <w:ilvl w:val="0"/>
          <w:numId w:val="4"/>
        </w:numPr>
        <w:spacing w:before="100" w:beforeAutospacing="1" w:after="100" w:afterAutospacing="1" w:line="480" w:lineRule="auto"/>
        <w:rPr>
          <w:rFonts w:ascii="Times New Roman" w:eastAsia="Times New Roman" w:hAnsi="Times New Roman" w:cs="Times New Roman"/>
          <w:color w:val="000000"/>
          <w:lang w:val="en-US" w:eastAsia="fr-FR"/>
        </w:rPr>
      </w:pPr>
      <w:r w:rsidRPr="002054B2">
        <w:rPr>
          <w:rFonts w:ascii="Times New Roman" w:eastAsia="Times New Roman" w:hAnsi="Times New Roman" w:cs="Times New Roman"/>
          <w:color w:val="000000"/>
          <w:lang w:val="fr-FR" w:eastAsia="fr-FR"/>
        </w:rPr>
        <w:t xml:space="preserve">Saulnier-Talbot, É., &amp; Lavoie, I. (2018). </w:t>
      </w:r>
      <w:r w:rsidRPr="002054B2">
        <w:rPr>
          <w:rFonts w:ascii="Times New Roman" w:eastAsia="Times New Roman" w:hAnsi="Times New Roman" w:cs="Times New Roman"/>
          <w:color w:val="000000"/>
          <w:lang w:val="en-US" w:eastAsia="fr-FR"/>
        </w:rPr>
        <w:t xml:space="preserve">Uncharted waters: The rise of human-made aquatic environments in the age of the “Anthropocene”. Anthropocene, 23, 29–42. </w:t>
      </w:r>
      <w:r w:rsidRPr="002054B2">
        <w:rPr>
          <w:rFonts w:ascii="Times New Roman" w:eastAsia="Times New Roman" w:hAnsi="Times New Roman" w:cs="Times New Roman"/>
          <w:color w:val="000000"/>
          <w:lang w:val="en-US" w:eastAsia="fr-FR"/>
        </w:rPr>
        <w:tab/>
      </w:r>
      <w:hyperlink r:id="rId48" w:history="1">
        <w:r w:rsidR="00BE3071" w:rsidRPr="002054B2">
          <w:rPr>
            <w:rStyle w:val="Hyperlink"/>
            <w:rFonts w:ascii="Times New Roman" w:eastAsia="Times New Roman" w:hAnsi="Times New Roman" w:cs="Times New Roman"/>
            <w:lang w:val="en-US" w:eastAsia="fr-FR"/>
          </w:rPr>
          <w:t>https://doi.org/10.1016/j.ancene.2018.07.003</w:t>
        </w:r>
      </w:hyperlink>
      <w:r w:rsidR="00BE3071" w:rsidRPr="002054B2">
        <w:rPr>
          <w:rFonts w:ascii="Times New Roman" w:eastAsia="Times New Roman" w:hAnsi="Times New Roman" w:cs="Times New Roman"/>
          <w:color w:val="000000"/>
          <w:lang w:val="en-US" w:eastAsia="fr-FR"/>
        </w:rPr>
        <w:t xml:space="preserve"> </w:t>
      </w:r>
    </w:p>
    <w:p w14:paraId="0C854596" w14:textId="2AC9EE9A" w:rsidR="005E6576" w:rsidRPr="002054B2" w:rsidRDefault="005E6576" w:rsidP="002054B2">
      <w:pPr>
        <w:pStyle w:val="ListParagraph"/>
        <w:numPr>
          <w:ilvl w:val="0"/>
          <w:numId w:val="4"/>
        </w:numPr>
        <w:spacing w:before="100" w:beforeAutospacing="1" w:after="100" w:afterAutospacing="1" w:line="480" w:lineRule="auto"/>
        <w:rPr>
          <w:rFonts w:ascii="Times New Roman" w:eastAsia="Times New Roman" w:hAnsi="Times New Roman" w:cs="Times New Roman"/>
          <w:color w:val="000000"/>
          <w:lang w:val="en-US" w:eastAsia="fr-FR"/>
        </w:rPr>
      </w:pPr>
      <w:r w:rsidRPr="002054B2">
        <w:rPr>
          <w:rFonts w:ascii="Times New Roman" w:eastAsia="Times New Roman" w:hAnsi="Times New Roman" w:cs="Times New Roman"/>
          <w:color w:val="000000"/>
          <w:lang w:val="en-US" w:eastAsia="fr-FR"/>
        </w:rPr>
        <w:t xml:space="preserve">Sedeño-Díaz, J. E., López-López, E., Mendoza-Martínez, E., Rodríguez-Romero, A. J., &amp; Morales-García, S. S. (2020). Distribution Coefficient and Metal Pollution Index in Water and Sediments: Proposal of a New Index for Ecological Risk Assessment of Metals. Water, 12(1), 29. </w:t>
      </w:r>
      <w:r w:rsidRPr="002054B2">
        <w:rPr>
          <w:rFonts w:ascii="Times New Roman" w:eastAsia="Times New Roman" w:hAnsi="Times New Roman" w:cs="Times New Roman"/>
          <w:color w:val="000000"/>
          <w:lang w:val="en-US" w:eastAsia="fr-FR"/>
        </w:rPr>
        <w:tab/>
      </w:r>
      <w:hyperlink r:id="rId49" w:history="1">
        <w:r w:rsidR="00BE3071" w:rsidRPr="002054B2">
          <w:rPr>
            <w:rStyle w:val="Hyperlink"/>
            <w:rFonts w:ascii="Times New Roman" w:eastAsia="Times New Roman" w:hAnsi="Times New Roman" w:cs="Times New Roman"/>
            <w:lang w:val="en-US" w:eastAsia="fr-FR"/>
          </w:rPr>
          <w:t>https://doi.org/10.3390/w12010029</w:t>
        </w:r>
      </w:hyperlink>
      <w:r w:rsidR="00BE3071" w:rsidRPr="002054B2">
        <w:rPr>
          <w:rFonts w:ascii="Times New Roman" w:eastAsia="Times New Roman" w:hAnsi="Times New Roman" w:cs="Times New Roman"/>
          <w:color w:val="000000"/>
          <w:lang w:val="en-US" w:eastAsia="fr-FR"/>
        </w:rPr>
        <w:t xml:space="preserve"> </w:t>
      </w:r>
      <w:r w:rsidRPr="002054B2">
        <w:rPr>
          <w:rFonts w:ascii="Times New Roman" w:eastAsia="Times New Roman" w:hAnsi="Times New Roman" w:cs="Times New Roman"/>
          <w:color w:val="000000"/>
          <w:lang w:val="en-US" w:eastAsia="fr-FR"/>
        </w:rPr>
        <w:t xml:space="preserve"> </w:t>
      </w:r>
    </w:p>
    <w:p w14:paraId="1A9BF35F" w14:textId="0056D476" w:rsidR="005E6576" w:rsidRPr="002054B2" w:rsidRDefault="005E6576" w:rsidP="002054B2">
      <w:pPr>
        <w:pStyle w:val="ListParagraph"/>
        <w:numPr>
          <w:ilvl w:val="0"/>
          <w:numId w:val="4"/>
        </w:numPr>
        <w:spacing w:before="100" w:beforeAutospacing="1" w:after="100" w:afterAutospacing="1" w:line="480" w:lineRule="auto"/>
        <w:rPr>
          <w:rFonts w:ascii="Times New Roman" w:eastAsia="Times New Roman" w:hAnsi="Times New Roman" w:cs="Times New Roman"/>
          <w:color w:val="000000"/>
          <w:lang w:val="en-US" w:eastAsia="fr-FR"/>
        </w:rPr>
      </w:pPr>
      <w:r w:rsidRPr="002054B2">
        <w:rPr>
          <w:rFonts w:ascii="Times New Roman" w:eastAsia="Times New Roman" w:hAnsi="Times New Roman" w:cs="Times New Roman"/>
          <w:color w:val="000000"/>
          <w:lang w:val="fr-FR" w:eastAsia="fr-FR"/>
        </w:rPr>
        <w:t xml:space="preserve">Saidon, N. B., Szabó, R., Budai, P., &amp; Lehel, J. (2024). </w:t>
      </w:r>
      <w:r w:rsidRPr="002054B2">
        <w:rPr>
          <w:rFonts w:ascii="Times New Roman" w:eastAsia="Times New Roman" w:hAnsi="Times New Roman" w:cs="Times New Roman"/>
          <w:color w:val="000000"/>
          <w:lang w:val="en-US" w:eastAsia="fr-FR"/>
        </w:rPr>
        <w:t xml:space="preserve">Trophic transfer and biomagnification potential of environmental contaminants (heavy metals) in aquatic </w:t>
      </w:r>
      <w:r w:rsidRPr="002054B2">
        <w:rPr>
          <w:rFonts w:ascii="Times New Roman" w:eastAsia="Times New Roman" w:hAnsi="Times New Roman" w:cs="Times New Roman"/>
          <w:color w:val="000000"/>
          <w:lang w:val="en-US" w:eastAsia="fr-FR"/>
        </w:rPr>
        <w:lastRenderedPageBreak/>
        <w:t xml:space="preserve">ecosystems. Environmental Pollution, 340(Part 1), 122815. </w:t>
      </w:r>
      <w:r w:rsidRPr="002054B2">
        <w:rPr>
          <w:rFonts w:ascii="Times New Roman" w:eastAsia="Times New Roman" w:hAnsi="Times New Roman" w:cs="Times New Roman"/>
          <w:color w:val="000000"/>
          <w:lang w:val="en-US" w:eastAsia="fr-FR"/>
        </w:rPr>
        <w:tab/>
      </w:r>
      <w:hyperlink r:id="rId50" w:history="1">
        <w:r w:rsidR="00BE3071" w:rsidRPr="002054B2">
          <w:rPr>
            <w:rStyle w:val="Hyperlink"/>
            <w:rFonts w:ascii="Times New Roman" w:eastAsia="Times New Roman" w:hAnsi="Times New Roman" w:cs="Times New Roman"/>
            <w:lang w:val="en-US" w:eastAsia="fr-FR"/>
          </w:rPr>
          <w:t>https://doi.org/10.1016/j.envpol.2023.122815</w:t>
        </w:r>
      </w:hyperlink>
      <w:r w:rsidR="00BE3071" w:rsidRPr="002054B2">
        <w:rPr>
          <w:rFonts w:ascii="Times New Roman" w:eastAsia="Times New Roman" w:hAnsi="Times New Roman" w:cs="Times New Roman"/>
          <w:color w:val="000000"/>
          <w:lang w:val="en-US" w:eastAsia="fr-FR"/>
        </w:rPr>
        <w:t xml:space="preserve"> </w:t>
      </w:r>
    </w:p>
    <w:p w14:paraId="6FCB409D" w14:textId="77777777" w:rsidR="005E6576" w:rsidRPr="005E6576" w:rsidRDefault="005E6576" w:rsidP="005E6576">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p>
    <w:p w14:paraId="637ABEEB" w14:textId="4E4EC02A" w:rsidR="005E6576" w:rsidRPr="002054B2" w:rsidRDefault="005E6576" w:rsidP="002054B2">
      <w:pPr>
        <w:pStyle w:val="ListParagraph"/>
        <w:numPr>
          <w:ilvl w:val="0"/>
          <w:numId w:val="4"/>
        </w:numPr>
        <w:spacing w:before="100" w:beforeAutospacing="1" w:after="100" w:afterAutospacing="1" w:line="480" w:lineRule="auto"/>
        <w:rPr>
          <w:rFonts w:ascii="Times New Roman" w:eastAsia="Times New Roman" w:hAnsi="Times New Roman" w:cs="Times New Roman"/>
          <w:color w:val="000000"/>
          <w:lang w:val="en-US" w:eastAsia="fr-FR"/>
        </w:rPr>
      </w:pPr>
      <w:r w:rsidRPr="002054B2">
        <w:rPr>
          <w:rFonts w:ascii="Times New Roman" w:eastAsia="Times New Roman" w:hAnsi="Times New Roman" w:cs="Times New Roman"/>
          <w:color w:val="000000"/>
          <w:lang w:val="en-US" w:eastAsia="fr-FR"/>
        </w:rPr>
        <w:t>Saxena, V. Water Quality, Air Pollution, and Climate Change: Investigating the Environmental Impacts of Industrialization and Urbanization. Water Air Soil Pollut 236, 73 (2025).</w:t>
      </w:r>
      <w:r w:rsidRPr="002054B2">
        <w:rPr>
          <w:rFonts w:ascii="Times New Roman" w:eastAsia="Times New Roman" w:hAnsi="Times New Roman" w:cs="Times New Roman"/>
          <w:color w:val="000000"/>
          <w:lang w:val="en-US" w:eastAsia="fr-FR"/>
        </w:rPr>
        <w:tab/>
      </w:r>
      <w:hyperlink r:id="rId51" w:history="1">
        <w:r w:rsidR="00BE3071" w:rsidRPr="002054B2">
          <w:rPr>
            <w:rStyle w:val="Hyperlink"/>
            <w:rFonts w:ascii="Times New Roman" w:eastAsia="Times New Roman" w:hAnsi="Times New Roman" w:cs="Times New Roman"/>
            <w:lang w:val="en-US" w:eastAsia="fr-FR"/>
          </w:rPr>
          <w:t>https://doi.org/10.1007/s11270-024-07702-4</w:t>
        </w:r>
      </w:hyperlink>
      <w:r w:rsidR="00BE3071" w:rsidRPr="002054B2">
        <w:rPr>
          <w:rFonts w:ascii="Times New Roman" w:eastAsia="Times New Roman" w:hAnsi="Times New Roman" w:cs="Times New Roman"/>
          <w:color w:val="000000"/>
          <w:lang w:val="en-US" w:eastAsia="fr-FR"/>
        </w:rPr>
        <w:t xml:space="preserve"> </w:t>
      </w:r>
      <w:r w:rsidRPr="002054B2">
        <w:rPr>
          <w:rFonts w:ascii="Times New Roman" w:eastAsia="Times New Roman" w:hAnsi="Times New Roman" w:cs="Times New Roman"/>
          <w:color w:val="000000"/>
          <w:lang w:val="en-US" w:eastAsia="fr-FR"/>
        </w:rPr>
        <w:t xml:space="preserve"> </w:t>
      </w:r>
    </w:p>
    <w:p w14:paraId="76FB2F2F" w14:textId="7109AE7E" w:rsidR="005E6576" w:rsidRPr="002054B2" w:rsidRDefault="005E6576" w:rsidP="002054B2">
      <w:pPr>
        <w:pStyle w:val="ListParagraph"/>
        <w:numPr>
          <w:ilvl w:val="0"/>
          <w:numId w:val="4"/>
        </w:numPr>
        <w:spacing w:before="100" w:beforeAutospacing="1" w:after="100" w:afterAutospacing="1" w:line="480" w:lineRule="auto"/>
        <w:rPr>
          <w:rFonts w:ascii="Times New Roman" w:eastAsia="Times New Roman" w:hAnsi="Times New Roman" w:cs="Times New Roman"/>
          <w:color w:val="000000"/>
          <w:lang w:eastAsia="fr-FR"/>
        </w:rPr>
      </w:pPr>
      <w:r w:rsidRPr="002054B2">
        <w:rPr>
          <w:rFonts w:ascii="Times New Roman" w:eastAsia="Times New Roman" w:hAnsi="Times New Roman" w:cs="Times New Roman"/>
          <w:color w:val="000000"/>
          <w:lang w:val="en-US" w:eastAsia="fr-FR"/>
        </w:rPr>
        <w:t xml:space="preserve">Sy, M., M. Khouma, M.O. Diagne, M.L. Dial, O. Diop, I. Niang, N.Y. Badiane, Y. Niang and M.S.G. Ndong (2014). Building Urban Resilience: Assessing Urban and Peri-urban Agriculture in Dakar, Senegal. [Padgham, J. and J. Jabbour (eds.)]. United Nations Environment Programme (UNEP), Nairobi, Kenya. </w:t>
      </w:r>
      <w:r w:rsidRPr="002054B2">
        <w:rPr>
          <w:rFonts w:ascii="Times New Roman" w:eastAsia="Times New Roman" w:hAnsi="Times New Roman" w:cs="Times New Roman"/>
          <w:color w:val="000000"/>
          <w:lang w:val="en-US" w:eastAsia="fr-FR"/>
        </w:rPr>
        <w:tab/>
      </w:r>
      <w:hyperlink r:id="rId52" w:history="1">
        <w:r w:rsidR="00BE3071" w:rsidRPr="002054B2">
          <w:rPr>
            <w:rStyle w:val="Hyperlink"/>
            <w:rFonts w:ascii="Times New Roman" w:eastAsia="Times New Roman" w:hAnsi="Times New Roman" w:cs="Times New Roman"/>
            <w:lang w:eastAsia="fr-FR"/>
          </w:rPr>
          <w:t>http://www.start.org/upa/dakar_en.pdf</w:t>
        </w:r>
      </w:hyperlink>
      <w:r w:rsidR="00BE3071" w:rsidRPr="002054B2">
        <w:rPr>
          <w:rFonts w:ascii="Times New Roman" w:eastAsia="Times New Roman" w:hAnsi="Times New Roman" w:cs="Times New Roman"/>
          <w:color w:val="000000"/>
          <w:lang w:eastAsia="fr-FR"/>
        </w:rPr>
        <w:t xml:space="preserve"> </w:t>
      </w:r>
      <w:r w:rsidRPr="002054B2">
        <w:rPr>
          <w:rFonts w:ascii="Times New Roman" w:eastAsia="Times New Roman" w:hAnsi="Times New Roman" w:cs="Times New Roman"/>
          <w:color w:val="000000"/>
          <w:lang w:eastAsia="fr-FR"/>
        </w:rPr>
        <w:t xml:space="preserve"> </w:t>
      </w:r>
    </w:p>
    <w:p w14:paraId="1D4E1AE8" w14:textId="7057D7EA" w:rsidR="005E6576" w:rsidRPr="002054B2" w:rsidRDefault="005E6576" w:rsidP="002054B2">
      <w:pPr>
        <w:pStyle w:val="ListParagraph"/>
        <w:numPr>
          <w:ilvl w:val="0"/>
          <w:numId w:val="4"/>
        </w:numPr>
        <w:spacing w:before="100" w:beforeAutospacing="1" w:after="100" w:afterAutospacing="1" w:line="480" w:lineRule="auto"/>
        <w:rPr>
          <w:rFonts w:ascii="Times New Roman" w:eastAsia="Times New Roman" w:hAnsi="Times New Roman" w:cs="Times New Roman"/>
          <w:color w:val="000000"/>
          <w:lang w:val="fr-FR" w:eastAsia="fr-FR"/>
        </w:rPr>
      </w:pPr>
      <w:r w:rsidRPr="002054B2">
        <w:rPr>
          <w:rFonts w:ascii="Times New Roman" w:eastAsia="Times New Roman" w:hAnsi="Times New Roman" w:cs="Times New Roman"/>
          <w:color w:val="000000"/>
          <w:lang w:eastAsia="fr-FR"/>
        </w:rPr>
        <w:t xml:space="preserve">Taghavi, M., Shadboorestan, A., Kalankesh, L. R., Mohammadi-Bardbori, A., Ghaffari, H. R., Safa, O., Farshidfar, G., &amp; Omidi, M. (2024). </w:t>
      </w:r>
      <w:r w:rsidRPr="002054B2">
        <w:rPr>
          <w:rFonts w:ascii="Times New Roman" w:eastAsia="Times New Roman" w:hAnsi="Times New Roman" w:cs="Times New Roman"/>
          <w:color w:val="000000"/>
          <w:lang w:val="en-US" w:eastAsia="fr-FR"/>
        </w:rPr>
        <w:t xml:space="preserve">Health risk assessment of heavy metal toxicity in the aquatic environment of the Persian Gulf. </w:t>
      </w:r>
      <w:r w:rsidRPr="002054B2">
        <w:rPr>
          <w:rFonts w:ascii="Times New Roman" w:eastAsia="Times New Roman" w:hAnsi="Times New Roman" w:cs="Times New Roman"/>
          <w:color w:val="000000"/>
          <w:lang w:val="fr-FR" w:eastAsia="fr-FR"/>
        </w:rPr>
        <w:t xml:space="preserve">Marine Pollution Bulletin, 202, 116360. </w:t>
      </w:r>
      <w:r w:rsidRPr="002054B2">
        <w:rPr>
          <w:rFonts w:ascii="Times New Roman" w:eastAsia="Times New Roman" w:hAnsi="Times New Roman" w:cs="Times New Roman"/>
          <w:color w:val="000000"/>
          <w:lang w:val="fr-FR" w:eastAsia="fr-FR"/>
        </w:rPr>
        <w:tab/>
      </w:r>
      <w:hyperlink r:id="rId53" w:history="1">
        <w:r w:rsidR="00BE3071" w:rsidRPr="002054B2">
          <w:rPr>
            <w:rStyle w:val="Hyperlink"/>
            <w:rFonts w:ascii="Times New Roman" w:eastAsia="Times New Roman" w:hAnsi="Times New Roman" w:cs="Times New Roman"/>
            <w:lang w:val="fr-FR" w:eastAsia="fr-FR"/>
          </w:rPr>
          <w:t>https://doi.org/10.1016/j.marpolbul.2024.116360</w:t>
        </w:r>
      </w:hyperlink>
      <w:r w:rsidR="00BE3071" w:rsidRPr="002054B2">
        <w:rPr>
          <w:rFonts w:ascii="Times New Roman" w:eastAsia="Times New Roman" w:hAnsi="Times New Roman" w:cs="Times New Roman"/>
          <w:color w:val="000000"/>
          <w:lang w:val="fr-FR" w:eastAsia="fr-FR"/>
        </w:rPr>
        <w:t xml:space="preserve"> </w:t>
      </w:r>
    </w:p>
    <w:p w14:paraId="586B016F" w14:textId="5DB616B5" w:rsidR="005E6576" w:rsidRPr="002054B2" w:rsidRDefault="005E6576" w:rsidP="002054B2">
      <w:pPr>
        <w:pStyle w:val="ListParagraph"/>
        <w:numPr>
          <w:ilvl w:val="0"/>
          <w:numId w:val="4"/>
        </w:numPr>
        <w:spacing w:before="100" w:beforeAutospacing="1" w:after="100" w:afterAutospacing="1" w:line="480" w:lineRule="auto"/>
        <w:rPr>
          <w:rFonts w:ascii="Times New Roman" w:eastAsia="Times New Roman" w:hAnsi="Times New Roman" w:cs="Times New Roman"/>
          <w:color w:val="000000"/>
          <w:lang w:val="en-US" w:eastAsia="fr-FR"/>
        </w:rPr>
      </w:pPr>
      <w:r w:rsidRPr="002054B2">
        <w:rPr>
          <w:rFonts w:ascii="Times New Roman" w:eastAsia="Times New Roman" w:hAnsi="Times New Roman" w:cs="Times New Roman"/>
          <w:color w:val="000000"/>
          <w:lang w:val="fr-FR" w:eastAsia="fr-FR"/>
        </w:rPr>
        <w:t xml:space="preserve">Tchaa Badassan. (2021). Évaluation de la contamination des éléments traces dans les eaux et sédiments de la lagune de Lomé et bioaccumulation chez deux espèces de poisson [Thèse de doctorat, Institut National Polytechnique de Toulouse - INPT ; Université de Lomé]. </w:t>
      </w:r>
      <w:r w:rsidRPr="002054B2">
        <w:rPr>
          <w:rFonts w:ascii="Times New Roman" w:eastAsia="Times New Roman" w:hAnsi="Times New Roman" w:cs="Times New Roman"/>
          <w:color w:val="000000"/>
          <w:lang w:val="en-US" w:eastAsia="fr-FR"/>
        </w:rPr>
        <w:t>HAL.</w:t>
      </w:r>
      <w:r w:rsidRPr="002054B2">
        <w:rPr>
          <w:rFonts w:ascii="Times New Roman" w:eastAsia="Times New Roman" w:hAnsi="Times New Roman" w:cs="Times New Roman"/>
          <w:color w:val="000000"/>
          <w:lang w:val="en-US" w:eastAsia="fr-FR"/>
        </w:rPr>
        <w:tab/>
      </w:r>
      <w:hyperlink r:id="rId54" w:history="1">
        <w:r w:rsidR="00BE3071" w:rsidRPr="002054B2">
          <w:rPr>
            <w:rStyle w:val="Hyperlink"/>
            <w:rFonts w:ascii="Times New Roman" w:eastAsia="Times New Roman" w:hAnsi="Times New Roman" w:cs="Times New Roman"/>
            <w:lang w:val="en-US" w:eastAsia="fr-FR"/>
          </w:rPr>
          <w:t>https://theses.hal.science/tel-04170656</w:t>
        </w:r>
      </w:hyperlink>
      <w:r w:rsidR="00BE3071" w:rsidRPr="002054B2">
        <w:rPr>
          <w:rFonts w:ascii="Times New Roman" w:eastAsia="Times New Roman" w:hAnsi="Times New Roman" w:cs="Times New Roman"/>
          <w:color w:val="000000"/>
          <w:lang w:val="en-US" w:eastAsia="fr-FR"/>
        </w:rPr>
        <w:t xml:space="preserve"> </w:t>
      </w:r>
      <w:r w:rsidRPr="002054B2">
        <w:rPr>
          <w:rFonts w:ascii="Times New Roman" w:eastAsia="Times New Roman" w:hAnsi="Times New Roman" w:cs="Times New Roman"/>
          <w:color w:val="000000"/>
          <w:lang w:val="en-US" w:eastAsia="fr-FR"/>
        </w:rPr>
        <w:t xml:space="preserve"> </w:t>
      </w:r>
    </w:p>
    <w:p w14:paraId="2226806C" w14:textId="504F23D0" w:rsidR="005E6576" w:rsidRPr="002054B2" w:rsidRDefault="005E6576" w:rsidP="002054B2">
      <w:pPr>
        <w:pStyle w:val="ListParagraph"/>
        <w:numPr>
          <w:ilvl w:val="0"/>
          <w:numId w:val="4"/>
        </w:numPr>
        <w:spacing w:before="100" w:beforeAutospacing="1" w:after="100" w:afterAutospacing="1" w:line="480" w:lineRule="auto"/>
        <w:rPr>
          <w:rFonts w:ascii="Times New Roman" w:eastAsia="Times New Roman" w:hAnsi="Times New Roman" w:cs="Times New Roman"/>
          <w:color w:val="000000"/>
          <w:lang w:val="en-US" w:eastAsia="fr-FR"/>
        </w:rPr>
      </w:pPr>
      <w:r w:rsidRPr="002054B2">
        <w:rPr>
          <w:rFonts w:ascii="Times New Roman" w:eastAsia="Times New Roman" w:hAnsi="Times New Roman" w:cs="Times New Roman"/>
          <w:color w:val="000000"/>
          <w:lang w:val="en-US" w:eastAsia="fr-FR"/>
        </w:rPr>
        <w:t>Tchounwou, P. B., Yedjou, C. G., Patlolla, A. K., &amp; Sutton, D. J. (2012). Heavy metal toxicity and the environment. EXS, 101, 133–164. https://doi.org/10.1007/978-3-7643-8340-4_6</w:t>
      </w:r>
      <w:r w:rsidRPr="002054B2">
        <w:rPr>
          <w:rFonts w:ascii="Times New Roman" w:eastAsia="Times New Roman" w:hAnsi="Times New Roman" w:cs="Times New Roman"/>
          <w:color w:val="000000"/>
          <w:lang w:val="en-US" w:eastAsia="fr-FR"/>
        </w:rPr>
        <w:tab/>
      </w:r>
      <w:hyperlink r:id="rId55" w:history="1">
        <w:r w:rsidR="00BE3071" w:rsidRPr="002054B2">
          <w:rPr>
            <w:rStyle w:val="Hyperlink"/>
            <w:rFonts w:ascii="Times New Roman" w:eastAsia="Times New Roman" w:hAnsi="Times New Roman" w:cs="Times New Roman"/>
            <w:lang w:val="en-US" w:eastAsia="fr-FR"/>
          </w:rPr>
          <w:t>https://doi.org/10.1007/978-3-7643-8340-4_6</w:t>
        </w:r>
      </w:hyperlink>
      <w:r w:rsidR="00BE3071" w:rsidRPr="002054B2">
        <w:rPr>
          <w:rFonts w:ascii="Times New Roman" w:eastAsia="Times New Roman" w:hAnsi="Times New Roman" w:cs="Times New Roman"/>
          <w:color w:val="000000"/>
          <w:lang w:val="en-US" w:eastAsia="fr-FR"/>
        </w:rPr>
        <w:t xml:space="preserve"> </w:t>
      </w:r>
      <w:r w:rsidRPr="002054B2">
        <w:rPr>
          <w:rFonts w:ascii="Times New Roman" w:eastAsia="Times New Roman" w:hAnsi="Times New Roman" w:cs="Times New Roman"/>
          <w:color w:val="000000"/>
          <w:lang w:val="en-US" w:eastAsia="fr-FR"/>
        </w:rPr>
        <w:t xml:space="preserve"> </w:t>
      </w:r>
    </w:p>
    <w:p w14:paraId="3A197B96" w14:textId="20E661DC" w:rsidR="005E6576" w:rsidRPr="002054B2" w:rsidRDefault="005E6576" w:rsidP="002054B2">
      <w:pPr>
        <w:pStyle w:val="ListParagraph"/>
        <w:numPr>
          <w:ilvl w:val="0"/>
          <w:numId w:val="4"/>
        </w:numPr>
        <w:spacing w:before="100" w:beforeAutospacing="1" w:after="100" w:afterAutospacing="1" w:line="480" w:lineRule="auto"/>
        <w:rPr>
          <w:rFonts w:ascii="Times New Roman" w:eastAsia="Times New Roman" w:hAnsi="Times New Roman" w:cs="Times New Roman"/>
          <w:color w:val="000000"/>
          <w:lang w:val="en-US" w:eastAsia="fr-FR"/>
        </w:rPr>
      </w:pPr>
      <w:r w:rsidRPr="002054B2">
        <w:rPr>
          <w:rFonts w:ascii="Times New Roman" w:eastAsia="Times New Roman" w:hAnsi="Times New Roman" w:cs="Times New Roman"/>
          <w:color w:val="000000"/>
          <w:lang w:val="fr-FR" w:eastAsia="fr-FR"/>
        </w:rPr>
        <w:lastRenderedPageBreak/>
        <w:t xml:space="preserve">Togbé, A. M. O., et al. (2019). Évaluation de la contamination des eaux de la lagune Ebrié. </w:t>
      </w:r>
      <w:r w:rsidRPr="002054B2">
        <w:rPr>
          <w:rFonts w:ascii="Times New Roman" w:eastAsia="Times New Roman" w:hAnsi="Times New Roman" w:cs="Times New Roman"/>
          <w:color w:val="000000"/>
          <w:lang w:val="en-US" w:eastAsia="fr-FR"/>
        </w:rPr>
        <w:t>International Journal of Biological and Chemical Sciences, 13(2), 1162–1179.</w:t>
      </w:r>
      <w:r w:rsidRPr="002054B2">
        <w:rPr>
          <w:rFonts w:ascii="Times New Roman" w:eastAsia="Times New Roman" w:hAnsi="Times New Roman" w:cs="Times New Roman"/>
          <w:color w:val="000000"/>
          <w:lang w:val="en-US" w:eastAsia="fr-FR"/>
        </w:rPr>
        <w:tab/>
      </w:r>
      <w:hyperlink r:id="rId56" w:history="1">
        <w:r w:rsidR="00BE3071" w:rsidRPr="002054B2">
          <w:rPr>
            <w:rStyle w:val="Hyperlink"/>
            <w:rFonts w:ascii="Times New Roman" w:eastAsia="Times New Roman" w:hAnsi="Times New Roman" w:cs="Times New Roman"/>
            <w:lang w:val="en-US" w:eastAsia="fr-FR"/>
          </w:rPr>
          <w:t>https://doi.org/10.4314/ijbcs.v13i2.45</w:t>
        </w:r>
      </w:hyperlink>
      <w:r w:rsidR="00BE3071" w:rsidRPr="002054B2">
        <w:rPr>
          <w:rFonts w:ascii="Times New Roman" w:eastAsia="Times New Roman" w:hAnsi="Times New Roman" w:cs="Times New Roman"/>
          <w:color w:val="000000"/>
          <w:lang w:val="en-US" w:eastAsia="fr-FR"/>
        </w:rPr>
        <w:t xml:space="preserve"> </w:t>
      </w:r>
      <w:r w:rsidRPr="002054B2">
        <w:rPr>
          <w:rFonts w:ascii="Times New Roman" w:eastAsia="Times New Roman" w:hAnsi="Times New Roman" w:cs="Times New Roman"/>
          <w:color w:val="000000"/>
          <w:lang w:val="en-US" w:eastAsia="fr-FR"/>
        </w:rPr>
        <w:t xml:space="preserve"> </w:t>
      </w:r>
    </w:p>
    <w:p w14:paraId="7EA706D9" w14:textId="77777777" w:rsidR="005E6576" w:rsidRPr="005E6576" w:rsidRDefault="005E6576" w:rsidP="005E6576">
      <w:pPr>
        <w:spacing w:before="100" w:beforeAutospacing="1" w:after="100" w:afterAutospacing="1" w:line="480" w:lineRule="auto"/>
        <w:ind w:left="0" w:firstLine="0"/>
        <w:rPr>
          <w:rFonts w:ascii="Times New Roman" w:eastAsia="Times New Roman" w:hAnsi="Times New Roman" w:cs="Times New Roman"/>
          <w:color w:val="000000"/>
          <w:lang w:val="en-US" w:eastAsia="fr-FR"/>
        </w:rPr>
      </w:pPr>
    </w:p>
    <w:p w14:paraId="78C45C8C" w14:textId="321A1251" w:rsidR="005E6576" w:rsidRPr="002054B2" w:rsidRDefault="005E6576" w:rsidP="002054B2">
      <w:pPr>
        <w:pStyle w:val="ListParagraph"/>
        <w:numPr>
          <w:ilvl w:val="0"/>
          <w:numId w:val="4"/>
        </w:numPr>
        <w:spacing w:before="100" w:beforeAutospacing="1" w:after="100" w:afterAutospacing="1" w:line="480" w:lineRule="auto"/>
        <w:rPr>
          <w:rFonts w:ascii="Times New Roman" w:eastAsia="Times New Roman" w:hAnsi="Times New Roman" w:cs="Times New Roman"/>
          <w:color w:val="000000"/>
          <w:lang w:val="en-US" w:eastAsia="fr-FR"/>
        </w:rPr>
      </w:pPr>
      <w:r w:rsidRPr="002054B2">
        <w:rPr>
          <w:rFonts w:ascii="Times New Roman" w:eastAsia="Times New Roman" w:hAnsi="Times New Roman" w:cs="Times New Roman"/>
          <w:color w:val="000000"/>
          <w:lang w:val="en-US" w:eastAsia="fr-FR"/>
        </w:rPr>
        <w:t>UNEP. (2021). Making Peace with Nature: A scientific blueprint to tackle the climate, biodiversity and pollution emergencies. Nairobi: United Nations. https://www.unep.org/resources/making-peace-nature</w:t>
      </w:r>
      <w:r w:rsidRPr="002054B2">
        <w:rPr>
          <w:rFonts w:ascii="Times New Roman" w:eastAsia="Times New Roman" w:hAnsi="Times New Roman" w:cs="Times New Roman"/>
          <w:color w:val="000000"/>
          <w:lang w:val="en-US" w:eastAsia="fr-FR"/>
        </w:rPr>
        <w:tab/>
      </w:r>
      <w:hyperlink r:id="rId57" w:history="1">
        <w:r w:rsidR="00BE3071" w:rsidRPr="002054B2">
          <w:rPr>
            <w:rStyle w:val="Hyperlink"/>
            <w:rFonts w:ascii="Times New Roman" w:eastAsia="Times New Roman" w:hAnsi="Times New Roman" w:cs="Times New Roman"/>
            <w:lang w:val="en-US" w:eastAsia="fr-FR"/>
          </w:rPr>
          <w:t>https://seea.un.org/content/making-peace-nature-scientific-blueprint-tackle-climate-biodiversity-and-pollution</w:t>
        </w:r>
      </w:hyperlink>
      <w:r w:rsidR="00BE3071" w:rsidRPr="002054B2">
        <w:rPr>
          <w:rFonts w:ascii="Times New Roman" w:eastAsia="Times New Roman" w:hAnsi="Times New Roman" w:cs="Times New Roman"/>
          <w:color w:val="000000"/>
          <w:lang w:val="en-US" w:eastAsia="fr-FR"/>
        </w:rPr>
        <w:t xml:space="preserve"> </w:t>
      </w:r>
    </w:p>
    <w:p w14:paraId="201F4DAA" w14:textId="77777777" w:rsidR="005E6576" w:rsidRPr="002054B2" w:rsidRDefault="005E6576" w:rsidP="002054B2">
      <w:pPr>
        <w:pStyle w:val="ListParagraph"/>
        <w:numPr>
          <w:ilvl w:val="0"/>
          <w:numId w:val="4"/>
        </w:numPr>
        <w:spacing w:before="100" w:beforeAutospacing="1" w:after="100" w:afterAutospacing="1" w:line="480" w:lineRule="auto"/>
        <w:rPr>
          <w:rFonts w:ascii="Times New Roman" w:eastAsia="Times New Roman" w:hAnsi="Times New Roman" w:cs="Times New Roman"/>
          <w:color w:val="000000"/>
          <w:lang w:val="en-US" w:eastAsia="fr-FR"/>
        </w:rPr>
      </w:pPr>
      <w:r w:rsidRPr="002054B2">
        <w:rPr>
          <w:rFonts w:ascii="Times New Roman" w:eastAsia="Times New Roman" w:hAnsi="Times New Roman" w:cs="Times New Roman"/>
          <w:color w:val="000000"/>
          <w:lang w:val="en-US" w:eastAsia="fr-FR"/>
        </w:rPr>
        <w:t xml:space="preserve">United Nations Environment Programme. (2022). 2022 global status report for buildings and construction: Towards a zero-emissions, efficient and resilient buildings and construction sector. </w:t>
      </w:r>
    </w:p>
    <w:p w14:paraId="1C22E049" w14:textId="3937FE60" w:rsidR="005E6576" w:rsidRPr="002054B2" w:rsidRDefault="005E6576" w:rsidP="002054B2">
      <w:pPr>
        <w:pStyle w:val="ListParagraph"/>
        <w:numPr>
          <w:ilvl w:val="0"/>
          <w:numId w:val="4"/>
        </w:numPr>
        <w:spacing w:before="100" w:beforeAutospacing="1" w:after="100" w:afterAutospacing="1" w:line="480" w:lineRule="auto"/>
        <w:rPr>
          <w:rFonts w:ascii="Times New Roman" w:eastAsia="Times New Roman" w:hAnsi="Times New Roman" w:cs="Times New Roman"/>
          <w:color w:val="000000"/>
          <w:lang w:val="en-US" w:eastAsia="fr-FR"/>
        </w:rPr>
      </w:pPr>
      <w:r w:rsidRPr="002054B2">
        <w:rPr>
          <w:rFonts w:ascii="Times New Roman" w:eastAsia="Times New Roman" w:hAnsi="Times New Roman" w:cs="Times New Roman"/>
          <w:color w:val="000000"/>
          <w:lang w:val="en-US" w:eastAsia="fr-FR"/>
        </w:rPr>
        <w:tab/>
      </w:r>
      <w:hyperlink r:id="rId58" w:history="1">
        <w:r w:rsidR="00BE3071" w:rsidRPr="002054B2">
          <w:rPr>
            <w:rStyle w:val="Hyperlink"/>
            <w:rFonts w:ascii="Times New Roman" w:eastAsia="Times New Roman" w:hAnsi="Times New Roman" w:cs="Times New Roman"/>
            <w:lang w:val="en-US" w:eastAsia="fr-FR"/>
          </w:rPr>
          <w:t>https://www.unep.org/resources/publication/2022-global-status-report-buildings-and-construction</w:t>
        </w:r>
      </w:hyperlink>
      <w:r w:rsidR="00BE3071" w:rsidRPr="002054B2">
        <w:rPr>
          <w:rFonts w:ascii="Times New Roman" w:eastAsia="Times New Roman" w:hAnsi="Times New Roman" w:cs="Times New Roman"/>
          <w:color w:val="000000"/>
          <w:lang w:val="en-US" w:eastAsia="fr-FR"/>
        </w:rPr>
        <w:t xml:space="preserve"> </w:t>
      </w:r>
    </w:p>
    <w:p w14:paraId="010305A6" w14:textId="30F259E5" w:rsidR="005E6576" w:rsidRPr="002054B2" w:rsidRDefault="005E6576" w:rsidP="002054B2">
      <w:pPr>
        <w:pStyle w:val="ListParagraph"/>
        <w:numPr>
          <w:ilvl w:val="0"/>
          <w:numId w:val="4"/>
        </w:numPr>
        <w:spacing w:before="100" w:beforeAutospacing="1" w:after="100" w:afterAutospacing="1" w:line="480" w:lineRule="auto"/>
        <w:rPr>
          <w:rFonts w:ascii="Times New Roman" w:eastAsia="Times New Roman" w:hAnsi="Times New Roman" w:cs="Times New Roman"/>
          <w:color w:val="000000"/>
          <w:lang w:val="en-US" w:eastAsia="fr-FR"/>
        </w:rPr>
      </w:pPr>
      <w:r w:rsidRPr="002054B2">
        <w:rPr>
          <w:rFonts w:ascii="Times New Roman" w:eastAsia="Times New Roman" w:hAnsi="Times New Roman" w:cs="Times New Roman"/>
          <w:color w:val="000000"/>
          <w:lang w:val="en-US" w:eastAsia="fr-FR"/>
        </w:rPr>
        <w:t xml:space="preserve">Usese, A. I., Kuton, M. P., &amp; Chukwu, O. L. (2018). Haematological and genotoxic indices of two cichlid fish species from a tropical estuarine lagoon. Alexandria Journal of Veterinary Sciences, 58(1), 15–23. </w:t>
      </w:r>
      <w:r w:rsidRPr="002054B2">
        <w:rPr>
          <w:rFonts w:ascii="Times New Roman" w:eastAsia="Times New Roman" w:hAnsi="Times New Roman" w:cs="Times New Roman"/>
          <w:color w:val="000000"/>
          <w:lang w:val="en-US" w:eastAsia="fr-FR"/>
        </w:rPr>
        <w:tab/>
      </w:r>
      <w:hyperlink r:id="rId59" w:history="1">
        <w:r w:rsidR="00BE3071" w:rsidRPr="002054B2">
          <w:rPr>
            <w:rStyle w:val="Hyperlink"/>
            <w:rFonts w:ascii="Times New Roman" w:eastAsia="Times New Roman" w:hAnsi="Times New Roman" w:cs="Times New Roman"/>
            <w:lang w:val="en-US" w:eastAsia="fr-FR"/>
          </w:rPr>
          <w:t>https://doi.org/10.5455/ajvs.296768</w:t>
        </w:r>
      </w:hyperlink>
      <w:r w:rsidR="00BE3071" w:rsidRPr="002054B2">
        <w:rPr>
          <w:rFonts w:ascii="Times New Roman" w:eastAsia="Times New Roman" w:hAnsi="Times New Roman" w:cs="Times New Roman"/>
          <w:color w:val="000000"/>
          <w:lang w:val="en-US" w:eastAsia="fr-FR"/>
        </w:rPr>
        <w:t xml:space="preserve"> </w:t>
      </w:r>
      <w:r w:rsidRPr="002054B2">
        <w:rPr>
          <w:rFonts w:ascii="Times New Roman" w:eastAsia="Times New Roman" w:hAnsi="Times New Roman" w:cs="Times New Roman"/>
          <w:color w:val="000000"/>
          <w:lang w:val="en-US" w:eastAsia="fr-FR"/>
        </w:rPr>
        <w:t xml:space="preserve"> </w:t>
      </w:r>
    </w:p>
    <w:p w14:paraId="44233930" w14:textId="528B041A" w:rsidR="005E6576" w:rsidRPr="002054B2" w:rsidRDefault="005E6576" w:rsidP="002054B2">
      <w:pPr>
        <w:pStyle w:val="ListParagraph"/>
        <w:numPr>
          <w:ilvl w:val="0"/>
          <w:numId w:val="4"/>
        </w:numPr>
        <w:spacing w:before="100" w:beforeAutospacing="1" w:after="100" w:afterAutospacing="1" w:line="480" w:lineRule="auto"/>
        <w:rPr>
          <w:rFonts w:ascii="Times New Roman" w:eastAsia="Times New Roman" w:hAnsi="Times New Roman" w:cs="Times New Roman"/>
          <w:color w:val="000000"/>
          <w:lang w:val="en-US" w:eastAsia="fr-FR"/>
        </w:rPr>
      </w:pPr>
      <w:r w:rsidRPr="002054B2">
        <w:rPr>
          <w:rFonts w:ascii="Times New Roman" w:eastAsia="Times New Roman" w:hAnsi="Times New Roman" w:cs="Times New Roman"/>
          <w:color w:val="000000"/>
          <w:lang w:val="en-US" w:eastAsia="fr-FR"/>
        </w:rPr>
        <w:t>USEPA. (2023). Integrated Risk Information System (IRIS): Chemical Assessments for Cadmium, Lead, Mercury.</w:t>
      </w:r>
      <w:r w:rsidRPr="002054B2">
        <w:rPr>
          <w:rFonts w:ascii="Times New Roman" w:eastAsia="Times New Roman" w:hAnsi="Times New Roman" w:cs="Times New Roman"/>
          <w:color w:val="000000"/>
          <w:lang w:val="en-US" w:eastAsia="fr-FR"/>
        </w:rPr>
        <w:tab/>
      </w:r>
      <w:hyperlink r:id="rId60" w:history="1">
        <w:r w:rsidR="00BE3071" w:rsidRPr="002054B2">
          <w:rPr>
            <w:rStyle w:val="Hyperlink"/>
            <w:rFonts w:ascii="Times New Roman" w:eastAsia="Times New Roman" w:hAnsi="Times New Roman" w:cs="Times New Roman"/>
            <w:lang w:val="en-US" w:eastAsia="fr-FR"/>
          </w:rPr>
          <w:t>https://www.epa.gov/iris</w:t>
        </w:r>
      </w:hyperlink>
      <w:r w:rsidR="00BE3071" w:rsidRPr="002054B2">
        <w:rPr>
          <w:rFonts w:ascii="Times New Roman" w:eastAsia="Times New Roman" w:hAnsi="Times New Roman" w:cs="Times New Roman"/>
          <w:color w:val="000000"/>
          <w:lang w:val="en-US" w:eastAsia="fr-FR"/>
        </w:rPr>
        <w:t xml:space="preserve"> </w:t>
      </w:r>
    </w:p>
    <w:p w14:paraId="1655AEBF" w14:textId="45D09514" w:rsidR="005E6576" w:rsidRPr="002054B2" w:rsidRDefault="005E6576" w:rsidP="002054B2">
      <w:pPr>
        <w:pStyle w:val="ListParagraph"/>
        <w:numPr>
          <w:ilvl w:val="0"/>
          <w:numId w:val="4"/>
        </w:numPr>
        <w:spacing w:before="100" w:beforeAutospacing="1" w:after="100" w:afterAutospacing="1" w:line="480" w:lineRule="auto"/>
        <w:rPr>
          <w:rFonts w:ascii="Times New Roman" w:eastAsia="Times New Roman" w:hAnsi="Times New Roman" w:cs="Times New Roman"/>
          <w:color w:val="000000"/>
          <w:lang w:val="en-US" w:eastAsia="fr-FR"/>
        </w:rPr>
      </w:pPr>
      <w:r w:rsidRPr="002054B2">
        <w:rPr>
          <w:rFonts w:ascii="Times New Roman" w:eastAsia="Times New Roman" w:hAnsi="Times New Roman" w:cs="Times New Roman"/>
          <w:color w:val="000000"/>
          <w:lang w:val="en-US" w:eastAsia="fr-FR"/>
        </w:rPr>
        <w:t xml:space="preserve">Varol, M., &amp; Sünbül, M. R. (2018). Multiple approaches to assess human health risks from carcinogenic and non-carcinogenic metals via consumption of five fish species from a large reservoir in Turkey. Science of The Total Environment, 633, 684–694. </w:t>
      </w:r>
      <w:r w:rsidRPr="002054B2">
        <w:rPr>
          <w:rFonts w:ascii="Times New Roman" w:eastAsia="Times New Roman" w:hAnsi="Times New Roman" w:cs="Times New Roman"/>
          <w:color w:val="000000"/>
          <w:lang w:val="en-US" w:eastAsia="fr-FR"/>
        </w:rPr>
        <w:tab/>
      </w:r>
      <w:hyperlink r:id="rId61" w:history="1">
        <w:r w:rsidR="00BE3071" w:rsidRPr="002054B2">
          <w:rPr>
            <w:rStyle w:val="Hyperlink"/>
            <w:rFonts w:ascii="Times New Roman" w:eastAsia="Times New Roman" w:hAnsi="Times New Roman" w:cs="Times New Roman"/>
            <w:lang w:val="en-US" w:eastAsia="fr-FR"/>
          </w:rPr>
          <w:t>https://doi.org/10.1016/j.scitotenv.2018.03.218</w:t>
        </w:r>
      </w:hyperlink>
      <w:r w:rsidR="00BE3071" w:rsidRPr="002054B2">
        <w:rPr>
          <w:rFonts w:ascii="Times New Roman" w:eastAsia="Times New Roman" w:hAnsi="Times New Roman" w:cs="Times New Roman"/>
          <w:color w:val="000000"/>
          <w:lang w:val="en-US" w:eastAsia="fr-FR"/>
        </w:rPr>
        <w:t xml:space="preserve"> </w:t>
      </w:r>
    </w:p>
    <w:p w14:paraId="54656AB1" w14:textId="77777777" w:rsidR="00D33F3B" w:rsidRPr="005E6576" w:rsidRDefault="00D33F3B" w:rsidP="00C51B0E">
      <w:pPr>
        <w:spacing w:line="480" w:lineRule="auto"/>
        <w:ind w:left="0" w:firstLine="0"/>
        <w:rPr>
          <w:rFonts w:ascii="Times New Roman" w:hAnsi="Times New Roman" w:cs="Times New Roman"/>
          <w:lang w:val="en-US"/>
        </w:rPr>
      </w:pPr>
    </w:p>
    <w:sectPr w:rsidR="00D33F3B" w:rsidRPr="005E6576" w:rsidSect="00A56412">
      <w:headerReference w:type="even" r:id="rId62"/>
      <w:headerReference w:type="default" r:id="rId63"/>
      <w:footerReference w:type="default" r:id="rId64"/>
      <w:headerReference w:type="first" r:id="rId6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BBBE1" w14:textId="77777777" w:rsidR="00604C14" w:rsidRDefault="00604C14" w:rsidP="00B2745B">
      <w:pPr>
        <w:spacing w:after="0" w:line="240" w:lineRule="auto"/>
      </w:pPr>
      <w:r>
        <w:separator/>
      </w:r>
    </w:p>
  </w:endnote>
  <w:endnote w:type="continuationSeparator" w:id="0">
    <w:p w14:paraId="2435D762" w14:textId="77777777" w:rsidR="00604C14" w:rsidRDefault="00604C14" w:rsidP="00B27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1E315" w14:textId="77777777" w:rsidR="00A73B5F" w:rsidRDefault="00A73B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366EE" w14:textId="7705BE7D" w:rsidR="00B2745B" w:rsidRDefault="00B2745B">
    <w:pPr>
      <w:pStyle w:val="Footer"/>
      <w:jc w:val="right"/>
    </w:pPr>
  </w:p>
  <w:p w14:paraId="583361F5" w14:textId="77777777" w:rsidR="00B2745B" w:rsidRDefault="00B274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515F0" w14:textId="77777777" w:rsidR="00A73B5F" w:rsidRDefault="00A73B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3535185"/>
      <w:docPartObj>
        <w:docPartGallery w:val="Page Numbers (Bottom of Page)"/>
        <w:docPartUnique/>
      </w:docPartObj>
    </w:sdtPr>
    <w:sdtEndPr>
      <w:rPr>
        <w:noProof/>
      </w:rPr>
    </w:sdtEndPr>
    <w:sdtContent>
      <w:p w14:paraId="2AFF2C45" w14:textId="70FBAB9B" w:rsidR="00DE6354" w:rsidRDefault="00DE6354">
        <w:pPr>
          <w:pStyle w:val="Footer"/>
          <w:jc w:val="right"/>
        </w:pPr>
        <w:r>
          <w:fldChar w:fldCharType="begin"/>
        </w:r>
        <w:r>
          <w:instrText xml:space="preserve"> PAGE   \* MERGEFORMAT </w:instrText>
        </w:r>
        <w:r>
          <w:fldChar w:fldCharType="separate"/>
        </w:r>
        <w:r w:rsidR="00E928F2">
          <w:rPr>
            <w:noProof/>
          </w:rPr>
          <w:t>15</w:t>
        </w:r>
        <w:r>
          <w:rPr>
            <w:noProof/>
          </w:rPr>
          <w:fldChar w:fldCharType="end"/>
        </w:r>
      </w:p>
    </w:sdtContent>
  </w:sdt>
  <w:p w14:paraId="1A522078" w14:textId="77777777" w:rsidR="00DE6354" w:rsidRDefault="00DE63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083D9" w14:textId="2020F4E4" w:rsidR="00DE6354" w:rsidRDefault="00DE6354" w:rsidP="00DE6354">
    <w:pPr>
      <w:pStyle w:val="Footer"/>
    </w:pPr>
  </w:p>
  <w:p w14:paraId="5A8EDDFE" w14:textId="77777777" w:rsidR="00DE6354" w:rsidRDefault="00DE6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B5E5E" w14:textId="77777777" w:rsidR="00604C14" w:rsidRDefault="00604C14" w:rsidP="00B2745B">
      <w:pPr>
        <w:spacing w:after="0" w:line="240" w:lineRule="auto"/>
      </w:pPr>
      <w:r>
        <w:separator/>
      </w:r>
    </w:p>
  </w:footnote>
  <w:footnote w:type="continuationSeparator" w:id="0">
    <w:p w14:paraId="410F1968" w14:textId="77777777" w:rsidR="00604C14" w:rsidRDefault="00604C14" w:rsidP="00B27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15F62" w14:textId="06D7CD5F" w:rsidR="00A73B5F" w:rsidRDefault="00000000">
    <w:pPr>
      <w:pStyle w:val="Header"/>
    </w:pPr>
    <w:r>
      <w:rPr>
        <w:noProof/>
      </w:rPr>
      <w:pict w14:anchorId="549C2F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101251" o:spid="_x0000_s1026" type="#_x0000_t136" style="position:absolute;left:0;text-align:left;margin-left:0;margin-top:0;width:538.2pt;height:100.9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59D4C" w14:textId="62D82DC7" w:rsidR="00A73B5F" w:rsidRDefault="00000000">
    <w:pPr>
      <w:pStyle w:val="Header"/>
    </w:pPr>
    <w:r>
      <w:rPr>
        <w:noProof/>
      </w:rPr>
      <w:pict w14:anchorId="0F0235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101252" o:spid="_x0000_s1027" type="#_x0000_t136" style="position:absolute;left:0;text-align:left;margin-left:0;margin-top:0;width:538.2pt;height:100.9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AF7E1" w14:textId="56C3E36F" w:rsidR="00A73B5F" w:rsidRDefault="00000000">
    <w:pPr>
      <w:pStyle w:val="Header"/>
    </w:pPr>
    <w:r>
      <w:rPr>
        <w:noProof/>
      </w:rPr>
      <w:pict w14:anchorId="6E0F29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101250" o:spid="_x0000_s1025" type="#_x0000_t136" style="position:absolute;left:0;text-align:left;margin-left:0;margin-top:0;width:538.2pt;height:100.9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B81D4" w14:textId="72549984" w:rsidR="00A73B5F" w:rsidRDefault="00000000">
    <w:pPr>
      <w:pStyle w:val="Header"/>
    </w:pPr>
    <w:r>
      <w:rPr>
        <w:noProof/>
      </w:rPr>
      <w:pict w14:anchorId="643222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101254" o:spid="_x0000_s1029" type="#_x0000_t136" style="position:absolute;left:0;text-align:left;margin-left:0;margin-top:0;width:538.2pt;height:100.9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E6BA9" w14:textId="4159A7DE" w:rsidR="00A73B5F" w:rsidRDefault="00000000">
    <w:pPr>
      <w:pStyle w:val="Header"/>
    </w:pPr>
    <w:r>
      <w:rPr>
        <w:noProof/>
      </w:rPr>
      <w:pict w14:anchorId="068F45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101255" o:spid="_x0000_s1030" type="#_x0000_t136" style="position:absolute;left:0;text-align:left;margin-left:0;margin-top:0;width:538.2pt;height:100.9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E85C2" w14:textId="7CB218F5" w:rsidR="00A73B5F" w:rsidRDefault="00000000">
    <w:pPr>
      <w:pStyle w:val="Header"/>
    </w:pPr>
    <w:r>
      <w:rPr>
        <w:noProof/>
      </w:rPr>
      <w:pict w14:anchorId="084C93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101253" o:spid="_x0000_s1028" type="#_x0000_t136" style="position:absolute;left:0;text-align:left;margin-left:0;margin-top:0;width:538.2pt;height:100.9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A3F90" w14:textId="122AFBA1" w:rsidR="00A73B5F" w:rsidRDefault="00000000">
    <w:pPr>
      <w:pStyle w:val="Header"/>
    </w:pPr>
    <w:r>
      <w:rPr>
        <w:noProof/>
      </w:rPr>
      <w:pict w14:anchorId="10A7D8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101257" o:spid="_x0000_s1032" type="#_x0000_t136" style="position:absolute;left:0;text-align:left;margin-left:0;margin-top:0;width:538.2pt;height:100.9pt;rotation:315;z-index:-25164288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55EB8" w14:textId="3A78587B" w:rsidR="00A73B5F" w:rsidRDefault="00000000">
    <w:pPr>
      <w:pStyle w:val="Header"/>
    </w:pPr>
    <w:r>
      <w:rPr>
        <w:noProof/>
      </w:rPr>
      <w:pict w14:anchorId="60BFD5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101258" o:spid="_x0000_s1033" type="#_x0000_t136" style="position:absolute;left:0;text-align:left;margin-left:0;margin-top:0;width:538.2pt;height:100.9pt;rotation:315;z-index:-25164083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2A3B9" w14:textId="737497A1" w:rsidR="00A73B5F" w:rsidRDefault="00000000">
    <w:pPr>
      <w:pStyle w:val="Header"/>
    </w:pPr>
    <w:r>
      <w:rPr>
        <w:noProof/>
      </w:rPr>
      <w:pict w14:anchorId="4D7097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101256" o:spid="_x0000_s1031" type="#_x0000_t136" style="position:absolute;left:0;text-align:left;margin-left:0;margin-top:0;width:538.2pt;height:100.9pt;rotation:315;z-index:-2516449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63A54"/>
    <w:multiLevelType w:val="multilevel"/>
    <w:tmpl w:val="C09233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CC33DD9"/>
    <w:multiLevelType w:val="hybridMultilevel"/>
    <w:tmpl w:val="DE02A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B4569F"/>
    <w:multiLevelType w:val="multilevel"/>
    <w:tmpl w:val="9498FD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4AFD13CB"/>
    <w:multiLevelType w:val="hybridMultilevel"/>
    <w:tmpl w:val="C26C3D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90713168">
    <w:abstractNumId w:val="0"/>
  </w:num>
  <w:num w:numId="2" w16cid:durableId="1898398521">
    <w:abstractNumId w:val="2"/>
  </w:num>
  <w:num w:numId="3" w16cid:durableId="1756390378">
    <w:abstractNumId w:val="3"/>
  </w:num>
  <w:num w:numId="4" w16cid:durableId="341662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F3B"/>
    <w:rsid w:val="00031CD0"/>
    <w:rsid w:val="000758E5"/>
    <w:rsid w:val="00090C9B"/>
    <w:rsid w:val="000B0369"/>
    <w:rsid w:val="000C066A"/>
    <w:rsid w:val="000C3006"/>
    <w:rsid w:val="000F3535"/>
    <w:rsid w:val="000F7CB3"/>
    <w:rsid w:val="00146FA0"/>
    <w:rsid w:val="0017031F"/>
    <w:rsid w:val="001731F6"/>
    <w:rsid w:val="001A2589"/>
    <w:rsid w:val="001D30A8"/>
    <w:rsid w:val="002054B2"/>
    <w:rsid w:val="00215AEB"/>
    <w:rsid w:val="002359C6"/>
    <w:rsid w:val="00247A7A"/>
    <w:rsid w:val="00266485"/>
    <w:rsid w:val="002776F5"/>
    <w:rsid w:val="00290CF8"/>
    <w:rsid w:val="00303D4C"/>
    <w:rsid w:val="003614E0"/>
    <w:rsid w:val="003D48B6"/>
    <w:rsid w:val="003E6E44"/>
    <w:rsid w:val="003F5F7D"/>
    <w:rsid w:val="00457661"/>
    <w:rsid w:val="00483227"/>
    <w:rsid w:val="004934C7"/>
    <w:rsid w:val="00497A55"/>
    <w:rsid w:val="004A3726"/>
    <w:rsid w:val="00537681"/>
    <w:rsid w:val="00593C92"/>
    <w:rsid w:val="005957B1"/>
    <w:rsid w:val="005E6576"/>
    <w:rsid w:val="00604C14"/>
    <w:rsid w:val="006074F8"/>
    <w:rsid w:val="00636F89"/>
    <w:rsid w:val="00641198"/>
    <w:rsid w:val="006459F0"/>
    <w:rsid w:val="006515F9"/>
    <w:rsid w:val="00661147"/>
    <w:rsid w:val="0069044B"/>
    <w:rsid w:val="006A585A"/>
    <w:rsid w:val="006A7B6C"/>
    <w:rsid w:val="006E2A21"/>
    <w:rsid w:val="006F2ED4"/>
    <w:rsid w:val="0075520F"/>
    <w:rsid w:val="007663DB"/>
    <w:rsid w:val="007A1B29"/>
    <w:rsid w:val="007E2973"/>
    <w:rsid w:val="00800090"/>
    <w:rsid w:val="00846AA8"/>
    <w:rsid w:val="008B27C6"/>
    <w:rsid w:val="008D5AAD"/>
    <w:rsid w:val="008D690D"/>
    <w:rsid w:val="008E407A"/>
    <w:rsid w:val="00967E36"/>
    <w:rsid w:val="009C4909"/>
    <w:rsid w:val="00A061B5"/>
    <w:rsid w:val="00A33548"/>
    <w:rsid w:val="00A35975"/>
    <w:rsid w:val="00A42B81"/>
    <w:rsid w:val="00A56412"/>
    <w:rsid w:val="00A578E7"/>
    <w:rsid w:val="00A73B5F"/>
    <w:rsid w:val="00A80ABA"/>
    <w:rsid w:val="00A8338E"/>
    <w:rsid w:val="00A83A42"/>
    <w:rsid w:val="00A86DD7"/>
    <w:rsid w:val="00AD09A6"/>
    <w:rsid w:val="00AF4468"/>
    <w:rsid w:val="00B05766"/>
    <w:rsid w:val="00B11006"/>
    <w:rsid w:val="00B2745B"/>
    <w:rsid w:val="00B37B51"/>
    <w:rsid w:val="00B43A19"/>
    <w:rsid w:val="00BA07AE"/>
    <w:rsid w:val="00BA0979"/>
    <w:rsid w:val="00BC6AA7"/>
    <w:rsid w:val="00BE14AA"/>
    <w:rsid w:val="00BE3071"/>
    <w:rsid w:val="00C06A96"/>
    <w:rsid w:val="00C3178F"/>
    <w:rsid w:val="00C452F8"/>
    <w:rsid w:val="00C51B0E"/>
    <w:rsid w:val="00C5372D"/>
    <w:rsid w:val="00C9541E"/>
    <w:rsid w:val="00CE3F0E"/>
    <w:rsid w:val="00D0084C"/>
    <w:rsid w:val="00D33F3B"/>
    <w:rsid w:val="00D439F3"/>
    <w:rsid w:val="00D74D8D"/>
    <w:rsid w:val="00D86286"/>
    <w:rsid w:val="00D900F8"/>
    <w:rsid w:val="00DA6E6A"/>
    <w:rsid w:val="00DE4FDD"/>
    <w:rsid w:val="00DE619F"/>
    <w:rsid w:val="00DE6354"/>
    <w:rsid w:val="00DE7E17"/>
    <w:rsid w:val="00E069F5"/>
    <w:rsid w:val="00E24C49"/>
    <w:rsid w:val="00E577EF"/>
    <w:rsid w:val="00E928F2"/>
    <w:rsid w:val="00EA67C9"/>
    <w:rsid w:val="00EC11EE"/>
    <w:rsid w:val="00ED09D3"/>
    <w:rsid w:val="00EE113A"/>
    <w:rsid w:val="00EF1518"/>
    <w:rsid w:val="00EF5641"/>
    <w:rsid w:val="00F22AF8"/>
    <w:rsid w:val="00F26C9A"/>
    <w:rsid w:val="00F633C6"/>
    <w:rsid w:val="00FB37C6"/>
  </w:rsids>
  <m:mathPr>
    <m:mathFont m:val="Cambria Math"/>
    <m:brkBin m:val="before"/>
    <m:brkBinSub m:val="--"/>
    <m:smallFrac m:val="0"/>
    <m:dispDef/>
    <m:lMargin m:val="0"/>
    <m:rMargin m:val="0"/>
    <m:defJc m:val="centerGroup"/>
    <m:wrapIndent m:val="1440"/>
    <m:intLim m:val="subSup"/>
    <m:naryLim m:val="undOvr"/>
  </m:mathPr>
  <w:themeFontLang w:val="fr-S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D749D"/>
  <w15:chartTrackingRefBased/>
  <w15:docId w15:val="{1A5F9272-7E97-8F41-BFF1-C05BF540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SN" w:eastAsia="en-US" w:bidi="ar-SA"/>
      </w:rPr>
    </w:rPrDefault>
    <w:pPrDefault>
      <w:pPr>
        <w:spacing w:after="120"/>
        <w:ind w:left="143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3">
    <w:name w:val="heading 3"/>
    <w:basedOn w:val="Normal"/>
    <w:link w:val="Heading3Char"/>
    <w:uiPriority w:val="9"/>
    <w:qFormat/>
    <w:rsid w:val="00D33F3B"/>
    <w:pPr>
      <w:spacing w:before="100" w:beforeAutospacing="1" w:after="100" w:afterAutospacing="1" w:line="240" w:lineRule="auto"/>
      <w:ind w:left="0" w:firstLine="0"/>
      <w:jc w:val="left"/>
      <w:outlineLvl w:val="2"/>
    </w:pPr>
    <w:rPr>
      <w:rFonts w:ascii="Times New Roman" w:eastAsia="Times New Roman" w:hAnsi="Times New Roman" w:cs="Times New Roman"/>
      <w:b/>
      <w:bCs/>
      <w:sz w:val="27"/>
      <w:szCs w:val="27"/>
      <w:lang w:eastAsia="fr-FR"/>
    </w:rPr>
  </w:style>
  <w:style w:type="paragraph" w:styleId="Heading4">
    <w:name w:val="heading 4"/>
    <w:basedOn w:val="Normal"/>
    <w:next w:val="Normal"/>
    <w:link w:val="Heading4Char"/>
    <w:uiPriority w:val="9"/>
    <w:semiHidden/>
    <w:unhideWhenUsed/>
    <w:qFormat/>
    <w:rsid w:val="00D439F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37B5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3F3B"/>
    <w:pPr>
      <w:spacing w:before="100" w:beforeAutospacing="1" w:after="100" w:afterAutospacing="1" w:line="240" w:lineRule="auto"/>
      <w:ind w:left="0" w:firstLine="0"/>
      <w:jc w:val="left"/>
    </w:pPr>
    <w:rPr>
      <w:rFonts w:ascii="Times New Roman" w:eastAsia="Times New Roman" w:hAnsi="Times New Roman" w:cs="Times New Roman"/>
      <w:lang w:eastAsia="fr-FR"/>
    </w:rPr>
  </w:style>
  <w:style w:type="character" w:customStyle="1" w:styleId="fadeinm1hgl8">
    <w:name w:val="_fadein_m1hgl_8"/>
    <w:basedOn w:val="DefaultParagraphFont"/>
    <w:rsid w:val="00D33F3B"/>
  </w:style>
  <w:style w:type="character" w:customStyle="1" w:styleId="Heading3Char">
    <w:name w:val="Heading 3 Char"/>
    <w:basedOn w:val="DefaultParagraphFont"/>
    <w:link w:val="Heading3"/>
    <w:uiPriority w:val="9"/>
    <w:rsid w:val="00D33F3B"/>
    <w:rPr>
      <w:rFonts w:ascii="Times New Roman" w:eastAsia="Times New Roman" w:hAnsi="Times New Roman" w:cs="Times New Roman"/>
      <w:b/>
      <w:bCs/>
      <w:sz w:val="27"/>
      <w:szCs w:val="27"/>
      <w:lang w:eastAsia="fr-FR"/>
    </w:rPr>
  </w:style>
  <w:style w:type="character" w:styleId="Strong">
    <w:name w:val="Strong"/>
    <w:basedOn w:val="DefaultParagraphFont"/>
    <w:uiPriority w:val="22"/>
    <w:qFormat/>
    <w:rsid w:val="00D33F3B"/>
    <w:rPr>
      <w:b/>
      <w:bCs/>
    </w:rPr>
  </w:style>
  <w:style w:type="character" w:customStyle="1" w:styleId="katex-mathml">
    <w:name w:val="katex-mathml"/>
    <w:basedOn w:val="DefaultParagraphFont"/>
    <w:rsid w:val="00D439F3"/>
  </w:style>
  <w:style w:type="character" w:customStyle="1" w:styleId="mord">
    <w:name w:val="mord"/>
    <w:basedOn w:val="DefaultParagraphFont"/>
    <w:rsid w:val="00D439F3"/>
  </w:style>
  <w:style w:type="character" w:customStyle="1" w:styleId="mrel">
    <w:name w:val="mrel"/>
    <w:basedOn w:val="DefaultParagraphFont"/>
    <w:rsid w:val="00D439F3"/>
  </w:style>
  <w:style w:type="character" w:customStyle="1" w:styleId="mopen">
    <w:name w:val="mopen"/>
    <w:basedOn w:val="DefaultParagraphFont"/>
    <w:rsid w:val="00D439F3"/>
  </w:style>
  <w:style w:type="character" w:customStyle="1" w:styleId="vlist-s">
    <w:name w:val="vlist-s"/>
    <w:basedOn w:val="DefaultParagraphFont"/>
    <w:rsid w:val="00D439F3"/>
  </w:style>
  <w:style w:type="character" w:customStyle="1" w:styleId="mbin">
    <w:name w:val="mbin"/>
    <w:basedOn w:val="DefaultParagraphFont"/>
    <w:rsid w:val="00D439F3"/>
  </w:style>
  <w:style w:type="character" w:customStyle="1" w:styleId="mclose">
    <w:name w:val="mclose"/>
    <w:basedOn w:val="DefaultParagraphFont"/>
    <w:rsid w:val="00D439F3"/>
  </w:style>
  <w:style w:type="character" w:customStyle="1" w:styleId="apple-converted-space">
    <w:name w:val="apple-converted-space"/>
    <w:basedOn w:val="DefaultParagraphFont"/>
    <w:rsid w:val="00D439F3"/>
  </w:style>
  <w:style w:type="character" w:customStyle="1" w:styleId="Heading4Char">
    <w:name w:val="Heading 4 Char"/>
    <w:basedOn w:val="DefaultParagraphFont"/>
    <w:link w:val="Heading4"/>
    <w:uiPriority w:val="9"/>
    <w:semiHidden/>
    <w:rsid w:val="00D439F3"/>
    <w:rPr>
      <w:rFonts w:asciiTheme="majorHAnsi" w:eastAsiaTheme="majorEastAsia" w:hAnsiTheme="majorHAnsi" w:cstheme="majorBidi"/>
      <w:i/>
      <w:iCs/>
      <w:color w:val="2F5496" w:themeColor="accent1" w:themeShade="BF"/>
    </w:rPr>
  </w:style>
  <w:style w:type="character" w:customStyle="1" w:styleId="delimsizing">
    <w:name w:val="delimsizing"/>
    <w:basedOn w:val="DefaultParagraphFont"/>
    <w:rsid w:val="00D439F3"/>
  </w:style>
  <w:style w:type="table" w:styleId="TableGrid">
    <w:name w:val="Table Grid"/>
    <w:basedOn w:val="TableNormal"/>
    <w:uiPriority w:val="39"/>
    <w:rsid w:val="004934C7"/>
    <w:pPr>
      <w:spacing w:after="0"/>
      <w:ind w:left="0" w:firstLine="0"/>
      <w:jc w:val="left"/>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B37B51"/>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DA6E6A"/>
    <w:rPr>
      <w:i/>
      <w:iCs/>
    </w:rPr>
  </w:style>
  <w:style w:type="paragraph" w:styleId="ListParagraph">
    <w:name w:val="List Paragraph"/>
    <w:basedOn w:val="Normal"/>
    <w:uiPriority w:val="34"/>
    <w:qFormat/>
    <w:rsid w:val="00DA6E6A"/>
    <w:pPr>
      <w:ind w:left="720"/>
      <w:contextualSpacing/>
    </w:pPr>
  </w:style>
  <w:style w:type="character" w:styleId="Hyperlink">
    <w:name w:val="Hyperlink"/>
    <w:basedOn w:val="DefaultParagraphFont"/>
    <w:uiPriority w:val="99"/>
    <w:unhideWhenUsed/>
    <w:rsid w:val="008E407A"/>
    <w:rPr>
      <w:color w:val="0563C1" w:themeColor="hyperlink"/>
      <w:u w:val="single"/>
    </w:rPr>
  </w:style>
  <w:style w:type="character" w:customStyle="1" w:styleId="UnresolvedMention1">
    <w:name w:val="Unresolved Mention1"/>
    <w:basedOn w:val="DefaultParagraphFont"/>
    <w:uiPriority w:val="99"/>
    <w:semiHidden/>
    <w:unhideWhenUsed/>
    <w:rsid w:val="00EC11EE"/>
    <w:rPr>
      <w:color w:val="605E5C"/>
      <w:shd w:val="clear" w:color="auto" w:fill="E1DFDD"/>
    </w:rPr>
  </w:style>
  <w:style w:type="paragraph" w:styleId="Header">
    <w:name w:val="header"/>
    <w:basedOn w:val="Normal"/>
    <w:link w:val="HeaderChar"/>
    <w:uiPriority w:val="99"/>
    <w:unhideWhenUsed/>
    <w:rsid w:val="00B2745B"/>
    <w:pPr>
      <w:tabs>
        <w:tab w:val="center" w:pos="4703"/>
        <w:tab w:val="right" w:pos="9406"/>
      </w:tabs>
      <w:spacing w:after="0" w:line="240" w:lineRule="auto"/>
    </w:pPr>
  </w:style>
  <w:style w:type="character" w:customStyle="1" w:styleId="HeaderChar">
    <w:name w:val="Header Char"/>
    <w:basedOn w:val="DefaultParagraphFont"/>
    <w:link w:val="Header"/>
    <w:uiPriority w:val="99"/>
    <w:rsid w:val="00B2745B"/>
  </w:style>
  <w:style w:type="paragraph" w:styleId="Footer">
    <w:name w:val="footer"/>
    <w:basedOn w:val="Normal"/>
    <w:link w:val="FooterChar"/>
    <w:uiPriority w:val="99"/>
    <w:unhideWhenUsed/>
    <w:rsid w:val="00B2745B"/>
    <w:pPr>
      <w:tabs>
        <w:tab w:val="center" w:pos="4703"/>
        <w:tab w:val="right" w:pos="9406"/>
      </w:tabs>
      <w:spacing w:after="0" w:line="240" w:lineRule="auto"/>
    </w:pPr>
  </w:style>
  <w:style w:type="character" w:customStyle="1" w:styleId="FooterChar">
    <w:name w:val="Footer Char"/>
    <w:basedOn w:val="DefaultParagraphFont"/>
    <w:link w:val="Footer"/>
    <w:uiPriority w:val="99"/>
    <w:rsid w:val="00B2745B"/>
  </w:style>
  <w:style w:type="character" w:styleId="FollowedHyperlink">
    <w:name w:val="FollowedHyperlink"/>
    <w:basedOn w:val="DefaultParagraphFont"/>
    <w:uiPriority w:val="99"/>
    <w:semiHidden/>
    <w:unhideWhenUsed/>
    <w:rsid w:val="00090C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77672">
      <w:bodyDiv w:val="1"/>
      <w:marLeft w:val="0"/>
      <w:marRight w:val="0"/>
      <w:marTop w:val="0"/>
      <w:marBottom w:val="0"/>
      <w:divBdr>
        <w:top w:val="none" w:sz="0" w:space="0" w:color="auto"/>
        <w:left w:val="none" w:sz="0" w:space="0" w:color="auto"/>
        <w:bottom w:val="none" w:sz="0" w:space="0" w:color="auto"/>
        <w:right w:val="none" w:sz="0" w:space="0" w:color="auto"/>
      </w:divBdr>
    </w:div>
    <w:div w:id="214968161">
      <w:bodyDiv w:val="1"/>
      <w:marLeft w:val="0"/>
      <w:marRight w:val="0"/>
      <w:marTop w:val="0"/>
      <w:marBottom w:val="0"/>
      <w:divBdr>
        <w:top w:val="none" w:sz="0" w:space="0" w:color="auto"/>
        <w:left w:val="none" w:sz="0" w:space="0" w:color="auto"/>
        <w:bottom w:val="none" w:sz="0" w:space="0" w:color="auto"/>
        <w:right w:val="none" w:sz="0" w:space="0" w:color="auto"/>
      </w:divBdr>
    </w:div>
    <w:div w:id="403454558">
      <w:bodyDiv w:val="1"/>
      <w:marLeft w:val="0"/>
      <w:marRight w:val="0"/>
      <w:marTop w:val="0"/>
      <w:marBottom w:val="0"/>
      <w:divBdr>
        <w:top w:val="none" w:sz="0" w:space="0" w:color="auto"/>
        <w:left w:val="none" w:sz="0" w:space="0" w:color="auto"/>
        <w:bottom w:val="none" w:sz="0" w:space="0" w:color="auto"/>
        <w:right w:val="none" w:sz="0" w:space="0" w:color="auto"/>
      </w:divBdr>
    </w:div>
    <w:div w:id="429009450">
      <w:bodyDiv w:val="1"/>
      <w:marLeft w:val="0"/>
      <w:marRight w:val="0"/>
      <w:marTop w:val="0"/>
      <w:marBottom w:val="0"/>
      <w:divBdr>
        <w:top w:val="none" w:sz="0" w:space="0" w:color="auto"/>
        <w:left w:val="none" w:sz="0" w:space="0" w:color="auto"/>
        <w:bottom w:val="none" w:sz="0" w:space="0" w:color="auto"/>
        <w:right w:val="none" w:sz="0" w:space="0" w:color="auto"/>
      </w:divBdr>
    </w:div>
    <w:div w:id="593628825">
      <w:bodyDiv w:val="1"/>
      <w:marLeft w:val="0"/>
      <w:marRight w:val="0"/>
      <w:marTop w:val="0"/>
      <w:marBottom w:val="0"/>
      <w:divBdr>
        <w:top w:val="none" w:sz="0" w:space="0" w:color="auto"/>
        <w:left w:val="none" w:sz="0" w:space="0" w:color="auto"/>
        <w:bottom w:val="none" w:sz="0" w:space="0" w:color="auto"/>
        <w:right w:val="none" w:sz="0" w:space="0" w:color="auto"/>
      </w:divBdr>
      <w:divsChild>
        <w:div w:id="1152022851">
          <w:marLeft w:val="0"/>
          <w:marRight w:val="0"/>
          <w:marTop w:val="0"/>
          <w:marBottom w:val="0"/>
          <w:divBdr>
            <w:top w:val="none" w:sz="0" w:space="0" w:color="auto"/>
            <w:left w:val="none" w:sz="0" w:space="0" w:color="auto"/>
            <w:bottom w:val="none" w:sz="0" w:space="0" w:color="auto"/>
            <w:right w:val="none" w:sz="0" w:space="0" w:color="auto"/>
          </w:divBdr>
          <w:divsChild>
            <w:div w:id="211485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5461">
      <w:bodyDiv w:val="1"/>
      <w:marLeft w:val="0"/>
      <w:marRight w:val="0"/>
      <w:marTop w:val="0"/>
      <w:marBottom w:val="0"/>
      <w:divBdr>
        <w:top w:val="none" w:sz="0" w:space="0" w:color="auto"/>
        <w:left w:val="none" w:sz="0" w:space="0" w:color="auto"/>
        <w:bottom w:val="none" w:sz="0" w:space="0" w:color="auto"/>
        <w:right w:val="none" w:sz="0" w:space="0" w:color="auto"/>
      </w:divBdr>
    </w:div>
    <w:div w:id="744493594">
      <w:bodyDiv w:val="1"/>
      <w:marLeft w:val="0"/>
      <w:marRight w:val="0"/>
      <w:marTop w:val="0"/>
      <w:marBottom w:val="0"/>
      <w:divBdr>
        <w:top w:val="none" w:sz="0" w:space="0" w:color="auto"/>
        <w:left w:val="none" w:sz="0" w:space="0" w:color="auto"/>
        <w:bottom w:val="none" w:sz="0" w:space="0" w:color="auto"/>
        <w:right w:val="none" w:sz="0" w:space="0" w:color="auto"/>
      </w:divBdr>
    </w:div>
    <w:div w:id="926503750">
      <w:bodyDiv w:val="1"/>
      <w:marLeft w:val="0"/>
      <w:marRight w:val="0"/>
      <w:marTop w:val="0"/>
      <w:marBottom w:val="0"/>
      <w:divBdr>
        <w:top w:val="none" w:sz="0" w:space="0" w:color="auto"/>
        <w:left w:val="none" w:sz="0" w:space="0" w:color="auto"/>
        <w:bottom w:val="none" w:sz="0" w:space="0" w:color="auto"/>
        <w:right w:val="none" w:sz="0" w:space="0" w:color="auto"/>
      </w:divBdr>
    </w:div>
    <w:div w:id="992566900">
      <w:bodyDiv w:val="1"/>
      <w:marLeft w:val="0"/>
      <w:marRight w:val="0"/>
      <w:marTop w:val="0"/>
      <w:marBottom w:val="0"/>
      <w:divBdr>
        <w:top w:val="none" w:sz="0" w:space="0" w:color="auto"/>
        <w:left w:val="none" w:sz="0" w:space="0" w:color="auto"/>
        <w:bottom w:val="none" w:sz="0" w:space="0" w:color="auto"/>
        <w:right w:val="none" w:sz="0" w:space="0" w:color="auto"/>
      </w:divBdr>
    </w:div>
    <w:div w:id="1054278717">
      <w:bodyDiv w:val="1"/>
      <w:marLeft w:val="0"/>
      <w:marRight w:val="0"/>
      <w:marTop w:val="0"/>
      <w:marBottom w:val="0"/>
      <w:divBdr>
        <w:top w:val="none" w:sz="0" w:space="0" w:color="auto"/>
        <w:left w:val="none" w:sz="0" w:space="0" w:color="auto"/>
        <w:bottom w:val="none" w:sz="0" w:space="0" w:color="auto"/>
        <w:right w:val="none" w:sz="0" w:space="0" w:color="auto"/>
      </w:divBdr>
      <w:divsChild>
        <w:div w:id="1552230264">
          <w:marLeft w:val="0"/>
          <w:marRight w:val="0"/>
          <w:marTop w:val="0"/>
          <w:marBottom w:val="0"/>
          <w:divBdr>
            <w:top w:val="none" w:sz="0" w:space="0" w:color="auto"/>
            <w:left w:val="none" w:sz="0" w:space="0" w:color="auto"/>
            <w:bottom w:val="none" w:sz="0" w:space="0" w:color="auto"/>
            <w:right w:val="none" w:sz="0" w:space="0" w:color="auto"/>
          </w:divBdr>
          <w:divsChild>
            <w:div w:id="6816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54255">
      <w:bodyDiv w:val="1"/>
      <w:marLeft w:val="0"/>
      <w:marRight w:val="0"/>
      <w:marTop w:val="0"/>
      <w:marBottom w:val="0"/>
      <w:divBdr>
        <w:top w:val="none" w:sz="0" w:space="0" w:color="auto"/>
        <w:left w:val="none" w:sz="0" w:space="0" w:color="auto"/>
        <w:bottom w:val="none" w:sz="0" w:space="0" w:color="auto"/>
        <w:right w:val="none" w:sz="0" w:space="0" w:color="auto"/>
      </w:divBdr>
    </w:div>
    <w:div w:id="1173567690">
      <w:bodyDiv w:val="1"/>
      <w:marLeft w:val="0"/>
      <w:marRight w:val="0"/>
      <w:marTop w:val="0"/>
      <w:marBottom w:val="0"/>
      <w:divBdr>
        <w:top w:val="none" w:sz="0" w:space="0" w:color="auto"/>
        <w:left w:val="none" w:sz="0" w:space="0" w:color="auto"/>
        <w:bottom w:val="none" w:sz="0" w:space="0" w:color="auto"/>
        <w:right w:val="none" w:sz="0" w:space="0" w:color="auto"/>
      </w:divBdr>
    </w:div>
    <w:div w:id="1231498557">
      <w:bodyDiv w:val="1"/>
      <w:marLeft w:val="0"/>
      <w:marRight w:val="0"/>
      <w:marTop w:val="0"/>
      <w:marBottom w:val="0"/>
      <w:divBdr>
        <w:top w:val="none" w:sz="0" w:space="0" w:color="auto"/>
        <w:left w:val="none" w:sz="0" w:space="0" w:color="auto"/>
        <w:bottom w:val="none" w:sz="0" w:space="0" w:color="auto"/>
        <w:right w:val="none" w:sz="0" w:space="0" w:color="auto"/>
      </w:divBdr>
      <w:divsChild>
        <w:div w:id="1187138233">
          <w:marLeft w:val="0"/>
          <w:marRight w:val="0"/>
          <w:marTop w:val="0"/>
          <w:marBottom w:val="0"/>
          <w:divBdr>
            <w:top w:val="none" w:sz="0" w:space="0" w:color="auto"/>
            <w:left w:val="none" w:sz="0" w:space="0" w:color="auto"/>
            <w:bottom w:val="none" w:sz="0" w:space="0" w:color="auto"/>
            <w:right w:val="none" w:sz="0" w:space="0" w:color="auto"/>
          </w:divBdr>
          <w:divsChild>
            <w:div w:id="4145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7201">
      <w:bodyDiv w:val="1"/>
      <w:marLeft w:val="0"/>
      <w:marRight w:val="0"/>
      <w:marTop w:val="0"/>
      <w:marBottom w:val="0"/>
      <w:divBdr>
        <w:top w:val="none" w:sz="0" w:space="0" w:color="auto"/>
        <w:left w:val="none" w:sz="0" w:space="0" w:color="auto"/>
        <w:bottom w:val="none" w:sz="0" w:space="0" w:color="auto"/>
        <w:right w:val="none" w:sz="0" w:space="0" w:color="auto"/>
      </w:divBdr>
      <w:divsChild>
        <w:div w:id="911086225">
          <w:marLeft w:val="0"/>
          <w:marRight w:val="0"/>
          <w:marTop w:val="0"/>
          <w:marBottom w:val="0"/>
          <w:divBdr>
            <w:top w:val="none" w:sz="0" w:space="0" w:color="auto"/>
            <w:left w:val="none" w:sz="0" w:space="0" w:color="auto"/>
            <w:bottom w:val="none" w:sz="0" w:space="0" w:color="auto"/>
            <w:right w:val="none" w:sz="0" w:space="0" w:color="auto"/>
          </w:divBdr>
          <w:divsChild>
            <w:div w:id="100678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16192">
      <w:bodyDiv w:val="1"/>
      <w:marLeft w:val="0"/>
      <w:marRight w:val="0"/>
      <w:marTop w:val="0"/>
      <w:marBottom w:val="0"/>
      <w:divBdr>
        <w:top w:val="none" w:sz="0" w:space="0" w:color="auto"/>
        <w:left w:val="none" w:sz="0" w:space="0" w:color="auto"/>
        <w:bottom w:val="none" w:sz="0" w:space="0" w:color="auto"/>
        <w:right w:val="none" w:sz="0" w:space="0" w:color="auto"/>
      </w:divBdr>
    </w:div>
    <w:div w:id="1637561156">
      <w:bodyDiv w:val="1"/>
      <w:marLeft w:val="0"/>
      <w:marRight w:val="0"/>
      <w:marTop w:val="0"/>
      <w:marBottom w:val="0"/>
      <w:divBdr>
        <w:top w:val="none" w:sz="0" w:space="0" w:color="auto"/>
        <w:left w:val="none" w:sz="0" w:space="0" w:color="auto"/>
        <w:bottom w:val="none" w:sz="0" w:space="0" w:color="auto"/>
        <w:right w:val="none" w:sz="0" w:space="0" w:color="auto"/>
      </w:divBdr>
    </w:div>
    <w:div w:id="169885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jpeg"/><Relationship Id="rId26" Type="http://schemas.openxmlformats.org/officeDocument/2006/relationships/hyperlink" Target="https://infoscience.epfl.ch/server/api/core/bitstreams/9c18a477-fa94-470b-a2a8-237ea72c962e/content" TargetMode="External"/><Relationship Id="rId39" Type="http://schemas.openxmlformats.org/officeDocument/2006/relationships/hyperlink" Target="https://doi.org/10.1093/bmb/ldg032" TargetMode="External"/><Relationship Id="rId21" Type="http://schemas.openxmlformats.org/officeDocument/2006/relationships/image" Target="media/image4.png"/><Relationship Id="rId34" Type="http://schemas.openxmlformats.org/officeDocument/2006/relationships/hyperlink" Target="https://www.fao.org/fao-who-codexalimentarius/sh-" TargetMode="External"/><Relationship Id="rId42" Type="http://schemas.openxmlformats.org/officeDocument/2006/relationships/hyperlink" Target="https://hal.science/hal-04359177" TargetMode="External"/><Relationship Id="rId47" Type="http://schemas.openxmlformats.org/officeDocument/2006/relationships/hyperlink" Target="https://faolex.fao.org/docs/pdf/sen204537.pdf" TargetMode="External"/><Relationship Id="rId50" Type="http://schemas.openxmlformats.org/officeDocument/2006/relationships/hyperlink" Target="https://doi.org/10.1016/j.envpol.2023.122815" TargetMode="External"/><Relationship Id="rId55" Type="http://schemas.openxmlformats.org/officeDocument/2006/relationships/hyperlink" Target="https://doi.org/10.1007/978-3-7643-8340-4_6" TargetMode="External"/><Relationship Id="rId63" Type="http://schemas.openxmlformats.org/officeDocument/2006/relationships/header" Target="head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s://doi.org/10.1007/s10646-021-0250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07/978-981-13-3630-0_1" TargetMode="External"/><Relationship Id="rId32" Type="http://schemas.openxmlformats.org/officeDocument/2006/relationships/hyperlink" Target="https://doi.org/10.3390/ijerph191811178" TargetMode="External"/><Relationship Id="rId37" Type="http://schemas.openxmlformats.org/officeDocument/2006/relationships/hyperlink" Target="https://books.google.sn/books?hl=en&amp;lr=&amp;id=9PLuCAAAQBAJ&amp;oi=fnd&amp;pg=PA1&amp;dq=F&#246;rstner,+U.,+%26+Wittmann,+G.+T.+W.+(2012).+Metal+Pollution+in+the+Aquatic+Environment.+Springer.+https://doi.org/10.1007/978-3-642-70776-2%22%22&amp;ots=4TVc1Im8-N&amp;sig=nZzN4oTXaUE_KfGUZ1lLKqnyJi8&amp;redir_esc=y" TargetMode="External"/><Relationship Id="rId40" Type="http://schemas.openxmlformats.org/officeDocument/2006/relationships/hyperlink" Target="https://doi.org/10.1186/s40064-016-2471-3" TargetMode="External"/><Relationship Id="rId45" Type="http://schemas.openxmlformats.org/officeDocument/2006/relationships/hyperlink" Target="https://doi.org/10.1016/j.envdev.2017.09.002" TargetMode="External"/><Relationship Id="rId53" Type="http://schemas.openxmlformats.org/officeDocument/2006/relationships/hyperlink" Target="https://doi.org/10.1016/j.marpolbul.2024.116360" TargetMode="External"/><Relationship Id="rId58" Type="http://schemas.openxmlformats.org/officeDocument/2006/relationships/hyperlink" Target="https://www.unep.org/resources/publication/2022-global-status-report-buildings-and-construction"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doi.org/10.1016/j.scitotenv.2019.06.414" TargetMode="External"/><Relationship Id="rId28" Type="http://schemas.openxmlformats.org/officeDocument/2006/relationships/hyperlink" Target="https://doi.org/10.3390/foods12040762" TargetMode="External"/><Relationship Id="rId36" Type="http://schemas.openxmlformats.org/officeDocument/2006/relationships/hyperlink" Target="https://doi.org/10.1007/s10668-016-9894-4" TargetMode="External"/><Relationship Id="rId49" Type="http://schemas.openxmlformats.org/officeDocument/2006/relationships/hyperlink" Target="https://doi.org/10.3390/w12010029" TargetMode="External"/><Relationship Id="rId57" Type="http://schemas.openxmlformats.org/officeDocument/2006/relationships/hyperlink" Target="https://seea.un.org/content/making-peace-nature-scientific-blueprint-tackle-climate-biodiversity-and-pollution" TargetMode="External"/><Relationship Id="rId61" Type="http://schemas.openxmlformats.org/officeDocument/2006/relationships/hyperlink" Target="https://doi.org/10.1016/j.scitotenv.2018.03.218" TargetMode="External"/><Relationship Id="rId10" Type="http://schemas.openxmlformats.org/officeDocument/2006/relationships/footer" Target="footer1.xml"/><Relationship Id="rId19" Type="http://schemas.openxmlformats.org/officeDocument/2006/relationships/image" Target="media/image2.png"/><Relationship Id="rId31" Type="http://schemas.openxmlformats.org/officeDocument/2006/relationships/hyperlink" Target="https://doi.org/10.1016/S0048-9697(01)00916-0" TargetMode="External"/><Relationship Id="rId44" Type="http://schemas.openxmlformats.org/officeDocument/2006/relationships/hyperlink" Target="https://doi.org/10.19044/esj.2021.v17n25p174" TargetMode="External"/><Relationship Id="rId52" Type="http://schemas.openxmlformats.org/officeDocument/2006/relationships/hyperlink" Target="http://www.start.org/upa/dakar_en.pdf" TargetMode="External"/><Relationship Id="rId60" Type="http://schemas.openxmlformats.org/officeDocument/2006/relationships/hyperlink" Target="https://www.epa.gov/iris" TargetMode="External"/><Relationship Id="rId65"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doi.org/10.1016/j.heliyon.2023.e21689" TargetMode="External"/><Relationship Id="rId27" Type="http://schemas.openxmlformats.org/officeDocument/2006/relationships/hyperlink" Target="https://theses.hal.science/tel-01792499v1" TargetMode="External"/><Relationship Id="rId30" Type="http://schemas.openxmlformats.org/officeDocument/2006/relationships/hyperlink" Target="https://doi.org/10.22271/09746315.2023.v19.i1.1669" TargetMode="External"/><Relationship Id="rId35" Type="http://schemas.openxmlformats.org/officeDocument/2006/relationships/hyperlink" Target="https://openknowledge.fao.org/server/api/core/bitstreams/03bf9cde-6189-4d84-8371-eb939311283f/content" TargetMode="External"/><Relationship Id="rId43" Type="http://schemas.openxmlformats.org/officeDocument/2006/relationships/hyperlink" Target="https://doi.org/10.19044/esj.2024.v20n3p53" TargetMode="External"/><Relationship Id="rId48" Type="http://schemas.openxmlformats.org/officeDocument/2006/relationships/hyperlink" Target="https://doi.org/10.1016/j.ancene.2018.07.003" TargetMode="External"/><Relationship Id="rId56" Type="http://schemas.openxmlformats.org/officeDocument/2006/relationships/hyperlink" Target="https://doi.org/10.4314/ijbcs.v13i2.45" TargetMode="External"/><Relationship Id="rId64" Type="http://schemas.openxmlformats.org/officeDocument/2006/relationships/footer" Target="footer5.xml"/><Relationship Id="rId8" Type="http://schemas.openxmlformats.org/officeDocument/2006/relationships/header" Target="header1.xml"/><Relationship Id="rId51" Type="http://schemas.openxmlformats.org/officeDocument/2006/relationships/hyperlink" Target="https://doi.org/10.1007/s11270-024-07702-4"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doi.org/10.1007/978-981-99-7719-2_4" TargetMode="External"/><Relationship Id="rId33" Type="http://schemas.openxmlformats.org/officeDocument/2006/relationships/hyperlink" Target="https://doi.org/10.4314/jab.v137i1.1" TargetMode="External"/><Relationship Id="rId38" Type="http://schemas.openxmlformats.org/officeDocument/2006/relationships/hyperlink" Target="https://doi.org/10.3109/10408449509089885" TargetMode="External"/><Relationship Id="rId46" Type="http://schemas.openxmlformats.org/officeDocument/2006/relationships/hyperlink" Target="https://doi.org/10.3390/jox15020059" TargetMode="External"/><Relationship Id="rId59" Type="http://schemas.openxmlformats.org/officeDocument/2006/relationships/hyperlink" Target="https://doi.org/10.5455/ajvs.296768" TargetMode="External"/><Relationship Id="rId67" Type="http://schemas.openxmlformats.org/officeDocument/2006/relationships/theme" Target="theme/theme1.xml"/><Relationship Id="rId20" Type="http://schemas.openxmlformats.org/officeDocument/2006/relationships/image" Target="media/image3.png"/><Relationship Id="rId41" Type="http://schemas.openxmlformats.org/officeDocument/2006/relationships/hyperlink" Target="https://doi.org/10.1016/j.scitotenv.2019.134149" TargetMode="External"/><Relationship Id="rId54" Type="http://schemas.openxmlformats.org/officeDocument/2006/relationships/hyperlink" Target="https://theses.hal.science/tel-04170656" TargetMode="External"/><Relationship Id="rId62" Type="http://schemas.openxmlformats.org/officeDocument/2006/relationships/header" Target="header7.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CDD4D-AA88-468C-AE2D-68869B866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25</Pages>
  <Words>5792</Words>
  <Characters>33020</Characters>
  <Application>Microsoft Office Word</Application>
  <DocSecurity>0</DocSecurity>
  <Lines>275</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Editor GP 005</cp:lastModifiedBy>
  <cp:revision>16</cp:revision>
  <dcterms:created xsi:type="dcterms:W3CDTF">2025-07-24T04:43:00Z</dcterms:created>
  <dcterms:modified xsi:type="dcterms:W3CDTF">2025-07-26T12:02:00Z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152665</vt:lpwstr>
  </property>
  <property fmtid="{D5CDD505-2E9C-101B-9397-08002B2CF9AE}" pid="3" name="NXPowerLiteSettings">
    <vt:lpwstr>C7000400038000</vt:lpwstr>
  </property>
  <property fmtid="{D5CDD505-2E9C-101B-9397-08002B2CF9AE}" pid="4" name="NXPowerLiteVersion">
    <vt:lpwstr>S10.3.1</vt:lpwstr>
  </property>
</Properties>
</file>