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2A950" w14:textId="350C855D" w:rsidR="006C7488" w:rsidRPr="00253A55" w:rsidRDefault="006C7488" w:rsidP="00253A55">
      <w:pPr>
        <w:ind w:firstLine="640"/>
        <w:jc w:val="both"/>
        <w:rPr>
          <w:rFonts w:ascii="Calibri" w:hAnsi="Calibri" w:cs="Calibri"/>
          <w:b/>
        </w:rPr>
      </w:pPr>
      <w:r w:rsidRPr="00253A55">
        <w:rPr>
          <w:rFonts w:ascii="Calibri" w:hAnsi="Calibri" w:cs="Calibri"/>
          <w:b/>
          <w:sz w:val="32"/>
          <w:highlight w:val="yellow"/>
        </w:rPr>
        <w:t>Evaluation of Ownership Structure impacts on Internationalization</w:t>
      </w:r>
      <w:r w:rsidR="00253A55">
        <w:rPr>
          <w:rFonts w:ascii="Calibri" w:hAnsi="Calibri" w:cs="Calibri"/>
          <w:b/>
          <w:sz w:val="32"/>
          <w:highlight w:val="yellow"/>
        </w:rPr>
        <w:t>: A case series</w:t>
      </w:r>
    </w:p>
    <w:p w14:paraId="28CBDD8F" w14:textId="77777777" w:rsidR="006C7488" w:rsidRDefault="006C7488" w:rsidP="00253A55">
      <w:pPr>
        <w:ind w:firstLine="480"/>
        <w:jc w:val="both"/>
        <w:rPr>
          <w:rFonts w:ascii="Calibri" w:hAnsi="Calibri" w:cs="Calibri"/>
        </w:rPr>
      </w:pPr>
    </w:p>
    <w:p w14:paraId="7A40AFC1" w14:textId="77777777" w:rsidR="00F314E6" w:rsidRPr="008A0805" w:rsidRDefault="00F314E6" w:rsidP="00253A55">
      <w:pPr>
        <w:pStyle w:val="Heading1"/>
        <w:jc w:val="both"/>
        <w:rPr>
          <w:rFonts w:ascii="Calibri" w:hAnsi="Calibri" w:cs="Calibri"/>
        </w:rPr>
      </w:pPr>
    </w:p>
    <w:p w14:paraId="4140C1AB" w14:textId="77777777" w:rsidR="00F314E6" w:rsidRPr="008A0805" w:rsidRDefault="00F314E6" w:rsidP="00253A55">
      <w:pPr>
        <w:pStyle w:val="Heading1"/>
        <w:jc w:val="both"/>
        <w:rPr>
          <w:rFonts w:ascii="Calibri" w:hAnsi="Calibri" w:cs="Calibri"/>
        </w:rPr>
      </w:pPr>
    </w:p>
    <w:p w14:paraId="6C52A4F8" w14:textId="68ACB18D" w:rsidR="00F314E6" w:rsidRDefault="007763AC" w:rsidP="00253A55">
      <w:pPr>
        <w:pStyle w:val="Heading1"/>
        <w:jc w:val="both"/>
        <w:rPr>
          <w:rFonts w:ascii="Calibri" w:hAnsi="Calibri" w:cs="Calibri"/>
        </w:rPr>
      </w:pPr>
      <w:r>
        <w:rPr>
          <w:rFonts w:ascii="Calibri" w:hAnsi="Calibri" w:cs="Calibri"/>
        </w:rPr>
        <w:t xml:space="preserve">Abstract </w:t>
      </w:r>
      <w:bookmarkStart w:id="0" w:name="_GoBack"/>
      <w:bookmarkEnd w:id="0"/>
    </w:p>
    <w:p w14:paraId="3E837A8C" w14:textId="43C2C524" w:rsidR="00C14D09" w:rsidRPr="00C14D09" w:rsidRDefault="00AD4529" w:rsidP="00253A55">
      <w:pPr>
        <w:ind w:firstLine="480"/>
        <w:jc w:val="both"/>
      </w:pPr>
      <w:r w:rsidRPr="00AD4529">
        <w:t>This study examines how ownership structure</w:t>
      </w:r>
      <w:r>
        <w:rPr>
          <w:rFonts w:hint="eastAsia"/>
        </w:rPr>
        <w:t xml:space="preserve"> of a company</w:t>
      </w:r>
      <w:r w:rsidRPr="00AD4529">
        <w:t xml:space="preserve"> influences the internationalisation strategies of firms in emerging markets, focusing on state-owned and private-owned enterprises across the manufacturing, technology, and finance sectors. Adopting a case study methodology, the research draws on agency theory and internationalisation theory to explore how different ownership </w:t>
      </w:r>
      <w:r>
        <w:rPr>
          <w:rFonts w:hint="eastAsia"/>
        </w:rPr>
        <w:t>structure</w:t>
      </w:r>
      <w:r w:rsidRPr="00AD4529">
        <w:t xml:space="preserve"> shape firms’ risk </w:t>
      </w:r>
      <w:r>
        <w:rPr>
          <w:rFonts w:hint="eastAsia"/>
        </w:rPr>
        <w:t>preference</w:t>
      </w:r>
      <w:r w:rsidRPr="00AD4529">
        <w:t xml:space="preserve"> and strategic expansion. While prior studies have overlooked the </w:t>
      </w:r>
      <w:proofErr w:type="spellStart"/>
      <w:r w:rsidRPr="00AD4529">
        <w:t>behavioural</w:t>
      </w:r>
      <w:proofErr w:type="spellEnd"/>
      <w:r w:rsidRPr="00AD4529">
        <w:t xml:space="preserve"> implications of ownership in emerging market multinationals, this study addresses that gap by offering firm-level insights. Findings reveal that state-owned enterprises (SOEs), constrained by government oversight, exhibit low risk tolerance and delay foreign investments to ensure policy compliance. In contrast, private-owned enterprises (POEs) tend to pursue growth-oriented strategies with higher risk </w:t>
      </w:r>
      <w:r>
        <w:rPr>
          <w:rFonts w:hint="eastAsia"/>
        </w:rPr>
        <w:t>preferences</w:t>
      </w:r>
      <w:r w:rsidRPr="00AD4529">
        <w:t xml:space="preserve">. </w:t>
      </w:r>
      <w:r w:rsidR="002F2C80" w:rsidRPr="002F2C80">
        <w:t xml:space="preserve">Family-controlled POEs are conservative, often ignoring minority foreign investors' diversification demands, though foreign ownership or professional management can boost their risk </w:t>
      </w:r>
      <w:r w:rsidR="002F2C80">
        <w:rPr>
          <w:rFonts w:hint="eastAsia"/>
        </w:rPr>
        <w:t>preferences</w:t>
      </w:r>
      <w:r w:rsidR="002F2C80" w:rsidRPr="002F2C80">
        <w:t xml:space="preserve">; hybrid state-private models face internal conflicts, limiting strategy and risk-taking. </w:t>
      </w:r>
      <w:r w:rsidRPr="00AD4529">
        <w:t xml:space="preserve">The study contributes to international business literature by demonstrating that ownership structure is a critical determinant of firms’ global strategies. It </w:t>
      </w:r>
      <w:proofErr w:type="spellStart"/>
      <w:r w:rsidRPr="00AD4529">
        <w:t>emphasises</w:t>
      </w:r>
      <w:proofErr w:type="spellEnd"/>
      <w:r w:rsidRPr="00AD4529">
        <w:t xml:space="preserve"> the need for emerging market firms to balance ownership control with managerial expertise to achieve effective internationalisation</w:t>
      </w:r>
      <w:r w:rsidR="009522FE">
        <w:t>.</w:t>
      </w:r>
      <w:r w:rsidR="00B45F66" w:rsidRPr="00B45F66">
        <w:t xml:space="preserve"> </w:t>
      </w:r>
    </w:p>
    <w:p w14:paraId="7C0FA254" w14:textId="26B99484" w:rsidR="00F314E6" w:rsidRPr="008A0805" w:rsidRDefault="00580CC5" w:rsidP="00253A55">
      <w:pPr>
        <w:widowControl/>
        <w:spacing w:line="240" w:lineRule="auto"/>
        <w:ind w:firstLineChars="0" w:firstLine="0"/>
        <w:jc w:val="both"/>
        <w:rPr>
          <w:rFonts w:ascii="Calibri" w:hAnsi="Calibri" w:cs="Calibri"/>
        </w:rPr>
      </w:pPr>
      <w:r>
        <w:rPr>
          <w:rFonts w:ascii="Calibri" w:hAnsi="Calibri" w:cs="Calibri"/>
        </w:rPr>
        <w:t xml:space="preserve">Key words: </w:t>
      </w:r>
      <w:proofErr w:type="gramStart"/>
      <w:r w:rsidRPr="00580CC5">
        <w:rPr>
          <w:rFonts w:ascii="Calibri" w:hAnsi="Calibri" w:cs="Calibri"/>
        </w:rPr>
        <w:t>Ownership ,</w:t>
      </w:r>
      <w:proofErr w:type="gramEnd"/>
      <w:r w:rsidRPr="00580CC5">
        <w:rPr>
          <w:rFonts w:ascii="Calibri" w:hAnsi="Calibri" w:cs="Calibri"/>
        </w:rPr>
        <w:t xml:space="preserve">  Structure , markets , economic ,  growth </w:t>
      </w:r>
      <w:r w:rsidR="00F314E6" w:rsidRPr="008A0805">
        <w:rPr>
          <w:rFonts w:ascii="Calibri" w:hAnsi="Calibri" w:cs="Calibri"/>
        </w:rPr>
        <w:br w:type="page"/>
      </w:r>
    </w:p>
    <w:p w14:paraId="72217963" w14:textId="77B762E4" w:rsidR="0004224D" w:rsidRPr="008A0805" w:rsidRDefault="00D517C3" w:rsidP="00253A55">
      <w:pPr>
        <w:pStyle w:val="Heading1"/>
        <w:jc w:val="both"/>
        <w:rPr>
          <w:rFonts w:ascii="Calibri" w:hAnsi="Calibri" w:cs="Calibri"/>
        </w:rPr>
      </w:pPr>
      <w:bookmarkStart w:id="1" w:name="_Toc199890330"/>
      <w:r w:rsidRPr="008A0805">
        <w:rPr>
          <w:rFonts w:ascii="Calibri" w:hAnsi="Calibri" w:cs="Calibri"/>
        </w:rPr>
        <w:lastRenderedPageBreak/>
        <w:t>1.0 Introduction</w:t>
      </w:r>
      <w:bookmarkEnd w:id="1"/>
      <w:r w:rsidRPr="008A0805">
        <w:rPr>
          <w:rFonts w:ascii="Calibri" w:hAnsi="Calibri" w:cs="Calibri"/>
        </w:rPr>
        <w:t xml:space="preserve"> </w:t>
      </w:r>
    </w:p>
    <w:p w14:paraId="78834185" w14:textId="77777777" w:rsidR="005F1533" w:rsidRDefault="00F731D6" w:rsidP="00253A55">
      <w:pPr>
        <w:ind w:firstLine="480"/>
        <w:jc w:val="both"/>
        <w:rPr>
          <w:rFonts w:ascii="Calibri" w:hAnsi="Calibri" w:cs="Calibri"/>
        </w:rPr>
      </w:pPr>
      <w:r w:rsidRPr="008A0805">
        <w:rPr>
          <w:rFonts w:ascii="Calibri" w:hAnsi="Calibri" w:cs="Calibri"/>
        </w:rPr>
        <w:t>Internationalisation – the process by which firms expand their operations across national borders through exports, joint ventures (JVs), foreign direct investment (FDI), or other means – is a pivotal growth strategy for companies in emerging markets (EMs)</w:t>
      </w:r>
      <w:r w:rsidR="00B61526" w:rsidRPr="008A0805">
        <w:rPr>
          <w:rFonts w:ascii="Calibri" w:hAnsi="Calibri" w:cs="Calibri"/>
        </w:rPr>
        <w:t xml:space="preserve"> (Wang, 2024)</w:t>
      </w:r>
      <w:r w:rsidRPr="008A0805">
        <w:rPr>
          <w:rFonts w:ascii="Calibri" w:hAnsi="Calibri" w:cs="Calibri"/>
        </w:rPr>
        <w:t>.</w:t>
      </w:r>
      <w:r w:rsidR="00E1075D" w:rsidRPr="008A0805">
        <w:rPr>
          <w:rFonts w:ascii="Calibri" w:hAnsi="Calibri" w:cs="Calibri"/>
        </w:rPr>
        <w:t xml:space="preserve"> </w:t>
      </w:r>
      <w:r w:rsidR="004B11D3">
        <w:rPr>
          <w:rFonts w:ascii="Calibri" w:hAnsi="Calibri" w:cs="Calibri" w:hint="eastAsia"/>
        </w:rPr>
        <w:t xml:space="preserve">Companies in the EMs are actively finding their </w:t>
      </w:r>
      <w:r w:rsidR="00B93B7D">
        <w:rPr>
          <w:rFonts w:ascii="Calibri" w:hAnsi="Calibri" w:cs="Calibri" w:hint="eastAsia"/>
        </w:rPr>
        <w:t>way</w:t>
      </w:r>
      <w:r w:rsidR="004B11D3">
        <w:rPr>
          <w:rFonts w:ascii="Calibri" w:hAnsi="Calibri" w:cs="Calibri" w:hint="eastAsia"/>
        </w:rPr>
        <w:t xml:space="preserve"> to go internationalize, </w:t>
      </w:r>
      <w:r w:rsidR="00B93B7D">
        <w:rPr>
          <w:rFonts w:ascii="Calibri" w:hAnsi="Calibri" w:cs="Calibri" w:hint="eastAsia"/>
        </w:rPr>
        <w:t xml:space="preserve">mainly </w:t>
      </w:r>
      <w:r w:rsidR="004B11D3">
        <w:rPr>
          <w:rFonts w:ascii="Calibri" w:hAnsi="Calibri" w:cs="Calibri" w:hint="eastAsia"/>
        </w:rPr>
        <w:t xml:space="preserve">supported by </w:t>
      </w:r>
      <w:r w:rsidR="00B93B7D">
        <w:rPr>
          <w:rFonts w:ascii="Calibri" w:hAnsi="Calibri" w:cs="Calibri" w:hint="eastAsia"/>
        </w:rPr>
        <w:t>the rapid economic growth</w:t>
      </w:r>
      <w:r w:rsidR="004B11D3">
        <w:rPr>
          <w:rFonts w:ascii="Calibri" w:hAnsi="Calibri" w:cs="Calibri" w:hint="eastAsia"/>
        </w:rPr>
        <w:t xml:space="preserve">. </w:t>
      </w:r>
      <w:r w:rsidR="00DD3876" w:rsidRPr="00DD3876">
        <w:rPr>
          <w:rFonts w:ascii="Calibri" w:hAnsi="Calibri" w:cs="Calibri"/>
        </w:rPr>
        <w:t>Over the past few decades, the emerging markets of China and India have experienced remarkable economic growth. From 1984 – widely regarded as the start of China's modern economic reform and opening-up drive – to 2018, China's GDP growth rates fluctuated between a low of 3.9 percent and a high of 15.1 percent on an annual average basis. During the same period, India saw its annual average GDP growth rates range from 1.1 percent to 9.6 percent.</w:t>
      </w:r>
      <w:r w:rsidR="00B65B9E" w:rsidRPr="008A0805">
        <w:rPr>
          <w:rFonts w:ascii="Calibri" w:hAnsi="Calibri" w:cs="Calibri"/>
        </w:rPr>
        <w:t xml:space="preserve"> (</w:t>
      </w:r>
      <w:proofErr w:type="spellStart"/>
      <w:r w:rsidR="00B65B9E" w:rsidRPr="008A0805">
        <w:rPr>
          <w:rFonts w:ascii="Calibri" w:hAnsi="Calibri" w:cs="Calibri"/>
        </w:rPr>
        <w:t>Loehde</w:t>
      </w:r>
      <w:proofErr w:type="spellEnd"/>
      <w:r w:rsidR="00B65B9E" w:rsidRPr="008A0805">
        <w:rPr>
          <w:rFonts w:ascii="Calibri" w:hAnsi="Calibri" w:cs="Calibri"/>
        </w:rPr>
        <w:t xml:space="preserve"> et al., 2020)</w:t>
      </w:r>
      <w:r w:rsidR="00E1075D" w:rsidRPr="008A0805">
        <w:rPr>
          <w:rFonts w:ascii="Calibri" w:hAnsi="Calibri" w:cs="Calibri"/>
        </w:rPr>
        <w:t>.</w:t>
      </w:r>
      <w:r w:rsidRPr="008A0805">
        <w:rPr>
          <w:rFonts w:ascii="Calibri" w:hAnsi="Calibri" w:cs="Calibri"/>
        </w:rPr>
        <w:t xml:space="preserve"> It offers access to larger markets, opportunities for learning and innovation, diversification benefits, and the potential to build global </w:t>
      </w:r>
      <w:r w:rsidR="00246259" w:rsidRPr="008A0805">
        <w:rPr>
          <w:rFonts w:ascii="Calibri" w:hAnsi="Calibri" w:cs="Calibri"/>
        </w:rPr>
        <w:t>brands (</w:t>
      </w:r>
      <w:r w:rsidR="007865AB" w:rsidRPr="008A0805">
        <w:rPr>
          <w:rFonts w:ascii="Calibri" w:hAnsi="Calibri" w:cs="Calibri"/>
        </w:rPr>
        <w:t>Costa et al., 2018)</w:t>
      </w:r>
      <w:r w:rsidRPr="008A0805">
        <w:rPr>
          <w:rFonts w:ascii="Calibri" w:hAnsi="Calibri" w:cs="Calibri"/>
        </w:rPr>
        <w:t xml:space="preserve">. However, </w:t>
      </w:r>
      <w:r w:rsidR="00B54C98" w:rsidRPr="008A0805">
        <w:rPr>
          <w:rFonts w:ascii="Calibri" w:hAnsi="Calibri" w:cs="Calibri"/>
        </w:rPr>
        <w:t>internationalization</w:t>
      </w:r>
      <w:r w:rsidR="00246259" w:rsidRPr="008A0805">
        <w:rPr>
          <w:rFonts w:ascii="Calibri" w:hAnsi="Calibri" w:cs="Calibri"/>
        </w:rPr>
        <w:t xml:space="preserve"> for </w:t>
      </w:r>
      <w:r w:rsidR="00724B80" w:rsidRPr="008A0805">
        <w:rPr>
          <w:rFonts w:ascii="Calibri" w:hAnsi="Calibri" w:cs="Calibri"/>
        </w:rPr>
        <w:t>emerging market</w:t>
      </w:r>
      <w:r w:rsidR="00263904" w:rsidRPr="008A0805">
        <w:rPr>
          <w:rFonts w:ascii="Calibri" w:hAnsi="Calibri" w:cs="Calibri"/>
        </w:rPr>
        <w:t xml:space="preserve"> companies</w:t>
      </w:r>
      <w:r w:rsidR="00724B80" w:rsidRPr="008A0805">
        <w:rPr>
          <w:rFonts w:ascii="Calibri" w:hAnsi="Calibri" w:cs="Calibri"/>
        </w:rPr>
        <w:t xml:space="preserve"> </w:t>
      </w:r>
      <w:r w:rsidR="00B54C98" w:rsidRPr="008A0805">
        <w:rPr>
          <w:rFonts w:ascii="Calibri" w:hAnsi="Calibri" w:cs="Calibri"/>
        </w:rPr>
        <w:t xml:space="preserve">is </w:t>
      </w:r>
      <w:r w:rsidRPr="008A0805">
        <w:rPr>
          <w:rFonts w:ascii="Calibri" w:hAnsi="Calibri" w:cs="Calibri"/>
        </w:rPr>
        <w:t xml:space="preserve">risky. </w:t>
      </w:r>
      <w:r w:rsidR="00071BF3" w:rsidRPr="008A0805">
        <w:rPr>
          <w:rFonts w:ascii="Calibri" w:hAnsi="Calibri" w:cs="Calibri"/>
        </w:rPr>
        <w:t xml:space="preserve">According to </w:t>
      </w:r>
      <w:r w:rsidR="0014593A" w:rsidRPr="008A0805">
        <w:rPr>
          <w:rFonts w:ascii="Calibri" w:hAnsi="Calibri" w:cs="Calibri"/>
        </w:rPr>
        <w:t xml:space="preserve">Dumitrescu et al. (2019), </w:t>
      </w:r>
      <w:r w:rsidR="00071BF3" w:rsidRPr="008A0805">
        <w:rPr>
          <w:rFonts w:ascii="Calibri" w:hAnsi="Calibri" w:cs="Calibri"/>
        </w:rPr>
        <w:t xml:space="preserve">international business encounters key challenges. Varying regulations across countries complicate operations and raise costs. Differences in consumer preferences, shaped by culture and market conditions, demand tailored strategies. </w:t>
      </w:r>
      <w:r w:rsidR="00654628" w:rsidRPr="008A0805">
        <w:rPr>
          <w:rFonts w:ascii="Calibri" w:hAnsi="Calibri" w:cs="Calibri"/>
        </w:rPr>
        <w:t>Specifically,</w:t>
      </w:r>
      <w:r w:rsidR="00845A47" w:rsidRPr="008A0805">
        <w:rPr>
          <w:rFonts w:ascii="Calibri" w:hAnsi="Calibri" w:cs="Calibri"/>
        </w:rPr>
        <w:t xml:space="preserve"> ownership structures </w:t>
      </w:r>
      <w:r w:rsidR="00EA79A4" w:rsidRPr="008A0805">
        <w:rPr>
          <w:rFonts w:ascii="Calibri" w:hAnsi="Calibri" w:cs="Calibri"/>
        </w:rPr>
        <w:t>of internat</w:t>
      </w:r>
      <w:r w:rsidR="00BE1C22" w:rsidRPr="008A0805">
        <w:rPr>
          <w:rFonts w:ascii="Calibri" w:hAnsi="Calibri" w:cs="Calibri"/>
        </w:rPr>
        <w:t xml:space="preserve">ional companies </w:t>
      </w:r>
      <w:r w:rsidR="00EA79A4" w:rsidRPr="008A0805">
        <w:rPr>
          <w:rFonts w:ascii="Calibri" w:hAnsi="Calibri" w:cs="Calibri"/>
        </w:rPr>
        <w:t>affect</w:t>
      </w:r>
      <w:r w:rsidR="00803E26" w:rsidRPr="008A0805">
        <w:rPr>
          <w:rFonts w:ascii="Calibri" w:hAnsi="Calibri" w:cs="Calibri"/>
        </w:rPr>
        <w:t xml:space="preserve"> </w:t>
      </w:r>
      <w:r w:rsidR="00BE1C22" w:rsidRPr="008A0805">
        <w:rPr>
          <w:rFonts w:ascii="Calibri" w:hAnsi="Calibri" w:cs="Calibri"/>
        </w:rPr>
        <w:t xml:space="preserve">operation </w:t>
      </w:r>
      <w:r w:rsidR="00803E26" w:rsidRPr="008A0805">
        <w:rPr>
          <w:rFonts w:ascii="Calibri" w:hAnsi="Calibri" w:cs="Calibri"/>
        </w:rPr>
        <w:t xml:space="preserve">in risk </w:t>
      </w:r>
      <w:r w:rsidR="00C77EE1" w:rsidRPr="008A0805">
        <w:rPr>
          <w:rFonts w:ascii="Calibri" w:hAnsi="Calibri" w:cs="Calibri"/>
        </w:rPr>
        <w:t>preferences</w:t>
      </w:r>
      <w:r w:rsidR="00EA79A4" w:rsidRPr="008A0805">
        <w:rPr>
          <w:rFonts w:ascii="Calibri" w:hAnsi="Calibri" w:cs="Calibri"/>
        </w:rPr>
        <w:t xml:space="preserve"> (Panicker et al., 2019)</w:t>
      </w:r>
      <w:r w:rsidR="000E434E" w:rsidRPr="008A0805">
        <w:rPr>
          <w:rFonts w:ascii="Calibri" w:hAnsi="Calibri" w:cs="Calibri"/>
        </w:rPr>
        <w:t>.</w:t>
      </w:r>
      <w:r w:rsidR="0028060D" w:rsidRPr="008A0805">
        <w:rPr>
          <w:rFonts w:ascii="Calibri" w:hAnsi="Calibri" w:cs="Calibri"/>
        </w:rPr>
        <w:t xml:space="preserve"> </w:t>
      </w:r>
      <w:r w:rsidRPr="008A0805">
        <w:rPr>
          <w:rFonts w:ascii="Calibri" w:hAnsi="Calibri" w:cs="Calibri"/>
        </w:rPr>
        <w:t>While firms leverage competitive advantages to overcome these hurdles, the decision to bear these risks is not uniform.</w:t>
      </w:r>
    </w:p>
    <w:p w14:paraId="7F0DBEBA" w14:textId="68DA7DED" w:rsidR="005F1533" w:rsidRDefault="005F1533" w:rsidP="00253A55">
      <w:pPr>
        <w:ind w:firstLine="480"/>
        <w:jc w:val="both"/>
        <w:rPr>
          <w:rFonts w:ascii="Calibri" w:hAnsi="Calibri" w:cs="Calibri"/>
        </w:rPr>
      </w:pPr>
      <w:r w:rsidRPr="005F1533">
        <w:rPr>
          <w:rFonts w:ascii="Calibri" w:hAnsi="Calibri" w:cs="Calibri"/>
        </w:rPr>
        <w:t xml:space="preserve">A rich body of theoretical literature provides insights into how ownership structure shapes firms’ internationalization strategies, with key frameworks including agency theory, stewardship theory, institutional theory, and resource-dependence theory. Agency theory (Jensen &amp; Meckling, 1976) focuses on principal-agent conflicts, explaining how government oversight of state-owned enterprises (SOEs) aligns managerial behavior with public policy goals, constraining risk-taking in internationalization to avoid reputational or fiscal losses, while in family-controlled private-owned enterprises (POEs), controlling shareholders (principals) may prioritize </w:t>
      </w:r>
      <w:r w:rsidRPr="005F1533">
        <w:rPr>
          <w:rFonts w:ascii="Calibri" w:hAnsi="Calibri" w:cs="Calibri"/>
        </w:rPr>
        <w:lastRenderedPageBreak/>
        <w:t xml:space="preserve">control preservation over minority investor (agent) demands for global diversification, creating conflicts that restrict risk tolerance—dynamics empirically supported by Filatotchev et al. (2007) in their analysis of ownership and internationalization. Complementing this, stewardship theory (Davis et al., 1997) highlights contexts where managers act as stewards of organizational interests, as seen in Miller et al.’s (2013) research on family firms, where professional managers in POEs or hybrid firms, motivated by long-term value, may advocate for strategic internationalization amid uncertainty, mitigating the risk-aversion of concentrated ownership. Institutional theory (North, 1990) situates these dynamics within macro-level contexts, emphasizing how formal institutions and informal norms shape internationalization choices; Kostova (1999) notes that emerging markets’ institutional voids amplify ownership’s influence, with SOEs relying on state backing to navigate instability and POEs leveraging flexibility for institutional arbitrage. Finally, resource-dependence theory (Pfeffer &amp; </w:t>
      </w:r>
      <w:proofErr w:type="spellStart"/>
      <w:r w:rsidRPr="005F1533">
        <w:rPr>
          <w:rFonts w:ascii="Calibri" w:hAnsi="Calibri" w:cs="Calibri"/>
        </w:rPr>
        <w:t>Salancik</w:t>
      </w:r>
      <w:proofErr w:type="spellEnd"/>
      <w:r w:rsidRPr="005F1533">
        <w:rPr>
          <w:rFonts w:ascii="Calibri" w:hAnsi="Calibri" w:cs="Calibri"/>
        </w:rPr>
        <w:t xml:space="preserve">, 1978) explains how ownership structures determine access to critical resources: SOEs depend on government capital and political legitimacy, limiting ventures into untested markets, while POEs pursue global expansion to reduce domestic resource dependence—consistent with </w:t>
      </w:r>
      <w:proofErr w:type="spellStart"/>
      <w:r w:rsidRPr="005F1533">
        <w:rPr>
          <w:rFonts w:ascii="Calibri" w:hAnsi="Calibri" w:cs="Calibri"/>
        </w:rPr>
        <w:t>Yiu</w:t>
      </w:r>
      <w:proofErr w:type="spellEnd"/>
      <w:r w:rsidRPr="005F1533">
        <w:rPr>
          <w:rFonts w:ascii="Calibri" w:hAnsi="Calibri" w:cs="Calibri"/>
        </w:rPr>
        <w:t xml:space="preserve"> and Makino’s (2002) findings that family-controlled firms restrict internationalization to avoid diluting resource control, whereas foreign investment introduces dependencies necessitating diversification. Together, these theories provide a multidimensional lens to understand how ownership structures drive divergent internationalization strategies in emerging markets.</w:t>
      </w:r>
    </w:p>
    <w:p w14:paraId="7B955B5D" w14:textId="772190F4" w:rsidR="00F731D6" w:rsidRDefault="005F1533" w:rsidP="00253A55">
      <w:pPr>
        <w:ind w:firstLine="480"/>
        <w:jc w:val="both"/>
        <w:rPr>
          <w:rFonts w:ascii="Calibri" w:hAnsi="Calibri" w:cs="Calibri"/>
        </w:rPr>
      </w:pPr>
      <w:r>
        <w:rPr>
          <w:rFonts w:ascii="Calibri" w:hAnsi="Calibri" w:cs="Calibri" w:hint="eastAsia"/>
        </w:rPr>
        <w:t>Through the theories above, t</w:t>
      </w:r>
      <w:r w:rsidR="00F731D6" w:rsidRPr="008A0805">
        <w:rPr>
          <w:rFonts w:ascii="Calibri" w:hAnsi="Calibri" w:cs="Calibri"/>
        </w:rPr>
        <w:t>his report posits that a firm's ownership structure is a fundamental determinant of its propensity to internationalise</w:t>
      </w:r>
      <w:r>
        <w:rPr>
          <w:rFonts w:ascii="Calibri" w:hAnsi="Calibri" w:cs="Calibri" w:hint="eastAsia"/>
        </w:rPr>
        <w:t xml:space="preserve"> at emerging markets</w:t>
      </w:r>
      <w:r w:rsidR="00F731D6" w:rsidRPr="008A0805">
        <w:rPr>
          <w:rFonts w:ascii="Calibri" w:hAnsi="Calibri" w:cs="Calibri"/>
        </w:rPr>
        <w:t>.</w:t>
      </w:r>
    </w:p>
    <w:p w14:paraId="2BDEEECE" w14:textId="00326328" w:rsidR="00F731D6" w:rsidRPr="008A0805" w:rsidRDefault="00EA3889" w:rsidP="00253A55">
      <w:pPr>
        <w:pStyle w:val="Heading1"/>
        <w:jc w:val="both"/>
        <w:rPr>
          <w:rFonts w:ascii="Calibri" w:hAnsi="Calibri" w:cs="Calibri"/>
        </w:rPr>
      </w:pPr>
      <w:bookmarkStart w:id="2" w:name="_Toc199890331"/>
      <w:r>
        <w:rPr>
          <w:rFonts w:ascii="Calibri" w:hAnsi="Calibri" w:cs="Calibri" w:hint="eastAsia"/>
        </w:rPr>
        <w:t>2</w:t>
      </w:r>
      <w:r w:rsidR="00032B1A" w:rsidRPr="008A0805">
        <w:rPr>
          <w:rFonts w:ascii="Calibri" w:hAnsi="Calibri" w:cs="Calibri"/>
        </w:rPr>
        <w:t xml:space="preserve">.0 </w:t>
      </w:r>
      <w:r w:rsidR="00006E84" w:rsidRPr="008A0805">
        <w:rPr>
          <w:rFonts w:ascii="Calibri" w:hAnsi="Calibri" w:cs="Calibri"/>
        </w:rPr>
        <w:t xml:space="preserve">Types of </w:t>
      </w:r>
      <w:r w:rsidR="00F731D6" w:rsidRPr="008A0805">
        <w:rPr>
          <w:rFonts w:ascii="Calibri" w:hAnsi="Calibri" w:cs="Calibri"/>
        </w:rPr>
        <w:t>Ownership Structure</w:t>
      </w:r>
      <w:r w:rsidR="00006E84" w:rsidRPr="008A0805">
        <w:rPr>
          <w:rFonts w:ascii="Calibri" w:hAnsi="Calibri" w:cs="Calibri"/>
        </w:rPr>
        <w:t>s</w:t>
      </w:r>
      <w:r w:rsidR="000F2C96" w:rsidRPr="008A0805">
        <w:rPr>
          <w:rFonts w:ascii="Calibri" w:hAnsi="Calibri" w:cs="Calibri"/>
        </w:rPr>
        <w:t xml:space="preserve"> and Risk </w:t>
      </w:r>
      <w:bookmarkEnd w:id="2"/>
      <w:r>
        <w:rPr>
          <w:rFonts w:ascii="Calibri" w:hAnsi="Calibri" w:cs="Calibri" w:hint="eastAsia"/>
        </w:rPr>
        <w:t>Preference</w:t>
      </w:r>
    </w:p>
    <w:p w14:paraId="2AD72855" w14:textId="16C9E525" w:rsidR="005473B2" w:rsidRPr="008A0805" w:rsidRDefault="005473B2" w:rsidP="00253A55">
      <w:pPr>
        <w:ind w:firstLine="480"/>
        <w:jc w:val="both"/>
        <w:rPr>
          <w:rFonts w:ascii="Calibri" w:hAnsi="Calibri" w:cs="Calibri"/>
        </w:rPr>
      </w:pPr>
      <w:r w:rsidRPr="008A0805">
        <w:rPr>
          <w:rFonts w:ascii="Calibri" w:hAnsi="Calibri" w:cs="Calibri"/>
        </w:rPr>
        <w:t xml:space="preserve">Ownership structure demonstrates who owns a business and how control is exercised, this structure determines whether ownership and management are separated or unified, directly influencing governance and risk perceptions (Moffett et al., 2020). The type of owners and the distribution of control within a firm significantly </w:t>
      </w:r>
      <w:r w:rsidRPr="008A0805">
        <w:rPr>
          <w:rFonts w:ascii="Calibri" w:hAnsi="Calibri" w:cs="Calibri"/>
        </w:rPr>
        <w:lastRenderedPageBreak/>
        <w:t>influence its strategic priorities, time horizons, and appetite for risk – all crucial factors in internationalisation</w:t>
      </w:r>
      <w:r w:rsidR="00FE028A">
        <w:rPr>
          <w:rFonts w:ascii="Calibri" w:hAnsi="Calibri" w:cs="Calibri" w:hint="eastAsia"/>
        </w:rPr>
        <w:t xml:space="preserve">. </w:t>
      </w:r>
      <w:r w:rsidR="00FE028A" w:rsidRPr="00FE028A">
        <w:rPr>
          <w:rFonts w:ascii="Calibri" w:hAnsi="Calibri" w:cs="Calibri"/>
        </w:rPr>
        <w:t>Risk tolerance denotes the quantitative or qualitative threshold of risk a company can withstand without compromising objectives, such as a maximum acceptable financial loss. Risk perceptions involve how decision-makers subjectively interpret and evaluate risks, shaped by factors like experience or industry context, influencing whether a risk is seen as manageable or threatening</w:t>
      </w:r>
      <w:r w:rsidR="00DB5E49">
        <w:rPr>
          <w:rFonts w:ascii="Calibri" w:hAnsi="Calibri" w:cs="Calibri" w:hint="eastAsia"/>
        </w:rPr>
        <w:t>.</w:t>
      </w:r>
      <w:r w:rsidR="00FE028A" w:rsidRPr="00FE028A">
        <w:rPr>
          <w:rFonts w:ascii="Calibri" w:hAnsi="Calibri" w:cs="Calibri"/>
        </w:rPr>
        <w:t xml:space="preserve"> </w:t>
      </w:r>
      <w:r w:rsidR="00DB5E49">
        <w:rPr>
          <w:rFonts w:ascii="Calibri" w:hAnsi="Calibri" w:cs="Calibri" w:hint="eastAsia"/>
        </w:rPr>
        <w:t>The two crucial indicators of a firm</w:t>
      </w:r>
      <w:r w:rsidR="00DB5E49">
        <w:rPr>
          <w:rFonts w:ascii="Calibri" w:hAnsi="Calibri" w:cs="Calibri"/>
        </w:rPr>
        <w:t>’</w:t>
      </w:r>
      <w:r w:rsidR="00DB5E49">
        <w:rPr>
          <w:rFonts w:ascii="Calibri" w:hAnsi="Calibri" w:cs="Calibri" w:hint="eastAsia"/>
        </w:rPr>
        <w:t>s risk preference, which are deeply affected by ownership structures.</w:t>
      </w:r>
    </w:p>
    <w:p w14:paraId="48F2131A" w14:textId="19F138B6" w:rsidR="00D51E93" w:rsidRPr="008A0805" w:rsidRDefault="00EA3889" w:rsidP="00253A55">
      <w:pPr>
        <w:pStyle w:val="Heading2"/>
        <w:jc w:val="both"/>
        <w:rPr>
          <w:rFonts w:ascii="Calibri" w:hAnsi="Calibri" w:cs="Calibri"/>
        </w:rPr>
      </w:pPr>
      <w:bookmarkStart w:id="3" w:name="_Toc199890332"/>
      <w:r>
        <w:rPr>
          <w:rFonts w:ascii="Calibri" w:hAnsi="Calibri" w:cs="Calibri" w:hint="eastAsia"/>
        </w:rPr>
        <w:t>2</w:t>
      </w:r>
      <w:r w:rsidR="00BD0318" w:rsidRPr="008A0805">
        <w:rPr>
          <w:rFonts w:ascii="Calibri" w:hAnsi="Calibri" w:cs="Calibri"/>
        </w:rPr>
        <w:t xml:space="preserve">.1 </w:t>
      </w:r>
      <w:r w:rsidR="00D51E93" w:rsidRPr="008A0805">
        <w:rPr>
          <w:rFonts w:ascii="Calibri" w:hAnsi="Calibri" w:cs="Calibri"/>
        </w:rPr>
        <w:t>State vs. Private Ownership</w:t>
      </w:r>
      <w:bookmarkEnd w:id="3"/>
    </w:p>
    <w:p w14:paraId="4CDD0338" w14:textId="091FBD49" w:rsidR="00F43588" w:rsidRPr="008A0805" w:rsidRDefault="00F43588" w:rsidP="00253A55">
      <w:pPr>
        <w:ind w:firstLine="480"/>
        <w:jc w:val="both"/>
        <w:rPr>
          <w:rFonts w:ascii="Calibri" w:hAnsi="Calibri" w:cs="Calibri"/>
        </w:rPr>
      </w:pPr>
      <w:r w:rsidRPr="008A0805">
        <w:rPr>
          <w:rFonts w:ascii="Calibri" w:hAnsi="Calibri" w:cs="Calibri"/>
        </w:rPr>
        <w:t>State ownership refers to government-controlled enterprises that balance public service objectives (e.g., infrastructure, social welfare) with profit generation. Private ownership involves firms controlled by individuals, families, or institutional investors, prioritizing profit maximization and shareholder returns</w:t>
      </w:r>
      <w:r w:rsidR="00B10146" w:rsidRPr="008A0805">
        <w:rPr>
          <w:rFonts w:ascii="Calibri" w:hAnsi="Calibri" w:cs="Calibri"/>
        </w:rPr>
        <w:t>. The difference in features resulted in different risk preference</w:t>
      </w:r>
      <w:r w:rsidR="00DD6DBF" w:rsidRPr="008A0805">
        <w:rPr>
          <w:rFonts w:ascii="Calibri" w:hAnsi="Calibri" w:cs="Calibri"/>
        </w:rPr>
        <w:t>s</w:t>
      </w:r>
      <w:r w:rsidR="00B10146" w:rsidRPr="008A0805">
        <w:rPr>
          <w:rFonts w:ascii="Calibri" w:hAnsi="Calibri" w:cs="Calibri"/>
        </w:rPr>
        <w:t>.</w:t>
      </w:r>
    </w:p>
    <w:p w14:paraId="09D398F3" w14:textId="40CFC6D4" w:rsidR="00D51E93" w:rsidRPr="008A0805" w:rsidRDefault="00EA3889" w:rsidP="00253A55">
      <w:pPr>
        <w:pStyle w:val="Heading3"/>
        <w:jc w:val="both"/>
        <w:rPr>
          <w:rFonts w:ascii="Calibri" w:hAnsi="Calibri" w:cs="Calibri"/>
        </w:rPr>
      </w:pPr>
      <w:bookmarkStart w:id="4" w:name="_Toc199890333"/>
      <w:r>
        <w:rPr>
          <w:rFonts w:ascii="Calibri" w:hAnsi="Calibri" w:cs="Calibri" w:hint="eastAsia"/>
        </w:rPr>
        <w:t>2</w:t>
      </w:r>
      <w:r w:rsidR="00BD0318" w:rsidRPr="008A0805">
        <w:rPr>
          <w:rFonts w:ascii="Calibri" w:hAnsi="Calibri" w:cs="Calibri"/>
        </w:rPr>
        <w:t xml:space="preserve">.1.1 </w:t>
      </w:r>
      <w:r w:rsidR="00D51E93" w:rsidRPr="008A0805">
        <w:rPr>
          <w:rFonts w:ascii="Calibri" w:hAnsi="Calibri" w:cs="Calibri"/>
        </w:rPr>
        <w:t>State Ownership</w:t>
      </w:r>
      <w:r w:rsidR="00BD0318" w:rsidRPr="008A0805">
        <w:rPr>
          <w:rFonts w:ascii="Calibri" w:hAnsi="Calibri" w:cs="Calibri"/>
        </w:rPr>
        <w:t>:</w:t>
      </w:r>
      <w:r w:rsidR="00D51E93" w:rsidRPr="008A0805">
        <w:rPr>
          <w:rFonts w:ascii="Calibri" w:hAnsi="Calibri" w:cs="Calibri"/>
        </w:rPr>
        <w:t xml:space="preserve"> Risk Aversion</w:t>
      </w:r>
      <w:bookmarkEnd w:id="4"/>
    </w:p>
    <w:p w14:paraId="159F6737" w14:textId="67E970D5" w:rsidR="00D51E93" w:rsidRPr="008A0805" w:rsidRDefault="00D51E93" w:rsidP="00253A55">
      <w:pPr>
        <w:ind w:firstLine="480"/>
        <w:jc w:val="both"/>
        <w:rPr>
          <w:rFonts w:ascii="Calibri" w:hAnsi="Calibri" w:cs="Calibri"/>
        </w:rPr>
      </w:pPr>
      <w:r w:rsidRPr="008A0805">
        <w:rPr>
          <w:rFonts w:ascii="Calibri" w:hAnsi="Calibri" w:cs="Calibri"/>
        </w:rPr>
        <w:t>State-owned enterprises (SOEs) often exhibit lower risk tolerance due to political mandates and bureaucratic inefficiencies. In China, SOEs face strict government oversight, which prioritizes stability and policy alignment over profit-driven risk-taking. For example, Chinese SOEs in capital-intensive sectors require multiple government approvals for overseas investments, delaying decisions and limiting exposure to high-risk markets (Hu &amp; Cui, 2014). Similarly, Indian SOEs in the automotive and pharmaceutical sectors were less likely to engage in outward foreign direct investment (FDI) compared to private peers, as state ownership correlated with risk aversion rooted in accountability to political stakeholders (Bhaumik et al., 2010).</w:t>
      </w:r>
    </w:p>
    <w:p w14:paraId="1053BEF0" w14:textId="3C015B6A" w:rsidR="00D51E93" w:rsidRPr="008A0805" w:rsidRDefault="00EA3889" w:rsidP="00253A55">
      <w:pPr>
        <w:pStyle w:val="Heading3"/>
        <w:jc w:val="both"/>
        <w:rPr>
          <w:rFonts w:ascii="Calibri" w:hAnsi="Calibri" w:cs="Calibri"/>
        </w:rPr>
      </w:pPr>
      <w:bookmarkStart w:id="5" w:name="_Toc199890334"/>
      <w:r>
        <w:rPr>
          <w:rFonts w:ascii="Calibri" w:hAnsi="Calibri" w:cs="Calibri" w:hint="eastAsia"/>
        </w:rPr>
        <w:t>2</w:t>
      </w:r>
      <w:r w:rsidR="00BD0318" w:rsidRPr="008A0805">
        <w:rPr>
          <w:rFonts w:ascii="Calibri" w:hAnsi="Calibri" w:cs="Calibri"/>
        </w:rPr>
        <w:t xml:space="preserve">.1.2 </w:t>
      </w:r>
      <w:r w:rsidR="00D51E93" w:rsidRPr="008A0805">
        <w:rPr>
          <w:rFonts w:ascii="Calibri" w:hAnsi="Calibri" w:cs="Calibri"/>
        </w:rPr>
        <w:t>Private Ownership</w:t>
      </w:r>
      <w:r w:rsidR="00BD0318" w:rsidRPr="008A0805">
        <w:rPr>
          <w:rFonts w:ascii="Calibri" w:hAnsi="Calibri" w:cs="Calibri"/>
        </w:rPr>
        <w:t xml:space="preserve">: </w:t>
      </w:r>
      <w:r w:rsidR="00D51E93" w:rsidRPr="008A0805">
        <w:rPr>
          <w:rFonts w:ascii="Calibri" w:hAnsi="Calibri" w:cs="Calibri"/>
        </w:rPr>
        <w:t>Flexibility</w:t>
      </w:r>
      <w:bookmarkEnd w:id="5"/>
    </w:p>
    <w:p w14:paraId="57A7FD5E" w14:textId="16890684" w:rsidR="00E33C04" w:rsidRPr="008A0805" w:rsidRDefault="00D51E93" w:rsidP="00253A55">
      <w:pPr>
        <w:ind w:firstLine="480"/>
        <w:jc w:val="both"/>
        <w:rPr>
          <w:rFonts w:ascii="Calibri" w:hAnsi="Calibri" w:cs="Calibri"/>
        </w:rPr>
      </w:pPr>
      <w:r w:rsidRPr="008A0805">
        <w:rPr>
          <w:rFonts w:ascii="Calibri" w:hAnsi="Calibri" w:cs="Calibri"/>
        </w:rPr>
        <w:t xml:space="preserve">Private firms, including family-owned and publicly traded entities, often demonstrate higher risk tolerance when driven by profit and growth objectives. Indian private pharmaceutical firms like Dr. Reddy’s pursued aggressive overseas acquisitions to access global markets and patents, leveraging their agility to bypass bureaucratic hurdles (Bhaumik et al., 2010). </w:t>
      </w:r>
    </w:p>
    <w:p w14:paraId="1BEDFD3E" w14:textId="389E1EEE" w:rsidR="00D51E93" w:rsidRPr="008A0805" w:rsidRDefault="00EA3889" w:rsidP="00253A55">
      <w:pPr>
        <w:pStyle w:val="Heading2"/>
        <w:jc w:val="both"/>
        <w:rPr>
          <w:rFonts w:ascii="Calibri" w:hAnsi="Calibri" w:cs="Calibri"/>
        </w:rPr>
      </w:pPr>
      <w:bookmarkStart w:id="6" w:name="_Toc199890335"/>
      <w:r>
        <w:rPr>
          <w:rFonts w:ascii="Calibri" w:hAnsi="Calibri" w:cs="Calibri" w:hint="eastAsia"/>
        </w:rPr>
        <w:lastRenderedPageBreak/>
        <w:t>2</w:t>
      </w:r>
      <w:r w:rsidR="00BD0318" w:rsidRPr="008A0805">
        <w:rPr>
          <w:rFonts w:ascii="Calibri" w:hAnsi="Calibri" w:cs="Calibri"/>
        </w:rPr>
        <w:t xml:space="preserve">.2 </w:t>
      </w:r>
      <w:r w:rsidR="00D51E93" w:rsidRPr="008A0805">
        <w:rPr>
          <w:rFonts w:ascii="Calibri" w:hAnsi="Calibri" w:cs="Calibri"/>
        </w:rPr>
        <w:t>Controlling vs. Minority Interests</w:t>
      </w:r>
      <w:bookmarkEnd w:id="6"/>
    </w:p>
    <w:p w14:paraId="3E8F94E7" w14:textId="449E5495" w:rsidR="00FF6ABB" w:rsidRPr="008A0805" w:rsidRDefault="00FF6ABB" w:rsidP="00253A55">
      <w:pPr>
        <w:ind w:firstLine="480"/>
        <w:jc w:val="both"/>
        <w:rPr>
          <w:rFonts w:ascii="Calibri" w:hAnsi="Calibri" w:cs="Calibri"/>
        </w:rPr>
      </w:pPr>
      <w:r w:rsidRPr="008A0805">
        <w:rPr>
          <w:rFonts w:ascii="Calibri" w:hAnsi="Calibri" w:cs="Calibri"/>
        </w:rPr>
        <w:t xml:space="preserve">Controlling interests (majority ownership, &gt;50% voting shares) hold decision-making power over corporate strategy, while minority interests (ownership &lt;50%) lack control but retain financial stakes and potential influence through shareholder rights. </w:t>
      </w:r>
      <w:r w:rsidR="007E7C4B" w:rsidRPr="008A0805">
        <w:rPr>
          <w:rFonts w:ascii="Calibri" w:hAnsi="Calibri" w:cs="Calibri"/>
        </w:rPr>
        <w:t>The difference in features</w:t>
      </w:r>
      <w:r w:rsidR="00DD6DBF" w:rsidRPr="008A0805">
        <w:rPr>
          <w:rFonts w:ascii="Calibri" w:hAnsi="Calibri" w:cs="Calibri"/>
        </w:rPr>
        <w:t xml:space="preserve"> between the shareholders</w:t>
      </w:r>
      <w:r w:rsidR="007E7C4B" w:rsidRPr="008A0805">
        <w:rPr>
          <w:rFonts w:ascii="Calibri" w:hAnsi="Calibri" w:cs="Calibri"/>
        </w:rPr>
        <w:t xml:space="preserve"> resulted in different risk preference</w:t>
      </w:r>
      <w:r w:rsidR="00DD6DBF" w:rsidRPr="008A0805">
        <w:rPr>
          <w:rFonts w:ascii="Calibri" w:hAnsi="Calibri" w:cs="Calibri"/>
        </w:rPr>
        <w:t>s</w:t>
      </w:r>
      <w:r w:rsidR="007E7C4B" w:rsidRPr="008A0805">
        <w:rPr>
          <w:rFonts w:ascii="Calibri" w:hAnsi="Calibri" w:cs="Calibri"/>
        </w:rPr>
        <w:t>.</w:t>
      </w:r>
    </w:p>
    <w:p w14:paraId="1418F9E2" w14:textId="6A4A5606" w:rsidR="00D51E93" w:rsidRPr="008A0805" w:rsidRDefault="00EA3889" w:rsidP="00253A55">
      <w:pPr>
        <w:pStyle w:val="Heading3"/>
        <w:jc w:val="both"/>
        <w:rPr>
          <w:rFonts w:ascii="Calibri" w:hAnsi="Calibri" w:cs="Calibri"/>
        </w:rPr>
      </w:pPr>
      <w:bookmarkStart w:id="7" w:name="_Toc199890336"/>
      <w:r>
        <w:rPr>
          <w:rFonts w:ascii="Calibri" w:hAnsi="Calibri" w:cs="Calibri" w:hint="eastAsia"/>
        </w:rPr>
        <w:t>2</w:t>
      </w:r>
      <w:r w:rsidR="00BD0318" w:rsidRPr="008A0805">
        <w:rPr>
          <w:rFonts w:ascii="Calibri" w:hAnsi="Calibri" w:cs="Calibri"/>
        </w:rPr>
        <w:t xml:space="preserve">.2.1 </w:t>
      </w:r>
      <w:r w:rsidR="00D51E93" w:rsidRPr="008A0805">
        <w:rPr>
          <w:rFonts w:ascii="Calibri" w:hAnsi="Calibri" w:cs="Calibri"/>
        </w:rPr>
        <w:t>Controlling Shareholders</w:t>
      </w:r>
      <w:r w:rsidR="00BD0318" w:rsidRPr="008A0805">
        <w:rPr>
          <w:rFonts w:ascii="Calibri" w:hAnsi="Calibri" w:cs="Calibri"/>
        </w:rPr>
        <w:t xml:space="preserve">: </w:t>
      </w:r>
      <w:r w:rsidR="00D51E93" w:rsidRPr="008A0805">
        <w:rPr>
          <w:rFonts w:ascii="Calibri" w:hAnsi="Calibri" w:cs="Calibri"/>
        </w:rPr>
        <w:t>Risk Conservatism</w:t>
      </w:r>
      <w:bookmarkEnd w:id="7"/>
    </w:p>
    <w:p w14:paraId="663D2852" w14:textId="30E4BAE4" w:rsidR="00D51E93" w:rsidRPr="008A0805" w:rsidRDefault="00D51E93" w:rsidP="00253A55">
      <w:pPr>
        <w:ind w:firstLine="480"/>
        <w:jc w:val="both"/>
        <w:rPr>
          <w:rFonts w:ascii="Calibri" w:hAnsi="Calibri" w:cs="Calibri"/>
        </w:rPr>
      </w:pPr>
      <w:r w:rsidRPr="008A0805">
        <w:rPr>
          <w:rFonts w:ascii="Calibri" w:hAnsi="Calibri" w:cs="Calibri"/>
        </w:rPr>
        <w:t xml:space="preserve">Controlling shareholders, such as families or concentrated institutional investors, often prioritize control and risk mitigation. In India, family-owned firms with high ownership concentration exhibited lower FDI propensity, as leaders feared losing control or diluting socioemotional wealth (Bhaumik et al., 2010). </w:t>
      </w:r>
      <w:r w:rsidR="00E9274A" w:rsidRPr="008A0805">
        <w:rPr>
          <w:rFonts w:ascii="Calibri" w:hAnsi="Calibri" w:cs="Calibri"/>
        </w:rPr>
        <w:t>Research published by</w:t>
      </w:r>
      <w:r w:rsidR="00F31A8F" w:rsidRPr="008A0805">
        <w:rPr>
          <w:rFonts w:ascii="Calibri" w:hAnsi="Calibri" w:cs="Calibri"/>
        </w:rPr>
        <w:t xml:space="preserve"> </w:t>
      </w:r>
      <w:proofErr w:type="spellStart"/>
      <w:r w:rsidR="00F31A8F" w:rsidRPr="008A0805">
        <w:rPr>
          <w:rFonts w:ascii="Calibri" w:hAnsi="Calibri" w:cs="Calibri"/>
        </w:rPr>
        <w:t>Loehde</w:t>
      </w:r>
      <w:proofErr w:type="spellEnd"/>
      <w:r w:rsidR="00F31A8F" w:rsidRPr="008A0805">
        <w:rPr>
          <w:rFonts w:ascii="Calibri" w:hAnsi="Calibri" w:cs="Calibri"/>
        </w:rPr>
        <w:t xml:space="preserve"> et al. (2020) stressed the opinion of </w:t>
      </w:r>
      <w:r w:rsidR="004066A5" w:rsidRPr="008A0805">
        <w:rPr>
          <w:rFonts w:ascii="Calibri" w:hAnsi="Calibri" w:cs="Calibri"/>
        </w:rPr>
        <w:t xml:space="preserve">when </w:t>
      </w:r>
      <w:r w:rsidR="003E2ED6" w:rsidRPr="008A0805">
        <w:rPr>
          <w:rFonts w:ascii="Calibri" w:hAnsi="Calibri" w:cs="Calibri"/>
        </w:rPr>
        <w:t>family business</w:t>
      </w:r>
      <w:r w:rsidR="008F3D92" w:rsidRPr="008A0805">
        <w:rPr>
          <w:rFonts w:ascii="Calibri" w:hAnsi="Calibri" w:cs="Calibri"/>
        </w:rPr>
        <w:t>es</w:t>
      </w:r>
      <w:r w:rsidR="003E2ED6" w:rsidRPr="008A0805">
        <w:rPr>
          <w:rFonts w:ascii="Calibri" w:hAnsi="Calibri" w:cs="Calibri"/>
        </w:rPr>
        <w:t xml:space="preserve"> enter EMs, they prefer the </w:t>
      </w:r>
      <w:r w:rsidR="004066A5" w:rsidRPr="008A0805">
        <w:rPr>
          <w:rFonts w:ascii="Calibri" w:hAnsi="Calibri" w:cs="Calibri"/>
        </w:rPr>
        <w:t>international joint ventures</w:t>
      </w:r>
      <w:r w:rsidR="004E2D49" w:rsidRPr="008A0805">
        <w:rPr>
          <w:rFonts w:ascii="Calibri" w:hAnsi="Calibri" w:cs="Calibri"/>
        </w:rPr>
        <w:t xml:space="preserve"> (IJVs)</w:t>
      </w:r>
      <w:r w:rsidR="004066A5" w:rsidRPr="008A0805">
        <w:rPr>
          <w:rFonts w:ascii="Calibri" w:hAnsi="Calibri" w:cs="Calibri"/>
        </w:rPr>
        <w:t xml:space="preserve"> rather than </w:t>
      </w:r>
      <w:r w:rsidR="001037FE" w:rsidRPr="008A0805">
        <w:rPr>
          <w:rFonts w:ascii="Calibri" w:hAnsi="Calibri" w:cs="Calibri"/>
        </w:rPr>
        <w:t>FDIs</w:t>
      </w:r>
      <w:r w:rsidR="00E002A7" w:rsidRPr="008A0805">
        <w:rPr>
          <w:rFonts w:ascii="Calibri" w:hAnsi="Calibri" w:cs="Calibri"/>
        </w:rPr>
        <w:t>, which traded off control for risk alleviation</w:t>
      </w:r>
      <w:r w:rsidR="001037FE" w:rsidRPr="008A0805">
        <w:rPr>
          <w:rFonts w:ascii="Calibri" w:hAnsi="Calibri" w:cs="Calibri"/>
        </w:rPr>
        <w:t>.</w:t>
      </w:r>
      <w:r w:rsidR="00E9274A" w:rsidRPr="008A0805">
        <w:rPr>
          <w:rFonts w:ascii="Calibri" w:hAnsi="Calibri" w:cs="Calibri"/>
        </w:rPr>
        <w:t xml:space="preserve"> </w:t>
      </w:r>
      <w:r w:rsidRPr="008A0805">
        <w:rPr>
          <w:rFonts w:ascii="Calibri" w:hAnsi="Calibri" w:cs="Calibri"/>
        </w:rPr>
        <w:t>Pressure-sensitive institutional investors (PSIIs), such as Indian banks</w:t>
      </w:r>
      <w:r w:rsidR="00EB100B">
        <w:rPr>
          <w:rFonts w:ascii="Calibri" w:hAnsi="Calibri" w:cs="Calibri"/>
        </w:rPr>
        <w:t xml:space="preserve">, securities </w:t>
      </w:r>
      <w:r w:rsidRPr="008A0805">
        <w:rPr>
          <w:rFonts w:ascii="Calibri" w:hAnsi="Calibri" w:cs="Calibri"/>
        </w:rPr>
        <w:t xml:space="preserve">and </w:t>
      </w:r>
      <w:r w:rsidR="00EB100B">
        <w:rPr>
          <w:rFonts w:ascii="Calibri" w:hAnsi="Calibri" w:cs="Calibri"/>
        </w:rPr>
        <w:t>other financing</w:t>
      </w:r>
      <w:r w:rsidRPr="008A0805">
        <w:rPr>
          <w:rFonts w:ascii="Calibri" w:hAnsi="Calibri" w:cs="Calibri"/>
        </w:rPr>
        <w:t xml:space="preserve"> companies, further discouraged internationalization in family-controlled firms due to their dual role as creditors, prioritizing debt repayment over risky expansions (Panicker et al., 2019).</w:t>
      </w:r>
    </w:p>
    <w:p w14:paraId="5340B1B2" w14:textId="7DEE435E" w:rsidR="00D51E93" w:rsidRPr="008A0805" w:rsidRDefault="00EA3889" w:rsidP="00253A55">
      <w:pPr>
        <w:pStyle w:val="Heading3"/>
        <w:jc w:val="both"/>
        <w:rPr>
          <w:rFonts w:ascii="Calibri" w:hAnsi="Calibri" w:cs="Calibri"/>
        </w:rPr>
      </w:pPr>
      <w:bookmarkStart w:id="8" w:name="_Toc199890337"/>
      <w:r>
        <w:rPr>
          <w:rFonts w:ascii="Calibri" w:hAnsi="Calibri" w:cs="Calibri" w:hint="eastAsia"/>
        </w:rPr>
        <w:t>2</w:t>
      </w:r>
      <w:r w:rsidR="00BD0318" w:rsidRPr="008A0805">
        <w:rPr>
          <w:rFonts w:ascii="Calibri" w:hAnsi="Calibri" w:cs="Calibri"/>
        </w:rPr>
        <w:t xml:space="preserve">.2.2 </w:t>
      </w:r>
      <w:r w:rsidR="00D51E93" w:rsidRPr="008A0805">
        <w:rPr>
          <w:rFonts w:ascii="Calibri" w:hAnsi="Calibri" w:cs="Calibri"/>
        </w:rPr>
        <w:t>Minority Interests</w:t>
      </w:r>
      <w:r w:rsidR="00BD0318" w:rsidRPr="008A0805">
        <w:rPr>
          <w:rFonts w:ascii="Calibri" w:hAnsi="Calibri" w:cs="Calibri"/>
        </w:rPr>
        <w:t xml:space="preserve">: </w:t>
      </w:r>
      <w:r w:rsidR="00D51E93" w:rsidRPr="008A0805">
        <w:rPr>
          <w:rFonts w:ascii="Calibri" w:hAnsi="Calibri" w:cs="Calibri"/>
        </w:rPr>
        <w:t>Pro-Risk Incentives</w:t>
      </w:r>
      <w:bookmarkEnd w:id="8"/>
    </w:p>
    <w:p w14:paraId="08B7AC6E" w14:textId="51E287E8" w:rsidR="00D51E93" w:rsidRPr="008A0805" w:rsidRDefault="00D51E93" w:rsidP="00253A55">
      <w:pPr>
        <w:ind w:firstLine="480"/>
        <w:jc w:val="both"/>
        <w:rPr>
          <w:rFonts w:ascii="Calibri" w:hAnsi="Calibri" w:cs="Calibri"/>
        </w:rPr>
      </w:pPr>
      <w:r w:rsidRPr="008A0805">
        <w:rPr>
          <w:rFonts w:ascii="Calibri" w:hAnsi="Calibri" w:cs="Calibri"/>
        </w:rPr>
        <w:t>Minority shareholders, particularly foreign institutional investors (FIIs) and funds, often push for internationalization to diversify portfolios and access growth opportunities. In India, FIIs and mutual funds (pressure-resistant institutional investors, PRIIs) supported foreign investments, leveraging their familiarity with global markets to reduce perceived risks (Panicker et al., 2019). For example, Chinese firms with foreign institutional ownership demonstrated higher FDI propensity, as these investors provided capital, expertise, and signals of governance quality (Hu &amp; Cui, 2014)</w:t>
      </w:r>
      <w:r w:rsidR="00EA58ED" w:rsidRPr="008A0805">
        <w:rPr>
          <w:rFonts w:ascii="Calibri" w:hAnsi="Calibri" w:cs="Calibri"/>
        </w:rPr>
        <w:t>.</w:t>
      </w:r>
    </w:p>
    <w:p w14:paraId="095EBE53" w14:textId="27DEFA14" w:rsidR="00D51E93" w:rsidRPr="008A0805" w:rsidRDefault="00D51E93" w:rsidP="00253A55">
      <w:pPr>
        <w:ind w:firstLine="480"/>
        <w:jc w:val="both"/>
        <w:rPr>
          <w:rFonts w:ascii="Calibri" w:hAnsi="Calibri" w:cs="Calibri"/>
        </w:rPr>
      </w:pPr>
      <w:r w:rsidRPr="008A0805">
        <w:rPr>
          <w:rFonts w:ascii="Calibri" w:hAnsi="Calibri" w:cs="Calibri"/>
        </w:rPr>
        <w:t>However, principal-principal conflicts in emerging markets can hinder minority-driven risk-taking. In Indian family firms, minority shareholders often face barriers to influencing strategic decisions, leading to underinvestment in high-risk ventures (Bhaumik et al., 2010).</w:t>
      </w:r>
    </w:p>
    <w:p w14:paraId="12B818C6" w14:textId="61F572AD" w:rsidR="00D51E93" w:rsidRPr="008A0805" w:rsidRDefault="00EA3889" w:rsidP="00253A55">
      <w:pPr>
        <w:pStyle w:val="Heading2"/>
        <w:jc w:val="both"/>
        <w:rPr>
          <w:rFonts w:ascii="Calibri" w:hAnsi="Calibri" w:cs="Calibri"/>
        </w:rPr>
      </w:pPr>
      <w:bookmarkStart w:id="9" w:name="_Toc199890338"/>
      <w:r>
        <w:rPr>
          <w:rFonts w:ascii="Calibri" w:hAnsi="Calibri" w:cs="Calibri" w:hint="eastAsia"/>
        </w:rPr>
        <w:t>2</w:t>
      </w:r>
      <w:r w:rsidR="00BD0318" w:rsidRPr="008A0805">
        <w:rPr>
          <w:rFonts w:ascii="Calibri" w:hAnsi="Calibri" w:cs="Calibri"/>
        </w:rPr>
        <w:t>.</w:t>
      </w:r>
      <w:r w:rsidR="00D51E93" w:rsidRPr="008A0805">
        <w:rPr>
          <w:rFonts w:ascii="Calibri" w:hAnsi="Calibri" w:cs="Calibri"/>
        </w:rPr>
        <w:t>3 Interactive Effects</w:t>
      </w:r>
      <w:bookmarkEnd w:id="9"/>
    </w:p>
    <w:p w14:paraId="11ABD616" w14:textId="3A6CB1C6" w:rsidR="00DD6DBF" w:rsidRPr="008A0805" w:rsidRDefault="00DD6DBF" w:rsidP="00253A55">
      <w:pPr>
        <w:ind w:firstLine="480"/>
        <w:jc w:val="both"/>
        <w:rPr>
          <w:rFonts w:ascii="Calibri" w:hAnsi="Calibri" w:cs="Calibri"/>
        </w:rPr>
      </w:pPr>
      <w:r w:rsidRPr="008A0805">
        <w:rPr>
          <w:rFonts w:ascii="Calibri" w:hAnsi="Calibri" w:cs="Calibri"/>
        </w:rPr>
        <w:lastRenderedPageBreak/>
        <w:t xml:space="preserve">Aside from </w:t>
      </w:r>
      <w:r w:rsidR="00FC2544" w:rsidRPr="008A0805">
        <w:rPr>
          <w:rFonts w:ascii="Calibri" w:hAnsi="Calibri" w:cs="Calibri"/>
        </w:rPr>
        <w:t xml:space="preserve">ownership </w:t>
      </w:r>
      <w:r w:rsidR="005C25D5" w:rsidRPr="008A0805">
        <w:rPr>
          <w:rFonts w:ascii="Calibri" w:hAnsi="Calibri" w:cs="Calibri"/>
        </w:rPr>
        <w:t xml:space="preserve">nature and the </w:t>
      </w:r>
      <w:r w:rsidR="006C50E6" w:rsidRPr="008A0805">
        <w:rPr>
          <w:rFonts w:ascii="Calibri" w:hAnsi="Calibri" w:cs="Calibri"/>
        </w:rPr>
        <w:t xml:space="preserve">share status, there are other interactive effects </w:t>
      </w:r>
      <w:r w:rsidR="00CF460C" w:rsidRPr="008A0805">
        <w:rPr>
          <w:rFonts w:ascii="Calibri" w:hAnsi="Calibri" w:cs="Calibri"/>
        </w:rPr>
        <w:t xml:space="preserve">in ownership structure </w:t>
      </w:r>
      <w:r w:rsidR="006C50E6" w:rsidRPr="008A0805">
        <w:rPr>
          <w:rFonts w:ascii="Calibri" w:hAnsi="Calibri" w:cs="Calibri"/>
        </w:rPr>
        <w:t xml:space="preserve">affecting the risk appetite of </w:t>
      </w:r>
      <w:r w:rsidR="00CF460C" w:rsidRPr="008A0805">
        <w:rPr>
          <w:rFonts w:ascii="Calibri" w:hAnsi="Calibri" w:cs="Calibri"/>
        </w:rPr>
        <w:t>companies to go internationalize.</w:t>
      </w:r>
      <w:r w:rsidR="00C16D4D" w:rsidRPr="008A0805">
        <w:rPr>
          <w:rFonts w:ascii="Calibri" w:hAnsi="Calibri" w:cs="Calibri"/>
          <w:shd w:val="clear" w:color="auto" w:fill="FFFFFF"/>
        </w:rPr>
        <w:t xml:space="preserve"> </w:t>
      </w:r>
    </w:p>
    <w:p w14:paraId="3B9B1442" w14:textId="7D618831" w:rsidR="00D51E93" w:rsidRPr="008A0805" w:rsidRDefault="00EA3889" w:rsidP="00253A55">
      <w:pPr>
        <w:pStyle w:val="Heading3"/>
        <w:jc w:val="both"/>
        <w:rPr>
          <w:rFonts w:ascii="Calibri" w:hAnsi="Calibri" w:cs="Calibri"/>
        </w:rPr>
      </w:pPr>
      <w:bookmarkStart w:id="10" w:name="_Toc199890339"/>
      <w:r>
        <w:rPr>
          <w:rFonts w:ascii="Calibri" w:hAnsi="Calibri" w:cs="Calibri" w:hint="eastAsia"/>
        </w:rPr>
        <w:t>2</w:t>
      </w:r>
      <w:r w:rsidR="00BD0318" w:rsidRPr="008A0805">
        <w:rPr>
          <w:rFonts w:ascii="Calibri" w:hAnsi="Calibri" w:cs="Calibri"/>
        </w:rPr>
        <w:t xml:space="preserve">.3.1 </w:t>
      </w:r>
      <w:r w:rsidR="00D51E93" w:rsidRPr="008A0805">
        <w:rPr>
          <w:rFonts w:ascii="Calibri" w:hAnsi="Calibri" w:cs="Calibri"/>
        </w:rPr>
        <w:t>Family Control and Institutional Voids</w:t>
      </w:r>
      <w:bookmarkEnd w:id="10"/>
    </w:p>
    <w:p w14:paraId="330B63D6" w14:textId="46403907" w:rsidR="00F973EC" w:rsidRPr="008A0805" w:rsidRDefault="00D87C0D" w:rsidP="00253A55">
      <w:pPr>
        <w:ind w:firstLine="480"/>
        <w:jc w:val="both"/>
        <w:rPr>
          <w:rFonts w:ascii="Calibri" w:hAnsi="Calibri" w:cs="Calibri"/>
        </w:rPr>
      </w:pPr>
      <w:r w:rsidRPr="008A0805">
        <w:rPr>
          <w:rFonts w:ascii="Calibri" w:hAnsi="Calibri" w:cs="Calibri"/>
        </w:rPr>
        <w:t>In countries like India, family-controlled firms dominate due to historical reliance on informal networks and trust in the absence of strong contract-enforcing institutions (Khanna &amp; Palepu, 1997). While family ownership provides stability in domestic markets, it often discourages internationalization due to fear of losing control and unfamiliarity with global environments</w:t>
      </w:r>
      <w:r w:rsidR="009741ED" w:rsidRPr="008A0805">
        <w:rPr>
          <w:rFonts w:ascii="Calibri" w:hAnsi="Calibri" w:cs="Calibri"/>
        </w:rPr>
        <w:t xml:space="preserve"> (</w:t>
      </w:r>
      <w:proofErr w:type="spellStart"/>
      <w:r w:rsidR="009741ED" w:rsidRPr="008A0805">
        <w:rPr>
          <w:rFonts w:ascii="Calibri" w:hAnsi="Calibri" w:cs="Calibri"/>
        </w:rPr>
        <w:t>Rajverma</w:t>
      </w:r>
      <w:proofErr w:type="spellEnd"/>
      <w:r w:rsidR="009741ED" w:rsidRPr="008A0805">
        <w:rPr>
          <w:rFonts w:ascii="Calibri" w:hAnsi="Calibri" w:cs="Calibri"/>
        </w:rPr>
        <w:t>, 2024)</w:t>
      </w:r>
      <w:r w:rsidRPr="008A0805">
        <w:rPr>
          <w:rFonts w:ascii="Calibri" w:hAnsi="Calibri" w:cs="Calibri"/>
        </w:rPr>
        <w:t xml:space="preserve">. However, when foreign institutional investors entered as minority shareholders, these firms gained access to capital and global market expertise, gradually increasing their risk tolerance for cross-border investments (Panicker et al., 2019). </w:t>
      </w:r>
      <w:r w:rsidR="00F973EC" w:rsidRPr="008A0805">
        <w:rPr>
          <w:rFonts w:ascii="Calibri" w:hAnsi="Calibri" w:cs="Calibri"/>
        </w:rPr>
        <w:t>Research published by Tsao et al. (2018) showcasing that family ownership tends to make companies more conservative</w:t>
      </w:r>
      <w:r w:rsidR="002C2CF8">
        <w:rPr>
          <w:rFonts w:ascii="Calibri" w:hAnsi="Calibri" w:cs="Calibri" w:hint="eastAsia"/>
        </w:rPr>
        <w:t>, h</w:t>
      </w:r>
      <w:r w:rsidR="00F973EC" w:rsidRPr="008A0805">
        <w:rPr>
          <w:rFonts w:ascii="Calibri" w:hAnsi="Calibri" w:cs="Calibri"/>
        </w:rPr>
        <w:t>owever, when families are actively involved in governance, firms are more likely to expand globally</w:t>
      </w:r>
      <w:r w:rsidR="002C2CF8">
        <w:rPr>
          <w:rFonts w:ascii="Calibri" w:hAnsi="Calibri" w:cs="Calibri" w:hint="eastAsia"/>
        </w:rPr>
        <w:t xml:space="preserve">. </w:t>
      </w:r>
    </w:p>
    <w:p w14:paraId="4AB0C81D" w14:textId="32423DBF" w:rsidR="00D51E93" w:rsidRPr="008A0805" w:rsidRDefault="00EA3889" w:rsidP="00253A55">
      <w:pPr>
        <w:pStyle w:val="Heading3"/>
        <w:jc w:val="both"/>
        <w:rPr>
          <w:rFonts w:ascii="Calibri" w:hAnsi="Calibri" w:cs="Calibri"/>
        </w:rPr>
      </w:pPr>
      <w:bookmarkStart w:id="11" w:name="_Toc199890340"/>
      <w:r>
        <w:rPr>
          <w:rFonts w:ascii="Calibri" w:hAnsi="Calibri" w:cs="Calibri" w:hint="eastAsia"/>
        </w:rPr>
        <w:t>2</w:t>
      </w:r>
      <w:r w:rsidR="00BD0318" w:rsidRPr="008A0805">
        <w:rPr>
          <w:rFonts w:ascii="Calibri" w:hAnsi="Calibri" w:cs="Calibri"/>
        </w:rPr>
        <w:t xml:space="preserve">.3.2 </w:t>
      </w:r>
      <w:r w:rsidR="00D51E93" w:rsidRPr="008A0805">
        <w:rPr>
          <w:rFonts w:ascii="Calibri" w:hAnsi="Calibri" w:cs="Calibri"/>
        </w:rPr>
        <w:t>Hybrid Models and Behavioral Biases</w:t>
      </w:r>
      <w:bookmarkEnd w:id="11"/>
    </w:p>
    <w:p w14:paraId="7A8E19C6" w14:textId="5B54415C" w:rsidR="00F731D6" w:rsidRDefault="00D51E93" w:rsidP="00253A55">
      <w:pPr>
        <w:ind w:firstLine="480"/>
        <w:jc w:val="both"/>
        <w:rPr>
          <w:rFonts w:ascii="Calibri" w:hAnsi="Calibri" w:cs="Calibri"/>
        </w:rPr>
      </w:pPr>
      <w:r w:rsidRPr="008A0805">
        <w:rPr>
          <w:rFonts w:ascii="Calibri" w:hAnsi="Calibri" w:cs="Calibri"/>
        </w:rPr>
        <w:t>Hybrid ownership structures, such as partially state-owned and publicly traded firms, face conflicting goals. While private shareholders seek profit through internationalization, state stakeholders prioritize national interests, creating internal conflicts over risk tolerance (Storch, 2006). Behavioral biases also play a role: Turkish investors in Ethiopia exhibited herding behavior toward familiar markets, driven by psychological preferences rather than rational analysis (Ali &amp; Oran, 2018), highlighting how controlling managers in private firms may let biases shape risk decisions</w:t>
      </w:r>
      <w:r w:rsidR="00B506AC" w:rsidRPr="008A0805">
        <w:rPr>
          <w:rFonts w:ascii="Calibri" w:hAnsi="Calibri" w:cs="Calibri"/>
        </w:rPr>
        <w:t>.</w:t>
      </w:r>
      <w:r w:rsidR="003E3E09" w:rsidRPr="008A0805">
        <w:rPr>
          <w:rFonts w:ascii="Calibri" w:hAnsi="Calibri" w:cs="Calibri"/>
        </w:rPr>
        <w:t xml:space="preserve"> </w:t>
      </w:r>
      <w:r w:rsidR="00FA78EB" w:rsidRPr="00FA78EB">
        <w:rPr>
          <w:rFonts w:ascii="Calibri" w:hAnsi="Calibri" w:cs="Calibri"/>
        </w:rPr>
        <w:t>In reality, hybrid models often illustrate risk aversion as state stakeholders typically dominate enterprise control (Panicker et al., 2019).</w:t>
      </w:r>
    </w:p>
    <w:p w14:paraId="70D5A495" w14:textId="602928CE" w:rsidR="00EA3889" w:rsidRDefault="00EA3889" w:rsidP="00253A55">
      <w:pPr>
        <w:pStyle w:val="Heading1"/>
        <w:jc w:val="both"/>
        <w:rPr>
          <w:rFonts w:ascii="Calibri" w:hAnsi="Calibri" w:cs="Calibri"/>
        </w:rPr>
      </w:pPr>
      <w:r>
        <w:rPr>
          <w:rFonts w:ascii="Calibri" w:hAnsi="Calibri" w:cs="Calibri" w:hint="eastAsia"/>
        </w:rPr>
        <w:t>3</w:t>
      </w:r>
      <w:r w:rsidRPr="00AB1DC9">
        <w:rPr>
          <w:rFonts w:ascii="Calibri" w:hAnsi="Calibri" w:cs="Calibri"/>
        </w:rPr>
        <w:t xml:space="preserve">.0 </w:t>
      </w:r>
      <w:r>
        <w:rPr>
          <w:rFonts w:ascii="Calibri" w:hAnsi="Calibri" w:cs="Calibri" w:hint="eastAsia"/>
        </w:rPr>
        <w:t>Research Questions and Hypothesis</w:t>
      </w:r>
    </w:p>
    <w:p w14:paraId="4F17EBA1" w14:textId="10C38A80" w:rsidR="00EA3889" w:rsidRDefault="00EA3889" w:rsidP="00253A55">
      <w:pPr>
        <w:ind w:firstLine="480"/>
        <w:jc w:val="both"/>
      </w:pPr>
      <w:r>
        <w:rPr>
          <w:rFonts w:hint="eastAsia"/>
        </w:rPr>
        <w:t xml:space="preserve">The previous studies </w:t>
      </w:r>
      <w:r>
        <w:t>have</w:t>
      </w:r>
      <w:r>
        <w:rPr>
          <w:rFonts w:hint="eastAsia"/>
        </w:rPr>
        <w:t xml:space="preserve"> given a specific picture on ownership structures and its </w:t>
      </w:r>
      <w:r>
        <w:t>effects</w:t>
      </w:r>
      <w:r>
        <w:rPr>
          <w:rFonts w:hint="eastAsia"/>
        </w:rPr>
        <w:t xml:space="preserve"> on firms in a comprehensive scope. However, with the growth of the emerging market companies, the previous research should take a step further on the strategic </w:t>
      </w:r>
      <w:r>
        <w:rPr>
          <w:rFonts w:hint="eastAsia"/>
        </w:rPr>
        <w:lastRenderedPageBreak/>
        <w:t>decision for firms in developing countries to go internationalize. Based on the demand, this paper aim to answer the question of:</w:t>
      </w:r>
    </w:p>
    <w:p w14:paraId="3027B1CD" w14:textId="126B2680" w:rsidR="00EA3889" w:rsidRDefault="00EA3889" w:rsidP="00253A55">
      <w:pPr>
        <w:ind w:firstLine="480"/>
        <w:jc w:val="both"/>
      </w:pPr>
      <w:r w:rsidRPr="00C51083">
        <w:t>How does ownership structure influence firms’ internationalization strategies in emerging markets, and what contextual factors moderate this relationship?</w:t>
      </w:r>
    </w:p>
    <w:p w14:paraId="1D55F03E" w14:textId="1754F608" w:rsidR="00DB5E49" w:rsidRDefault="00384B97" w:rsidP="00253A55">
      <w:pPr>
        <w:ind w:firstLine="480"/>
        <w:jc w:val="both"/>
      </w:pPr>
      <w:r w:rsidRPr="00384B97">
        <w:t>Based on previous research, we propose 2 hypotheses</w:t>
      </w:r>
      <w:r w:rsidR="00DB5E49">
        <w:rPr>
          <w:rFonts w:hint="eastAsia"/>
        </w:rPr>
        <w:t>.</w:t>
      </w:r>
    </w:p>
    <w:p w14:paraId="7689408F" w14:textId="7D5348B0" w:rsidR="00027063" w:rsidRPr="00027063" w:rsidRDefault="00027063" w:rsidP="00253A55">
      <w:pPr>
        <w:ind w:firstLine="480"/>
        <w:jc w:val="both"/>
        <w:rPr>
          <w:i/>
          <w:iCs/>
        </w:rPr>
      </w:pPr>
      <w:r w:rsidRPr="00027063">
        <w:rPr>
          <w:i/>
          <w:iCs/>
        </w:rPr>
        <w:t>H1: Higher state ownership is negatively associated with firms’ international risk tolerance</w:t>
      </w:r>
      <w:r>
        <w:rPr>
          <w:rFonts w:hint="eastAsia"/>
          <w:i/>
          <w:iCs/>
        </w:rPr>
        <w:t>.</w:t>
      </w:r>
    </w:p>
    <w:p w14:paraId="5E8DB0D7" w14:textId="48F54467" w:rsidR="00DB5E49" w:rsidRDefault="00027063" w:rsidP="00253A55">
      <w:pPr>
        <w:ind w:firstLine="480"/>
        <w:jc w:val="both"/>
        <w:rPr>
          <w:i/>
          <w:iCs/>
        </w:rPr>
      </w:pPr>
      <w:r w:rsidRPr="00027063">
        <w:rPr>
          <w:i/>
          <w:iCs/>
        </w:rPr>
        <w:t>H</w:t>
      </w:r>
      <w:r>
        <w:rPr>
          <w:rFonts w:hint="eastAsia"/>
          <w:i/>
          <w:iCs/>
        </w:rPr>
        <w:t>2</w:t>
      </w:r>
      <w:r w:rsidRPr="00027063">
        <w:rPr>
          <w:i/>
          <w:iCs/>
        </w:rPr>
        <w:t xml:space="preserve">: Minority </w:t>
      </w:r>
      <w:r w:rsidR="007A6685">
        <w:rPr>
          <w:rFonts w:hint="eastAsia"/>
          <w:i/>
          <w:iCs/>
        </w:rPr>
        <w:t xml:space="preserve">(private) </w:t>
      </w:r>
      <w:r w:rsidRPr="00027063">
        <w:rPr>
          <w:i/>
          <w:iCs/>
        </w:rPr>
        <w:t>ownership positively moderates the relationship between private ownership and aggressive international</w:t>
      </w:r>
      <w:r w:rsidR="00384B97">
        <w:rPr>
          <w:rFonts w:hint="eastAsia"/>
          <w:i/>
          <w:iCs/>
        </w:rPr>
        <w:t xml:space="preserve"> strategies</w:t>
      </w:r>
      <w:r w:rsidRPr="00027063">
        <w:rPr>
          <w:i/>
          <w:iCs/>
        </w:rPr>
        <w:t>.</w:t>
      </w:r>
    </w:p>
    <w:p w14:paraId="5461F8C2" w14:textId="7D080900" w:rsidR="00D40AB4" w:rsidRDefault="00D40AB4" w:rsidP="00253A55">
      <w:pPr>
        <w:pStyle w:val="Heading2"/>
        <w:jc w:val="both"/>
      </w:pPr>
      <w:r>
        <w:rPr>
          <w:rFonts w:hint="eastAsia"/>
        </w:rPr>
        <w:t>3.1 Methodology</w:t>
      </w:r>
    </w:p>
    <w:p w14:paraId="168464FD" w14:textId="1BDD7DA6" w:rsidR="00D40AB4" w:rsidRPr="00D40AB4" w:rsidRDefault="00D40AB4" w:rsidP="00253A55">
      <w:pPr>
        <w:ind w:firstLine="480"/>
        <w:jc w:val="both"/>
      </w:pPr>
      <w:r w:rsidRPr="00D40AB4">
        <w:t>This study employs Yin’s (2018) theory-testing case study approach, using pattern matching to evaluate hypotheses. For each case, we compare observed risk behaviors (e.g., FDI decisions, risk mitigation strategies) with patterns predicted by agency theory (e.g., H1’s prediction of low risk tolerance in SOEs).</w:t>
      </w:r>
    </w:p>
    <w:p w14:paraId="058C239D" w14:textId="366EA2B0" w:rsidR="00181F97" w:rsidRDefault="00AB1DC9" w:rsidP="00253A55">
      <w:pPr>
        <w:pStyle w:val="Heading1"/>
        <w:jc w:val="both"/>
        <w:rPr>
          <w:rFonts w:ascii="Calibri" w:hAnsi="Calibri" w:cs="Calibri"/>
        </w:rPr>
      </w:pPr>
      <w:bookmarkStart w:id="12" w:name="_Toc199890341"/>
      <w:r>
        <w:rPr>
          <w:rFonts w:ascii="Calibri" w:hAnsi="Calibri" w:cs="Calibri" w:hint="eastAsia"/>
        </w:rPr>
        <w:t>4</w:t>
      </w:r>
      <w:r w:rsidR="00181F97" w:rsidRPr="008A0805">
        <w:rPr>
          <w:rFonts w:ascii="Calibri" w:hAnsi="Calibri" w:cs="Calibri"/>
        </w:rPr>
        <w:t>.0 Case Stud</w:t>
      </w:r>
      <w:r w:rsidR="00433C5F" w:rsidRPr="008A0805">
        <w:rPr>
          <w:rFonts w:ascii="Calibri" w:hAnsi="Calibri" w:cs="Calibri"/>
        </w:rPr>
        <w:t>ies</w:t>
      </w:r>
      <w:bookmarkEnd w:id="12"/>
    </w:p>
    <w:p w14:paraId="3DF41A39" w14:textId="4E779411" w:rsidR="00D40AB4" w:rsidRPr="00D40AB4" w:rsidRDefault="00D40AB4" w:rsidP="00253A55">
      <w:pPr>
        <w:ind w:firstLine="480"/>
        <w:jc w:val="both"/>
      </w:pPr>
      <w:r w:rsidRPr="00D40AB4">
        <w:t>Following Yin (2018), this study uses an explanatory case study design to test predefined hypotheses by tracing evidence across multiple data sources (e.g., firm reports, policy documents) in each case.</w:t>
      </w:r>
    </w:p>
    <w:p w14:paraId="27FFC905" w14:textId="5E5DE14D" w:rsidR="00181F97" w:rsidRPr="008A0805" w:rsidRDefault="00C51083" w:rsidP="00253A55">
      <w:pPr>
        <w:pStyle w:val="Heading2"/>
        <w:jc w:val="both"/>
        <w:rPr>
          <w:rFonts w:ascii="Calibri" w:hAnsi="Calibri" w:cs="Calibri"/>
        </w:rPr>
      </w:pPr>
      <w:bookmarkStart w:id="13" w:name="_Toc199890342"/>
      <w:r>
        <w:rPr>
          <w:rFonts w:ascii="Calibri" w:hAnsi="Calibri" w:cs="Calibri" w:hint="eastAsia"/>
        </w:rPr>
        <w:t>4.</w:t>
      </w:r>
      <w:r w:rsidR="00181F97" w:rsidRPr="008A0805">
        <w:rPr>
          <w:rFonts w:ascii="Calibri" w:hAnsi="Calibri" w:cs="Calibri"/>
        </w:rPr>
        <w:t xml:space="preserve">1 </w:t>
      </w:r>
      <w:r w:rsidR="004827D6" w:rsidRPr="008A0805">
        <w:rPr>
          <w:rFonts w:ascii="Calibri" w:hAnsi="Calibri" w:cs="Calibri"/>
        </w:rPr>
        <w:t xml:space="preserve">Case Study of </w:t>
      </w:r>
      <w:r w:rsidR="006D2A20" w:rsidRPr="008A0805">
        <w:rPr>
          <w:rFonts w:ascii="Calibri" w:hAnsi="Calibri" w:cs="Calibri"/>
        </w:rPr>
        <w:t>State Power Investment Corporation</w:t>
      </w:r>
      <w:bookmarkEnd w:id="13"/>
    </w:p>
    <w:p w14:paraId="39FB13D2" w14:textId="5B18F45E" w:rsidR="00433C5F" w:rsidRPr="008A0805" w:rsidRDefault="00C51083" w:rsidP="00253A55">
      <w:pPr>
        <w:pStyle w:val="Heading3"/>
        <w:jc w:val="both"/>
        <w:rPr>
          <w:rFonts w:ascii="Calibri" w:hAnsi="Calibri" w:cs="Calibri"/>
        </w:rPr>
      </w:pPr>
      <w:bookmarkStart w:id="14" w:name="_Toc199890343"/>
      <w:r>
        <w:rPr>
          <w:rFonts w:ascii="Calibri" w:hAnsi="Calibri" w:cs="Calibri" w:hint="eastAsia"/>
        </w:rPr>
        <w:t>4</w:t>
      </w:r>
      <w:r w:rsidR="006A4A63" w:rsidRPr="008A0805">
        <w:rPr>
          <w:rFonts w:ascii="Calibri" w:hAnsi="Calibri" w:cs="Calibri"/>
        </w:rPr>
        <w:t>.1.1 Brief Introduction</w:t>
      </w:r>
      <w:bookmarkEnd w:id="14"/>
    </w:p>
    <w:p w14:paraId="2A0D2CE3" w14:textId="70B8914F" w:rsidR="00433C5F" w:rsidRPr="008A0805" w:rsidRDefault="00E915FC" w:rsidP="00253A55">
      <w:pPr>
        <w:ind w:firstLine="480"/>
        <w:jc w:val="both"/>
        <w:rPr>
          <w:rFonts w:ascii="Calibri" w:hAnsi="Calibri" w:cs="Calibri"/>
        </w:rPr>
      </w:pPr>
      <w:r w:rsidRPr="008A0805">
        <w:rPr>
          <w:rFonts w:ascii="Calibri" w:hAnsi="Calibri" w:cs="Calibri"/>
        </w:rPr>
        <w:t>As a key state-owned enterprise directly supervised by China’s State-owned Assets Supervision and Administration Commission (SASAC), the State Power Investment Corporation</w:t>
      </w:r>
      <w:r w:rsidR="00BD0ABA" w:rsidRPr="008A0805">
        <w:rPr>
          <w:rFonts w:ascii="Calibri" w:hAnsi="Calibri" w:cs="Calibri"/>
        </w:rPr>
        <w:t xml:space="preserve"> or “SPIC”</w:t>
      </w:r>
      <w:r w:rsidRPr="008A0805">
        <w:rPr>
          <w:rFonts w:ascii="Calibri" w:hAnsi="Calibri" w:cs="Calibri"/>
        </w:rPr>
        <w:t xml:space="preserve"> (formerly China Power Investment Corporation) exhibits a notably low risk tolerance in its foreign investments, a characteristic closely linked to its state-owned structure</w:t>
      </w:r>
      <w:r w:rsidR="00BD0ABA" w:rsidRPr="008A0805">
        <w:rPr>
          <w:rFonts w:ascii="Calibri" w:hAnsi="Calibri" w:cs="Calibri"/>
        </w:rPr>
        <w:t xml:space="preserve"> (Kong, 2015)</w:t>
      </w:r>
      <w:r w:rsidRPr="008A0805">
        <w:rPr>
          <w:rFonts w:ascii="Calibri" w:hAnsi="Calibri" w:cs="Calibri"/>
        </w:rPr>
        <w:t>.</w:t>
      </w:r>
      <w:r w:rsidR="00AB0951" w:rsidRPr="008A0805">
        <w:rPr>
          <w:rFonts w:ascii="Calibri" w:hAnsi="Calibri" w:cs="Calibri"/>
        </w:rPr>
        <w:t xml:space="preserve"> </w:t>
      </w:r>
    </w:p>
    <w:p w14:paraId="4803380F" w14:textId="72705FBC" w:rsidR="00B62E1D" w:rsidRPr="008A0805" w:rsidRDefault="00C51083" w:rsidP="00253A55">
      <w:pPr>
        <w:pStyle w:val="Heading2"/>
        <w:jc w:val="both"/>
        <w:rPr>
          <w:rFonts w:ascii="Calibri" w:hAnsi="Calibri" w:cs="Calibri"/>
        </w:rPr>
      </w:pPr>
      <w:bookmarkStart w:id="15" w:name="_Toc199890344"/>
      <w:r>
        <w:rPr>
          <w:rFonts w:ascii="Calibri" w:hAnsi="Calibri" w:cs="Calibri" w:hint="eastAsia"/>
        </w:rPr>
        <w:t>4</w:t>
      </w:r>
      <w:r w:rsidR="00B62E1D" w:rsidRPr="008A0805">
        <w:rPr>
          <w:rFonts w:ascii="Calibri" w:hAnsi="Calibri" w:cs="Calibri"/>
        </w:rPr>
        <w:t>.1.2 Mechanisms of Ownership Affects Risk Preferences</w:t>
      </w:r>
      <w:bookmarkEnd w:id="15"/>
      <w:r w:rsidR="00B62E1D" w:rsidRPr="008A0805">
        <w:rPr>
          <w:rFonts w:ascii="Calibri" w:hAnsi="Calibri" w:cs="Calibri"/>
        </w:rPr>
        <w:t xml:space="preserve">  </w:t>
      </w:r>
    </w:p>
    <w:p w14:paraId="60489421" w14:textId="449EB3BE" w:rsidR="00B62E1D" w:rsidRPr="008A0805" w:rsidRDefault="00B62E1D" w:rsidP="00253A55">
      <w:pPr>
        <w:ind w:firstLine="480"/>
        <w:jc w:val="both"/>
        <w:rPr>
          <w:rFonts w:ascii="Calibri" w:hAnsi="Calibri" w:cs="Calibri"/>
        </w:rPr>
      </w:pPr>
      <w:r w:rsidRPr="008A0805">
        <w:rPr>
          <w:rFonts w:ascii="Calibri" w:hAnsi="Calibri" w:cs="Calibri"/>
          <w:i/>
          <w:iCs/>
        </w:rPr>
        <w:t>State ownership imposes multiple policy objectives that weaken profit orientation.</w:t>
      </w:r>
      <w:r w:rsidRPr="008A0805">
        <w:rPr>
          <w:rFonts w:ascii="Calibri" w:hAnsi="Calibri" w:cs="Calibri"/>
        </w:rPr>
        <w:t xml:space="preserve"> </w:t>
      </w:r>
      <w:r w:rsidR="00D7598D">
        <w:rPr>
          <w:rFonts w:ascii="Calibri" w:hAnsi="Calibri" w:cs="Calibri" w:hint="eastAsia"/>
        </w:rPr>
        <w:t xml:space="preserve">As a state ownership company, </w:t>
      </w:r>
      <w:r w:rsidRPr="008A0805">
        <w:rPr>
          <w:rFonts w:ascii="Calibri" w:hAnsi="Calibri" w:cs="Calibri"/>
        </w:rPr>
        <w:t xml:space="preserve">SPIC must balance goals such as energy security, clean energy transition, and regional coordination, rather than simply pursuing maximum </w:t>
      </w:r>
      <w:r w:rsidRPr="008A0805">
        <w:rPr>
          <w:rFonts w:ascii="Calibri" w:hAnsi="Calibri" w:cs="Calibri"/>
        </w:rPr>
        <w:lastRenderedPageBreak/>
        <w:t xml:space="preserve">investment returns. For example, its nuclear power assets (SPIC is the only domestic enterprise with hydropower, thermal power, nuclear power, and renewable energy assets) are subject to national strategies for technological self-reliance, which limits exploration of high-risk technological </w:t>
      </w:r>
      <w:r w:rsidR="00733FA8" w:rsidRPr="008A0805">
        <w:rPr>
          <w:rFonts w:ascii="Calibri" w:hAnsi="Calibri" w:cs="Calibri"/>
        </w:rPr>
        <w:t>paths (</w:t>
      </w:r>
      <w:r w:rsidR="00042C9F" w:rsidRPr="008A0805">
        <w:rPr>
          <w:rFonts w:ascii="Calibri" w:hAnsi="Calibri" w:cs="Calibri"/>
        </w:rPr>
        <w:t>About SPIC, 2025)</w:t>
      </w:r>
      <w:r w:rsidRPr="008A0805">
        <w:rPr>
          <w:rFonts w:ascii="Calibri" w:hAnsi="Calibri" w:cs="Calibri"/>
        </w:rPr>
        <w:t xml:space="preserve">. </w:t>
      </w:r>
      <w:r w:rsidR="00EE1C3B" w:rsidRPr="00EE1C3B">
        <w:rPr>
          <w:rFonts w:ascii="Calibri" w:hAnsi="Calibri" w:cs="Calibri"/>
        </w:rPr>
        <w:t xml:space="preserve">The existence of bureaucratic system </w:t>
      </w:r>
      <w:r w:rsidR="00EE1C3B">
        <w:rPr>
          <w:rFonts w:ascii="Calibri" w:hAnsi="Calibri" w:cs="Calibri" w:hint="eastAsia"/>
        </w:rPr>
        <w:t>which</w:t>
      </w:r>
      <w:r w:rsidR="00EE1C3B" w:rsidRPr="00EE1C3B">
        <w:rPr>
          <w:rFonts w:ascii="Calibri" w:hAnsi="Calibri" w:cs="Calibri"/>
        </w:rPr>
        <w:t xml:space="preserve"> fostered by multiple stakeholders with the government as the main body, and </w:t>
      </w:r>
      <w:r w:rsidR="00AF70B9">
        <w:rPr>
          <w:rFonts w:ascii="Calibri" w:hAnsi="Calibri" w:cs="Calibri" w:hint="eastAsia"/>
        </w:rPr>
        <w:t>the</w:t>
      </w:r>
      <w:r w:rsidR="00EE1C3B" w:rsidRPr="00EE1C3B">
        <w:rPr>
          <w:rFonts w:ascii="Calibri" w:hAnsi="Calibri" w:cs="Calibri"/>
        </w:rPr>
        <w:t xml:space="preserve"> system</w:t>
      </w:r>
      <w:r w:rsidR="00AF70B9">
        <w:rPr>
          <w:rFonts w:ascii="Calibri" w:hAnsi="Calibri" w:cs="Calibri" w:hint="eastAsia"/>
        </w:rPr>
        <w:t xml:space="preserve"> policies</w:t>
      </w:r>
      <w:r w:rsidR="00EE1C3B" w:rsidRPr="00EE1C3B">
        <w:rPr>
          <w:rFonts w:ascii="Calibri" w:hAnsi="Calibri" w:cs="Calibri"/>
        </w:rPr>
        <w:t xml:space="preserve"> places greater emphasis on risk avoidance rather than outstanding performance</w:t>
      </w:r>
      <w:r w:rsidR="00AF70B9">
        <w:rPr>
          <w:rFonts w:ascii="Calibri" w:hAnsi="Calibri" w:cs="Calibri" w:hint="eastAsia"/>
        </w:rPr>
        <w:t xml:space="preserve"> during evaluation</w:t>
      </w:r>
      <w:r w:rsidR="00EE1C3B" w:rsidRPr="00EE1C3B">
        <w:rPr>
          <w:rFonts w:ascii="Calibri" w:hAnsi="Calibri" w:cs="Calibri"/>
        </w:rPr>
        <w:t xml:space="preserve"> (Zhu, et al., 2023). Such a situation has led </w:t>
      </w:r>
      <w:r w:rsidR="00EE1C3B">
        <w:rPr>
          <w:rFonts w:ascii="Calibri" w:hAnsi="Calibri" w:cs="Calibri" w:hint="eastAsia"/>
        </w:rPr>
        <w:t xml:space="preserve">state owned companies such as </w:t>
      </w:r>
      <w:r w:rsidR="00EE1C3B" w:rsidRPr="00EE1C3B">
        <w:rPr>
          <w:rFonts w:ascii="Calibri" w:hAnsi="Calibri" w:cs="Calibri"/>
        </w:rPr>
        <w:t>SPIC to adopt a conservative strategy in its internationalization activities.</w:t>
      </w:r>
    </w:p>
    <w:p w14:paraId="33A8B447" w14:textId="0944B0A8" w:rsidR="00B62E1D" w:rsidRPr="008A0805" w:rsidRDefault="00B62E1D" w:rsidP="00253A55">
      <w:pPr>
        <w:ind w:firstLine="480"/>
        <w:jc w:val="both"/>
        <w:rPr>
          <w:rFonts w:ascii="Calibri" w:hAnsi="Calibri" w:cs="Calibri"/>
        </w:rPr>
      </w:pPr>
      <w:r w:rsidRPr="008A0805">
        <w:rPr>
          <w:rFonts w:ascii="Calibri" w:hAnsi="Calibri" w:cs="Calibri"/>
          <w:i/>
          <w:iCs/>
        </w:rPr>
        <w:t>Accountability mechanisms reinforce risk-averse tendencies.</w:t>
      </w:r>
      <w:r w:rsidRPr="008A0805">
        <w:rPr>
          <w:rFonts w:ascii="Calibri" w:hAnsi="Calibri" w:cs="Calibri"/>
        </w:rPr>
        <w:t xml:space="preserve"> Clear responsibility boundaries and high costs of misconduct (such as administrative penalties for decision-making errors) constrain managerial behavior. SASAC has established strict regulations on overseas investments by central enterprises (e.g., the "Interim Measures on the Supervision and Administration of State-owned Assets Overseas for Central Enterprises")</w:t>
      </w:r>
      <w:r w:rsidR="008643D5">
        <w:rPr>
          <w:rFonts w:ascii="Calibri" w:hAnsi="Calibri" w:cs="Calibri" w:hint="eastAsia"/>
        </w:rPr>
        <w:t xml:space="preserve"> </w:t>
      </w:r>
      <w:r w:rsidR="00BD7B23" w:rsidRPr="008A0805">
        <w:rPr>
          <w:rFonts w:ascii="Calibri" w:hAnsi="Calibri" w:cs="Calibri"/>
        </w:rPr>
        <w:t>(SASAC of the State Council, 2011)</w:t>
      </w:r>
      <w:r w:rsidRPr="008A0805">
        <w:rPr>
          <w:rFonts w:ascii="Calibri" w:hAnsi="Calibri" w:cs="Calibri"/>
        </w:rPr>
        <w:t>, emphasizing the prevention of state asset loss. Empirical studies</w:t>
      </w:r>
      <w:r w:rsidR="00AC6ED9" w:rsidRPr="008A0805">
        <w:rPr>
          <w:rFonts w:ascii="Calibri" w:hAnsi="Calibri" w:cs="Calibri"/>
        </w:rPr>
        <w:t xml:space="preserve"> by Huang (2020)</w:t>
      </w:r>
      <w:r w:rsidRPr="008A0805">
        <w:rPr>
          <w:rFonts w:ascii="Calibri" w:hAnsi="Calibri" w:cs="Calibri"/>
        </w:rPr>
        <w:t xml:space="preserve"> show that SOE managers</w:t>
      </w:r>
      <w:r w:rsidR="00AF70B9">
        <w:rPr>
          <w:rFonts w:ascii="Calibri" w:hAnsi="Calibri" w:cs="Calibri" w:hint="eastAsia"/>
        </w:rPr>
        <w:t xml:space="preserve"> (or bureaucrats)</w:t>
      </w:r>
      <w:r w:rsidRPr="008A0805">
        <w:rPr>
          <w:rFonts w:ascii="Calibri" w:hAnsi="Calibri" w:cs="Calibri"/>
        </w:rPr>
        <w:t>, due to their politically appointed status, tend to prioritize career advancement over long-term returns, demonstrating significantly lower willingness to take risks compared to private firms</w:t>
      </w:r>
      <w:r w:rsidR="00AC6ED9" w:rsidRPr="008A0805">
        <w:rPr>
          <w:rFonts w:ascii="Calibri" w:hAnsi="Calibri" w:cs="Calibri"/>
        </w:rPr>
        <w:t>.</w:t>
      </w:r>
      <w:r w:rsidR="00EE1C3B">
        <w:rPr>
          <w:rFonts w:ascii="Calibri" w:hAnsi="Calibri" w:cs="Calibri" w:hint="eastAsia"/>
        </w:rPr>
        <w:t xml:space="preserve"> </w:t>
      </w:r>
    </w:p>
    <w:p w14:paraId="6A18D32B" w14:textId="44D2AC14" w:rsidR="00B62E1D" w:rsidRPr="008A0805" w:rsidRDefault="00C51083" w:rsidP="00253A55">
      <w:pPr>
        <w:pStyle w:val="Heading3"/>
        <w:jc w:val="both"/>
        <w:rPr>
          <w:rFonts w:ascii="Calibri" w:hAnsi="Calibri" w:cs="Calibri"/>
        </w:rPr>
      </w:pPr>
      <w:bookmarkStart w:id="16" w:name="_Toc199890345"/>
      <w:r>
        <w:rPr>
          <w:rFonts w:ascii="Calibri" w:hAnsi="Calibri" w:cs="Calibri" w:hint="eastAsia"/>
        </w:rPr>
        <w:t>4</w:t>
      </w:r>
      <w:r w:rsidR="00B62E1D" w:rsidRPr="008A0805">
        <w:rPr>
          <w:rFonts w:ascii="Calibri" w:hAnsi="Calibri" w:cs="Calibri"/>
        </w:rPr>
        <w:t xml:space="preserve">.1.3 </w:t>
      </w:r>
      <w:r w:rsidR="00BD0538" w:rsidRPr="008A0805">
        <w:rPr>
          <w:rFonts w:ascii="Calibri" w:hAnsi="Calibri" w:cs="Calibri"/>
        </w:rPr>
        <w:t>Behaviors</w:t>
      </w:r>
      <w:r w:rsidR="00B62E1D" w:rsidRPr="008A0805">
        <w:rPr>
          <w:rFonts w:ascii="Calibri" w:hAnsi="Calibri" w:cs="Calibri"/>
        </w:rPr>
        <w:t xml:space="preserve"> </w:t>
      </w:r>
      <w:r w:rsidR="00905E37" w:rsidRPr="008A0805">
        <w:rPr>
          <w:rFonts w:ascii="Calibri" w:hAnsi="Calibri" w:cs="Calibri"/>
        </w:rPr>
        <w:t xml:space="preserve">and </w:t>
      </w:r>
      <w:r w:rsidR="00B62E1D" w:rsidRPr="008A0805">
        <w:rPr>
          <w:rFonts w:ascii="Calibri" w:hAnsi="Calibri" w:cs="Calibri"/>
        </w:rPr>
        <w:t>Underlying Causes of Low Risk Tolerance</w:t>
      </w:r>
      <w:bookmarkEnd w:id="16"/>
      <w:r w:rsidR="00B62E1D" w:rsidRPr="008A0805">
        <w:rPr>
          <w:rFonts w:ascii="Calibri" w:hAnsi="Calibri" w:cs="Calibri"/>
        </w:rPr>
        <w:t xml:space="preserve">  </w:t>
      </w:r>
    </w:p>
    <w:p w14:paraId="3EAC676A" w14:textId="5F5C49C3" w:rsidR="00D40AB4" w:rsidRDefault="00D40AB4" w:rsidP="00253A55">
      <w:pPr>
        <w:ind w:firstLine="480"/>
        <w:jc w:val="both"/>
        <w:rPr>
          <w:rFonts w:ascii="Calibri" w:hAnsi="Calibri" w:cs="Calibri"/>
          <w:i/>
          <w:iCs/>
        </w:rPr>
      </w:pPr>
      <w:r w:rsidRPr="00D40AB4">
        <w:rPr>
          <w:rFonts w:ascii="Calibri" w:hAnsi="Calibri" w:cs="Calibri"/>
          <w:b/>
          <w:bCs/>
          <w:i/>
          <w:iCs/>
        </w:rPr>
        <w:t>Predicted pattern (H1)</w:t>
      </w:r>
      <w:r w:rsidRPr="00D40AB4">
        <w:rPr>
          <w:rFonts w:ascii="Calibri" w:hAnsi="Calibri" w:cs="Calibri"/>
          <w:i/>
          <w:iCs/>
        </w:rPr>
        <w:t>: State ownership → bureaucratic constraints → low-risk ventures.</w:t>
      </w:r>
    </w:p>
    <w:p w14:paraId="60BA7A2B" w14:textId="592A051B" w:rsidR="00B62E1D" w:rsidRPr="008A0805" w:rsidRDefault="00B62E1D" w:rsidP="00253A55">
      <w:pPr>
        <w:ind w:firstLine="480"/>
        <w:jc w:val="both"/>
        <w:rPr>
          <w:rFonts w:ascii="Calibri" w:hAnsi="Calibri" w:cs="Calibri"/>
        </w:rPr>
      </w:pPr>
      <w:r w:rsidRPr="008A0805">
        <w:rPr>
          <w:rFonts w:ascii="Calibri" w:hAnsi="Calibri" w:cs="Calibri"/>
          <w:i/>
          <w:iCs/>
        </w:rPr>
        <w:t>Political risks are often beyond the control of SOEs</w:t>
      </w:r>
      <w:r w:rsidRPr="008A0805">
        <w:rPr>
          <w:rFonts w:ascii="Calibri" w:hAnsi="Calibri" w:cs="Calibri"/>
        </w:rPr>
        <w:t>. In 2011, SPIC’s fully owned Myitsone Hydropower Project in Myanmar was suspended due to U.S. interference, political changes in Myanmar, and environmental disputes. It remains stalled to this day, resulting in massive sunk costs</w:t>
      </w:r>
      <w:r w:rsidR="00AC6ED9" w:rsidRPr="008A0805">
        <w:rPr>
          <w:rFonts w:ascii="Calibri" w:hAnsi="Calibri" w:cs="Calibri"/>
        </w:rPr>
        <w:t xml:space="preserve"> (Kong, 2015)</w:t>
      </w:r>
      <w:r w:rsidRPr="008A0805">
        <w:rPr>
          <w:rFonts w:ascii="Calibri" w:hAnsi="Calibri" w:cs="Calibri"/>
        </w:rPr>
        <w:t>. This case highlights how SOEs with strong state ties are more likely to become targets in host country political struggles, leading to more conservative decision-making</w:t>
      </w:r>
      <w:r w:rsidR="00AF70B9">
        <w:rPr>
          <w:rFonts w:ascii="Calibri" w:hAnsi="Calibri" w:cs="Calibri" w:hint="eastAsia"/>
        </w:rPr>
        <w:t>, less risk-taking</w:t>
      </w:r>
      <w:r w:rsidRPr="008A0805">
        <w:rPr>
          <w:rFonts w:ascii="Calibri" w:hAnsi="Calibri" w:cs="Calibri"/>
        </w:rPr>
        <w:t>.</w:t>
      </w:r>
    </w:p>
    <w:p w14:paraId="0E5D7306" w14:textId="31D8E100" w:rsidR="00252CFC" w:rsidRDefault="00B62E1D" w:rsidP="00253A55">
      <w:pPr>
        <w:ind w:firstLine="480"/>
        <w:jc w:val="both"/>
        <w:rPr>
          <w:rFonts w:ascii="Calibri" w:hAnsi="Calibri" w:cs="Calibri"/>
        </w:rPr>
      </w:pPr>
      <w:r w:rsidRPr="008A0805">
        <w:rPr>
          <w:rFonts w:ascii="Calibri" w:hAnsi="Calibri" w:cs="Calibri"/>
          <w:i/>
          <w:iCs/>
        </w:rPr>
        <w:t>The state maintains strong control over the enterprise.</w:t>
      </w:r>
      <w:r w:rsidRPr="008A0805">
        <w:rPr>
          <w:rFonts w:ascii="Calibri" w:hAnsi="Calibri" w:cs="Calibri"/>
        </w:rPr>
        <w:t xml:space="preserve"> SPIC’s management includes few international professionals, and research indicates a “serious lack of </w:t>
      </w:r>
      <w:r w:rsidRPr="008A0805">
        <w:rPr>
          <w:rFonts w:ascii="Calibri" w:hAnsi="Calibri" w:cs="Calibri"/>
        </w:rPr>
        <w:lastRenderedPageBreak/>
        <w:t>internationally competent personnel with technical expertise and knowledge of global rules.”</w:t>
      </w:r>
      <w:r w:rsidR="00AC6ED9" w:rsidRPr="008A0805">
        <w:rPr>
          <w:rFonts w:ascii="Calibri" w:hAnsi="Calibri" w:cs="Calibri"/>
        </w:rPr>
        <w:t xml:space="preserve"> (Kong, 2015)</w:t>
      </w:r>
      <w:r w:rsidRPr="008A0805">
        <w:rPr>
          <w:rFonts w:ascii="Calibri" w:hAnsi="Calibri" w:cs="Calibri"/>
        </w:rPr>
        <w:t xml:space="preserve"> Seniority-based promotion practices in SOEs further hinder the recruitment of high-quality talent. As a result, senior managers have limited understanding of overseas investment destinations, leading them to make more cautious decisions.</w:t>
      </w:r>
    </w:p>
    <w:p w14:paraId="5AFCDAB2" w14:textId="3FDDEDCC" w:rsidR="00D40AB4" w:rsidRPr="00D40AB4" w:rsidRDefault="00D40AB4" w:rsidP="00253A55">
      <w:pPr>
        <w:ind w:firstLine="480"/>
        <w:jc w:val="both"/>
        <w:rPr>
          <w:rFonts w:ascii="Calibri" w:hAnsi="Calibri" w:cs="Calibri"/>
          <w:i/>
          <w:iCs/>
        </w:rPr>
      </w:pPr>
      <w:r w:rsidRPr="00D40AB4">
        <w:rPr>
          <w:rFonts w:ascii="Calibri" w:hAnsi="Calibri" w:cs="Calibri"/>
          <w:b/>
          <w:bCs/>
          <w:i/>
          <w:iCs/>
        </w:rPr>
        <w:t>Observed pattern</w:t>
      </w:r>
      <w:r w:rsidRPr="00D40AB4">
        <w:rPr>
          <w:rFonts w:ascii="Calibri" w:hAnsi="Calibri" w:cs="Calibri"/>
          <w:i/>
          <w:iCs/>
        </w:rPr>
        <w:t>: SPIC’s delayed FDI in Myanmar and focus on policy-aligned projects directly match this prediction, confirming H1.</w:t>
      </w:r>
    </w:p>
    <w:p w14:paraId="096A023D" w14:textId="0957F0B4" w:rsidR="00027063" w:rsidRPr="008A0805" w:rsidRDefault="00027063" w:rsidP="00253A55">
      <w:pPr>
        <w:ind w:firstLine="480"/>
        <w:jc w:val="both"/>
        <w:rPr>
          <w:rFonts w:ascii="Calibri" w:hAnsi="Calibri" w:cs="Calibri"/>
        </w:rPr>
      </w:pPr>
      <w:r>
        <w:rPr>
          <w:rFonts w:ascii="Calibri" w:hAnsi="Calibri" w:cs="Calibri" w:hint="eastAsia"/>
        </w:rPr>
        <w:t xml:space="preserve">From the case study, we can infer that </w:t>
      </w:r>
      <w:r w:rsidRPr="00027063">
        <w:rPr>
          <w:rFonts w:ascii="Calibri" w:hAnsi="Calibri" w:cs="Calibri" w:hint="eastAsia"/>
          <w:i/>
          <w:iCs/>
        </w:rPr>
        <w:t>H1</w:t>
      </w:r>
      <w:r>
        <w:rPr>
          <w:rFonts w:ascii="Calibri" w:hAnsi="Calibri" w:cs="Calibri" w:hint="eastAsia"/>
        </w:rPr>
        <w:t xml:space="preserve"> can be shown on the case of the SPIC.</w:t>
      </w:r>
      <w:r w:rsidR="00FA78EB" w:rsidRPr="00FA78EB">
        <w:rPr>
          <w:rFonts w:ascii="Segoe UI" w:hAnsi="Segoe UI" w:cs="Segoe UI"/>
          <w:sz w:val="23"/>
          <w:szCs w:val="23"/>
        </w:rPr>
        <w:t xml:space="preserve"> </w:t>
      </w:r>
      <w:r w:rsidR="00FA78EB" w:rsidRPr="00FA78EB">
        <w:rPr>
          <w:rFonts w:ascii="Calibri" w:hAnsi="Calibri" w:cs="Calibri"/>
        </w:rPr>
        <w:t>Specifically, SPIC’s state ownership imposes policy objectives (e.g., energy security) and bureaucratic oversight, which directly constrain its risk tolerance—aligning with H1’s prediction of a negative association between state ownership and international risk-taking.</w:t>
      </w:r>
    </w:p>
    <w:p w14:paraId="0864CB67" w14:textId="2F3FEC10" w:rsidR="00CB08E8" w:rsidRPr="008A0805" w:rsidRDefault="00C51083" w:rsidP="00253A55">
      <w:pPr>
        <w:pStyle w:val="Heading2"/>
        <w:jc w:val="both"/>
        <w:rPr>
          <w:rFonts w:ascii="Calibri" w:hAnsi="Calibri" w:cs="Calibri"/>
        </w:rPr>
      </w:pPr>
      <w:bookmarkStart w:id="17" w:name="_Toc199890346"/>
      <w:r>
        <w:rPr>
          <w:rFonts w:ascii="Calibri" w:hAnsi="Calibri" w:cs="Calibri" w:hint="eastAsia"/>
        </w:rPr>
        <w:t>4</w:t>
      </w:r>
      <w:r w:rsidR="00AC6ED9" w:rsidRPr="008A0805">
        <w:rPr>
          <w:rFonts w:ascii="Calibri" w:hAnsi="Calibri" w:cs="Calibri"/>
        </w:rPr>
        <w:t xml:space="preserve">.2 </w:t>
      </w:r>
      <w:r w:rsidR="006D2A20" w:rsidRPr="008A0805">
        <w:rPr>
          <w:rFonts w:ascii="Calibri" w:hAnsi="Calibri" w:cs="Calibri"/>
        </w:rPr>
        <w:t xml:space="preserve">Case Study of </w:t>
      </w:r>
      <w:r w:rsidR="00632833" w:rsidRPr="008A0805">
        <w:rPr>
          <w:rFonts w:ascii="Calibri" w:hAnsi="Calibri" w:cs="Calibri"/>
        </w:rPr>
        <w:t>OPPO</w:t>
      </w:r>
      <w:r w:rsidR="005155BE" w:rsidRPr="008A0805">
        <w:rPr>
          <w:rFonts w:ascii="Calibri" w:hAnsi="Calibri" w:cs="Calibri"/>
        </w:rPr>
        <w:t xml:space="preserve"> </w:t>
      </w:r>
      <w:r w:rsidR="00C46D27" w:rsidRPr="008A0805">
        <w:rPr>
          <w:rFonts w:ascii="Calibri" w:hAnsi="Calibri" w:cs="Calibri"/>
        </w:rPr>
        <w:t>Mobile Telecommunication</w:t>
      </w:r>
      <w:bookmarkEnd w:id="17"/>
    </w:p>
    <w:p w14:paraId="1B1CB19E" w14:textId="0D4017D7" w:rsidR="003A2914" w:rsidRPr="008A0805" w:rsidRDefault="00C51083" w:rsidP="00253A55">
      <w:pPr>
        <w:pStyle w:val="Heading3"/>
        <w:jc w:val="both"/>
        <w:rPr>
          <w:rFonts w:ascii="Calibri" w:hAnsi="Calibri" w:cs="Calibri"/>
        </w:rPr>
      </w:pPr>
      <w:bookmarkStart w:id="18" w:name="_Toc199890347"/>
      <w:r>
        <w:rPr>
          <w:rFonts w:ascii="Calibri" w:hAnsi="Calibri" w:cs="Calibri" w:hint="eastAsia"/>
        </w:rPr>
        <w:t>4</w:t>
      </w:r>
      <w:r w:rsidR="003A2914" w:rsidRPr="008A0805">
        <w:rPr>
          <w:rFonts w:ascii="Calibri" w:hAnsi="Calibri" w:cs="Calibri"/>
        </w:rPr>
        <w:t>.2.1 Brief Introduction</w:t>
      </w:r>
      <w:bookmarkEnd w:id="18"/>
    </w:p>
    <w:p w14:paraId="0C1AAFE1" w14:textId="773A087E" w:rsidR="007D6DB0" w:rsidRDefault="00102E40" w:rsidP="00253A55">
      <w:pPr>
        <w:ind w:firstLine="480"/>
        <w:jc w:val="both"/>
        <w:rPr>
          <w:rFonts w:ascii="Calibri" w:hAnsi="Calibri" w:cs="Calibri"/>
        </w:rPr>
      </w:pPr>
      <w:r w:rsidRPr="008A0805">
        <w:rPr>
          <w:rFonts w:ascii="Calibri" w:hAnsi="Calibri" w:cs="Calibri"/>
        </w:rPr>
        <w:t xml:space="preserve">As a typical private enterprise in China's emerging economy, OPPO's ownership structure is characterized by centralized private control, where actual controller, which is also founder, Chen </w:t>
      </w:r>
      <w:proofErr w:type="spellStart"/>
      <w:r w:rsidRPr="008A0805">
        <w:rPr>
          <w:rFonts w:ascii="Calibri" w:hAnsi="Calibri" w:cs="Calibri"/>
        </w:rPr>
        <w:t>Mingyong</w:t>
      </w:r>
      <w:proofErr w:type="spellEnd"/>
      <w:r w:rsidRPr="008A0805">
        <w:rPr>
          <w:rFonts w:ascii="Calibri" w:hAnsi="Calibri" w:cs="Calibri"/>
        </w:rPr>
        <w:t xml:space="preserve"> indirectly holds 61.08% of voting rights through the labor union committee of Guangdong </w:t>
      </w:r>
      <w:proofErr w:type="spellStart"/>
      <w:r w:rsidRPr="008A0805">
        <w:rPr>
          <w:rFonts w:ascii="Calibri" w:hAnsi="Calibri" w:cs="Calibri"/>
        </w:rPr>
        <w:t>Ouga</w:t>
      </w:r>
      <w:proofErr w:type="spellEnd"/>
      <w:r w:rsidRPr="008A0805">
        <w:rPr>
          <w:rFonts w:ascii="Calibri" w:hAnsi="Calibri" w:cs="Calibri"/>
        </w:rPr>
        <w:t xml:space="preserve"> Holdings Co., Ltd., forming a "founder-led + employee stock ownership" structure. The founder holds approximately 10% of the shares, with the remaining equity dispersed among management, employees, and foreign capital. Foreign capital holds less than 40% of shares through Hong Kong-based companies but has no control rights.</w:t>
      </w:r>
    </w:p>
    <w:p w14:paraId="78A74F98" w14:textId="77777777" w:rsidR="00517E14" w:rsidRDefault="00517E14" w:rsidP="00253A55">
      <w:pPr>
        <w:ind w:firstLine="480"/>
        <w:jc w:val="both"/>
        <w:rPr>
          <w:rFonts w:ascii="Calibri" w:hAnsi="Calibri" w:cs="Calibri"/>
        </w:rPr>
      </w:pPr>
    </w:p>
    <w:p w14:paraId="19A8E040" w14:textId="77777777" w:rsidR="00517E14" w:rsidRDefault="00517E14" w:rsidP="00253A55">
      <w:pPr>
        <w:ind w:firstLine="480"/>
        <w:jc w:val="both"/>
        <w:rPr>
          <w:rFonts w:ascii="Calibri" w:hAnsi="Calibri" w:cs="Calibri"/>
        </w:rPr>
      </w:pPr>
    </w:p>
    <w:p w14:paraId="34D38C21" w14:textId="77777777" w:rsidR="00517E14" w:rsidRDefault="00517E14" w:rsidP="00253A55">
      <w:pPr>
        <w:ind w:firstLine="480"/>
        <w:jc w:val="both"/>
        <w:rPr>
          <w:rFonts w:ascii="Calibri" w:hAnsi="Calibri" w:cs="Calibri"/>
        </w:rPr>
      </w:pPr>
    </w:p>
    <w:p w14:paraId="31B2FC42" w14:textId="77777777" w:rsidR="00517E14" w:rsidRPr="008A0805" w:rsidRDefault="00517E14" w:rsidP="00253A55">
      <w:pPr>
        <w:ind w:firstLine="480"/>
        <w:jc w:val="both"/>
        <w:rPr>
          <w:rFonts w:ascii="Calibri" w:hAnsi="Calibri" w:cs="Calibri"/>
        </w:rPr>
      </w:pPr>
    </w:p>
    <w:p w14:paraId="274B96AE" w14:textId="77777777" w:rsidR="00764EB2" w:rsidRPr="008A0805" w:rsidRDefault="00764EB2" w:rsidP="00253A55">
      <w:pPr>
        <w:ind w:firstLine="480"/>
        <w:jc w:val="both"/>
        <w:rPr>
          <w:rFonts w:ascii="Calibri" w:hAnsi="Calibri" w:cs="Calibri"/>
        </w:rPr>
      </w:pPr>
    </w:p>
    <w:p w14:paraId="5D6B4D7E" w14:textId="522A367A" w:rsidR="00764EB2" w:rsidRPr="008A0805" w:rsidRDefault="00764EB2" w:rsidP="00253A55">
      <w:pPr>
        <w:ind w:firstLineChars="0" w:firstLine="0"/>
        <w:jc w:val="both"/>
        <w:rPr>
          <w:rFonts w:ascii="Calibri" w:hAnsi="Calibri" w:cs="Calibri"/>
        </w:rPr>
      </w:pPr>
      <w:r w:rsidRPr="008A0805">
        <w:rPr>
          <w:rFonts w:ascii="Calibri" w:hAnsi="Calibri" w:cs="Calibri"/>
        </w:rPr>
        <w:t>Figure 1 Share Structure and Voting Right Structure of OPPO</w:t>
      </w:r>
    </w:p>
    <w:p w14:paraId="2BF2E6CC" w14:textId="32BA487A" w:rsidR="00102E40" w:rsidRPr="008A0805" w:rsidRDefault="008F0AB4" w:rsidP="00253A55">
      <w:pPr>
        <w:ind w:firstLineChars="0" w:firstLine="0"/>
        <w:jc w:val="both"/>
        <w:rPr>
          <w:rFonts w:ascii="Calibri" w:hAnsi="Calibri" w:cs="Calibri"/>
        </w:rPr>
      </w:pPr>
      <w:r w:rsidRPr="008A0805">
        <w:rPr>
          <w:rFonts w:ascii="Calibri" w:hAnsi="Calibri" w:cs="Calibri"/>
          <w:noProof/>
        </w:rPr>
        <w:lastRenderedPageBreak/>
        <w:drawing>
          <wp:inline distT="0" distB="0" distL="0" distR="0" wp14:anchorId="2F7B4127" wp14:editId="267F3023">
            <wp:extent cx="2590165" cy="1281904"/>
            <wp:effectExtent l="38100" t="0" r="635"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8A0805">
        <w:rPr>
          <w:rFonts w:ascii="Calibri" w:hAnsi="Calibri" w:cs="Calibri"/>
          <w:noProof/>
        </w:rPr>
        <w:drawing>
          <wp:inline distT="0" distB="0" distL="0" distR="0" wp14:anchorId="330C0853" wp14:editId="36054C0F">
            <wp:extent cx="2590165" cy="1281904"/>
            <wp:effectExtent l="38100" t="0" r="635"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252645" w14:textId="77777777" w:rsidR="00CB08E8" w:rsidRPr="008A0805" w:rsidRDefault="00CB08E8" w:rsidP="00253A55">
      <w:pPr>
        <w:ind w:firstLine="480"/>
        <w:jc w:val="both"/>
        <w:rPr>
          <w:rFonts w:ascii="Calibri" w:hAnsi="Calibri" w:cs="Calibri"/>
        </w:rPr>
      </w:pPr>
    </w:p>
    <w:p w14:paraId="5E54A399" w14:textId="083321D4" w:rsidR="00CB08E8" w:rsidRPr="008A0805" w:rsidRDefault="00C51083" w:rsidP="00253A55">
      <w:pPr>
        <w:pStyle w:val="Heading3"/>
        <w:jc w:val="both"/>
        <w:rPr>
          <w:rFonts w:ascii="Calibri" w:hAnsi="Calibri" w:cs="Calibri"/>
        </w:rPr>
      </w:pPr>
      <w:bookmarkStart w:id="19" w:name="_Toc199890348"/>
      <w:r>
        <w:rPr>
          <w:rFonts w:ascii="Calibri" w:hAnsi="Calibri" w:cs="Calibri" w:hint="eastAsia"/>
        </w:rPr>
        <w:t>4</w:t>
      </w:r>
      <w:r w:rsidR="003A2914" w:rsidRPr="008A0805">
        <w:rPr>
          <w:rFonts w:ascii="Calibri" w:hAnsi="Calibri" w:cs="Calibri"/>
        </w:rPr>
        <w:t>.2.</w:t>
      </w:r>
      <w:r w:rsidR="00CB08E8" w:rsidRPr="008A0805">
        <w:rPr>
          <w:rFonts w:ascii="Calibri" w:hAnsi="Calibri" w:cs="Calibri"/>
        </w:rPr>
        <w:t>2 Mechanisms of Ownership Affecting Risk Preferences</w:t>
      </w:r>
      <w:bookmarkEnd w:id="19"/>
    </w:p>
    <w:p w14:paraId="72B02D0A" w14:textId="77AFE50F" w:rsidR="00CB08E8" w:rsidRPr="008A0805" w:rsidRDefault="00CB08E8" w:rsidP="00253A55">
      <w:pPr>
        <w:ind w:firstLine="480"/>
        <w:jc w:val="both"/>
        <w:rPr>
          <w:rFonts w:ascii="Calibri" w:hAnsi="Calibri" w:cs="Calibri"/>
        </w:rPr>
      </w:pPr>
      <w:r w:rsidRPr="008A0805">
        <w:rPr>
          <w:rFonts w:ascii="Calibri" w:hAnsi="Calibri" w:cs="Calibri"/>
          <w:i/>
          <w:iCs/>
        </w:rPr>
        <w:t>Centralized Control and Long-Term Strategic Tolerance</w:t>
      </w:r>
      <w:r w:rsidR="003A2914" w:rsidRPr="008A0805">
        <w:rPr>
          <w:rFonts w:ascii="Calibri" w:hAnsi="Calibri" w:cs="Calibri"/>
        </w:rPr>
        <w:t xml:space="preserve"> </w:t>
      </w:r>
      <w:r w:rsidRPr="008A0805">
        <w:rPr>
          <w:rFonts w:ascii="Calibri" w:hAnsi="Calibri" w:cs="Calibri"/>
        </w:rPr>
        <w:t>The founder-led structure reduces principal-agent conflicts of interest, avoiding conservative strategies</w:t>
      </w:r>
      <w:r w:rsidR="00457B21" w:rsidRPr="008A0805">
        <w:rPr>
          <w:rFonts w:ascii="Calibri" w:hAnsi="Calibri" w:cs="Calibri"/>
        </w:rPr>
        <w:t xml:space="preserve"> (Gomez-Mejia et al., 2017)</w:t>
      </w:r>
      <w:r w:rsidRPr="008A0805">
        <w:rPr>
          <w:rFonts w:ascii="Calibri" w:hAnsi="Calibri" w:cs="Calibri"/>
        </w:rPr>
        <w:t xml:space="preserve">. Chen Mingyong directly decides on international expansion and supports long-term high-risk investments. </w:t>
      </w:r>
      <w:r w:rsidR="003A2914" w:rsidRPr="008A0805">
        <w:rPr>
          <w:rFonts w:ascii="Calibri" w:hAnsi="Calibri" w:cs="Calibri"/>
        </w:rPr>
        <w:t xml:space="preserve">Since its establishment in 2004, OPPO's business has expanded to over 70 countries and regions worldwide (OPPO Global, 2025). </w:t>
      </w:r>
      <w:r w:rsidRPr="008A0805">
        <w:rPr>
          <w:rFonts w:ascii="Calibri" w:hAnsi="Calibri" w:cs="Calibri"/>
        </w:rPr>
        <w:t>In 2018, OPPO spent billions of yuan to purchase patents to enter the European market, reflecting the positive correlation mechanism between private enterprises' "control rights and risk-taking"</w:t>
      </w:r>
      <w:r w:rsidR="00AF70B9">
        <w:rPr>
          <w:rFonts w:ascii="Calibri" w:hAnsi="Calibri" w:cs="Calibri" w:hint="eastAsia"/>
        </w:rPr>
        <w:t>.</w:t>
      </w:r>
    </w:p>
    <w:p w14:paraId="4402FC14" w14:textId="244E9131" w:rsidR="00CB08E8" w:rsidRPr="008A0805" w:rsidRDefault="00CB08E8" w:rsidP="00253A55">
      <w:pPr>
        <w:ind w:firstLine="480"/>
        <w:jc w:val="both"/>
        <w:rPr>
          <w:rFonts w:ascii="Calibri" w:hAnsi="Calibri" w:cs="Calibri"/>
        </w:rPr>
      </w:pPr>
      <w:r w:rsidRPr="008A0805">
        <w:rPr>
          <w:rFonts w:ascii="Calibri" w:hAnsi="Calibri" w:cs="Calibri"/>
          <w:i/>
          <w:iCs/>
        </w:rPr>
        <w:t>Employee Stock Ownership Plans and Diversified Risk Perceptions</w:t>
      </w:r>
      <w:r w:rsidR="003A2914" w:rsidRPr="008A0805">
        <w:rPr>
          <w:rFonts w:ascii="Calibri" w:hAnsi="Calibri" w:cs="Calibri"/>
        </w:rPr>
        <w:t xml:space="preserve"> </w:t>
      </w:r>
      <w:r w:rsidRPr="008A0805">
        <w:rPr>
          <w:rFonts w:ascii="Calibri" w:hAnsi="Calibri" w:cs="Calibri"/>
        </w:rPr>
        <w:t>Employee stock ownership plans align individual gains with long-term corporate growth, fostering a "risk-sharing" culture</w:t>
      </w:r>
      <w:r w:rsidR="00E13B98" w:rsidRPr="008A0805">
        <w:rPr>
          <w:rFonts w:ascii="Calibri" w:hAnsi="Calibri" w:cs="Calibri"/>
        </w:rPr>
        <w:t xml:space="preserve"> (Chen et al., 2016)</w:t>
      </w:r>
      <w:r w:rsidRPr="008A0805">
        <w:rPr>
          <w:rFonts w:ascii="Calibri" w:hAnsi="Calibri" w:cs="Calibri"/>
        </w:rPr>
        <w:t>. A management team with functional diversity tends to embrace risk-taking. OPPO's decentralized equity structure promotes pluralistic decision-making, supporting its "gradual internationalization" strategy.</w:t>
      </w:r>
    </w:p>
    <w:p w14:paraId="0545A312" w14:textId="295C7D15" w:rsidR="00B128E2" w:rsidRPr="008A0805" w:rsidRDefault="00CB08E8" w:rsidP="00253A55">
      <w:pPr>
        <w:ind w:firstLine="480"/>
        <w:jc w:val="both"/>
        <w:rPr>
          <w:rFonts w:ascii="Calibri" w:hAnsi="Calibri" w:cs="Calibri"/>
        </w:rPr>
      </w:pPr>
      <w:r w:rsidRPr="008A0805">
        <w:rPr>
          <w:rFonts w:ascii="Calibri" w:hAnsi="Calibri" w:cs="Calibri"/>
          <w:i/>
          <w:iCs/>
        </w:rPr>
        <w:t>Foreign Capital Participation and Risk Culture Penetration</w:t>
      </w:r>
      <w:r w:rsidR="003A2914" w:rsidRPr="008A0805">
        <w:rPr>
          <w:rFonts w:ascii="Calibri" w:hAnsi="Calibri" w:cs="Calibri"/>
          <w:i/>
          <w:iCs/>
        </w:rPr>
        <w:t xml:space="preserve"> </w:t>
      </w:r>
      <w:r w:rsidRPr="008A0805">
        <w:rPr>
          <w:rFonts w:ascii="Calibri" w:hAnsi="Calibri" w:cs="Calibri"/>
        </w:rPr>
        <w:t>Cross-national studies</w:t>
      </w:r>
      <w:r w:rsidR="00D40AB4" w:rsidRPr="00D40AB4">
        <w:rPr>
          <w:rFonts w:ascii="Calibri" w:hAnsi="Calibri" w:cs="Calibri"/>
        </w:rPr>
        <w:t> (Hu &amp; Cui, 2014</w:t>
      </w:r>
      <w:r w:rsidR="00D40AB4">
        <w:rPr>
          <w:rFonts w:ascii="Calibri" w:hAnsi="Calibri" w:cs="Calibri" w:hint="eastAsia"/>
        </w:rPr>
        <w:t>)</w:t>
      </w:r>
      <w:r w:rsidRPr="008A0805">
        <w:rPr>
          <w:rFonts w:ascii="Calibri" w:hAnsi="Calibri" w:cs="Calibri"/>
        </w:rPr>
        <w:t xml:space="preserve"> show that foreign ownership correlates positively with corporate risk-taking. OPPO's foreign capital share (less than 40%) introduces a high-risk tolerance mindset, driving entry into high-barrier markets </w:t>
      </w:r>
      <w:r w:rsidR="006D3A48" w:rsidRPr="008A0805">
        <w:rPr>
          <w:rFonts w:ascii="Calibri" w:hAnsi="Calibri" w:cs="Calibri"/>
        </w:rPr>
        <w:t>such as</w:t>
      </w:r>
      <w:r w:rsidRPr="008A0805">
        <w:rPr>
          <w:rFonts w:ascii="Calibri" w:hAnsi="Calibri" w:cs="Calibri"/>
        </w:rPr>
        <w:t xml:space="preserve"> Europe's patent litigation environment. In regions with sound institutions</w:t>
      </w:r>
      <w:r w:rsidR="006D3A48" w:rsidRPr="008A0805">
        <w:rPr>
          <w:rFonts w:ascii="Calibri" w:hAnsi="Calibri" w:cs="Calibri"/>
        </w:rPr>
        <w:t xml:space="preserve"> like Europe</w:t>
      </w:r>
      <w:r w:rsidRPr="008A0805">
        <w:rPr>
          <w:rFonts w:ascii="Calibri" w:hAnsi="Calibri" w:cs="Calibri"/>
        </w:rPr>
        <w:t>, foreign-backed enterprises are more willing to take risks—OPPO's local compliance investments in Europe reflect its adaptive strategy for high-risk markets</w:t>
      </w:r>
      <w:r w:rsidR="00B048B6" w:rsidRPr="008A0805">
        <w:rPr>
          <w:rFonts w:ascii="Calibri" w:hAnsi="Calibri" w:cs="Calibri"/>
        </w:rPr>
        <w:t xml:space="preserve"> (Beyond Next, 2025)</w:t>
      </w:r>
      <w:r w:rsidRPr="008A0805">
        <w:rPr>
          <w:rFonts w:ascii="Calibri" w:hAnsi="Calibri" w:cs="Calibri"/>
        </w:rPr>
        <w:t>.</w:t>
      </w:r>
    </w:p>
    <w:p w14:paraId="2E8998DD" w14:textId="56EA268D" w:rsidR="005F2B35" w:rsidRDefault="00C51083" w:rsidP="00253A55">
      <w:pPr>
        <w:pStyle w:val="Heading2"/>
        <w:jc w:val="both"/>
        <w:rPr>
          <w:rFonts w:ascii="Calibri" w:hAnsi="Calibri" w:cs="Calibri"/>
        </w:rPr>
      </w:pPr>
      <w:bookmarkStart w:id="20" w:name="_Toc199890349"/>
      <w:r>
        <w:rPr>
          <w:rFonts w:ascii="Calibri" w:hAnsi="Calibri" w:cs="Calibri" w:hint="eastAsia"/>
        </w:rPr>
        <w:t>4</w:t>
      </w:r>
      <w:r w:rsidR="00580038" w:rsidRPr="008A0805">
        <w:rPr>
          <w:rFonts w:ascii="Calibri" w:hAnsi="Calibri" w:cs="Calibri"/>
        </w:rPr>
        <w:t xml:space="preserve">.2.3 </w:t>
      </w:r>
      <w:r w:rsidR="00D13C7D" w:rsidRPr="008A0805">
        <w:rPr>
          <w:rFonts w:ascii="Calibri" w:hAnsi="Calibri" w:cs="Calibri"/>
        </w:rPr>
        <w:t xml:space="preserve">Behaviors </w:t>
      </w:r>
      <w:r w:rsidR="00905E37" w:rsidRPr="008A0805">
        <w:rPr>
          <w:rFonts w:ascii="Calibri" w:hAnsi="Calibri" w:cs="Calibri"/>
        </w:rPr>
        <w:t xml:space="preserve">and </w:t>
      </w:r>
      <w:r w:rsidR="00D13C7D" w:rsidRPr="008A0805">
        <w:rPr>
          <w:rFonts w:ascii="Calibri" w:hAnsi="Calibri" w:cs="Calibri"/>
        </w:rPr>
        <w:t xml:space="preserve">Underlying Causes of </w:t>
      </w:r>
      <w:proofErr w:type="gramStart"/>
      <w:r w:rsidR="007A6685">
        <w:rPr>
          <w:rFonts w:ascii="Calibri" w:hAnsi="Calibri" w:cs="Calibri"/>
        </w:rPr>
        <w:t>High</w:t>
      </w:r>
      <w:r w:rsidR="007A6685">
        <w:rPr>
          <w:rFonts w:ascii="Calibri" w:hAnsi="Calibri" w:cs="Calibri" w:hint="eastAsia"/>
        </w:rPr>
        <w:t xml:space="preserve"> </w:t>
      </w:r>
      <w:r w:rsidR="007A6685" w:rsidRPr="008A0805">
        <w:rPr>
          <w:rFonts w:ascii="Calibri" w:hAnsi="Calibri" w:cs="Calibri"/>
        </w:rPr>
        <w:t>Risk</w:t>
      </w:r>
      <w:proofErr w:type="gramEnd"/>
      <w:r w:rsidR="00D13C7D" w:rsidRPr="008A0805">
        <w:rPr>
          <w:rFonts w:ascii="Calibri" w:hAnsi="Calibri" w:cs="Calibri"/>
        </w:rPr>
        <w:t xml:space="preserve"> Tolerance</w:t>
      </w:r>
      <w:bookmarkEnd w:id="20"/>
    </w:p>
    <w:p w14:paraId="067172CC" w14:textId="77777777" w:rsidR="000364B0" w:rsidRDefault="00D40AB4" w:rsidP="00253A55">
      <w:pPr>
        <w:ind w:firstLine="480"/>
        <w:jc w:val="both"/>
        <w:rPr>
          <w:rFonts w:ascii="Calibri" w:hAnsi="Calibri" w:cs="Calibri"/>
          <w:i/>
          <w:iCs/>
        </w:rPr>
      </w:pPr>
      <w:r w:rsidRPr="00D40AB4">
        <w:rPr>
          <w:rFonts w:ascii="Calibri" w:hAnsi="Calibri" w:cs="Calibri"/>
          <w:b/>
          <w:bCs/>
          <w:i/>
          <w:iCs/>
        </w:rPr>
        <w:t>Pattern Predicted by H2:</w:t>
      </w:r>
      <w:r w:rsidRPr="00D40AB4">
        <w:rPr>
          <w:rFonts w:ascii="Calibri" w:hAnsi="Calibri" w:cs="Calibri"/>
          <w:i/>
          <w:iCs/>
        </w:rPr>
        <w:t xml:space="preserve"> Minority ownership </w:t>
      </w:r>
      <w:r w:rsidR="00AF70B9">
        <w:rPr>
          <w:rFonts w:ascii="Calibri" w:hAnsi="Calibri" w:cs="Calibri" w:hint="eastAsia"/>
          <w:i/>
          <w:iCs/>
        </w:rPr>
        <w:t>governance</w:t>
      </w:r>
      <w:r w:rsidRPr="00D40AB4">
        <w:rPr>
          <w:rFonts w:ascii="Calibri" w:hAnsi="Calibri" w:cs="Calibri"/>
          <w:i/>
          <w:iCs/>
        </w:rPr>
        <w:t xml:space="preserve">→ risk culture </w:t>
      </w:r>
      <w:r w:rsidRPr="00D40AB4">
        <w:rPr>
          <w:rFonts w:ascii="Calibri" w:hAnsi="Calibri" w:cs="Calibri"/>
          <w:i/>
          <w:iCs/>
        </w:rPr>
        <w:lastRenderedPageBreak/>
        <w:t>penetration → aggressive internationalization.</w:t>
      </w:r>
      <w:r w:rsidR="000364B0" w:rsidRPr="000364B0">
        <w:rPr>
          <w:rFonts w:ascii="Calibri" w:hAnsi="Calibri" w:cs="Calibri"/>
          <w:i/>
          <w:iCs/>
        </w:rPr>
        <w:t xml:space="preserve"> </w:t>
      </w:r>
    </w:p>
    <w:p w14:paraId="42C37145" w14:textId="77777777" w:rsidR="000364B0" w:rsidRDefault="000364B0" w:rsidP="00253A55">
      <w:pPr>
        <w:ind w:firstLine="480"/>
        <w:jc w:val="both"/>
        <w:rPr>
          <w:rFonts w:ascii="Calibri" w:hAnsi="Calibri" w:cs="Calibri"/>
          <w:i/>
          <w:iCs/>
        </w:rPr>
      </w:pPr>
    </w:p>
    <w:p w14:paraId="7BDAFE5A" w14:textId="494DA518" w:rsidR="000364B0" w:rsidRPr="008A0805" w:rsidRDefault="000364B0" w:rsidP="00253A55">
      <w:pPr>
        <w:ind w:firstLine="480"/>
        <w:jc w:val="both"/>
        <w:rPr>
          <w:rFonts w:ascii="Calibri" w:hAnsi="Calibri" w:cs="Calibri"/>
        </w:rPr>
      </w:pPr>
      <w:r w:rsidRPr="008A0805">
        <w:rPr>
          <w:rFonts w:ascii="Calibri" w:hAnsi="Calibri" w:cs="Calibri"/>
          <w:i/>
          <w:iCs/>
        </w:rPr>
        <w:t>Strategic Consistency via Controlling Unions</w:t>
      </w:r>
      <w:r w:rsidRPr="008A0805">
        <w:rPr>
          <w:rFonts w:ascii="Calibri" w:hAnsi="Calibri" w:cs="Calibri"/>
        </w:rPr>
        <w:t>. Chen Mingyong ensures "strategic consistency" through union control, such as the sustained implementation of the "three-step" internationalization strategy (Southeast Asia → Europe → Global) (</w:t>
      </w:r>
      <w:proofErr w:type="spellStart"/>
      <w:r w:rsidRPr="008A0805">
        <w:rPr>
          <w:rFonts w:ascii="Calibri" w:hAnsi="Calibri" w:cs="Calibri"/>
        </w:rPr>
        <w:t>Oceanengine</w:t>
      </w:r>
      <w:proofErr w:type="spellEnd"/>
      <w:r w:rsidRPr="008A0805">
        <w:rPr>
          <w:rFonts w:ascii="Calibri" w:hAnsi="Calibri" w:cs="Calibri"/>
        </w:rPr>
        <w:t>, 2023), avoiding strategic vacillation caused by dispersed equity.</w:t>
      </w:r>
    </w:p>
    <w:p w14:paraId="1B5CB7E3" w14:textId="77777777" w:rsidR="000364B0" w:rsidRDefault="000364B0" w:rsidP="00253A55">
      <w:pPr>
        <w:ind w:firstLine="480"/>
        <w:jc w:val="both"/>
        <w:rPr>
          <w:rFonts w:ascii="Calibri" w:hAnsi="Calibri" w:cs="Calibri"/>
        </w:rPr>
      </w:pPr>
      <w:r w:rsidRPr="008A0805">
        <w:rPr>
          <w:rFonts w:ascii="Calibri" w:hAnsi="Calibri" w:cs="Calibri"/>
          <w:i/>
          <w:iCs/>
        </w:rPr>
        <w:t>Flexibility of Private Ownership.</w:t>
      </w:r>
      <w:r w:rsidRPr="008A0805">
        <w:rPr>
          <w:rFonts w:ascii="Calibri" w:hAnsi="Calibri" w:cs="Calibri"/>
        </w:rPr>
        <w:t xml:space="preserve"> Reduced government intervention allows agile responses to trade compliance risks, such as quickly adjusting European operations to avoid patent sanctions, unlike SOEs bound by administrative directives.</w:t>
      </w:r>
    </w:p>
    <w:p w14:paraId="7831DDB4" w14:textId="4F07363D" w:rsidR="00D40AB4" w:rsidRPr="00D40AB4" w:rsidRDefault="00D40AB4" w:rsidP="00253A55">
      <w:pPr>
        <w:ind w:firstLine="480"/>
        <w:jc w:val="both"/>
        <w:rPr>
          <w:rFonts w:ascii="Calibri" w:hAnsi="Calibri" w:cs="Calibri"/>
          <w:i/>
          <w:iCs/>
        </w:rPr>
      </w:pPr>
    </w:p>
    <w:p w14:paraId="56A6997E" w14:textId="664E8D44" w:rsidR="00905E37" w:rsidRPr="008A0805" w:rsidRDefault="00905E37" w:rsidP="00253A55">
      <w:pPr>
        <w:ind w:firstLineChars="0" w:firstLine="0"/>
        <w:jc w:val="both"/>
        <w:rPr>
          <w:rFonts w:ascii="Calibri" w:hAnsi="Calibri" w:cs="Calibri"/>
        </w:rPr>
      </w:pPr>
      <w:r w:rsidRPr="008A0805">
        <w:rPr>
          <w:rFonts w:ascii="Calibri" w:hAnsi="Calibri" w:cs="Calibri"/>
        </w:rPr>
        <w:t xml:space="preserve">Table </w:t>
      </w:r>
      <w:r w:rsidR="007763AC">
        <w:rPr>
          <w:rFonts w:ascii="Calibri" w:hAnsi="Calibri" w:cs="Calibri"/>
        </w:rPr>
        <w:t>2</w:t>
      </w:r>
      <w:r w:rsidRPr="008A0805">
        <w:rPr>
          <w:rFonts w:ascii="Calibri" w:hAnsi="Calibri" w:cs="Calibri"/>
        </w:rPr>
        <w:t xml:space="preserve"> </w:t>
      </w:r>
      <w:r w:rsidR="00BF0212" w:rsidRPr="008A0805">
        <w:rPr>
          <w:rFonts w:ascii="Calibri" w:hAnsi="Calibri" w:cs="Calibri"/>
        </w:rPr>
        <w:t>Empirical Evidence of High-Risk Internationalization Behaviors</w:t>
      </w:r>
    </w:p>
    <w:tbl>
      <w:tblPr>
        <w:tblStyle w:val="PlainTable1"/>
        <w:tblW w:w="0" w:type="auto"/>
        <w:tblLook w:val="04A0" w:firstRow="1" w:lastRow="0" w:firstColumn="1" w:lastColumn="0" w:noHBand="0" w:noVBand="1"/>
      </w:tblPr>
      <w:tblGrid>
        <w:gridCol w:w="2122"/>
        <w:gridCol w:w="3685"/>
        <w:gridCol w:w="2489"/>
      </w:tblGrid>
      <w:tr w:rsidR="005F2B35" w:rsidRPr="008A0805" w14:paraId="46929EB2" w14:textId="77777777" w:rsidTr="00FC068D">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122" w:type="dxa"/>
            <w:hideMark/>
          </w:tcPr>
          <w:p w14:paraId="6FBA2542" w14:textId="77777777" w:rsidR="005F2B35" w:rsidRPr="005F2B35" w:rsidRDefault="005F2B35" w:rsidP="00253A55">
            <w:pPr>
              <w:widowControl/>
              <w:spacing w:line="420" w:lineRule="atLeast"/>
              <w:ind w:firstLineChars="0" w:firstLine="0"/>
              <w:jc w:val="both"/>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Behavior Domain</w:t>
            </w:r>
          </w:p>
        </w:tc>
        <w:tc>
          <w:tcPr>
            <w:tcW w:w="3685" w:type="dxa"/>
            <w:hideMark/>
          </w:tcPr>
          <w:p w14:paraId="5334400C" w14:textId="77777777" w:rsidR="005F2B35" w:rsidRPr="005F2B35" w:rsidRDefault="005F2B35" w:rsidP="00253A55">
            <w:pPr>
              <w:widowControl/>
              <w:spacing w:line="420" w:lineRule="atLeast"/>
              <w:ind w:firstLineChars="0" w:firstLine="0"/>
              <w:jc w:val="both"/>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Specific Case</w:t>
            </w:r>
          </w:p>
        </w:tc>
        <w:tc>
          <w:tcPr>
            <w:tcW w:w="2489" w:type="dxa"/>
            <w:hideMark/>
          </w:tcPr>
          <w:p w14:paraId="1689FBEE" w14:textId="77777777" w:rsidR="005F2B35" w:rsidRPr="005F2B35" w:rsidRDefault="005F2B35" w:rsidP="00253A55">
            <w:pPr>
              <w:widowControl/>
              <w:spacing w:line="420" w:lineRule="atLeast"/>
              <w:ind w:firstLineChars="0" w:firstLine="0"/>
              <w:jc w:val="both"/>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Risk Quantification Index</w:t>
            </w:r>
          </w:p>
        </w:tc>
      </w:tr>
      <w:tr w:rsidR="005F2B35" w:rsidRPr="008A0805" w14:paraId="6D956816" w14:textId="77777777" w:rsidTr="00FC068D">
        <w:trPr>
          <w:cnfStyle w:val="000000100000" w:firstRow="0" w:lastRow="0" w:firstColumn="0" w:lastColumn="0" w:oddVBand="0" w:evenVBand="0" w:oddHBand="1" w:evenHBand="0" w:firstRowFirstColumn="0" w:firstRowLastColumn="0" w:lastRowFirstColumn="0" w:lastRowLastColumn="0"/>
          <w:trHeight w:val="1473"/>
        </w:trPr>
        <w:tc>
          <w:tcPr>
            <w:cnfStyle w:val="001000000000" w:firstRow="0" w:lastRow="0" w:firstColumn="1" w:lastColumn="0" w:oddVBand="0" w:evenVBand="0" w:oddHBand="0" w:evenHBand="0" w:firstRowFirstColumn="0" w:firstRowLastColumn="0" w:lastRowFirstColumn="0" w:lastRowLastColumn="0"/>
            <w:tcW w:w="2122" w:type="dxa"/>
            <w:hideMark/>
          </w:tcPr>
          <w:p w14:paraId="01DEE637" w14:textId="77777777" w:rsidR="005F2B35" w:rsidRPr="005F2B35" w:rsidRDefault="005F2B35" w:rsidP="00253A55">
            <w:pPr>
              <w:widowControl/>
              <w:spacing w:line="420" w:lineRule="atLeast"/>
              <w:ind w:firstLineChars="0" w:firstLine="0"/>
              <w:jc w:val="both"/>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Patent Litigation</w:t>
            </w:r>
          </w:p>
        </w:tc>
        <w:tc>
          <w:tcPr>
            <w:tcW w:w="3685" w:type="dxa"/>
            <w:hideMark/>
          </w:tcPr>
          <w:p w14:paraId="5F326D66" w14:textId="77777777" w:rsidR="005F2B35" w:rsidRPr="005F2B35" w:rsidRDefault="005F2B35" w:rsidP="00253A55">
            <w:pPr>
              <w:widowControl/>
              <w:spacing w:line="420" w:lineRule="atLeast"/>
              <w:ind w:firstLineChars="0" w:firstLine="0"/>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Withstood Nokia's patent lawsuits in 9 countries and risk of German sales bans while insisting on market deepening.</w:t>
            </w:r>
          </w:p>
        </w:tc>
        <w:tc>
          <w:tcPr>
            <w:tcW w:w="2489" w:type="dxa"/>
            <w:hideMark/>
          </w:tcPr>
          <w:p w14:paraId="2C9BBC59" w14:textId="77777777" w:rsidR="005F2B35" w:rsidRPr="005F2B35" w:rsidRDefault="005F2B35" w:rsidP="00253A55">
            <w:pPr>
              <w:widowControl/>
              <w:spacing w:line="420" w:lineRule="atLeast"/>
              <w:ind w:firstLineChars="0" w:firstLine="0"/>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Billions spent on patent purchases.</w:t>
            </w:r>
          </w:p>
        </w:tc>
      </w:tr>
      <w:tr w:rsidR="005F2B35" w:rsidRPr="008A0805" w14:paraId="63FFBF82" w14:textId="77777777" w:rsidTr="00FC068D">
        <w:tc>
          <w:tcPr>
            <w:cnfStyle w:val="001000000000" w:firstRow="0" w:lastRow="0" w:firstColumn="1" w:lastColumn="0" w:oddVBand="0" w:evenVBand="0" w:oddHBand="0" w:evenHBand="0" w:firstRowFirstColumn="0" w:firstRowLastColumn="0" w:lastRowFirstColumn="0" w:lastRowLastColumn="0"/>
            <w:tcW w:w="2122" w:type="dxa"/>
            <w:hideMark/>
          </w:tcPr>
          <w:p w14:paraId="17C71851" w14:textId="77777777" w:rsidR="005F2B35" w:rsidRPr="005F2B35" w:rsidRDefault="005F2B35" w:rsidP="00253A55">
            <w:pPr>
              <w:widowControl/>
              <w:spacing w:line="420" w:lineRule="atLeast"/>
              <w:ind w:firstLineChars="0" w:firstLine="0"/>
              <w:jc w:val="both"/>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Market Entry Strategy</w:t>
            </w:r>
          </w:p>
        </w:tc>
        <w:tc>
          <w:tcPr>
            <w:tcW w:w="3685" w:type="dxa"/>
            <w:hideMark/>
          </w:tcPr>
          <w:p w14:paraId="4BFCACDF" w14:textId="77777777" w:rsidR="005F2B35" w:rsidRPr="005F2B35" w:rsidRDefault="005F2B35" w:rsidP="00253A55">
            <w:pPr>
              <w:widowControl/>
              <w:spacing w:line="420" w:lineRule="atLeast"/>
              <w:ind w:firstLineChars="0" w:firstLine="0"/>
              <w:jc w:val="both"/>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Adopted a "high-cost" European-first strategy (2018 Paris launch event) instead of low-risk emerging markets.</w:t>
            </w:r>
          </w:p>
        </w:tc>
        <w:tc>
          <w:tcPr>
            <w:tcW w:w="2489" w:type="dxa"/>
            <w:hideMark/>
          </w:tcPr>
          <w:p w14:paraId="3780D1DC" w14:textId="77777777" w:rsidR="005F2B35" w:rsidRPr="005F2B35" w:rsidRDefault="005F2B35" w:rsidP="00253A55">
            <w:pPr>
              <w:widowControl/>
              <w:spacing w:line="420" w:lineRule="atLeast"/>
              <w:ind w:firstLineChars="0" w:firstLine="0"/>
              <w:jc w:val="both"/>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Establishment of Western European headquarters and localized teams.</w:t>
            </w:r>
          </w:p>
        </w:tc>
      </w:tr>
      <w:tr w:rsidR="005F2B35" w:rsidRPr="008A0805" w14:paraId="6E07EA96" w14:textId="77777777" w:rsidTr="00FC0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6562CF37" w14:textId="77777777" w:rsidR="005F2B35" w:rsidRPr="005F2B35" w:rsidRDefault="005F2B35" w:rsidP="00253A55">
            <w:pPr>
              <w:widowControl/>
              <w:spacing w:line="420" w:lineRule="atLeast"/>
              <w:ind w:firstLineChars="0" w:firstLine="0"/>
              <w:jc w:val="both"/>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Financial Risk Exposure</w:t>
            </w:r>
          </w:p>
        </w:tc>
        <w:tc>
          <w:tcPr>
            <w:tcW w:w="3685" w:type="dxa"/>
            <w:hideMark/>
          </w:tcPr>
          <w:p w14:paraId="1AB46DE3" w14:textId="77777777" w:rsidR="005F2B35" w:rsidRPr="005F2B35" w:rsidRDefault="005F2B35" w:rsidP="00253A55">
            <w:pPr>
              <w:widowControl/>
              <w:spacing w:line="420" w:lineRule="atLeast"/>
              <w:ind w:firstLineChars="0" w:firstLine="0"/>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Did not hedge foreign exchange risks, actively accepting exchange rate fluctuations to protect overseas supply chains.</w:t>
            </w:r>
          </w:p>
        </w:tc>
        <w:tc>
          <w:tcPr>
            <w:tcW w:w="2489" w:type="dxa"/>
            <w:hideMark/>
          </w:tcPr>
          <w:p w14:paraId="16E86F70" w14:textId="77777777" w:rsidR="005F2B35" w:rsidRPr="005F2B35" w:rsidRDefault="005F2B35" w:rsidP="00253A55">
            <w:pPr>
              <w:widowControl/>
              <w:spacing w:line="420" w:lineRule="atLeast"/>
              <w:ind w:firstLineChars="0" w:firstLine="0"/>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Foreign exchange exposure management strategy.</w:t>
            </w:r>
          </w:p>
        </w:tc>
      </w:tr>
    </w:tbl>
    <w:p w14:paraId="6EF48E5F" w14:textId="22777994" w:rsidR="00A55EC8" w:rsidRPr="008A0805" w:rsidRDefault="00F50A46" w:rsidP="00253A55">
      <w:pPr>
        <w:ind w:firstLineChars="0" w:firstLine="0"/>
        <w:jc w:val="both"/>
        <w:rPr>
          <w:rFonts w:ascii="Calibri" w:hAnsi="Calibri" w:cs="Calibri"/>
          <w:sz w:val="22"/>
          <w:szCs w:val="22"/>
        </w:rPr>
      </w:pPr>
      <w:r w:rsidRPr="008A0805">
        <w:rPr>
          <w:rFonts w:ascii="Calibri" w:hAnsi="Calibri" w:cs="Calibri"/>
          <w:sz w:val="22"/>
          <w:szCs w:val="22"/>
        </w:rPr>
        <w:t>Source summarized from</w:t>
      </w:r>
      <w:r w:rsidR="00C82DEF" w:rsidRPr="008A0805">
        <w:rPr>
          <w:rFonts w:ascii="Calibri" w:hAnsi="Calibri" w:cs="Calibri"/>
          <w:sz w:val="22"/>
          <w:szCs w:val="22"/>
        </w:rPr>
        <w:t>:</w:t>
      </w:r>
      <w:r w:rsidRPr="008A0805">
        <w:rPr>
          <w:rFonts w:ascii="Calibri" w:hAnsi="Calibri" w:cs="Calibri"/>
          <w:sz w:val="22"/>
          <w:szCs w:val="22"/>
        </w:rPr>
        <w:t xml:space="preserve"> </w:t>
      </w:r>
      <w:proofErr w:type="spellStart"/>
      <w:r w:rsidR="00C82DEF" w:rsidRPr="008A0805">
        <w:rPr>
          <w:rFonts w:ascii="Calibri" w:hAnsi="Calibri" w:cs="Calibri"/>
          <w:sz w:val="22"/>
          <w:szCs w:val="22"/>
        </w:rPr>
        <w:t>Sheyan</w:t>
      </w:r>
      <w:proofErr w:type="spellEnd"/>
      <w:r w:rsidR="00C82DEF" w:rsidRPr="008A0805">
        <w:rPr>
          <w:rFonts w:ascii="Calibri" w:hAnsi="Calibri" w:cs="Calibri"/>
          <w:sz w:val="22"/>
          <w:szCs w:val="22"/>
        </w:rPr>
        <w:t xml:space="preserve"> Finance. (2025). Analysis of OPPO’s dilemma: the breakthrough path under the triple challenges of high - end market, overseas expansion and innovation. </w:t>
      </w:r>
      <w:proofErr w:type="spellStart"/>
      <w:r w:rsidR="00C82DEF" w:rsidRPr="008A0805">
        <w:rPr>
          <w:rFonts w:ascii="Calibri" w:hAnsi="Calibri" w:cs="Calibri"/>
          <w:sz w:val="22"/>
          <w:szCs w:val="22"/>
        </w:rPr>
        <w:t>cnFOL</w:t>
      </w:r>
      <w:proofErr w:type="spellEnd"/>
      <w:r w:rsidR="00C82DEF" w:rsidRPr="008A0805">
        <w:rPr>
          <w:rFonts w:ascii="Calibri" w:hAnsi="Calibri" w:cs="Calibri"/>
          <w:sz w:val="22"/>
          <w:szCs w:val="22"/>
        </w:rPr>
        <w:t xml:space="preserve">. </w:t>
      </w:r>
      <w:hyperlink r:id="rId10" w:history="1">
        <w:r w:rsidR="00FC068D" w:rsidRPr="008A0805">
          <w:rPr>
            <w:rStyle w:val="Hyperlink"/>
            <w:rFonts w:ascii="Calibri" w:hAnsi="Calibri" w:cs="Calibri"/>
            <w:sz w:val="22"/>
            <w:szCs w:val="22"/>
          </w:rPr>
          <w:t>http://mp.cnfol.com/49592/article/1743169804-141725357.html</w:t>
        </w:r>
      </w:hyperlink>
      <w:r w:rsidR="00FC068D" w:rsidRPr="008A0805">
        <w:rPr>
          <w:rFonts w:ascii="Calibri" w:hAnsi="Calibri" w:cs="Calibri"/>
          <w:sz w:val="22"/>
          <w:szCs w:val="22"/>
        </w:rPr>
        <w:t xml:space="preserve"> and other </w:t>
      </w:r>
      <w:r w:rsidR="00F435BD" w:rsidRPr="008A0805">
        <w:rPr>
          <w:rFonts w:ascii="Calibri" w:hAnsi="Calibri" w:cs="Calibri"/>
          <w:sz w:val="22"/>
          <w:szCs w:val="22"/>
        </w:rPr>
        <w:t>listed references</w:t>
      </w:r>
    </w:p>
    <w:p w14:paraId="62B214D9" w14:textId="0982B5FD" w:rsidR="00D40AB4" w:rsidRPr="00D40AB4" w:rsidRDefault="00D40AB4" w:rsidP="00253A55">
      <w:pPr>
        <w:ind w:firstLine="480"/>
        <w:jc w:val="both"/>
        <w:rPr>
          <w:rFonts w:ascii="Calibri" w:hAnsi="Calibri" w:cs="Calibri"/>
          <w:i/>
          <w:iCs/>
        </w:rPr>
      </w:pPr>
      <w:r w:rsidRPr="00D40AB4">
        <w:rPr>
          <w:rFonts w:ascii="Calibri" w:hAnsi="Calibri" w:cs="Calibri"/>
          <w:b/>
          <w:bCs/>
          <w:i/>
          <w:iCs/>
        </w:rPr>
        <w:t>Observed Pattern</w:t>
      </w:r>
      <w:r w:rsidRPr="00D40AB4">
        <w:rPr>
          <w:rFonts w:ascii="Calibri" w:hAnsi="Calibri" w:cs="Calibri"/>
          <w:i/>
          <w:iCs/>
        </w:rPr>
        <w:t xml:space="preserve">: OPPO’s </w:t>
      </w:r>
      <w:r w:rsidR="00D7598D">
        <w:rPr>
          <w:rFonts w:ascii="Calibri" w:hAnsi="Calibri" w:cs="Calibri" w:hint="eastAsia"/>
          <w:i/>
          <w:iCs/>
        </w:rPr>
        <w:t xml:space="preserve">minority ownership (controlled by its founder) </w:t>
      </w:r>
      <w:r w:rsidRPr="00D40AB4">
        <w:rPr>
          <w:rFonts w:ascii="Calibri" w:hAnsi="Calibri" w:cs="Calibri"/>
          <w:i/>
          <w:iCs/>
        </w:rPr>
        <w:t>coincides with its high-risk European market entry (e.g., patent litigation investments), matching the hypothesis. This supports H2’s prediction of a positive moderation effect.</w:t>
      </w:r>
    </w:p>
    <w:p w14:paraId="26E65D7C" w14:textId="59E7861F" w:rsidR="00027063" w:rsidRPr="008A0805" w:rsidRDefault="00027063" w:rsidP="00253A55">
      <w:pPr>
        <w:ind w:firstLine="480"/>
        <w:jc w:val="both"/>
        <w:rPr>
          <w:rFonts w:ascii="Calibri" w:hAnsi="Calibri" w:cs="Calibri"/>
        </w:rPr>
      </w:pPr>
      <w:r>
        <w:rPr>
          <w:rFonts w:ascii="Calibri" w:hAnsi="Calibri" w:cs="Calibri" w:hint="eastAsia"/>
        </w:rPr>
        <w:t xml:space="preserve">From the case study, we can infer that </w:t>
      </w:r>
      <w:r w:rsidRPr="00027063">
        <w:rPr>
          <w:rFonts w:ascii="Calibri" w:hAnsi="Calibri" w:cs="Calibri" w:hint="eastAsia"/>
          <w:i/>
          <w:iCs/>
        </w:rPr>
        <w:t>H</w:t>
      </w:r>
      <w:r>
        <w:rPr>
          <w:rFonts w:ascii="Calibri" w:hAnsi="Calibri" w:cs="Calibri" w:hint="eastAsia"/>
          <w:i/>
          <w:iCs/>
        </w:rPr>
        <w:t>2</w:t>
      </w:r>
      <w:r>
        <w:rPr>
          <w:rFonts w:ascii="Calibri" w:hAnsi="Calibri" w:cs="Calibri" w:hint="eastAsia"/>
        </w:rPr>
        <w:t xml:space="preserve"> can be shown on the case of the OPPO.</w:t>
      </w:r>
      <w:r w:rsidR="00D7598D" w:rsidRPr="00D7598D">
        <w:t xml:space="preserve"> </w:t>
      </w:r>
      <w:r w:rsidR="00D7598D" w:rsidRPr="00D7598D">
        <w:rPr>
          <w:rFonts w:ascii="Calibri" w:hAnsi="Calibri" w:cs="Calibri"/>
        </w:rPr>
        <w:lastRenderedPageBreak/>
        <w:t xml:space="preserve">OPPO's concentrated private ownership, with the founder </w:t>
      </w:r>
      <w:r w:rsidR="00D7598D">
        <w:rPr>
          <w:rFonts w:ascii="Calibri" w:hAnsi="Calibri" w:cs="Calibri" w:hint="eastAsia"/>
        </w:rPr>
        <w:t>controlling</w:t>
      </w:r>
      <w:r w:rsidR="00D7598D" w:rsidRPr="00D7598D">
        <w:rPr>
          <w:rFonts w:ascii="Calibri" w:hAnsi="Calibri" w:cs="Calibri"/>
        </w:rPr>
        <w:t xml:space="preserve"> 61.08% voting rights, drives profit-centered goals and flexible decision-making, boosting risk tolerance, confirming H2's prediction that </w:t>
      </w:r>
      <w:r w:rsidR="000364B0">
        <w:rPr>
          <w:rFonts w:ascii="Calibri" w:hAnsi="Calibri" w:cs="Calibri" w:hint="eastAsia"/>
        </w:rPr>
        <w:t>p</w:t>
      </w:r>
      <w:r w:rsidR="00CF5150">
        <w:rPr>
          <w:rFonts w:ascii="Calibri" w:hAnsi="Calibri" w:cs="Calibri" w:hint="eastAsia"/>
        </w:rPr>
        <w:t>rivate</w:t>
      </w:r>
      <w:r w:rsidR="00D7598D" w:rsidRPr="00D7598D">
        <w:rPr>
          <w:rFonts w:ascii="Calibri" w:hAnsi="Calibri" w:cs="Calibri"/>
        </w:rPr>
        <w:t xml:space="preserve"> ownership positively moderates aggressive internationalization.</w:t>
      </w:r>
    </w:p>
    <w:p w14:paraId="387FB06C" w14:textId="1AFE5D26" w:rsidR="00F731D6" w:rsidRDefault="00C51083" w:rsidP="00253A55">
      <w:pPr>
        <w:pStyle w:val="Heading1"/>
        <w:jc w:val="both"/>
        <w:rPr>
          <w:rFonts w:ascii="Calibri" w:hAnsi="Calibri" w:cs="Calibri"/>
        </w:rPr>
      </w:pPr>
      <w:bookmarkStart w:id="21" w:name="_Toc199890350"/>
      <w:r>
        <w:rPr>
          <w:rFonts w:ascii="Calibri" w:hAnsi="Calibri" w:cs="Calibri" w:hint="eastAsia"/>
        </w:rPr>
        <w:t>5</w:t>
      </w:r>
      <w:r w:rsidR="00B06119" w:rsidRPr="008A0805">
        <w:rPr>
          <w:rFonts w:ascii="Calibri" w:hAnsi="Calibri" w:cs="Calibri"/>
        </w:rPr>
        <w:t xml:space="preserve">.0 </w:t>
      </w:r>
      <w:r w:rsidR="00F731D6" w:rsidRPr="008A0805">
        <w:rPr>
          <w:rFonts w:ascii="Calibri" w:hAnsi="Calibri" w:cs="Calibri"/>
        </w:rPr>
        <w:t>Conclusion</w:t>
      </w:r>
      <w:bookmarkEnd w:id="21"/>
    </w:p>
    <w:p w14:paraId="4A55ED7F" w14:textId="184D13A2" w:rsidR="00153377" w:rsidRPr="00153377" w:rsidRDefault="00153377" w:rsidP="00253A55">
      <w:pPr>
        <w:ind w:firstLine="480"/>
        <w:jc w:val="both"/>
      </w:pPr>
      <w:r w:rsidRPr="00153377">
        <w:t xml:space="preserve">This paper </w:t>
      </w:r>
      <w:r w:rsidR="000146A1">
        <w:t>shows</w:t>
      </w:r>
      <w:r w:rsidRPr="00153377">
        <w:t xml:space="preserve"> that a firm's ownership structure fundamentally influences its internationalization </w:t>
      </w:r>
      <w:r w:rsidR="000146A1">
        <w:t>risk perception</w:t>
      </w:r>
      <w:r w:rsidRPr="00153377">
        <w:t>. State-owned enterprises (SOEs) show risk aversion due to political and bureaucratic constraints, while private firms prioritize profit and exhibit higher risk tolerance. Controlling shareholders often adopt conservative strategies to protect control, whereas minority shareholders push for internationalization to seek growth. Interactive effects and hybrid models further shape risk decisions. In short, ownership type, control distribution, and stakeholder dynamics determine how firms balance risks and opportunities in global expansion.</w:t>
      </w:r>
    </w:p>
    <w:p w14:paraId="4FBE4977" w14:textId="77777777" w:rsidR="00A428F8" w:rsidRPr="003A29C6" w:rsidRDefault="00A428F8" w:rsidP="00253A55">
      <w:pPr>
        <w:ind w:firstLine="480"/>
        <w:jc w:val="both"/>
        <w:outlineLvl w:val="0"/>
        <w:rPr>
          <w:rFonts w:ascii="Arial" w:hAnsi="Arial" w:cs="Arial"/>
        </w:rPr>
      </w:pPr>
      <w:r w:rsidRPr="003A29C6">
        <w:rPr>
          <w:rFonts w:ascii="Arial" w:hAnsi="Arial" w:cs="Arial"/>
          <w:b/>
          <w:bCs/>
        </w:rPr>
        <w:t>COMPETING INTERESTS DISCLAIMER:</w:t>
      </w:r>
    </w:p>
    <w:p w14:paraId="52152755" w14:textId="77777777" w:rsidR="00A428F8" w:rsidRDefault="00A428F8" w:rsidP="00253A55">
      <w:pPr>
        <w:ind w:firstLine="480"/>
        <w:jc w:val="both"/>
      </w:pPr>
      <w:r w:rsidRPr="00A10EDE">
        <w:t>Authors have declared that they have no known competing financial interests OR non-financial interests OR personal relationships that could have appeared to influence the work reported in this paper.</w:t>
      </w:r>
    </w:p>
    <w:p w14:paraId="41A526F7" w14:textId="77777777" w:rsidR="0061785B" w:rsidRDefault="00BE43E4" w:rsidP="00253A55">
      <w:pPr>
        <w:ind w:firstLine="480"/>
        <w:jc w:val="both"/>
        <w:rPr>
          <w:sz w:val="22"/>
          <w:szCs w:val="22"/>
        </w:rPr>
      </w:pPr>
      <w:r w:rsidRPr="008A0805">
        <w:rPr>
          <w:rFonts w:ascii="Calibri" w:hAnsi="Calibri" w:cs="Calibri"/>
        </w:rPr>
        <w:br w:type="page"/>
      </w:r>
      <w:r w:rsidR="0061785B">
        <w:lastRenderedPageBreak/>
        <w:t>Disclaimer (Artificial intelligence)</w:t>
      </w:r>
    </w:p>
    <w:p w14:paraId="77D4A4AC" w14:textId="77777777" w:rsidR="0061785B" w:rsidRDefault="0061785B" w:rsidP="00253A55">
      <w:pPr>
        <w:ind w:firstLine="480"/>
        <w:jc w:val="both"/>
      </w:pPr>
      <w:r>
        <w:t xml:space="preserve">Option 1: </w:t>
      </w:r>
    </w:p>
    <w:p w14:paraId="33BE5D9C" w14:textId="77777777" w:rsidR="0061785B" w:rsidRDefault="0061785B" w:rsidP="00253A55">
      <w:pPr>
        <w:ind w:firstLine="480"/>
        <w:jc w:val="both"/>
      </w:pPr>
      <w:r>
        <w:t xml:space="preserve">Author(s) hereby declare that NO generative AI technologies such as Large Language Models (ChatGPT, COPILOT, etc.) and text-to-image generators have been used during the writing or editing of this manuscript. </w:t>
      </w:r>
    </w:p>
    <w:p w14:paraId="2919FEB8" w14:textId="77777777" w:rsidR="0061785B" w:rsidRDefault="0061785B" w:rsidP="00253A55">
      <w:pPr>
        <w:ind w:firstLine="480"/>
        <w:jc w:val="both"/>
      </w:pPr>
      <w:r>
        <w:t xml:space="preserve">Option 2: </w:t>
      </w:r>
    </w:p>
    <w:p w14:paraId="654D9289" w14:textId="77777777" w:rsidR="0061785B" w:rsidRDefault="0061785B" w:rsidP="00253A55">
      <w:pPr>
        <w:ind w:firstLine="480"/>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FB8CB9" w14:textId="77777777" w:rsidR="0061785B" w:rsidRDefault="0061785B" w:rsidP="00253A55">
      <w:pPr>
        <w:ind w:firstLine="480"/>
        <w:jc w:val="both"/>
      </w:pPr>
      <w:r>
        <w:t>Details of the AI usage are given below:</w:t>
      </w:r>
    </w:p>
    <w:p w14:paraId="2C52982F" w14:textId="77777777" w:rsidR="0061785B" w:rsidRDefault="0061785B" w:rsidP="00253A55">
      <w:pPr>
        <w:ind w:firstLine="480"/>
        <w:jc w:val="both"/>
      </w:pPr>
      <w:r>
        <w:t>1.</w:t>
      </w:r>
    </w:p>
    <w:p w14:paraId="77A50A07" w14:textId="77777777" w:rsidR="0061785B" w:rsidRDefault="0061785B" w:rsidP="00253A55">
      <w:pPr>
        <w:ind w:firstLine="480"/>
        <w:jc w:val="both"/>
      </w:pPr>
      <w:r>
        <w:t>2.</w:t>
      </w:r>
    </w:p>
    <w:p w14:paraId="117EAF46" w14:textId="77777777" w:rsidR="0061785B" w:rsidRDefault="0061785B" w:rsidP="00253A55">
      <w:pPr>
        <w:ind w:firstLine="480"/>
        <w:jc w:val="both"/>
      </w:pPr>
      <w:r>
        <w:t>3.</w:t>
      </w:r>
    </w:p>
    <w:p w14:paraId="4416C64E" w14:textId="77777777" w:rsidR="0061785B" w:rsidRDefault="0061785B" w:rsidP="00253A55">
      <w:pPr>
        <w:ind w:firstLine="480"/>
        <w:jc w:val="both"/>
      </w:pPr>
    </w:p>
    <w:p w14:paraId="5E496E90" w14:textId="6B31D7BD" w:rsidR="00BE43E4" w:rsidRPr="008A0805" w:rsidRDefault="00BE43E4" w:rsidP="00253A55">
      <w:pPr>
        <w:ind w:firstLine="480"/>
        <w:jc w:val="both"/>
        <w:rPr>
          <w:rFonts w:ascii="Calibri" w:hAnsi="Calibri" w:cs="Calibri"/>
        </w:rPr>
      </w:pPr>
    </w:p>
    <w:p w14:paraId="783A8B2F" w14:textId="566272EF" w:rsidR="003C2F3A" w:rsidRPr="008A0805" w:rsidRDefault="003C2F3A" w:rsidP="00253A55">
      <w:pPr>
        <w:pStyle w:val="Heading1"/>
        <w:jc w:val="both"/>
        <w:rPr>
          <w:rFonts w:ascii="Calibri" w:hAnsi="Calibri" w:cs="Calibri"/>
        </w:rPr>
      </w:pPr>
      <w:bookmarkStart w:id="22" w:name="_Toc199890351"/>
      <w:r w:rsidRPr="008A0805">
        <w:rPr>
          <w:rFonts w:ascii="Calibri" w:hAnsi="Calibri" w:cs="Calibri"/>
        </w:rPr>
        <w:t>Reference</w:t>
      </w:r>
      <w:bookmarkEnd w:id="22"/>
    </w:p>
    <w:p w14:paraId="042B45E1" w14:textId="787D1624" w:rsidR="000B5A6E" w:rsidRDefault="000B5A6E" w:rsidP="00253A55">
      <w:pPr>
        <w:widowControl/>
        <w:spacing w:line="480" w:lineRule="auto"/>
        <w:ind w:left="480" w:hangingChars="200" w:hanging="480"/>
        <w:jc w:val="both"/>
        <w:rPr>
          <w:rFonts w:ascii="Calibri" w:eastAsia="SimSun" w:hAnsi="Calibri" w:cs="Calibri"/>
          <w:kern w:val="0"/>
        </w:rPr>
      </w:pPr>
      <w:r w:rsidRPr="008A0805">
        <w:rPr>
          <w:rFonts w:ascii="Calibri" w:eastAsia="SimSun" w:hAnsi="Calibri" w:cs="Calibri"/>
          <w:kern w:val="0"/>
        </w:rPr>
        <w:t xml:space="preserve">Wei, Q. (2025). A Review of China’s Electric Vehicle Consumption Market: The Impact of the Unique Chinese Culture on Car Buying Behavior. </w:t>
      </w:r>
      <w:r w:rsidRPr="008A0805">
        <w:rPr>
          <w:rFonts w:ascii="Calibri" w:eastAsia="SimSun" w:hAnsi="Calibri" w:cs="Calibri"/>
          <w:i/>
          <w:iCs/>
          <w:kern w:val="0"/>
        </w:rPr>
        <w:t>Advances in Economics Management and Political Sciences</w:t>
      </w:r>
      <w:r w:rsidRPr="008A0805">
        <w:rPr>
          <w:rFonts w:ascii="Calibri" w:eastAsia="SimSun" w:hAnsi="Calibri" w:cs="Calibri"/>
          <w:kern w:val="0"/>
        </w:rPr>
        <w:t xml:space="preserve">, </w:t>
      </w:r>
      <w:r w:rsidRPr="008A0805">
        <w:rPr>
          <w:rFonts w:ascii="Calibri" w:eastAsia="SimSun" w:hAnsi="Calibri" w:cs="Calibri"/>
          <w:i/>
          <w:iCs/>
          <w:kern w:val="0"/>
        </w:rPr>
        <w:t>166</w:t>
      </w:r>
      <w:r w:rsidRPr="008A0805">
        <w:rPr>
          <w:rFonts w:ascii="Calibri" w:eastAsia="SimSun" w:hAnsi="Calibri" w:cs="Calibri"/>
          <w:kern w:val="0"/>
        </w:rPr>
        <w:t xml:space="preserve">(1), 8–14. </w:t>
      </w:r>
      <w:hyperlink r:id="rId11" w:history="1">
        <w:r w:rsidR="0053108B" w:rsidRPr="00034FBE">
          <w:rPr>
            <w:rStyle w:val="Hyperlink"/>
            <w:rFonts w:ascii="Calibri" w:eastAsia="SimSun" w:hAnsi="Calibri" w:cs="Calibri"/>
            <w:kern w:val="0"/>
          </w:rPr>
          <w:t>https://doi.org/10.54254/2754-1169/2025.20870</w:t>
        </w:r>
      </w:hyperlink>
    </w:p>
    <w:p w14:paraId="5B60E775" w14:textId="77777777" w:rsidR="0053108B" w:rsidRDefault="0053108B" w:rsidP="00253A55">
      <w:pPr>
        <w:widowControl/>
        <w:spacing w:line="480" w:lineRule="auto"/>
        <w:ind w:left="480" w:hangingChars="200" w:hanging="480"/>
        <w:jc w:val="both"/>
        <w:rPr>
          <w:rFonts w:ascii="Calibri" w:eastAsia="SimSun" w:hAnsi="Calibri" w:cs="Calibri"/>
          <w:kern w:val="0"/>
        </w:rPr>
      </w:pPr>
      <w:r w:rsidRPr="0053108B">
        <w:rPr>
          <w:rFonts w:ascii="Calibri" w:eastAsia="SimSun" w:hAnsi="Calibri" w:cs="Calibri"/>
          <w:kern w:val="0"/>
        </w:rPr>
        <w:t xml:space="preserve">About SPIC. (2025). SPIC. http://eng.spic.com.cn/2021/whoweare/aboutspic/ Belt and Road Portal. (2025). BRI Official Website. https://eng.yidaiyilu.gov.cn/ Beyond Next. (2025). From China to the Globe: A Collection of OPPO’s 16-Year Overseas Expansion Experience Stories. https://www.wearebn.com/zh/2025021901 </w:t>
      </w:r>
    </w:p>
    <w:p w14:paraId="1AC8B536" w14:textId="50DDDC3B" w:rsidR="0053108B" w:rsidRDefault="0053108B" w:rsidP="00253A55">
      <w:pPr>
        <w:widowControl/>
        <w:spacing w:line="480" w:lineRule="auto"/>
        <w:ind w:left="480" w:hangingChars="200" w:hanging="480"/>
        <w:jc w:val="both"/>
        <w:rPr>
          <w:rFonts w:ascii="Calibri" w:eastAsia="SimSun" w:hAnsi="Calibri" w:cs="Calibri"/>
          <w:kern w:val="0"/>
        </w:rPr>
      </w:pPr>
      <w:r w:rsidRPr="0053108B">
        <w:rPr>
          <w:rFonts w:ascii="Calibri" w:eastAsia="SimSun" w:hAnsi="Calibri" w:cs="Calibri"/>
          <w:kern w:val="0"/>
        </w:rPr>
        <w:lastRenderedPageBreak/>
        <w:t xml:space="preserve">Bhaumik, S. K., Driffield, N., Pal, S., Aston Business School, Aston University, UK, &amp; School of Social Sciences, Brunel University, UK. (2010). Does ownership structure of emerging-market firms affect their outward FDI? The case of the Indian automotive and pharmaceutical sectors. In Academy of International Business, Journal of International Business Studies (pp. 437–450) [Journal-article]. </w:t>
      </w:r>
      <w:hyperlink r:id="rId12" w:history="1">
        <w:r w:rsidRPr="00034FBE">
          <w:rPr>
            <w:rStyle w:val="Hyperlink"/>
            <w:rFonts w:ascii="Calibri" w:eastAsia="SimSun" w:hAnsi="Calibri" w:cs="Calibri"/>
            <w:kern w:val="0"/>
          </w:rPr>
          <w:t>https://doi.org/10.1057/jibs.2009.52</w:t>
        </w:r>
      </w:hyperlink>
      <w:r w:rsidRPr="0053108B">
        <w:rPr>
          <w:rFonts w:ascii="Calibri" w:eastAsia="SimSun" w:hAnsi="Calibri" w:cs="Calibri"/>
          <w:kern w:val="0"/>
        </w:rPr>
        <w:t xml:space="preserve"> </w:t>
      </w:r>
    </w:p>
    <w:p w14:paraId="1F72EFA7" w14:textId="5DD50081" w:rsidR="0053108B" w:rsidRDefault="0053108B" w:rsidP="00253A55">
      <w:pPr>
        <w:widowControl/>
        <w:spacing w:line="480" w:lineRule="auto"/>
        <w:ind w:left="480" w:hangingChars="200" w:hanging="480"/>
        <w:jc w:val="both"/>
        <w:rPr>
          <w:rFonts w:ascii="Calibri" w:eastAsia="SimSun" w:hAnsi="Calibri" w:cs="Calibri"/>
          <w:kern w:val="0"/>
        </w:rPr>
      </w:pPr>
      <w:r w:rsidRPr="0053108B">
        <w:rPr>
          <w:rFonts w:ascii="Calibri" w:eastAsia="SimSun" w:hAnsi="Calibri" w:cs="Calibri"/>
          <w:kern w:val="0"/>
        </w:rPr>
        <w:t xml:space="preserve">Changjiang Business School. (2024). OPPO: Build a Global Enterprise with Deep Localization. WeChat Public Account. </w:t>
      </w:r>
      <w:hyperlink r:id="rId13" w:history="1">
        <w:r w:rsidRPr="00034FBE">
          <w:rPr>
            <w:rStyle w:val="Hyperlink"/>
            <w:rFonts w:ascii="Calibri" w:eastAsia="SimSun" w:hAnsi="Calibri" w:cs="Calibri"/>
            <w:kern w:val="0"/>
          </w:rPr>
          <w:t>https://mp.weixin.qq.com/s?__biz=MjM5MzM0NjY2MA%3D%3D&amp;mid=2652671510&amp;idx=2&amp;sn=cc470ee1c9f9180af099d4012e2dae7c&amp;chksm=bc87c6c5f3487cbd08bfea116fa5205f8b91c8f648806a43f42740bc42b8fd3309ee8c433419&amp;scene=27</w:t>
        </w:r>
      </w:hyperlink>
      <w:r w:rsidRPr="0053108B">
        <w:rPr>
          <w:rFonts w:ascii="Calibri" w:eastAsia="SimSun" w:hAnsi="Calibri" w:cs="Calibri"/>
          <w:kern w:val="0"/>
        </w:rPr>
        <w:t xml:space="preserve"> </w:t>
      </w:r>
    </w:p>
    <w:p w14:paraId="5776CD9F" w14:textId="77777777" w:rsidR="0053108B" w:rsidRDefault="0053108B" w:rsidP="00253A55">
      <w:pPr>
        <w:widowControl/>
        <w:spacing w:line="480" w:lineRule="auto"/>
        <w:ind w:left="480" w:hangingChars="200" w:hanging="480"/>
        <w:jc w:val="both"/>
        <w:rPr>
          <w:rFonts w:ascii="Calibri" w:eastAsia="SimSun" w:hAnsi="Calibri" w:cs="Calibri"/>
          <w:kern w:val="0"/>
        </w:rPr>
      </w:pPr>
      <w:r w:rsidRPr="0053108B">
        <w:rPr>
          <w:rFonts w:ascii="Calibri" w:eastAsia="SimSun" w:hAnsi="Calibri" w:cs="Calibri"/>
          <w:kern w:val="0"/>
        </w:rPr>
        <w:t xml:space="preserve">Chen, C., Wu, X., &amp; Wei, F. (2016). Heterogeneity of top management </w:t>
      </w:r>
      <w:proofErr w:type="spellStart"/>
      <w:proofErr w:type="gramStart"/>
      <w:r w:rsidRPr="0053108B">
        <w:rPr>
          <w:rFonts w:ascii="Calibri" w:eastAsia="SimSun" w:hAnsi="Calibri" w:cs="Calibri"/>
          <w:kern w:val="0"/>
        </w:rPr>
        <w:t>team,managerial</w:t>
      </w:r>
      <w:proofErr w:type="spellEnd"/>
      <w:proofErr w:type="gramEnd"/>
      <w:r w:rsidRPr="0053108B">
        <w:rPr>
          <w:rFonts w:ascii="Calibri" w:eastAsia="SimSun" w:hAnsi="Calibri" w:cs="Calibri"/>
          <w:kern w:val="0"/>
        </w:rPr>
        <w:t xml:space="preserve"> </w:t>
      </w:r>
      <w:proofErr w:type="spellStart"/>
      <w:r w:rsidRPr="0053108B">
        <w:rPr>
          <w:rFonts w:ascii="Calibri" w:eastAsia="SimSun" w:hAnsi="Calibri" w:cs="Calibri"/>
          <w:kern w:val="0"/>
        </w:rPr>
        <w:t>ownership,and</w:t>
      </w:r>
      <w:proofErr w:type="spellEnd"/>
      <w:r w:rsidRPr="0053108B">
        <w:rPr>
          <w:rFonts w:ascii="Calibri" w:eastAsia="SimSun" w:hAnsi="Calibri" w:cs="Calibri"/>
          <w:kern w:val="0"/>
        </w:rPr>
        <w:t xml:space="preserve"> risk taking. Journal of Management Sciences in China, 2016(19-</w:t>
      </w:r>
      <w:proofErr w:type="gramStart"/>
      <w:r w:rsidRPr="0053108B">
        <w:rPr>
          <w:rFonts w:ascii="Calibri" w:eastAsia="SimSun" w:hAnsi="Calibri" w:cs="Calibri"/>
          <w:kern w:val="0"/>
        </w:rPr>
        <w:t>5)(</w:t>
      </w:r>
      <w:proofErr w:type="gramEnd"/>
      <w:r w:rsidRPr="0053108B">
        <w:rPr>
          <w:rFonts w:ascii="Calibri" w:eastAsia="SimSun" w:hAnsi="Calibri" w:cs="Calibri"/>
          <w:kern w:val="0"/>
        </w:rPr>
        <w:t xml:space="preserve">1–13). https://jmsc.tju.edu.cn/jmsc/article/abstract/20160501 Costa, A. D., </w:t>
      </w:r>
      <w:proofErr w:type="spellStart"/>
      <w:r w:rsidRPr="0053108B">
        <w:rPr>
          <w:rFonts w:ascii="Calibri" w:eastAsia="SimSun" w:hAnsi="Calibri" w:cs="Calibri"/>
          <w:kern w:val="0"/>
        </w:rPr>
        <w:t>Camboim</w:t>
      </w:r>
      <w:proofErr w:type="spellEnd"/>
      <w:r w:rsidRPr="0053108B">
        <w:rPr>
          <w:rFonts w:ascii="Calibri" w:eastAsia="SimSun" w:hAnsi="Calibri" w:cs="Calibri"/>
          <w:kern w:val="0"/>
        </w:rPr>
        <w:t xml:space="preserve">, </w:t>
      </w:r>
    </w:p>
    <w:p w14:paraId="40D29071" w14:textId="789C1CDD" w:rsidR="0053108B" w:rsidRDefault="0053108B" w:rsidP="00253A55">
      <w:pPr>
        <w:widowControl/>
        <w:spacing w:line="480" w:lineRule="auto"/>
        <w:ind w:left="480" w:hangingChars="200" w:hanging="480"/>
        <w:jc w:val="both"/>
        <w:rPr>
          <w:rFonts w:ascii="Calibri" w:eastAsia="SimSun" w:hAnsi="Calibri" w:cs="Calibri"/>
          <w:kern w:val="0"/>
        </w:rPr>
      </w:pPr>
      <w:r w:rsidRPr="0053108B">
        <w:rPr>
          <w:rFonts w:ascii="Calibri" w:eastAsia="SimSun" w:hAnsi="Calibri" w:cs="Calibri"/>
          <w:kern w:val="0"/>
        </w:rPr>
        <w:t xml:space="preserve">G. F., &amp; Zen, A. C. (2018). Internationalization patterns and their effects on company performance. Journal of Operations and Supply Chain Management, 11(1), 53–63. </w:t>
      </w:r>
      <w:hyperlink r:id="rId14" w:history="1">
        <w:r w:rsidRPr="00034FBE">
          <w:rPr>
            <w:rStyle w:val="Hyperlink"/>
            <w:rFonts w:ascii="Calibri" w:eastAsia="SimSun" w:hAnsi="Calibri" w:cs="Calibri"/>
            <w:kern w:val="0"/>
          </w:rPr>
          <w:t>https://doi.org/10.12660/joscmv11n1p53-63</w:t>
        </w:r>
      </w:hyperlink>
      <w:r w:rsidRPr="0053108B">
        <w:rPr>
          <w:rFonts w:ascii="Calibri" w:eastAsia="SimSun" w:hAnsi="Calibri" w:cs="Calibri"/>
          <w:kern w:val="0"/>
        </w:rPr>
        <w:t xml:space="preserve"> </w:t>
      </w:r>
    </w:p>
    <w:p w14:paraId="7CFA49F2" w14:textId="77777777" w:rsidR="0053108B" w:rsidRDefault="0053108B" w:rsidP="00253A55">
      <w:pPr>
        <w:widowControl/>
        <w:spacing w:line="480" w:lineRule="auto"/>
        <w:ind w:left="480" w:hangingChars="200" w:hanging="480"/>
        <w:jc w:val="both"/>
        <w:rPr>
          <w:rFonts w:ascii="Calibri" w:eastAsia="SimSun" w:hAnsi="Calibri" w:cs="Calibri"/>
          <w:kern w:val="0"/>
        </w:rPr>
      </w:pPr>
      <w:r w:rsidRPr="0053108B">
        <w:rPr>
          <w:rFonts w:ascii="Calibri" w:eastAsia="SimSun" w:hAnsi="Calibri" w:cs="Calibri"/>
          <w:kern w:val="0"/>
        </w:rPr>
        <w:t>Dumitrescu, M.-S., Paraschiv, D., Nițu, M., &amp; Bucharest University of Economic Studies. (2019). Internationalization of Companies – Stages and Challenges in the Global Business Environment. Ovidius</w:t>
      </w:r>
    </w:p>
    <w:p w14:paraId="2AE1DC5F" w14:textId="1B8606FE" w:rsidR="0053108B" w:rsidRDefault="0053108B" w:rsidP="00253A55">
      <w:pPr>
        <w:widowControl/>
        <w:spacing w:line="480" w:lineRule="auto"/>
        <w:ind w:left="480" w:hangingChars="200" w:hanging="480"/>
        <w:jc w:val="both"/>
        <w:rPr>
          <w:rFonts w:ascii="Calibri" w:eastAsia="SimSun" w:hAnsi="Calibri" w:cs="Calibri"/>
          <w:kern w:val="0"/>
        </w:rPr>
      </w:pPr>
      <w:r w:rsidRPr="0053108B">
        <w:rPr>
          <w:rFonts w:ascii="Calibri" w:eastAsia="SimSun" w:hAnsi="Calibri" w:cs="Calibri"/>
          <w:kern w:val="0"/>
        </w:rPr>
        <w:lastRenderedPageBreak/>
        <w:t xml:space="preserve">University Annals, Economic Sciences Series, </w:t>
      </w:r>
      <w:proofErr w:type="gramStart"/>
      <w:r w:rsidRPr="0053108B">
        <w:rPr>
          <w:rFonts w:ascii="Calibri" w:eastAsia="SimSun" w:hAnsi="Calibri" w:cs="Calibri"/>
          <w:kern w:val="0"/>
        </w:rPr>
        <w:t>XIX(</w:t>
      </w:r>
      <w:proofErr w:type="gramEnd"/>
      <w:r w:rsidRPr="0053108B">
        <w:rPr>
          <w:rFonts w:ascii="Calibri" w:eastAsia="SimSun" w:hAnsi="Calibri" w:cs="Calibri"/>
          <w:kern w:val="0"/>
        </w:rPr>
        <w:t xml:space="preserve">1 /2019). https://www.stec.univ-ovidius.ro/html/anale/RO/wp-content/uploads/2019/08/4.pdf Gomez-Mejia, L. R., Neacsu, I., &amp; Martin, G. (2017). CEO Risk-Taking and Socioemotional Wealth: The Behavioral Agency Model, Family Control, and CEO Option Wealth. Journal of Management, 45(4), 1713–1738. </w:t>
      </w:r>
      <w:hyperlink r:id="rId15" w:history="1">
        <w:r w:rsidRPr="00034FBE">
          <w:rPr>
            <w:rStyle w:val="Hyperlink"/>
            <w:rFonts w:ascii="Calibri" w:eastAsia="SimSun" w:hAnsi="Calibri" w:cs="Calibri"/>
            <w:kern w:val="0"/>
          </w:rPr>
          <w:t>https://doi.org/10.1177/0149206317723711</w:t>
        </w:r>
      </w:hyperlink>
      <w:r w:rsidRPr="0053108B">
        <w:rPr>
          <w:rFonts w:ascii="Calibri" w:eastAsia="SimSun" w:hAnsi="Calibri" w:cs="Calibri"/>
          <w:kern w:val="0"/>
        </w:rPr>
        <w:t xml:space="preserve"> </w:t>
      </w:r>
    </w:p>
    <w:p w14:paraId="339F9FB8" w14:textId="14704E13" w:rsidR="0053108B" w:rsidRDefault="0053108B" w:rsidP="00253A55">
      <w:pPr>
        <w:widowControl/>
        <w:spacing w:line="480" w:lineRule="auto"/>
        <w:ind w:left="480" w:hangingChars="200" w:hanging="480"/>
        <w:jc w:val="both"/>
        <w:rPr>
          <w:rFonts w:ascii="Calibri" w:eastAsia="SimSun" w:hAnsi="Calibri" w:cs="Calibri"/>
          <w:kern w:val="0"/>
        </w:rPr>
      </w:pPr>
      <w:r w:rsidRPr="0053108B">
        <w:rPr>
          <w:rFonts w:ascii="Calibri" w:eastAsia="SimSun" w:hAnsi="Calibri" w:cs="Calibri"/>
          <w:kern w:val="0"/>
        </w:rPr>
        <w:t xml:space="preserve">Huang, Y. (2020). Research on the Impact of Senior Managers’ Risk Preferences on Inefficient Investment. Times Finance, 2020(13),65-67. </w:t>
      </w:r>
      <w:hyperlink r:id="rId16" w:history="1">
        <w:r w:rsidRPr="00034FBE">
          <w:rPr>
            <w:rStyle w:val="Hyperlink"/>
            <w:rFonts w:ascii="Calibri" w:eastAsia="SimSun" w:hAnsi="Calibri" w:cs="Calibri"/>
            <w:kern w:val="0"/>
          </w:rPr>
          <w:t>https://cstj.cqvip.com/Qikan/Article/Detail?id=00002EKIL5587JP0MPDG6JP06P</w:t>
        </w:r>
      </w:hyperlink>
    </w:p>
    <w:p w14:paraId="247C063B" w14:textId="0D4F1404" w:rsidR="0053108B" w:rsidRDefault="0053108B" w:rsidP="00253A55">
      <w:pPr>
        <w:widowControl/>
        <w:spacing w:line="480" w:lineRule="auto"/>
        <w:ind w:left="480" w:hangingChars="200" w:hanging="480"/>
        <w:jc w:val="both"/>
        <w:rPr>
          <w:rFonts w:ascii="Calibri" w:eastAsia="SimSun" w:hAnsi="Calibri" w:cs="Calibri"/>
          <w:kern w:val="0"/>
        </w:rPr>
      </w:pPr>
      <w:r w:rsidRPr="008109AE">
        <w:rPr>
          <w:rFonts w:ascii="Calibri" w:eastAsia="SimSun" w:hAnsi="Calibri" w:cs="Calibri"/>
          <w:kern w:val="0"/>
          <w:lang w:val="pt-BR"/>
        </w:rPr>
        <w:t xml:space="preserve">R Khanna, T., &amp; Palepu, K. (1997). </w:t>
      </w:r>
      <w:r w:rsidRPr="0053108B">
        <w:rPr>
          <w:rFonts w:ascii="Calibri" w:eastAsia="SimSun" w:hAnsi="Calibri" w:cs="Calibri"/>
          <w:kern w:val="0"/>
        </w:rPr>
        <w:t xml:space="preserve">Why Focused Strategies May Be Wrong for Emerging Markets. Harvard Business Review. </w:t>
      </w:r>
      <w:hyperlink r:id="rId17" w:history="1">
        <w:r w:rsidRPr="00034FBE">
          <w:rPr>
            <w:rStyle w:val="Hyperlink"/>
            <w:rFonts w:ascii="Calibri" w:eastAsia="SimSun" w:hAnsi="Calibri" w:cs="Calibri"/>
            <w:kern w:val="0"/>
          </w:rPr>
          <w:t>https://hbr.org/1997/07/why-focused-strategies-may-be-wrong-for-emerging-markets</w:t>
        </w:r>
      </w:hyperlink>
      <w:r w:rsidRPr="0053108B">
        <w:rPr>
          <w:rFonts w:ascii="Calibri" w:eastAsia="SimSun" w:hAnsi="Calibri" w:cs="Calibri"/>
          <w:kern w:val="0"/>
        </w:rPr>
        <w:t xml:space="preserve"> </w:t>
      </w:r>
    </w:p>
    <w:p w14:paraId="22BF14C6" w14:textId="1DCC5939" w:rsidR="0053108B" w:rsidRDefault="0053108B" w:rsidP="00253A55">
      <w:pPr>
        <w:widowControl/>
        <w:spacing w:line="480" w:lineRule="auto"/>
        <w:ind w:left="480" w:hangingChars="200" w:hanging="480"/>
        <w:jc w:val="both"/>
        <w:rPr>
          <w:rFonts w:ascii="Calibri" w:eastAsia="SimSun" w:hAnsi="Calibri" w:cs="Calibri"/>
          <w:kern w:val="0"/>
        </w:rPr>
      </w:pPr>
      <w:r w:rsidRPr="0053108B">
        <w:rPr>
          <w:rFonts w:ascii="Calibri" w:eastAsia="SimSun" w:hAnsi="Calibri" w:cs="Calibri"/>
          <w:kern w:val="0"/>
        </w:rPr>
        <w:t xml:space="preserve">Kong, X. (2015). Research on the Internationalization Development Strategy of Large - scale State - owned Energy Central Enterprises: Taking China Power Investment Group Corporation as an Example. University of International Business and Economics, Beijing. </w:t>
      </w:r>
      <w:hyperlink r:id="rId18" w:history="1">
        <w:r w:rsidRPr="00034FBE">
          <w:rPr>
            <w:rStyle w:val="Hyperlink"/>
            <w:rFonts w:ascii="Calibri" w:eastAsia="SimSun" w:hAnsi="Calibri" w:cs="Calibri"/>
            <w:kern w:val="0"/>
          </w:rPr>
          <w:t>https://d.wanfangdata.com.cn/thesis/ChhUaGVzaXNOZXdTMjAyNDA5MjAxNTE3MjUSB0Q3MjI4NDcaCGQyaXVnbjY5</w:t>
        </w:r>
      </w:hyperlink>
      <w:r w:rsidRPr="0053108B">
        <w:rPr>
          <w:rFonts w:ascii="Calibri" w:eastAsia="SimSun" w:hAnsi="Calibri" w:cs="Calibri"/>
          <w:kern w:val="0"/>
        </w:rPr>
        <w:t xml:space="preserve"> </w:t>
      </w:r>
    </w:p>
    <w:p w14:paraId="4724177F" w14:textId="5DCE48AA" w:rsidR="0053108B" w:rsidRDefault="0053108B" w:rsidP="00253A55">
      <w:pPr>
        <w:widowControl/>
        <w:spacing w:line="480" w:lineRule="auto"/>
        <w:ind w:left="480" w:hangingChars="200" w:hanging="480"/>
        <w:jc w:val="both"/>
        <w:rPr>
          <w:rFonts w:ascii="Calibri" w:eastAsia="SimSun" w:hAnsi="Calibri" w:cs="Calibri"/>
          <w:kern w:val="0"/>
        </w:rPr>
      </w:pPr>
      <w:proofErr w:type="spellStart"/>
      <w:r w:rsidRPr="0053108B">
        <w:rPr>
          <w:rFonts w:ascii="Calibri" w:eastAsia="SimSun" w:hAnsi="Calibri" w:cs="Calibri"/>
          <w:kern w:val="0"/>
        </w:rPr>
        <w:t>Loehde</w:t>
      </w:r>
      <w:proofErr w:type="spellEnd"/>
      <w:r w:rsidRPr="0053108B">
        <w:rPr>
          <w:rFonts w:ascii="Calibri" w:eastAsia="SimSun" w:hAnsi="Calibri" w:cs="Calibri"/>
          <w:kern w:val="0"/>
        </w:rPr>
        <w:t xml:space="preserve">, A. S. K., </w:t>
      </w:r>
      <w:proofErr w:type="spellStart"/>
      <w:r w:rsidRPr="0053108B">
        <w:rPr>
          <w:rFonts w:ascii="Calibri" w:eastAsia="SimSun" w:hAnsi="Calibri" w:cs="Calibri"/>
          <w:kern w:val="0"/>
        </w:rPr>
        <w:t>Calabrò</w:t>
      </w:r>
      <w:proofErr w:type="spellEnd"/>
      <w:r w:rsidRPr="0053108B">
        <w:rPr>
          <w:rFonts w:ascii="Calibri" w:eastAsia="SimSun" w:hAnsi="Calibri" w:cs="Calibri"/>
          <w:kern w:val="0"/>
        </w:rPr>
        <w:t xml:space="preserve">, A., Torchia, M., &amp; Kraus, S. (2020). Joint (Ad)ventures—Family firms’ international entry mode choices for emerging markets. International Journal of Entrepreneurial Behaviour &amp; Research, 26(6), 1235–1258. </w:t>
      </w:r>
      <w:hyperlink r:id="rId19" w:history="1">
        <w:r w:rsidRPr="00034FBE">
          <w:rPr>
            <w:rStyle w:val="Hyperlink"/>
            <w:rFonts w:ascii="Calibri" w:eastAsia="SimSun" w:hAnsi="Calibri" w:cs="Calibri"/>
            <w:kern w:val="0"/>
          </w:rPr>
          <w:t>https://doi.org/10.1108/ijebr-10-2019-0573</w:t>
        </w:r>
      </w:hyperlink>
      <w:r w:rsidRPr="0053108B">
        <w:rPr>
          <w:rFonts w:ascii="Calibri" w:eastAsia="SimSun" w:hAnsi="Calibri" w:cs="Calibri"/>
          <w:kern w:val="0"/>
        </w:rPr>
        <w:t xml:space="preserve"> </w:t>
      </w:r>
    </w:p>
    <w:p w14:paraId="44A9A8E3" w14:textId="0B041CC6" w:rsidR="0053108B" w:rsidRDefault="0053108B" w:rsidP="00253A55">
      <w:pPr>
        <w:widowControl/>
        <w:spacing w:line="480" w:lineRule="auto"/>
        <w:ind w:left="480" w:hangingChars="200" w:hanging="480"/>
        <w:jc w:val="both"/>
        <w:rPr>
          <w:rFonts w:ascii="Calibri" w:eastAsia="SimSun" w:hAnsi="Calibri" w:cs="Calibri"/>
          <w:kern w:val="0"/>
        </w:rPr>
      </w:pPr>
      <w:r w:rsidRPr="008109AE">
        <w:rPr>
          <w:rFonts w:ascii="Calibri" w:eastAsia="SimSun" w:hAnsi="Calibri" w:cs="Calibri"/>
          <w:kern w:val="0"/>
          <w:lang w:val="fr-FR"/>
        </w:rPr>
        <w:lastRenderedPageBreak/>
        <w:t xml:space="preserve">Lu, J. W., &amp; </w:t>
      </w:r>
      <w:proofErr w:type="spellStart"/>
      <w:r w:rsidRPr="008109AE">
        <w:rPr>
          <w:rFonts w:ascii="Calibri" w:eastAsia="SimSun" w:hAnsi="Calibri" w:cs="Calibri"/>
          <w:kern w:val="0"/>
          <w:lang w:val="fr-FR"/>
        </w:rPr>
        <w:t>Beamish</w:t>
      </w:r>
      <w:proofErr w:type="spellEnd"/>
      <w:r w:rsidRPr="008109AE">
        <w:rPr>
          <w:rFonts w:ascii="Calibri" w:eastAsia="SimSun" w:hAnsi="Calibri" w:cs="Calibri"/>
          <w:kern w:val="0"/>
          <w:lang w:val="fr-FR"/>
        </w:rPr>
        <w:t xml:space="preserve">, P. W. (2004). </w:t>
      </w:r>
      <w:r w:rsidRPr="0053108B">
        <w:rPr>
          <w:rFonts w:ascii="Calibri" w:eastAsia="SimSun" w:hAnsi="Calibri" w:cs="Calibri"/>
          <w:kern w:val="0"/>
        </w:rPr>
        <w:t xml:space="preserve">International Diversification and Firm Performance: The S-curve Hypothesis. Academy of Management Journal, 47(4), 598–609. </w:t>
      </w:r>
      <w:hyperlink r:id="rId20" w:history="1">
        <w:r w:rsidRPr="00034FBE">
          <w:rPr>
            <w:rStyle w:val="Hyperlink"/>
            <w:rFonts w:ascii="Calibri" w:eastAsia="SimSun" w:hAnsi="Calibri" w:cs="Calibri"/>
            <w:kern w:val="0"/>
          </w:rPr>
          <w:t>https://doi.org/10.5465/20159604</w:t>
        </w:r>
      </w:hyperlink>
      <w:r w:rsidRPr="0053108B">
        <w:rPr>
          <w:rFonts w:ascii="Calibri" w:eastAsia="SimSun" w:hAnsi="Calibri" w:cs="Calibri"/>
          <w:kern w:val="0"/>
        </w:rPr>
        <w:t xml:space="preserve"> </w:t>
      </w:r>
    </w:p>
    <w:p w14:paraId="725E7391" w14:textId="103D7379" w:rsidR="0053108B" w:rsidRDefault="0053108B" w:rsidP="00253A55">
      <w:pPr>
        <w:widowControl/>
        <w:spacing w:line="480" w:lineRule="auto"/>
        <w:ind w:left="480" w:hangingChars="200" w:hanging="480"/>
        <w:jc w:val="both"/>
        <w:rPr>
          <w:rFonts w:ascii="Calibri" w:eastAsia="SimSun" w:hAnsi="Calibri" w:cs="Calibri"/>
          <w:kern w:val="0"/>
        </w:rPr>
      </w:pPr>
      <w:proofErr w:type="spellStart"/>
      <w:r w:rsidRPr="0053108B">
        <w:rPr>
          <w:rFonts w:ascii="Calibri" w:eastAsia="SimSun" w:hAnsi="Calibri" w:cs="Calibri"/>
          <w:kern w:val="0"/>
        </w:rPr>
        <w:t>Oceanengine</w:t>
      </w:r>
      <w:proofErr w:type="spellEnd"/>
      <w:r w:rsidRPr="0053108B">
        <w:rPr>
          <w:rFonts w:ascii="Calibri" w:eastAsia="SimSun" w:hAnsi="Calibri" w:cs="Calibri"/>
          <w:kern w:val="0"/>
        </w:rPr>
        <w:t xml:space="preserve">. (2023). 2022 China Smart Manufacturing Observation Report. </w:t>
      </w:r>
      <w:hyperlink r:id="rId21" w:history="1">
        <w:r w:rsidRPr="00034FBE">
          <w:rPr>
            <w:rStyle w:val="Hyperlink"/>
            <w:rFonts w:ascii="Calibri" w:eastAsia="SimSun" w:hAnsi="Calibri" w:cs="Calibri"/>
            <w:kern w:val="0"/>
          </w:rPr>
          <w:t>https://trendinsight.oceanengine.com/arithmetic-report/detail/802</w:t>
        </w:r>
      </w:hyperlink>
      <w:r w:rsidRPr="0053108B">
        <w:rPr>
          <w:rFonts w:ascii="Calibri" w:eastAsia="SimSun" w:hAnsi="Calibri" w:cs="Calibri"/>
          <w:kern w:val="0"/>
        </w:rPr>
        <w:t xml:space="preserve"> </w:t>
      </w:r>
    </w:p>
    <w:p w14:paraId="4E95E910" w14:textId="6BEE17BC" w:rsidR="0053108B" w:rsidRPr="008109AE" w:rsidRDefault="0053108B" w:rsidP="00253A55">
      <w:pPr>
        <w:widowControl/>
        <w:spacing w:line="480" w:lineRule="auto"/>
        <w:ind w:left="480" w:hangingChars="200" w:hanging="480"/>
        <w:jc w:val="both"/>
        <w:rPr>
          <w:rFonts w:ascii="Calibri" w:eastAsia="SimSun" w:hAnsi="Calibri" w:cs="Calibri"/>
          <w:kern w:val="0"/>
          <w:lang w:val="fr-FR"/>
        </w:rPr>
      </w:pPr>
      <w:r w:rsidRPr="0053108B">
        <w:rPr>
          <w:rFonts w:ascii="Calibri" w:eastAsia="SimSun" w:hAnsi="Calibri" w:cs="Calibri"/>
          <w:kern w:val="0"/>
        </w:rPr>
        <w:t xml:space="preserve">OPPO Global. (2025). About OPPO. </w:t>
      </w:r>
      <w:r w:rsidRPr="008109AE">
        <w:rPr>
          <w:rFonts w:ascii="Calibri" w:eastAsia="SimSun" w:hAnsi="Calibri" w:cs="Calibri"/>
          <w:kern w:val="0"/>
          <w:lang w:val="fr-FR"/>
        </w:rPr>
        <w:t xml:space="preserve">OPPO. </w:t>
      </w:r>
      <w:hyperlink r:id="rId22" w:history="1">
        <w:r w:rsidRPr="008109AE">
          <w:rPr>
            <w:rStyle w:val="Hyperlink"/>
            <w:rFonts w:ascii="Calibri" w:eastAsia="SimSun" w:hAnsi="Calibri" w:cs="Calibri"/>
            <w:kern w:val="0"/>
            <w:lang w:val="fr-FR"/>
          </w:rPr>
          <w:t>https://www.oppo.com/en/about/</w:t>
        </w:r>
      </w:hyperlink>
      <w:r w:rsidRPr="008109AE">
        <w:rPr>
          <w:rFonts w:ascii="Calibri" w:eastAsia="SimSun" w:hAnsi="Calibri" w:cs="Calibri"/>
          <w:kern w:val="0"/>
          <w:lang w:val="fr-FR"/>
        </w:rPr>
        <w:t xml:space="preserve"> </w:t>
      </w:r>
    </w:p>
    <w:p w14:paraId="447BB476" w14:textId="6E0A09B6" w:rsidR="0053108B" w:rsidRDefault="0053108B" w:rsidP="00253A55">
      <w:pPr>
        <w:widowControl/>
        <w:spacing w:line="480" w:lineRule="auto"/>
        <w:ind w:left="480" w:hangingChars="200" w:hanging="480"/>
        <w:jc w:val="both"/>
        <w:rPr>
          <w:rFonts w:ascii="Calibri" w:eastAsia="SimSun" w:hAnsi="Calibri" w:cs="Calibri"/>
          <w:kern w:val="0"/>
        </w:rPr>
      </w:pPr>
      <w:r w:rsidRPr="0053108B">
        <w:rPr>
          <w:rFonts w:ascii="Calibri" w:eastAsia="SimSun" w:hAnsi="Calibri" w:cs="Calibri"/>
          <w:kern w:val="0"/>
        </w:rPr>
        <w:t xml:space="preserve">Panicker, V. S., Mitra, S., &amp; Upadhyayula, R. S. (2019). Institutional Investors and International Investments in Emerging economy firms: A Behavioral Risk perspective. Journal of World Business, 54(4), 322–334. </w:t>
      </w:r>
      <w:hyperlink r:id="rId23" w:history="1">
        <w:r w:rsidRPr="00034FBE">
          <w:rPr>
            <w:rStyle w:val="Hyperlink"/>
            <w:rFonts w:ascii="Calibri" w:eastAsia="SimSun" w:hAnsi="Calibri" w:cs="Calibri"/>
            <w:kern w:val="0"/>
          </w:rPr>
          <w:t>https://doi.org/10.1016/j.jwb.2018.12.002</w:t>
        </w:r>
      </w:hyperlink>
      <w:r w:rsidRPr="0053108B">
        <w:rPr>
          <w:rFonts w:ascii="Calibri" w:eastAsia="SimSun" w:hAnsi="Calibri" w:cs="Calibri"/>
          <w:kern w:val="0"/>
        </w:rPr>
        <w:t xml:space="preserve"> </w:t>
      </w:r>
    </w:p>
    <w:p w14:paraId="3A945A90" w14:textId="544393F6" w:rsidR="0053108B" w:rsidRDefault="0053108B" w:rsidP="00253A55">
      <w:pPr>
        <w:widowControl/>
        <w:spacing w:line="480" w:lineRule="auto"/>
        <w:ind w:left="480" w:hangingChars="200" w:hanging="480"/>
        <w:jc w:val="both"/>
        <w:rPr>
          <w:rFonts w:ascii="Calibri" w:eastAsia="SimSun" w:hAnsi="Calibri" w:cs="Calibri"/>
          <w:kern w:val="0"/>
        </w:rPr>
      </w:pPr>
      <w:proofErr w:type="spellStart"/>
      <w:r w:rsidRPr="0053108B">
        <w:rPr>
          <w:rFonts w:ascii="Calibri" w:eastAsia="SimSun" w:hAnsi="Calibri" w:cs="Calibri"/>
          <w:kern w:val="0"/>
        </w:rPr>
        <w:t>Rajverma</w:t>
      </w:r>
      <w:proofErr w:type="spellEnd"/>
      <w:r w:rsidRPr="0053108B">
        <w:rPr>
          <w:rFonts w:ascii="Calibri" w:eastAsia="SimSun" w:hAnsi="Calibri" w:cs="Calibri"/>
          <w:kern w:val="0"/>
        </w:rPr>
        <w:t xml:space="preserve">, A. (2024). Impact of Ownership Structure and Dividends on Firm Risk and Market Liquidity. Journal of Risk and Financial Management, 17(7), 262. </w:t>
      </w:r>
      <w:hyperlink r:id="rId24" w:history="1">
        <w:r w:rsidRPr="00034FBE">
          <w:rPr>
            <w:rStyle w:val="Hyperlink"/>
            <w:rFonts w:ascii="Calibri" w:eastAsia="SimSun" w:hAnsi="Calibri" w:cs="Calibri"/>
            <w:kern w:val="0"/>
          </w:rPr>
          <w:t>https://doi.org/10.3390/jrfm17070262</w:t>
        </w:r>
      </w:hyperlink>
      <w:r w:rsidRPr="0053108B">
        <w:rPr>
          <w:rFonts w:ascii="Calibri" w:eastAsia="SimSun" w:hAnsi="Calibri" w:cs="Calibri"/>
          <w:kern w:val="0"/>
        </w:rPr>
        <w:t xml:space="preserve"> </w:t>
      </w:r>
    </w:p>
    <w:p w14:paraId="757EEADF" w14:textId="534CB76C" w:rsidR="0053108B" w:rsidRDefault="0053108B" w:rsidP="00253A55">
      <w:pPr>
        <w:widowControl/>
        <w:spacing w:line="480" w:lineRule="auto"/>
        <w:ind w:left="480" w:hangingChars="200" w:hanging="480"/>
        <w:jc w:val="both"/>
        <w:rPr>
          <w:rFonts w:ascii="Calibri" w:eastAsia="SimSun" w:hAnsi="Calibri" w:cs="Calibri"/>
          <w:kern w:val="0"/>
        </w:rPr>
      </w:pPr>
      <w:r w:rsidRPr="0053108B">
        <w:rPr>
          <w:rFonts w:ascii="Calibri" w:eastAsia="SimSun" w:hAnsi="Calibri" w:cs="Calibri"/>
          <w:kern w:val="0"/>
        </w:rPr>
        <w:t xml:space="preserve">Serban, E., Borisov, D., &amp; Dobrea, R. (2012). EMERGING MARKETS: CONCEPT EVOLUTION AND BUSINESS ENVIRONMENT PARTICULARITIES. Management Research and Practice. </w:t>
      </w:r>
      <w:hyperlink r:id="rId25" w:history="1">
        <w:r w:rsidRPr="00034FBE">
          <w:rPr>
            <w:rStyle w:val="Hyperlink"/>
            <w:rFonts w:ascii="Calibri" w:eastAsia="SimSun" w:hAnsi="Calibri" w:cs="Calibri"/>
            <w:kern w:val="0"/>
          </w:rPr>
          <w:t>https://www.semanticscholar.org/paper/EMERGING-MARKETS%3A-CONCEPT-EVOLUTION-AND-BUSINESS-Serban-Borisov/4e9bcec4bf565b169137786f2dc3d5c9fda8d590</w:t>
        </w:r>
      </w:hyperlink>
      <w:r w:rsidRPr="0053108B">
        <w:rPr>
          <w:rFonts w:ascii="Calibri" w:eastAsia="SimSun" w:hAnsi="Calibri" w:cs="Calibri"/>
          <w:kern w:val="0"/>
        </w:rPr>
        <w:t xml:space="preserve"> </w:t>
      </w:r>
    </w:p>
    <w:p w14:paraId="7940CCEA" w14:textId="63853815" w:rsidR="0053108B" w:rsidRDefault="0053108B" w:rsidP="00253A55">
      <w:pPr>
        <w:widowControl/>
        <w:spacing w:line="480" w:lineRule="auto"/>
        <w:ind w:left="480" w:hangingChars="200" w:hanging="480"/>
        <w:jc w:val="both"/>
        <w:rPr>
          <w:rFonts w:ascii="Calibri" w:eastAsia="SimSun" w:hAnsi="Calibri" w:cs="Calibri"/>
          <w:kern w:val="0"/>
        </w:rPr>
      </w:pPr>
      <w:proofErr w:type="spellStart"/>
      <w:r w:rsidRPr="0053108B">
        <w:rPr>
          <w:rFonts w:ascii="Calibri" w:eastAsia="SimSun" w:hAnsi="Calibri" w:cs="Calibri"/>
          <w:kern w:val="0"/>
        </w:rPr>
        <w:t>Sheyan</w:t>
      </w:r>
      <w:proofErr w:type="spellEnd"/>
      <w:r w:rsidRPr="0053108B">
        <w:rPr>
          <w:rFonts w:ascii="Calibri" w:eastAsia="SimSun" w:hAnsi="Calibri" w:cs="Calibri"/>
          <w:kern w:val="0"/>
        </w:rPr>
        <w:t xml:space="preserve"> Finance. (2025). Analysis of OPPO’s dilemma: the breakthrough path under the triple challenges of high - end market, overseas expansion and innovation. </w:t>
      </w:r>
      <w:proofErr w:type="spellStart"/>
      <w:r w:rsidRPr="0053108B">
        <w:rPr>
          <w:rFonts w:ascii="Calibri" w:eastAsia="SimSun" w:hAnsi="Calibri" w:cs="Calibri"/>
          <w:kern w:val="0"/>
        </w:rPr>
        <w:t>cnFOL</w:t>
      </w:r>
      <w:proofErr w:type="spellEnd"/>
      <w:r w:rsidRPr="0053108B">
        <w:rPr>
          <w:rFonts w:ascii="Calibri" w:eastAsia="SimSun" w:hAnsi="Calibri" w:cs="Calibri"/>
          <w:kern w:val="0"/>
        </w:rPr>
        <w:t xml:space="preserve">. </w:t>
      </w:r>
      <w:hyperlink r:id="rId26" w:history="1">
        <w:r w:rsidRPr="00034FBE">
          <w:rPr>
            <w:rStyle w:val="Hyperlink"/>
            <w:rFonts w:ascii="Calibri" w:eastAsia="SimSun" w:hAnsi="Calibri" w:cs="Calibri"/>
            <w:kern w:val="0"/>
          </w:rPr>
          <w:t>http://mp.cnfol.com/49592/article/1743169804-141725357.html</w:t>
        </w:r>
      </w:hyperlink>
      <w:r w:rsidRPr="0053108B">
        <w:rPr>
          <w:rFonts w:ascii="Calibri" w:eastAsia="SimSun" w:hAnsi="Calibri" w:cs="Calibri"/>
          <w:kern w:val="0"/>
        </w:rPr>
        <w:t xml:space="preserve"> </w:t>
      </w:r>
    </w:p>
    <w:p w14:paraId="47ED61CC" w14:textId="7A76CDEF" w:rsidR="0053108B" w:rsidRDefault="0053108B" w:rsidP="00253A55">
      <w:pPr>
        <w:widowControl/>
        <w:spacing w:line="480" w:lineRule="auto"/>
        <w:ind w:left="480" w:hangingChars="200" w:hanging="480"/>
        <w:jc w:val="both"/>
        <w:rPr>
          <w:rFonts w:ascii="Calibri" w:eastAsia="SimSun" w:hAnsi="Calibri" w:cs="Calibri"/>
          <w:kern w:val="0"/>
        </w:rPr>
      </w:pPr>
      <w:r w:rsidRPr="0053108B">
        <w:rPr>
          <w:rFonts w:ascii="Calibri" w:eastAsia="SimSun" w:hAnsi="Calibri" w:cs="Calibri"/>
          <w:kern w:val="0"/>
        </w:rPr>
        <w:lastRenderedPageBreak/>
        <w:t xml:space="preserve">State-owned Assets Supervision and Administration Commission of the State Council. (2011). Interim measures for the supervision and administration of state-owned assets overseas for central enterprises. </w:t>
      </w:r>
      <w:hyperlink r:id="rId27" w:history="1">
        <w:r w:rsidRPr="00034FBE">
          <w:rPr>
            <w:rStyle w:val="Hyperlink"/>
            <w:rFonts w:ascii="Calibri" w:eastAsia="SimSun" w:hAnsi="Calibri" w:cs="Calibri"/>
            <w:kern w:val="0"/>
          </w:rPr>
          <w:t>https://www.gov.cn/zhengce/2022-01/12/content_5718603.htm</w:t>
        </w:r>
      </w:hyperlink>
      <w:r w:rsidRPr="0053108B">
        <w:rPr>
          <w:rFonts w:ascii="Calibri" w:eastAsia="SimSun" w:hAnsi="Calibri" w:cs="Calibri"/>
          <w:kern w:val="0"/>
        </w:rPr>
        <w:t xml:space="preserve"> </w:t>
      </w:r>
    </w:p>
    <w:p w14:paraId="00F18994" w14:textId="1CBE735A" w:rsidR="0053108B" w:rsidRDefault="0053108B" w:rsidP="00253A55">
      <w:pPr>
        <w:widowControl/>
        <w:spacing w:line="480" w:lineRule="auto"/>
        <w:ind w:left="480" w:hangingChars="200" w:hanging="480"/>
        <w:jc w:val="both"/>
        <w:rPr>
          <w:rFonts w:ascii="Calibri" w:eastAsia="SimSun" w:hAnsi="Calibri" w:cs="Calibri"/>
          <w:kern w:val="0"/>
        </w:rPr>
      </w:pPr>
      <w:r w:rsidRPr="0053108B">
        <w:rPr>
          <w:rFonts w:ascii="Calibri" w:eastAsia="SimSun" w:hAnsi="Calibri" w:cs="Calibri"/>
          <w:kern w:val="0"/>
        </w:rPr>
        <w:t xml:space="preserve">Tsao, C., Wang, M., Lu, C., Chen, S., &amp; Wang, Y. (2018). Internationalization propensity in family-controlled public firms in emerging markets. Journal of Small Business Strategy. </w:t>
      </w:r>
      <w:hyperlink r:id="rId28" w:history="1">
        <w:r w:rsidRPr="00034FBE">
          <w:rPr>
            <w:rStyle w:val="Hyperlink"/>
            <w:rFonts w:ascii="Calibri" w:eastAsia="SimSun" w:hAnsi="Calibri" w:cs="Calibri"/>
            <w:kern w:val="0"/>
          </w:rPr>
          <w:t>https://www.semanticscholar.org/paper/Internationalization-propensity-in-public-firms-in-Tsao-Wang/2b2e5c3d1cbb26d395ac1028f3470a2c40b8edc1</w:t>
        </w:r>
      </w:hyperlink>
      <w:r w:rsidRPr="0053108B">
        <w:rPr>
          <w:rFonts w:ascii="Calibri" w:eastAsia="SimSun" w:hAnsi="Calibri" w:cs="Calibri"/>
          <w:kern w:val="0"/>
        </w:rPr>
        <w:t xml:space="preserve"> </w:t>
      </w:r>
    </w:p>
    <w:p w14:paraId="390F24CB" w14:textId="599DD512" w:rsidR="0053108B" w:rsidRDefault="0053108B" w:rsidP="00253A55">
      <w:pPr>
        <w:widowControl/>
        <w:spacing w:line="480" w:lineRule="auto"/>
        <w:ind w:left="480" w:hangingChars="200" w:hanging="480"/>
        <w:jc w:val="both"/>
        <w:rPr>
          <w:rFonts w:ascii="Calibri" w:eastAsia="SimSun" w:hAnsi="Calibri" w:cs="Calibri"/>
          <w:kern w:val="0"/>
        </w:rPr>
      </w:pPr>
      <w:r w:rsidRPr="0053108B">
        <w:rPr>
          <w:rFonts w:ascii="Calibri" w:eastAsia="SimSun" w:hAnsi="Calibri" w:cs="Calibri"/>
          <w:kern w:val="0"/>
        </w:rPr>
        <w:t xml:space="preserve">Wang, C. (2024). State-Owned Capital Participation and Private Enterprises Internationalize—Formation Mechanism and Testing of the Inverted U-Shaped Relationship. E-Commerce Letters, 13(04), 2579–2591. </w:t>
      </w:r>
      <w:hyperlink r:id="rId29" w:history="1">
        <w:r w:rsidR="00BD5451" w:rsidRPr="00441B50">
          <w:rPr>
            <w:rStyle w:val="Hyperlink"/>
            <w:rFonts w:ascii="Calibri" w:eastAsia="SimSun" w:hAnsi="Calibri" w:cs="Calibri"/>
            <w:kern w:val="0"/>
          </w:rPr>
          <w:t>https://doi.org/10.12677/ecl.2024.1341431</w:t>
        </w:r>
      </w:hyperlink>
    </w:p>
    <w:p w14:paraId="7CC5E42D" w14:textId="209C54A4" w:rsidR="00BD5451" w:rsidRPr="00BD5451" w:rsidRDefault="00BD5451" w:rsidP="00253A55">
      <w:pPr>
        <w:widowControl/>
        <w:spacing w:line="480" w:lineRule="auto"/>
        <w:ind w:left="480" w:hangingChars="200" w:hanging="480"/>
        <w:jc w:val="both"/>
        <w:rPr>
          <w:rFonts w:ascii="Calibri" w:eastAsia="SimSun" w:hAnsi="Calibri" w:cs="Calibri"/>
          <w:kern w:val="0"/>
        </w:rPr>
      </w:pPr>
      <w:r w:rsidRPr="00BD5451">
        <w:rPr>
          <w:rFonts w:ascii="Calibri" w:eastAsia="SimSun" w:hAnsi="Calibri" w:cs="Calibri"/>
          <w:kern w:val="0"/>
        </w:rPr>
        <w:t>North, D. C. (1990). Institutions, institutional change and economic performance. Cambridge University Press.</w:t>
      </w:r>
    </w:p>
    <w:p w14:paraId="3272F9C4" w14:textId="71CE5CF2" w:rsidR="00BD5451" w:rsidRPr="00BD5451" w:rsidRDefault="00BD5451" w:rsidP="00253A55">
      <w:pPr>
        <w:widowControl/>
        <w:spacing w:line="480" w:lineRule="auto"/>
        <w:ind w:left="480" w:hangingChars="200" w:hanging="480"/>
        <w:jc w:val="both"/>
        <w:rPr>
          <w:rFonts w:ascii="Calibri" w:eastAsia="SimSun" w:hAnsi="Calibri" w:cs="Calibri"/>
          <w:kern w:val="0"/>
        </w:rPr>
      </w:pPr>
      <w:r w:rsidRPr="00BD5451">
        <w:rPr>
          <w:rFonts w:ascii="Calibri" w:eastAsia="SimSun" w:hAnsi="Calibri" w:cs="Calibri"/>
          <w:kern w:val="0"/>
        </w:rPr>
        <w:t xml:space="preserve">Pfeffer, J., &amp; </w:t>
      </w:r>
      <w:proofErr w:type="spellStart"/>
      <w:r w:rsidRPr="00BD5451">
        <w:rPr>
          <w:rFonts w:ascii="Calibri" w:eastAsia="SimSun" w:hAnsi="Calibri" w:cs="Calibri"/>
          <w:kern w:val="0"/>
        </w:rPr>
        <w:t>Salancik</w:t>
      </w:r>
      <w:proofErr w:type="spellEnd"/>
      <w:r w:rsidRPr="00BD5451">
        <w:rPr>
          <w:rFonts w:ascii="Calibri" w:eastAsia="SimSun" w:hAnsi="Calibri" w:cs="Calibri"/>
          <w:kern w:val="0"/>
        </w:rPr>
        <w:t>, G. R. (1978). The external control of organizations: A resource dependence perspective. Harper &amp; Row.</w:t>
      </w:r>
    </w:p>
    <w:p w14:paraId="4E89B808" w14:textId="57DB271C" w:rsidR="00BD5451" w:rsidRDefault="00BD5451" w:rsidP="00253A55">
      <w:pPr>
        <w:widowControl/>
        <w:spacing w:line="480" w:lineRule="auto"/>
        <w:ind w:left="480" w:hangingChars="200" w:hanging="480"/>
        <w:jc w:val="both"/>
        <w:rPr>
          <w:rFonts w:ascii="Calibri" w:eastAsia="SimSun" w:hAnsi="Calibri" w:cs="Calibri"/>
          <w:kern w:val="0"/>
        </w:rPr>
      </w:pPr>
      <w:r w:rsidRPr="00BD5451">
        <w:rPr>
          <w:rFonts w:ascii="Calibri" w:eastAsia="SimSun" w:hAnsi="Calibri" w:cs="Calibri"/>
          <w:kern w:val="0"/>
        </w:rPr>
        <w:t>Filatotchev, I., Jackson, G., Gospel, H., &amp; Allcock, D. (2007). Key drivers of ‘good’ corporate governance and the appropriateness of UK policy responses. The Department of Trade and Industry: London, UK.</w:t>
      </w:r>
    </w:p>
    <w:p w14:paraId="4E56B513" w14:textId="2C7AD15F" w:rsidR="005F1533" w:rsidRDefault="005F1533" w:rsidP="00253A55">
      <w:pPr>
        <w:widowControl/>
        <w:spacing w:line="480" w:lineRule="auto"/>
        <w:ind w:left="480" w:hangingChars="200" w:hanging="480"/>
        <w:jc w:val="both"/>
        <w:rPr>
          <w:rFonts w:ascii="Calibri" w:eastAsia="SimSun" w:hAnsi="Calibri" w:cs="Calibri"/>
          <w:kern w:val="0"/>
        </w:rPr>
      </w:pPr>
      <w:r w:rsidRPr="005F1533">
        <w:rPr>
          <w:rFonts w:ascii="Calibri" w:eastAsia="SimSun" w:hAnsi="Calibri" w:cs="Calibri"/>
          <w:kern w:val="0"/>
        </w:rPr>
        <w:lastRenderedPageBreak/>
        <w:t>Miller, D., Le Breton - Miller, I., &amp; Lester, R. H. (2013). Family governance and firm performance: Agency, stewardship, or something else? </w:t>
      </w:r>
      <w:r w:rsidRPr="005F1533">
        <w:rPr>
          <w:rFonts w:ascii="Calibri" w:eastAsia="SimSun" w:hAnsi="Calibri" w:cs="Calibri"/>
          <w:i/>
          <w:iCs/>
          <w:kern w:val="0"/>
        </w:rPr>
        <w:t>Journal of Management Studies</w:t>
      </w:r>
      <w:r w:rsidRPr="005F1533">
        <w:rPr>
          <w:rFonts w:ascii="Calibri" w:eastAsia="SimSun" w:hAnsi="Calibri" w:cs="Calibri"/>
          <w:kern w:val="0"/>
        </w:rPr>
        <w:t>, 50(3), 501 - 528.</w:t>
      </w:r>
    </w:p>
    <w:p w14:paraId="312413D2" w14:textId="34FF8512" w:rsidR="005F1533" w:rsidRDefault="005F1533" w:rsidP="00253A55">
      <w:pPr>
        <w:widowControl/>
        <w:spacing w:line="480" w:lineRule="auto"/>
        <w:ind w:left="480" w:hangingChars="200" w:hanging="480"/>
        <w:jc w:val="both"/>
        <w:rPr>
          <w:rFonts w:ascii="Calibri" w:eastAsia="SimSun" w:hAnsi="Calibri" w:cs="Calibri"/>
          <w:kern w:val="0"/>
        </w:rPr>
      </w:pPr>
      <w:r w:rsidRPr="005F1533">
        <w:rPr>
          <w:rFonts w:ascii="Calibri" w:eastAsia="SimSun" w:hAnsi="Calibri" w:cs="Calibri"/>
          <w:kern w:val="0"/>
        </w:rPr>
        <w:t>Kostova, T. (1999). Transnational transfer of strategic organizational practices: A contextual perspective. </w:t>
      </w:r>
      <w:r w:rsidRPr="005F1533">
        <w:rPr>
          <w:rFonts w:ascii="Calibri" w:eastAsia="SimSun" w:hAnsi="Calibri" w:cs="Calibri"/>
          <w:i/>
          <w:iCs/>
          <w:kern w:val="0"/>
        </w:rPr>
        <w:t>Academy of Management Review</w:t>
      </w:r>
      <w:r w:rsidRPr="005F1533">
        <w:rPr>
          <w:rFonts w:ascii="Calibri" w:eastAsia="SimSun" w:hAnsi="Calibri" w:cs="Calibri"/>
          <w:kern w:val="0"/>
        </w:rPr>
        <w:t>, 24(2), 308 - 324.</w:t>
      </w:r>
    </w:p>
    <w:p w14:paraId="482E1174" w14:textId="73D75814" w:rsidR="005F1533" w:rsidRDefault="005F1533" w:rsidP="00253A55">
      <w:pPr>
        <w:widowControl/>
        <w:spacing w:line="480" w:lineRule="auto"/>
        <w:ind w:left="480" w:hangingChars="200" w:hanging="480"/>
        <w:jc w:val="both"/>
        <w:rPr>
          <w:rFonts w:ascii="Calibri" w:eastAsia="SimSun" w:hAnsi="Calibri" w:cs="Calibri"/>
          <w:kern w:val="0"/>
        </w:rPr>
      </w:pPr>
      <w:proofErr w:type="spellStart"/>
      <w:r w:rsidRPr="005F1533">
        <w:rPr>
          <w:rFonts w:ascii="Calibri" w:eastAsia="SimSun" w:hAnsi="Calibri" w:cs="Calibri"/>
          <w:kern w:val="0"/>
        </w:rPr>
        <w:t>Yiu</w:t>
      </w:r>
      <w:proofErr w:type="spellEnd"/>
      <w:r w:rsidRPr="005F1533">
        <w:rPr>
          <w:rFonts w:ascii="Calibri" w:eastAsia="SimSun" w:hAnsi="Calibri" w:cs="Calibri"/>
          <w:kern w:val="0"/>
        </w:rPr>
        <w:t>, D. W., &amp; Makino, S. (2002). The choice between joint venture and wholly - owned subsidiary: An institutional perspective. </w:t>
      </w:r>
      <w:r w:rsidRPr="005F1533">
        <w:rPr>
          <w:rFonts w:ascii="Calibri" w:eastAsia="SimSun" w:hAnsi="Calibri" w:cs="Calibri"/>
          <w:i/>
          <w:iCs/>
          <w:kern w:val="0"/>
        </w:rPr>
        <w:t>Journal of International Business Studies</w:t>
      </w:r>
      <w:r w:rsidRPr="005F1533">
        <w:rPr>
          <w:rFonts w:ascii="Calibri" w:eastAsia="SimSun" w:hAnsi="Calibri" w:cs="Calibri"/>
          <w:kern w:val="0"/>
        </w:rPr>
        <w:t>, 33(2), 285 - 307.</w:t>
      </w:r>
    </w:p>
    <w:p w14:paraId="1BE53EED" w14:textId="45231441" w:rsidR="0090492B" w:rsidRDefault="0090492B" w:rsidP="00253A55">
      <w:pPr>
        <w:widowControl/>
        <w:spacing w:line="480" w:lineRule="auto"/>
        <w:ind w:left="480" w:hangingChars="200" w:hanging="480"/>
        <w:jc w:val="both"/>
        <w:rPr>
          <w:rFonts w:ascii="Calibri" w:eastAsia="SimSun" w:hAnsi="Calibri" w:cs="Calibri"/>
          <w:kern w:val="0"/>
        </w:rPr>
      </w:pPr>
      <w:r w:rsidRPr="0090492B">
        <w:rPr>
          <w:rFonts w:ascii="Calibri" w:eastAsia="SimSun" w:hAnsi="Calibri" w:cs="Calibri"/>
          <w:kern w:val="0"/>
        </w:rPr>
        <w:t xml:space="preserve">Chittoor, R., Aulakh, P. S., &amp; Ray, S. (2019). </w:t>
      </w:r>
      <w:proofErr w:type="spellStart"/>
      <w:r w:rsidRPr="0090492B">
        <w:rPr>
          <w:rFonts w:ascii="Calibri" w:eastAsia="SimSun" w:hAnsi="Calibri" w:cs="Calibri"/>
          <w:kern w:val="0"/>
        </w:rPr>
        <w:t>Microfoundations</w:t>
      </w:r>
      <w:proofErr w:type="spellEnd"/>
      <w:r w:rsidRPr="0090492B">
        <w:rPr>
          <w:rFonts w:ascii="Calibri" w:eastAsia="SimSun" w:hAnsi="Calibri" w:cs="Calibri"/>
          <w:kern w:val="0"/>
        </w:rPr>
        <w:t xml:space="preserve"> of firm internationalization: The owner CEO effect. Global Strategy Journal, 9(1), 42-65.</w:t>
      </w:r>
    </w:p>
    <w:p w14:paraId="09A02C28" w14:textId="77777777" w:rsidR="004179D9" w:rsidRDefault="004179D9" w:rsidP="00253A55">
      <w:pPr>
        <w:widowControl/>
        <w:spacing w:line="480" w:lineRule="auto"/>
        <w:ind w:left="480" w:hangingChars="200" w:hanging="480"/>
        <w:jc w:val="both"/>
        <w:rPr>
          <w:rFonts w:ascii="Calibri" w:eastAsia="SimSun" w:hAnsi="Calibri" w:cs="Calibri"/>
          <w:kern w:val="0"/>
        </w:rPr>
      </w:pPr>
      <w:r w:rsidRPr="004179D9">
        <w:rPr>
          <w:rFonts w:ascii="Calibri" w:eastAsia="SimSun" w:hAnsi="Calibri" w:cs="Calibri"/>
          <w:kern w:val="0"/>
        </w:rPr>
        <w:t xml:space="preserve">Davis, J. H., </w:t>
      </w:r>
      <w:proofErr w:type="spellStart"/>
      <w:r w:rsidRPr="004179D9">
        <w:rPr>
          <w:rFonts w:ascii="Calibri" w:eastAsia="SimSun" w:hAnsi="Calibri" w:cs="Calibri"/>
          <w:kern w:val="0"/>
        </w:rPr>
        <w:t>Schoorman</w:t>
      </w:r>
      <w:proofErr w:type="spellEnd"/>
      <w:r w:rsidRPr="004179D9">
        <w:rPr>
          <w:rFonts w:ascii="Calibri" w:eastAsia="SimSun" w:hAnsi="Calibri" w:cs="Calibri"/>
          <w:kern w:val="0"/>
        </w:rPr>
        <w:t xml:space="preserve">, F. D., &amp; Donaldson, L. (1997). Toward a Stewardship Theory of Management. Academy of Management Review, 22(1), 20. https://doi.org/10.2307/259223 </w:t>
      </w:r>
    </w:p>
    <w:p w14:paraId="3D566AA6" w14:textId="2B32FB5B" w:rsidR="004179D9" w:rsidRDefault="004179D9" w:rsidP="00253A55">
      <w:pPr>
        <w:widowControl/>
        <w:spacing w:line="480" w:lineRule="auto"/>
        <w:ind w:left="480" w:hangingChars="200" w:hanging="480"/>
        <w:jc w:val="both"/>
        <w:rPr>
          <w:rFonts w:ascii="Calibri" w:eastAsia="SimSun" w:hAnsi="Calibri" w:cs="Calibri"/>
          <w:kern w:val="0"/>
        </w:rPr>
      </w:pPr>
      <w:r w:rsidRPr="004179D9">
        <w:rPr>
          <w:rFonts w:ascii="Calibri" w:eastAsia="SimSun" w:hAnsi="Calibri" w:cs="Calibri"/>
          <w:kern w:val="0"/>
        </w:rPr>
        <w:t xml:space="preserve">Jensen, M. C., &amp; Meckling, W. H. (1976). Theory of the firm: Managerial behavior, agency costs and ownership structure. Journal of Financial Economics, 3(4), 305–360. </w:t>
      </w:r>
      <w:hyperlink r:id="rId30" w:history="1">
        <w:r w:rsidR="00D7598D" w:rsidRPr="00BD1CA4">
          <w:rPr>
            <w:rStyle w:val="Hyperlink"/>
            <w:rFonts w:ascii="Calibri" w:eastAsia="SimSun" w:hAnsi="Calibri" w:cs="Calibri"/>
            <w:kern w:val="0"/>
          </w:rPr>
          <w:t>https://doi.org/10.1016/0304-405x(76)90026-x</w:t>
        </w:r>
      </w:hyperlink>
    </w:p>
    <w:p w14:paraId="029F81F8" w14:textId="4F621F6B" w:rsidR="00D7598D" w:rsidRDefault="00D7598D" w:rsidP="00253A55">
      <w:pPr>
        <w:widowControl/>
        <w:spacing w:line="480" w:lineRule="auto"/>
        <w:ind w:left="480" w:hangingChars="200" w:hanging="480"/>
        <w:jc w:val="both"/>
        <w:rPr>
          <w:rFonts w:ascii="Calibri" w:eastAsia="SimSun" w:hAnsi="Calibri" w:cs="Calibri"/>
          <w:kern w:val="0"/>
        </w:rPr>
      </w:pPr>
      <w:r w:rsidRPr="00D7598D">
        <w:rPr>
          <w:rFonts w:ascii="Calibri" w:eastAsia="SimSun" w:hAnsi="Calibri" w:cs="Calibri"/>
          <w:kern w:val="0"/>
        </w:rPr>
        <w:t>Yin, R. K. (2018). Case study research and applications: Design and methods (6th ed.). Sage Publications.</w:t>
      </w:r>
    </w:p>
    <w:p w14:paraId="11A9F511" w14:textId="54B416BB" w:rsidR="00EE1C3B" w:rsidRPr="00BD5451" w:rsidRDefault="00EE1C3B" w:rsidP="00253A55">
      <w:pPr>
        <w:widowControl/>
        <w:spacing w:line="480" w:lineRule="auto"/>
        <w:ind w:left="480" w:hangingChars="200" w:hanging="480"/>
        <w:jc w:val="both"/>
        <w:rPr>
          <w:rFonts w:ascii="Calibri" w:eastAsia="SimSun" w:hAnsi="Calibri" w:cs="Calibri"/>
          <w:kern w:val="0"/>
        </w:rPr>
      </w:pPr>
      <w:r w:rsidRPr="00EE1C3B">
        <w:rPr>
          <w:rFonts w:ascii="Calibri" w:eastAsia="SimSun" w:hAnsi="Calibri" w:cs="Calibri"/>
          <w:kern w:val="0"/>
        </w:rPr>
        <w:t>Zhu, Z., Liu, Y., Zhang, N., and Peng, Z. (2023). Motivations underlining the “blame avoidance dilemma”: The effect on street-level bureaucrats during a crisis. International Journal of Disaster Risk Reduction, 94, 103808. https://doi.org/10.1016/j.ijdrr.2023.103808</w:t>
      </w:r>
    </w:p>
    <w:p w14:paraId="32048DD6" w14:textId="52BA9ACB" w:rsidR="003C2F3A" w:rsidRPr="008A0805" w:rsidRDefault="003C2F3A" w:rsidP="00253A55">
      <w:pPr>
        <w:pStyle w:val="a"/>
        <w:jc w:val="both"/>
        <w:rPr>
          <w:rFonts w:ascii="Calibri" w:hAnsi="Calibri" w:cs="Calibri"/>
        </w:rPr>
      </w:pPr>
    </w:p>
    <w:sectPr w:rsidR="003C2F3A" w:rsidRPr="008A0805" w:rsidSect="00BE43E4">
      <w:headerReference w:type="even" r:id="rId31"/>
      <w:headerReference w:type="default" r:id="rId32"/>
      <w:footerReference w:type="even" r:id="rId33"/>
      <w:footerReference w:type="default" r:id="rId34"/>
      <w:headerReference w:type="first" r:id="rId35"/>
      <w:footerReference w:type="first" r:id="rId36"/>
      <w:type w:val="continuous"/>
      <w:pgSz w:w="11906" w:h="16838"/>
      <w:pgMar w:top="1440" w:right="1800" w:bottom="1440" w:left="1800" w:header="851" w:footer="567"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0D970" w14:textId="77777777" w:rsidR="001641C0" w:rsidRDefault="001641C0" w:rsidP="009A1156">
      <w:pPr>
        <w:ind w:firstLine="480"/>
      </w:pPr>
      <w:r>
        <w:separator/>
      </w:r>
    </w:p>
  </w:endnote>
  <w:endnote w:type="continuationSeparator" w:id="0">
    <w:p w14:paraId="62C49E9F" w14:textId="77777777" w:rsidR="001641C0" w:rsidRDefault="001641C0" w:rsidP="009A1156">
      <w:pPr>
        <w:ind w:firstLine="480"/>
      </w:pPr>
      <w:r>
        <w:continuationSeparator/>
      </w:r>
    </w:p>
  </w:endnote>
  <w:endnote w:type="continuationNotice" w:id="1">
    <w:p w14:paraId="012D80FB" w14:textId="77777777" w:rsidR="001641C0" w:rsidRDefault="001641C0">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CC0F5" w14:textId="77777777" w:rsidR="0070336F" w:rsidRDefault="0070336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D0F5" w14:textId="021F95BD" w:rsidR="00447048" w:rsidRPr="001E3661" w:rsidRDefault="00447048" w:rsidP="009A115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3E59A" w14:textId="77777777" w:rsidR="0070336F" w:rsidRDefault="0070336F">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7C653" w14:textId="77777777" w:rsidR="001641C0" w:rsidRDefault="001641C0" w:rsidP="009A1156">
      <w:pPr>
        <w:ind w:firstLine="480"/>
      </w:pPr>
      <w:r>
        <w:separator/>
      </w:r>
    </w:p>
  </w:footnote>
  <w:footnote w:type="continuationSeparator" w:id="0">
    <w:p w14:paraId="102CB374" w14:textId="77777777" w:rsidR="001641C0" w:rsidRDefault="001641C0" w:rsidP="009A1156">
      <w:pPr>
        <w:ind w:firstLine="480"/>
      </w:pPr>
      <w:r>
        <w:continuationSeparator/>
      </w:r>
    </w:p>
  </w:footnote>
  <w:footnote w:type="continuationNotice" w:id="1">
    <w:p w14:paraId="2A984048" w14:textId="77777777" w:rsidR="001641C0" w:rsidRDefault="001641C0">
      <w:pPr>
        <w:spacing w:line="240" w:lineRule="auto"/>
        <w:ind w:firstLine="48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617A" w14:textId="0EF13E9A" w:rsidR="0070336F" w:rsidRDefault="00253A55">
    <w:pPr>
      <w:pStyle w:val="Header"/>
      <w:ind w:firstLine="360"/>
    </w:pPr>
    <w:r>
      <w:rPr>
        <w:noProof/>
      </w:rPr>
      <w:pict w14:anchorId="262C5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34735" o:spid="_x0000_s1026"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0129A" w14:textId="272BBBAF" w:rsidR="001E3661" w:rsidRDefault="00253A55" w:rsidP="009A1156">
    <w:pPr>
      <w:pStyle w:val="Header"/>
      <w:ind w:firstLine="360"/>
    </w:pPr>
    <w:r>
      <w:rPr>
        <w:noProof/>
      </w:rPr>
      <w:pict w14:anchorId="6B5B4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34736" o:sp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441738105"/>
        <w:docPartObj>
          <w:docPartGallery w:val="Page Numbers (Top of Page)"/>
          <w:docPartUnique/>
        </w:docPartObj>
      </w:sdtPr>
      <w:sdtEndPr/>
      <w:sdtContent>
        <w:r w:rsidR="001E3661">
          <w:fldChar w:fldCharType="begin"/>
        </w:r>
        <w:r w:rsidR="001E3661">
          <w:instrText>PAGE   \* MERGEFORMAT</w:instrText>
        </w:r>
        <w:r w:rsidR="001E3661">
          <w:fldChar w:fldCharType="separate"/>
        </w:r>
        <w:r w:rsidR="001E3661">
          <w:rPr>
            <w:lang w:val="zh-CN"/>
          </w:rPr>
          <w:t>2</w:t>
        </w:r>
        <w:r w:rsidR="001E3661">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52F7A" w14:textId="285C1147" w:rsidR="0070336F" w:rsidRDefault="00B14D33" w:rsidP="00B14D33">
    <w:pPr>
      <w:pStyle w:val="Header"/>
      <w:tabs>
        <w:tab w:val="left" w:pos="3030"/>
        <w:tab w:val="center" w:pos="4333"/>
      </w:tabs>
      <w:ind w:firstLine="360"/>
      <w:jc w:val="left"/>
    </w:pPr>
    <w:r>
      <w:tab/>
    </w:r>
    <w:r>
      <w:tab/>
    </w:r>
    <w:r>
      <w:tab/>
    </w:r>
    <w:r w:rsidR="00253A55">
      <w:rPr>
        <w:noProof/>
      </w:rPr>
      <w:pict w14:anchorId="1AA3F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34734" o:spid="_x0000_s1025"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149B"/>
    <w:multiLevelType w:val="multilevel"/>
    <w:tmpl w:val="79E6EBC4"/>
    <w:lvl w:ilvl="0">
      <w:start w:val="2"/>
      <w:numFmt w:val="decimal"/>
      <w:lvlText w:val="%1"/>
      <w:lvlJc w:val="left"/>
      <w:pPr>
        <w:ind w:left="-120" w:hanging="360"/>
      </w:pPr>
      <w:rPr>
        <w:rFonts w:hint="default"/>
      </w:rPr>
    </w:lvl>
    <w:lvl w:ilvl="1">
      <w:start w:val="3"/>
      <w:numFmt w:val="decimal"/>
      <w:lvlText w:val="%1.%2"/>
      <w:lvlJc w:val="left"/>
      <w:pPr>
        <w:ind w:left="-120" w:hanging="360"/>
      </w:pPr>
      <w:rPr>
        <w:rFonts w:hint="default"/>
      </w:rPr>
    </w:lvl>
    <w:lvl w:ilvl="2">
      <w:start w:val="1"/>
      <w:numFmt w:val="decimal"/>
      <w:lvlText w:val="%1.%2.%3"/>
      <w:lvlJc w:val="left"/>
      <w:pPr>
        <w:ind w:left="240" w:hanging="720"/>
      </w:pPr>
      <w:rPr>
        <w:rFonts w:hint="default"/>
      </w:rPr>
    </w:lvl>
    <w:lvl w:ilvl="3">
      <w:start w:val="1"/>
      <w:numFmt w:val="decimal"/>
      <w:lvlText w:val="%1.%2.%3.%4"/>
      <w:lvlJc w:val="left"/>
      <w:pPr>
        <w:ind w:left="240" w:hanging="72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600" w:hanging="1080"/>
      </w:pPr>
      <w:rPr>
        <w:rFonts w:hint="default"/>
      </w:rPr>
    </w:lvl>
    <w:lvl w:ilvl="6">
      <w:start w:val="1"/>
      <w:numFmt w:val="decimal"/>
      <w:lvlText w:val="%1.%2.%3.%4.%5.%6.%7"/>
      <w:lvlJc w:val="left"/>
      <w:pPr>
        <w:ind w:left="960" w:hanging="1440"/>
      </w:pPr>
      <w:rPr>
        <w:rFonts w:hint="default"/>
      </w:rPr>
    </w:lvl>
    <w:lvl w:ilvl="7">
      <w:start w:val="1"/>
      <w:numFmt w:val="decimal"/>
      <w:lvlText w:val="%1.%2.%3.%4.%5.%6.%7.%8"/>
      <w:lvlJc w:val="left"/>
      <w:pPr>
        <w:ind w:left="960" w:hanging="1440"/>
      </w:pPr>
      <w:rPr>
        <w:rFonts w:hint="default"/>
      </w:rPr>
    </w:lvl>
    <w:lvl w:ilvl="8">
      <w:start w:val="1"/>
      <w:numFmt w:val="decimal"/>
      <w:lvlText w:val="%1.%2.%3.%4.%5.%6.%7.%8.%9"/>
      <w:lvlJc w:val="left"/>
      <w:pPr>
        <w:ind w:left="1320" w:hanging="1800"/>
      </w:pPr>
      <w:rPr>
        <w:rFonts w:hint="default"/>
      </w:rPr>
    </w:lvl>
  </w:abstractNum>
  <w:abstractNum w:abstractNumId="1" w15:restartNumberingAfterBreak="0">
    <w:nsid w:val="042F2F35"/>
    <w:multiLevelType w:val="hybridMultilevel"/>
    <w:tmpl w:val="C21E6BB4"/>
    <w:lvl w:ilvl="0" w:tplc="FF9ED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733C13"/>
    <w:multiLevelType w:val="hybridMultilevel"/>
    <w:tmpl w:val="A4AE1C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7F1BC0"/>
    <w:multiLevelType w:val="hybridMultilevel"/>
    <w:tmpl w:val="A0BCDE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BF49FE"/>
    <w:multiLevelType w:val="hybridMultilevel"/>
    <w:tmpl w:val="1FEAB28E"/>
    <w:lvl w:ilvl="0" w:tplc="3668C05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582C61"/>
    <w:multiLevelType w:val="hybridMultilevel"/>
    <w:tmpl w:val="069E46DE"/>
    <w:lvl w:ilvl="0" w:tplc="ED6AADB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204EF0"/>
    <w:multiLevelType w:val="multilevel"/>
    <w:tmpl w:val="3BA0EED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FE6089"/>
    <w:multiLevelType w:val="multilevel"/>
    <w:tmpl w:val="5EE0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E5A38"/>
    <w:multiLevelType w:val="hybridMultilevel"/>
    <w:tmpl w:val="BF6E88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1056BEA"/>
    <w:multiLevelType w:val="multilevel"/>
    <w:tmpl w:val="92A0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6B14BB"/>
    <w:multiLevelType w:val="hybridMultilevel"/>
    <w:tmpl w:val="2FE4BE4C"/>
    <w:lvl w:ilvl="0" w:tplc="689A54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550CB9"/>
    <w:multiLevelType w:val="hybridMultilevel"/>
    <w:tmpl w:val="7FF6A3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4B5CE8"/>
    <w:multiLevelType w:val="hybridMultilevel"/>
    <w:tmpl w:val="2D625F06"/>
    <w:lvl w:ilvl="0" w:tplc="FF9ED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927344"/>
    <w:multiLevelType w:val="multilevel"/>
    <w:tmpl w:val="971EF7C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F3795A"/>
    <w:multiLevelType w:val="multilevel"/>
    <w:tmpl w:val="9B54582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127E33"/>
    <w:multiLevelType w:val="hybridMultilevel"/>
    <w:tmpl w:val="D108DB04"/>
    <w:lvl w:ilvl="0" w:tplc="FF9EDE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7D24073"/>
    <w:multiLevelType w:val="multilevel"/>
    <w:tmpl w:val="76EA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571C1B"/>
    <w:multiLevelType w:val="hybridMultilevel"/>
    <w:tmpl w:val="49909CB6"/>
    <w:lvl w:ilvl="0" w:tplc="870EAD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0146DE5"/>
    <w:multiLevelType w:val="multilevel"/>
    <w:tmpl w:val="989ABF7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8431E0"/>
    <w:multiLevelType w:val="hybridMultilevel"/>
    <w:tmpl w:val="49EC6D16"/>
    <w:lvl w:ilvl="0" w:tplc="416EAE56">
      <w:start w:val="1"/>
      <w:numFmt w:val="bullet"/>
      <w:lvlText w:val=""/>
      <w:lvlJc w:val="left"/>
      <w:pPr>
        <w:ind w:left="1080" w:hanging="360"/>
      </w:pPr>
      <w:rPr>
        <w:rFonts w:ascii="Symbol" w:hAnsi="Symbol"/>
      </w:rPr>
    </w:lvl>
    <w:lvl w:ilvl="1" w:tplc="89B0B436">
      <w:start w:val="1"/>
      <w:numFmt w:val="bullet"/>
      <w:lvlText w:val=""/>
      <w:lvlJc w:val="left"/>
      <w:pPr>
        <w:ind w:left="1080" w:hanging="360"/>
      </w:pPr>
      <w:rPr>
        <w:rFonts w:ascii="Symbol" w:hAnsi="Symbol"/>
      </w:rPr>
    </w:lvl>
    <w:lvl w:ilvl="2" w:tplc="1B1C78FA">
      <w:start w:val="1"/>
      <w:numFmt w:val="bullet"/>
      <w:lvlText w:val=""/>
      <w:lvlJc w:val="left"/>
      <w:pPr>
        <w:ind w:left="1080" w:hanging="360"/>
      </w:pPr>
      <w:rPr>
        <w:rFonts w:ascii="Symbol" w:hAnsi="Symbol"/>
      </w:rPr>
    </w:lvl>
    <w:lvl w:ilvl="3" w:tplc="7B3C146A">
      <w:start w:val="1"/>
      <w:numFmt w:val="bullet"/>
      <w:lvlText w:val=""/>
      <w:lvlJc w:val="left"/>
      <w:pPr>
        <w:ind w:left="1080" w:hanging="360"/>
      </w:pPr>
      <w:rPr>
        <w:rFonts w:ascii="Symbol" w:hAnsi="Symbol"/>
      </w:rPr>
    </w:lvl>
    <w:lvl w:ilvl="4" w:tplc="79B81BE6">
      <w:start w:val="1"/>
      <w:numFmt w:val="bullet"/>
      <w:lvlText w:val=""/>
      <w:lvlJc w:val="left"/>
      <w:pPr>
        <w:ind w:left="1080" w:hanging="360"/>
      </w:pPr>
      <w:rPr>
        <w:rFonts w:ascii="Symbol" w:hAnsi="Symbol"/>
      </w:rPr>
    </w:lvl>
    <w:lvl w:ilvl="5" w:tplc="8B4A0C58">
      <w:start w:val="1"/>
      <w:numFmt w:val="bullet"/>
      <w:lvlText w:val=""/>
      <w:lvlJc w:val="left"/>
      <w:pPr>
        <w:ind w:left="1080" w:hanging="360"/>
      </w:pPr>
      <w:rPr>
        <w:rFonts w:ascii="Symbol" w:hAnsi="Symbol"/>
      </w:rPr>
    </w:lvl>
    <w:lvl w:ilvl="6" w:tplc="05420FAC">
      <w:start w:val="1"/>
      <w:numFmt w:val="bullet"/>
      <w:lvlText w:val=""/>
      <w:lvlJc w:val="left"/>
      <w:pPr>
        <w:ind w:left="1080" w:hanging="360"/>
      </w:pPr>
      <w:rPr>
        <w:rFonts w:ascii="Symbol" w:hAnsi="Symbol"/>
      </w:rPr>
    </w:lvl>
    <w:lvl w:ilvl="7" w:tplc="9466975C">
      <w:start w:val="1"/>
      <w:numFmt w:val="bullet"/>
      <w:lvlText w:val=""/>
      <w:lvlJc w:val="left"/>
      <w:pPr>
        <w:ind w:left="1080" w:hanging="360"/>
      </w:pPr>
      <w:rPr>
        <w:rFonts w:ascii="Symbol" w:hAnsi="Symbol"/>
      </w:rPr>
    </w:lvl>
    <w:lvl w:ilvl="8" w:tplc="20FEF128">
      <w:start w:val="1"/>
      <w:numFmt w:val="bullet"/>
      <w:lvlText w:val=""/>
      <w:lvlJc w:val="left"/>
      <w:pPr>
        <w:ind w:left="1080" w:hanging="360"/>
      </w:pPr>
      <w:rPr>
        <w:rFonts w:ascii="Symbol" w:hAnsi="Symbol"/>
      </w:rPr>
    </w:lvl>
  </w:abstractNum>
  <w:abstractNum w:abstractNumId="20" w15:restartNumberingAfterBreak="0">
    <w:nsid w:val="7C1A43BB"/>
    <w:multiLevelType w:val="multilevel"/>
    <w:tmpl w:val="5AD4FA9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5"/>
  </w:num>
  <w:num w:numId="3">
    <w:abstractNumId w:val="0"/>
  </w:num>
  <w:num w:numId="4">
    <w:abstractNumId w:val="6"/>
  </w:num>
  <w:num w:numId="5">
    <w:abstractNumId w:val="12"/>
  </w:num>
  <w:num w:numId="6">
    <w:abstractNumId w:val="5"/>
  </w:num>
  <w:num w:numId="7">
    <w:abstractNumId w:val="10"/>
  </w:num>
  <w:num w:numId="8">
    <w:abstractNumId w:val="17"/>
  </w:num>
  <w:num w:numId="9">
    <w:abstractNumId w:val="4"/>
  </w:num>
  <w:num w:numId="10">
    <w:abstractNumId w:val="7"/>
  </w:num>
  <w:num w:numId="11">
    <w:abstractNumId w:val="9"/>
  </w:num>
  <w:num w:numId="12">
    <w:abstractNumId w:val="16"/>
  </w:num>
  <w:num w:numId="13">
    <w:abstractNumId w:val="20"/>
  </w:num>
  <w:num w:numId="14">
    <w:abstractNumId w:val="14"/>
  </w:num>
  <w:num w:numId="15">
    <w:abstractNumId w:val="13"/>
  </w:num>
  <w:num w:numId="16">
    <w:abstractNumId w:val="18"/>
  </w:num>
  <w:num w:numId="17">
    <w:abstractNumId w:val="2"/>
  </w:num>
  <w:num w:numId="18">
    <w:abstractNumId w:val="8"/>
  </w:num>
  <w:num w:numId="19">
    <w:abstractNumId w:val="11"/>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0NjUwNTc1NjYwMzRQ0lEKTi0uzszPAykwrAUAJqGeXCwAAAA="/>
  </w:docVars>
  <w:rsids>
    <w:rsidRoot w:val="00DD6AD5"/>
    <w:rsid w:val="0000084B"/>
    <w:rsid w:val="00002864"/>
    <w:rsid w:val="00002EA0"/>
    <w:rsid w:val="00003362"/>
    <w:rsid w:val="00003544"/>
    <w:rsid w:val="0000426A"/>
    <w:rsid w:val="00004D9D"/>
    <w:rsid w:val="00006120"/>
    <w:rsid w:val="0000654C"/>
    <w:rsid w:val="00006ADA"/>
    <w:rsid w:val="00006D99"/>
    <w:rsid w:val="00006E84"/>
    <w:rsid w:val="00010594"/>
    <w:rsid w:val="00011E52"/>
    <w:rsid w:val="00012F4E"/>
    <w:rsid w:val="00014330"/>
    <w:rsid w:val="000146A1"/>
    <w:rsid w:val="00015D93"/>
    <w:rsid w:val="00016F08"/>
    <w:rsid w:val="00022743"/>
    <w:rsid w:val="000259D4"/>
    <w:rsid w:val="00026D95"/>
    <w:rsid w:val="00026E1F"/>
    <w:rsid w:val="00027063"/>
    <w:rsid w:val="000307DF"/>
    <w:rsid w:val="00030E3F"/>
    <w:rsid w:val="000312E8"/>
    <w:rsid w:val="00031A1F"/>
    <w:rsid w:val="00032537"/>
    <w:rsid w:val="000325D0"/>
    <w:rsid w:val="00032954"/>
    <w:rsid w:val="00032B1A"/>
    <w:rsid w:val="00033EC5"/>
    <w:rsid w:val="00033F14"/>
    <w:rsid w:val="000344A1"/>
    <w:rsid w:val="000347F4"/>
    <w:rsid w:val="00035FC8"/>
    <w:rsid w:val="0003624D"/>
    <w:rsid w:val="000364B0"/>
    <w:rsid w:val="00040574"/>
    <w:rsid w:val="00040B7C"/>
    <w:rsid w:val="00041431"/>
    <w:rsid w:val="0004224D"/>
    <w:rsid w:val="00042AAD"/>
    <w:rsid w:val="00042C9F"/>
    <w:rsid w:val="00042E29"/>
    <w:rsid w:val="00043093"/>
    <w:rsid w:val="0004368C"/>
    <w:rsid w:val="000438E5"/>
    <w:rsid w:val="00044631"/>
    <w:rsid w:val="00044689"/>
    <w:rsid w:val="000448D6"/>
    <w:rsid w:val="00044C89"/>
    <w:rsid w:val="00046408"/>
    <w:rsid w:val="0004722D"/>
    <w:rsid w:val="00050273"/>
    <w:rsid w:val="0005201C"/>
    <w:rsid w:val="000532D3"/>
    <w:rsid w:val="00055051"/>
    <w:rsid w:val="00055717"/>
    <w:rsid w:val="00056240"/>
    <w:rsid w:val="00056734"/>
    <w:rsid w:val="00056F3E"/>
    <w:rsid w:val="000573D1"/>
    <w:rsid w:val="00060D09"/>
    <w:rsid w:val="00062D12"/>
    <w:rsid w:val="000634A8"/>
    <w:rsid w:val="00063912"/>
    <w:rsid w:val="000655F5"/>
    <w:rsid w:val="00065F97"/>
    <w:rsid w:val="00067ACC"/>
    <w:rsid w:val="0007011F"/>
    <w:rsid w:val="000707B9"/>
    <w:rsid w:val="00071BF3"/>
    <w:rsid w:val="00073654"/>
    <w:rsid w:val="00073BDC"/>
    <w:rsid w:val="00073F69"/>
    <w:rsid w:val="00073FC5"/>
    <w:rsid w:val="0007580F"/>
    <w:rsid w:val="0007709A"/>
    <w:rsid w:val="0007733F"/>
    <w:rsid w:val="000809A0"/>
    <w:rsid w:val="00080C1A"/>
    <w:rsid w:val="00081BAD"/>
    <w:rsid w:val="000824F7"/>
    <w:rsid w:val="00086A9B"/>
    <w:rsid w:val="00086B62"/>
    <w:rsid w:val="000905DC"/>
    <w:rsid w:val="000907FB"/>
    <w:rsid w:val="00090FDA"/>
    <w:rsid w:val="00093939"/>
    <w:rsid w:val="00093EB6"/>
    <w:rsid w:val="00094731"/>
    <w:rsid w:val="00095E86"/>
    <w:rsid w:val="00096B6A"/>
    <w:rsid w:val="00096E83"/>
    <w:rsid w:val="00096E96"/>
    <w:rsid w:val="00097145"/>
    <w:rsid w:val="000A05CA"/>
    <w:rsid w:val="000A2293"/>
    <w:rsid w:val="000A2C82"/>
    <w:rsid w:val="000A314E"/>
    <w:rsid w:val="000A357E"/>
    <w:rsid w:val="000A378A"/>
    <w:rsid w:val="000A3C1F"/>
    <w:rsid w:val="000A3E1B"/>
    <w:rsid w:val="000A3EF1"/>
    <w:rsid w:val="000A439E"/>
    <w:rsid w:val="000A7455"/>
    <w:rsid w:val="000B03B5"/>
    <w:rsid w:val="000B1EE6"/>
    <w:rsid w:val="000B2AA1"/>
    <w:rsid w:val="000B2BFC"/>
    <w:rsid w:val="000B2D6C"/>
    <w:rsid w:val="000B30FC"/>
    <w:rsid w:val="000B5688"/>
    <w:rsid w:val="000B5A6E"/>
    <w:rsid w:val="000B64D9"/>
    <w:rsid w:val="000B679A"/>
    <w:rsid w:val="000C0816"/>
    <w:rsid w:val="000C1109"/>
    <w:rsid w:val="000C2DFB"/>
    <w:rsid w:val="000C31BA"/>
    <w:rsid w:val="000C4768"/>
    <w:rsid w:val="000C5679"/>
    <w:rsid w:val="000C5CAA"/>
    <w:rsid w:val="000C5F96"/>
    <w:rsid w:val="000C63C3"/>
    <w:rsid w:val="000D31AD"/>
    <w:rsid w:val="000D4A80"/>
    <w:rsid w:val="000D697E"/>
    <w:rsid w:val="000D75FE"/>
    <w:rsid w:val="000E050C"/>
    <w:rsid w:val="000E11FA"/>
    <w:rsid w:val="000E135D"/>
    <w:rsid w:val="000E1FC7"/>
    <w:rsid w:val="000E2C12"/>
    <w:rsid w:val="000E30AA"/>
    <w:rsid w:val="000E434E"/>
    <w:rsid w:val="000E4392"/>
    <w:rsid w:val="000E47BA"/>
    <w:rsid w:val="000E5DC6"/>
    <w:rsid w:val="000E5EC8"/>
    <w:rsid w:val="000E623D"/>
    <w:rsid w:val="000E6F1A"/>
    <w:rsid w:val="000F0DB1"/>
    <w:rsid w:val="000F2C96"/>
    <w:rsid w:val="000F3007"/>
    <w:rsid w:val="000F41D1"/>
    <w:rsid w:val="000F4250"/>
    <w:rsid w:val="000F42EB"/>
    <w:rsid w:val="000F61B7"/>
    <w:rsid w:val="000F7612"/>
    <w:rsid w:val="001003E4"/>
    <w:rsid w:val="00102E40"/>
    <w:rsid w:val="0010366C"/>
    <w:rsid w:val="001037FE"/>
    <w:rsid w:val="00103BBE"/>
    <w:rsid w:val="00103E36"/>
    <w:rsid w:val="0010701E"/>
    <w:rsid w:val="0010719E"/>
    <w:rsid w:val="001073A5"/>
    <w:rsid w:val="0011217B"/>
    <w:rsid w:val="00113DFC"/>
    <w:rsid w:val="0011602B"/>
    <w:rsid w:val="0011710B"/>
    <w:rsid w:val="001179E1"/>
    <w:rsid w:val="00120A9C"/>
    <w:rsid w:val="00120C97"/>
    <w:rsid w:val="001211CD"/>
    <w:rsid w:val="00121CBB"/>
    <w:rsid w:val="001222AB"/>
    <w:rsid w:val="00122B0B"/>
    <w:rsid w:val="00123D1D"/>
    <w:rsid w:val="001246D6"/>
    <w:rsid w:val="001247FE"/>
    <w:rsid w:val="0012519B"/>
    <w:rsid w:val="00125DCF"/>
    <w:rsid w:val="001265FF"/>
    <w:rsid w:val="001310DC"/>
    <w:rsid w:val="0013175D"/>
    <w:rsid w:val="0013196F"/>
    <w:rsid w:val="00131D03"/>
    <w:rsid w:val="0013283C"/>
    <w:rsid w:val="001344BA"/>
    <w:rsid w:val="00134D34"/>
    <w:rsid w:val="001355C0"/>
    <w:rsid w:val="00137A41"/>
    <w:rsid w:val="0014141B"/>
    <w:rsid w:val="00141692"/>
    <w:rsid w:val="00142563"/>
    <w:rsid w:val="001439CE"/>
    <w:rsid w:val="001446C5"/>
    <w:rsid w:val="001446DA"/>
    <w:rsid w:val="00145751"/>
    <w:rsid w:val="0014593A"/>
    <w:rsid w:val="001478E6"/>
    <w:rsid w:val="00151093"/>
    <w:rsid w:val="001510A7"/>
    <w:rsid w:val="00151B68"/>
    <w:rsid w:val="00151F51"/>
    <w:rsid w:val="00153377"/>
    <w:rsid w:val="00155693"/>
    <w:rsid w:val="00155D82"/>
    <w:rsid w:val="00155F57"/>
    <w:rsid w:val="00156175"/>
    <w:rsid w:val="001570E0"/>
    <w:rsid w:val="0016304D"/>
    <w:rsid w:val="001634A8"/>
    <w:rsid w:val="00163A7D"/>
    <w:rsid w:val="001640FE"/>
    <w:rsid w:val="0016415D"/>
    <w:rsid w:val="00164178"/>
    <w:rsid w:val="001641C0"/>
    <w:rsid w:val="00164486"/>
    <w:rsid w:val="0016482D"/>
    <w:rsid w:val="0016557C"/>
    <w:rsid w:val="00166473"/>
    <w:rsid w:val="00170775"/>
    <w:rsid w:val="00171602"/>
    <w:rsid w:val="00171695"/>
    <w:rsid w:val="001717D8"/>
    <w:rsid w:val="00172482"/>
    <w:rsid w:val="00172C1D"/>
    <w:rsid w:val="001735E9"/>
    <w:rsid w:val="001763B2"/>
    <w:rsid w:val="00176D17"/>
    <w:rsid w:val="00177728"/>
    <w:rsid w:val="00180841"/>
    <w:rsid w:val="00181030"/>
    <w:rsid w:val="00181BA0"/>
    <w:rsid w:val="00181C87"/>
    <w:rsid w:val="00181F97"/>
    <w:rsid w:val="0018204B"/>
    <w:rsid w:val="0018226E"/>
    <w:rsid w:val="00182818"/>
    <w:rsid w:val="001831F8"/>
    <w:rsid w:val="001843A1"/>
    <w:rsid w:val="00185E40"/>
    <w:rsid w:val="001860D1"/>
    <w:rsid w:val="001871A2"/>
    <w:rsid w:val="00187B0C"/>
    <w:rsid w:val="00187F07"/>
    <w:rsid w:val="0019058B"/>
    <w:rsid w:val="00190612"/>
    <w:rsid w:val="00190FB8"/>
    <w:rsid w:val="0019157F"/>
    <w:rsid w:val="00191D1E"/>
    <w:rsid w:val="00194117"/>
    <w:rsid w:val="001957FE"/>
    <w:rsid w:val="00195E87"/>
    <w:rsid w:val="00196F54"/>
    <w:rsid w:val="001A2CFF"/>
    <w:rsid w:val="001A50F6"/>
    <w:rsid w:val="001A5316"/>
    <w:rsid w:val="001A752D"/>
    <w:rsid w:val="001A7A32"/>
    <w:rsid w:val="001B2424"/>
    <w:rsid w:val="001B35A5"/>
    <w:rsid w:val="001B5EE5"/>
    <w:rsid w:val="001B75B2"/>
    <w:rsid w:val="001B7FD9"/>
    <w:rsid w:val="001C0201"/>
    <w:rsid w:val="001C139E"/>
    <w:rsid w:val="001C1797"/>
    <w:rsid w:val="001C337E"/>
    <w:rsid w:val="001C3697"/>
    <w:rsid w:val="001C41C2"/>
    <w:rsid w:val="001D28A1"/>
    <w:rsid w:val="001D2EBB"/>
    <w:rsid w:val="001D3723"/>
    <w:rsid w:val="001D3F7F"/>
    <w:rsid w:val="001D47E1"/>
    <w:rsid w:val="001D510A"/>
    <w:rsid w:val="001D6D0B"/>
    <w:rsid w:val="001D770B"/>
    <w:rsid w:val="001E0B3B"/>
    <w:rsid w:val="001E3211"/>
    <w:rsid w:val="001E3661"/>
    <w:rsid w:val="001E5A0A"/>
    <w:rsid w:val="001E6121"/>
    <w:rsid w:val="001E7535"/>
    <w:rsid w:val="001E762D"/>
    <w:rsid w:val="001E7698"/>
    <w:rsid w:val="001E7AB9"/>
    <w:rsid w:val="001E7DF3"/>
    <w:rsid w:val="001F0692"/>
    <w:rsid w:val="001F08B6"/>
    <w:rsid w:val="001F0B51"/>
    <w:rsid w:val="001F0B65"/>
    <w:rsid w:val="001F0D67"/>
    <w:rsid w:val="001F1BFD"/>
    <w:rsid w:val="001F28B2"/>
    <w:rsid w:val="001F2CE2"/>
    <w:rsid w:val="001F4E63"/>
    <w:rsid w:val="001F575A"/>
    <w:rsid w:val="001F7072"/>
    <w:rsid w:val="001F7617"/>
    <w:rsid w:val="001F7A79"/>
    <w:rsid w:val="002020D0"/>
    <w:rsid w:val="002023B5"/>
    <w:rsid w:val="002031AF"/>
    <w:rsid w:val="00204B58"/>
    <w:rsid w:val="002053ED"/>
    <w:rsid w:val="00205F10"/>
    <w:rsid w:val="00206B0E"/>
    <w:rsid w:val="00207030"/>
    <w:rsid w:val="00207F74"/>
    <w:rsid w:val="00210567"/>
    <w:rsid w:val="0021101F"/>
    <w:rsid w:val="0021120D"/>
    <w:rsid w:val="00212030"/>
    <w:rsid w:val="0021254E"/>
    <w:rsid w:val="0021313D"/>
    <w:rsid w:val="002149E4"/>
    <w:rsid w:val="002164FD"/>
    <w:rsid w:val="00216A7D"/>
    <w:rsid w:val="002170D2"/>
    <w:rsid w:val="00217180"/>
    <w:rsid w:val="0021774E"/>
    <w:rsid w:val="00217ECE"/>
    <w:rsid w:val="0022050B"/>
    <w:rsid w:val="0022084F"/>
    <w:rsid w:val="002208DB"/>
    <w:rsid w:val="00220955"/>
    <w:rsid w:val="00224877"/>
    <w:rsid w:val="00224D7D"/>
    <w:rsid w:val="002258E6"/>
    <w:rsid w:val="00227397"/>
    <w:rsid w:val="00227AA3"/>
    <w:rsid w:val="00227D6D"/>
    <w:rsid w:val="0023007B"/>
    <w:rsid w:val="0023029F"/>
    <w:rsid w:val="00230B99"/>
    <w:rsid w:val="002337DD"/>
    <w:rsid w:val="00234885"/>
    <w:rsid w:val="00235099"/>
    <w:rsid w:val="002353F6"/>
    <w:rsid w:val="00235C0B"/>
    <w:rsid w:val="00237AE9"/>
    <w:rsid w:val="00237C44"/>
    <w:rsid w:val="00240040"/>
    <w:rsid w:val="00241666"/>
    <w:rsid w:val="00241D1E"/>
    <w:rsid w:val="002422B6"/>
    <w:rsid w:val="00242ADC"/>
    <w:rsid w:val="00246259"/>
    <w:rsid w:val="002469B2"/>
    <w:rsid w:val="00250D97"/>
    <w:rsid w:val="0025168D"/>
    <w:rsid w:val="00252CFC"/>
    <w:rsid w:val="002534C7"/>
    <w:rsid w:val="0025359C"/>
    <w:rsid w:val="00253A55"/>
    <w:rsid w:val="002545F0"/>
    <w:rsid w:val="00255F28"/>
    <w:rsid w:val="00260052"/>
    <w:rsid w:val="00260391"/>
    <w:rsid w:val="00263151"/>
    <w:rsid w:val="00263904"/>
    <w:rsid w:val="00263B8A"/>
    <w:rsid w:val="00263BA3"/>
    <w:rsid w:val="00264253"/>
    <w:rsid w:val="0026530F"/>
    <w:rsid w:val="0026716D"/>
    <w:rsid w:val="002677D8"/>
    <w:rsid w:val="00267894"/>
    <w:rsid w:val="00271FB4"/>
    <w:rsid w:val="0027233F"/>
    <w:rsid w:val="002724A9"/>
    <w:rsid w:val="0027379A"/>
    <w:rsid w:val="00273A90"/>
    <w:rsid w:val="00273A9D"/>
    <w:rsid w:val="0027447D"/>
    <w:rsid w:val="002767C0"/>
    <w:rsid w:val="00276E29"/>
    <w:rsid w:val="00277938"/>
    <w:rsid w:val="00280487"/>
    <w:rsid w:val="002804EE"/>
    <w:rsid w:val="0028060D"/>
    <w:rsid w:val="00280992"/>
    <w:rsid w:val="00281E9C"/>
    <w:rsid w:val="00281F20"/>
    <w:rsid w:val="00281F67"/>
    <w:rsid w:val="0028201B"/>
    <w:rsid w:val="00284541"/>
    <w:rsid w:val="00284D56"/>
    <w:rsid w:val="00284F42"/>
    <w:rsid w:val="00285047"/>
    <w:rsid w:val="00285995"/>
    <w:rsid w:val="00285F68"/>
    <w:rsid w:val="00286564"/>
    <w:rsid w:val="00286BA2"/>
    <w:rsid w:val="00287155"/>
    <w:rsid w:val="00290EDF"/>
    <w:rsid w:val="00290F8F"/>
    <w:rsid w:val="0029256B"/>
    <w:rsid w:val="00292BB3"/>
    <w:rsid w:val="00292C80"/>
    <w:rsid w:val="00293D22"/>
    <w:rsid w:val="002941D9"/>
    <w:rsid w:val="00294693"/>
    <w:rsid w:val="00296CC5"/>
    <w:rsid w:val="00297382"/>
    <w:rsid w:val="002A0E62"/>
    <w:rsid w:val="002A196B"/>
    <w:rsid w:val="002A346D"/>
    <w:rsid w:val="002A518B"/>
    <w:rsid w:val="002A721D"/>
    <w:rsid w:val="002A75CD"/>
    <w:rsid w:val="002A79F4"/>
    <w:rsid w:val="002B0D5F"/>
    <w:rsid w:val="002B311F"/>
    <w:rsid w:val="002B42D5"/>
    <w:rsid w:val="002B5D40"/>
    <w:rsid w:val="002B5DB5"/>
    <w:rsid w:val="002B780A"/>
    <w:rsid w:val="002B78D0"/>
    <w:rsid w:val="002C0968"/>
    <w:rsid w:val="002C2B68"/>
    <w:rsid w:val="002C2CF8"/>
    <w:rsid w:val="002C361C"/>
    <w:rsid w:val="002C5625"/>
    <w:rsid w:val="002C69B0"/>
    <w:rsid w:val="002C7C74"/>
    <w:rsid w:val="002D10AB"/>
    <w:rsid w:val="002D2122"/>
    <w:rsid w:val="002D2223"/>
    <w:rsid w:val="002D226C"/>
    <w:rsid w:val="002D29B3"/>
    <w:rsid w:val="002D2E61"/>
    <w:rsid w:val="002D4985"/>
    <w:rsid w:val="002D4EF9"/>
    <w:rsid w:val="002D57D7"/>
    <w:rsid w:val="002D664D"/>
    <w:rsid w:val="002D678B"/>
    <w:rsid w:val="002D753A"/>
    <w:rsid w:val="002D798E"/>
    <w:rsid w:val="002D7B9E"/>
    <w:rsid w:val="002E08AE"/>
    <w:rsid w:val="002E11A2"/>
    <w:rsid w:val="002E26E1"/>
    <w:rsid w:val="002E51EF"/>
    <w:rsid w:val="002E7446"/>
    <w:rsid w:val="002F0DB7"/>
    <w:rsid w:val="002F2583"/>
    <w:rsid w:val="002F2C80"/>
    <w:rsid w:val="002F37D1"/>
    <w:rsid w:val="002F3C21"/>
    <w:rsid w:val="002F3FE6"/>
    <w:rsid w:val="002F41D2"/>
    <w:rsid w:val="002F464F"/>
    <w:rsid w:val="002F5347"/>
    <w:rsid w:val="002F5BE4"/>
    <w:rsid w:val="002F5D71"/>
    <w:rsid w:val="002F5FB4"/>
    <w:rsid w:val="002F7C68"/>
    <w:rsid w:val="003000B8"/>
    <w:rsid w:val="0030207C"/>
    <w:rsid w:val="003025C5"/>
    <w:rsid w:val="00302B47"/>
    <w:rsid w:val="00306678"/>
    <w:rsid w:val="00306A2D"/>
    <w:rsid w:val="00306F8F"/>
    <w:rsid w:val="003112AC"/>
    <w:rsid w:val="0031130C"/>
    <w:rsid w:val="00311E82"/>
    <w:rsid w:val="00313028"/>
    <w:rsid w:val="0031322E"/>
    <w:rsid w:val="00313B96"/>
    <w:rsid w:val="003155F3"/>
    <w:rsid w:val="0031669C"/>
    <w:rsid w:val="00316F93"/>
    <w:rsid w:val="00317813"/>
    <w:rsid w:val="00317D4E"/>
    <w:rsid w:val="003211D1"/>
    <w:rsid w:val="0032131E"/>
    <w:rsid w:val="00321E71"/>
    <w:rsid w:val="00324387"/>
    <w:rsid w:val="00325F9F"/>
    <w:rsid w:val="0032646B"/>
    <w:rsid w:val="00327648"/>
    <w:rsid w:val="00330EDB"/>
    <w:rsid w:val="00330FC1"/>
    <w:rsid w:val="00331403"/>
    <w:rsid w:val="00331C93"/>
    <w:rsid w:val="003362CB"/>
    <w:rsid w:val="00336556"/>
    <w:rsid w:val="00336928"/>
    <w:rsid w:val="003405B7"/>
    <w:rsid w:val="00340A6C"/>
    <w:rsid w:val="00343A46"/>
    <w:rsid w:val="00344AB7"/>
    <w:rsid w:val="00352B68"/>
    <w:rsid w:val="00353034"/>
    <w:rsid w:val="00353743"/>
    <w:rsid w:val="00353AA1"/>
    <w:rsid w:val="00354463"/>
    <w:rsid w:val="00355499"/>
    <w:rsid w:val="00355DE1"/>
    <w:rsid w:val="003574D9"/>
    <w:rsid w:val="0035762F"/>
    <w:rsid w:val="00360177"/>
    <w:rsid w:val="00362539"/>
    <w:rsid w:val="00362EB6"/>
    <w:rsid w:val="00363691"/>
    <w:rsid w:val="00364057"/>
    <w:rsid w:val="00364276"/>
    <w:rsid w:val="00364F7A"/>
    <w:rsid w:val="00365CB6"/>
    <w:rsid w:val="003663D0"/>
    <w:rsid w:val="00367328"/>
    <w:rsid w:val="00367639"/>
    <w:rsid w:val="003676F7"/>
    <w:rsid w:val="00367E05"/>
    <w:rsid w:val="0037243F"/>
    <w:rsid w:val="003736E4"/>
    <w:rsid w:val="00374F42"/>
    <w:rsid w:val="00375245"/>
    <w:rsid w:val="00375673"/>
    <w:rsid w:val="0037614C"/>
    <w:rsid w:val="003761E2"/>
    <w:rsid w:val="00377146"/>
    <w:rsid w:val="003774E4"/>
    <w:rsid w:val="00377526"/>
    <w:rsid w:val="00380AEF"/>
    <w:rsid w:val="00380F09"/>
    <w:rsid w:val="003826B0"/>
    <w:rsid w:val="00382B76"/>
    <w:rsid w:val="0038395C"/>
    <w:rsid w:val="00384976"/>
    <w:rsid w:val="00384B97"/>
    <w:rsid w:val="003851CE"/>
    <w:rsid w:val="00385DA2"/>
    <w:rsid w:val="00391366"/>
    <w:rsid w:val="003935B0"/>
    <w:rsid w:val="00393ABF"/>
    <w:rsid w:val="0039405B"/>
    <w:rsid w:val="003942DF"/>
    <w:rsid w:val="00394E11"/>
    <w:rsid w:val="00394F5B"/>
    <w:rsid w:val="00395E62"/>
    <w:rsid w:val="00396E93"/>
    <w:rsid w:val="0039782C"/>
    <w:rsid w:val="003A0D5B"/>
    <w:rsid w:val="003A2914"/>
    <w:rsid w:val="003A319D"/>
    <w:rsid w:val="003A3CDD"/>
    <w:rsid w:val="003A557A"/>
    <w:rsid w:val="003A565B"/>
    <w:rsid w:val="003A56FF"/>
    <w:rsid w:val="003A7017"/>
    <w:rsid w:val="003A78E0"/>
    <w:rsid w:val="003B03F6"/>
    <w:rsid w:val="003B13BE"/>
    <w:rsid w:val="003B4C36"/>
    <w:rsid w:val="003B4D72"/>
    <w:rsid w:val="003B5D58"/>
    <w:rsid w:val="003C04F4"/>
    <w:rsid w:val="003C12BE"/>
    <w:rsid w:val="003C15A2"/>
    <w:rsid w:val="003C2F3A"/>
    <w:rsid w:val="003C3CC5"/>
    <w:rsid w:val="003C55A3"/>
    <w:rsid w:val="003C611D"/>
    <w:rsid w:val="003C7505"/>
    <w:rsid w:val="003C76AD"/>
    <w:rsid w:val="003D11E5"/>
    <w:rsid w:val="003D1715"/>
    <w:rsid w:val="003D33AA"/>
    <w:rsid w:val="003D3A8F"/>
    <w:rsid w:val="003D3AC8"/>
    <w:rsid w:val="003D42D8"/>
    <w:rsid w:val="003D4BF4"/>
    <w:rsid w:val="003D5341"/>
    <w:rsid w:val="003D5FA4"/>
    <w:rsid w:val="003D66F1"/>
    <w:rsid w:val="003D6E33"/>
    <w:rsid w:val="003D754F"/>
    <w:rsid w:val="003D7BBA"/>
    <w:rsid w:val="003E01FF"/>
    <w:rsid w:val="003E0905"/>
    <w:rsid w:val="003E138B"/>
    <w:rsid w:val="003E13C1"/>
    <w:rsid w:val="003E2ED6"/>
    <w:rsid w:val="003E3283"/>
    <w:rsid w:val="003E3E09"/>
    <w:rsid w:val="003E41AD"/>
    <w:rsid w:val="003E7484"/>
    <w:rsid w:val="003F1A7A"/>
    <w:rsid w:val="003F1EBC"/>
    <w:rsid w:val="003F245E"/>
    <w:rsid w:val="003F4DC7"/>
    <w:rsid w:val="003F51C5"/>
    <w:rsid w:val="003F6336"/>
    <w:rsid w:val="00401E4B"/>
    <w:rsid w:val="004039B3"/>
    <w:rsid w:val="004046C3"/>
    <w:rsid w:val="00404B63"/>
    <w:rsid w:val="00404CB0"/>
    <w:rsid w:val="00405698"/>
    <w:rsid w:val="0040625B"/>
    <w:rsid w:val="004066A5"/>
    <w:rsid w:val="00406EA9"/>
    <w:rsid w:val="00410376"/>
    <w:rsid w:val="00410779"/>
    <w:rsid w:val="00410E9D"/>
    <w:rsid w:val="004117A1"/>
    <w:rsid w:val="0041231C"/>
    <w:rsid w:val="004130C3"/>
    <w:rsid w:val="00413E0D"/>
    <w:rsid w:val="00413E19"/>
    <w:rsid w:val="00413F2C"/>
    <w:rsid w:val="00414A26"/>
    <w:rsid w:val="00414D42"/>
    <w:rsid w:val="00414E89"/>
    <w:rsid w:val="00414EE8"/>
    <w:rsid w:val="0041590E"/>
    <w:rsid w:val="00415931"/>
    <w:rsid w:val="00415A4D"/>
    <w:rsid w:val="004161CC"/>
    <w:rsid w:val="00416BD8"/>
    <w:rsid w:val="00417603"/>
    <w:rsid w:val="004179D9"/>
    <w:rsid w:val="00417BEF"/>
    <w:rsid w:val="0042064F"/>
    <w:rsid w:val="00420A33"/>
    <w:rsid w:val="00421694"/>
    <w:rsid w:val="004222C1"/>
    <w:rsid w:val="00422CDF"/>
    <w:rsid w:val="00422E0A"/>
    <w:rsid w:val="0042364C"/>
    <w:rsid w:val="00423662"/>
    <w:rsid w:val="0042427F"/>
    <w:rsid w:val="0042510F"/>
    <w:rsid w:val="004257D2"/>
    <w:rsid w:val="00426FA8"/>
    <w:rsid w:val="004309F7"/>
    <w:rsid w:val="00430A73"/>
    <w:rsid w:val="00431024"/>
    <w:rsid w:val="004322E9"/>
    <w:rsid w:val="004323D0"/>
    <w:rsid w:val="00432463"/>
    <w:rsid w:val="004327A1"/>
    <w:rsid w:val="00433132"/>
    <w:rsid w:val="00433A3A"/>
    <w:rsid w:val="00433B75"/>
    <w:rsid w:val="00433C5F"/>
    <w:rsid w:val="00434511"/>
    <w:rsid w:val="00435225"/>
    <w:rsid w:val="004353E2"/>
    <w:rsid w:val="00436809"/>
    <w:rsid w:val="0043729F"/>
    <w:rsid w:val="00440F45"/>
    <w:rsid w:val="0044138A"/>
    <w:rsid w:val="00441C95"/>
    <w:rsid w:val="00442148"/>
    <w:rsid w:val="00443CAE"/>
    <w:rsid w:val="00444479"/>
    <w:rsid w:val="00444B02"/>
    <w:rsid w:val="004461E5"/>
    <w:rsid w:val="00446324"/>
    <w:rsid w:val="00447044"/>
    <w:rsid w:val="00447048"/>
    <w:rsid w:val="00447226"/>
    <w:rsid w:val="00447BFD"/>
    <w:rsid w:val="004513C6"/>
    <w:rsid w:val="00451B99"/>
    <w:rsid w:val="00452DEE"/>
    <w:rsid w:val="00452FCF"/>
    <w:rsid w:val="004545FD"/>
    <w:rsid w:val="00454CD2"/>
    <w:rsid w:val="00454FD0"/>
    <w:rsid w:val="00455864"/>
    <w:rsid w:val="00455CB2"/>
    <w:rsid w:val="00456A6F"/>
    <w:rsid w:val="00456A84"/>
    <w:rsid w:val="00456A92"/>
    <w:rsid w:val="00457B21"/>
    <w:rsid w:val="00460247"/>
    <w:rsid w:val="004617BD"/>
    <w:rsid w:val="00462E75"/>
    <w:rsid w:val="004633BE"/>
    <w:rsid w:val="0046352C"/>
    <w:rsid w:val="00463840"/>
    <w:rsid w:val="0046398B"/>
    <w:rsid w:val="00463B42"/>
    <w:rsid w:val="00464348"/>
    <w:rsid w:val="00464416"/>
    <w:rsid w:val="00464725"/>
    <w:rsid w:val="00464E78"/>
    <w:rsid w:val="0046524F"/>
    <w:rsid w:val="00465BE5"/>
    <w:rsid w:val="004707B7"/>
    <w:rsid w:val="00470821"/>
    <w:rsid w:val="004715B9"/>
    <w:rsid w:val="00471D1D"/>
    <w:rsid w:val="00472954"/>
    <w:rsid w:val="004732F0"/>
    <w:rsid w:val="0047389F"/>
    <w:rsid w:val="0047404A"/>
    <w:rsid w:val="00474D13"/>
    <w:rsid w:val="00475B73"/>
    <w:rsid w:val="004806A0"/>
    <w:rsid w:val="00480EDE"/>
    <w:rsid w:val="00481551"/>
    <w:rsid w:val="004827D6"/>
    <w:rsid w:val="00483511"/>
    <w:rsid w:val="00483516"/>
    <w:rsid w:val="004835B7"/>
    <w:rsid w:val="00483740"/>
    <w:rsid w:val="00483E9B"/>
    <w:rsid w:val="00484AA8"/>
    <w:rsid w:val="00485C5D"/>
    <w:rsid w:val="00485FCB"/>
    <w:rsid w:val="004873D5"/>
    <w:rsid w:val="00490540"/>
    <w:rsid w:val="004915E4"/>
    <w:rsid w:val="00492423"/>
    <w:rsid w:val="0049261B"/>
    <w:rsid w:val="00494805"/>
    <w:rsid w:val="00494DEF"/>
    <w:rsid w:val="0049527D"/>
    <w:rsid w:val="00495326"/>
    <w:rsid w:val="00496132"/>
    <w:rsid w:val="00496626"/>
    <w:rsid w:val="00497144"/>
    <w:rsid w:val="00497670"/>
    <w:rsid w:val="004A061E"/>
    <w:rsid w:val="004A1619"/>
    <w:rsid w:val="004A2639"/>
    <w:rsid w:val="004A41DC"/>
    <w:rsid w:val="004A571D"/>
    <w:rsid w:val="004A5E18"/>
    <w:rsid w:val="004A6435"/>
    <w:rsid w:val="004A64B2"/>
    <w:rsid w:val="004A6F9A"/>
    <w:rsid w:val="004A7D23"/>
    <w:rsid w:val="004B0203"/>
    <w:rsid w:val="004B11D3"/>
    <w:rsid w:val="004B1236"/>
    <w:rsid w:val="004B17C7"/>
    <w:rsid w:val="004B17D8"/>
    <w:rsid w:val="004B184F"/>
    <w:rsid w:val="004B1A47"/>
    <w:rsid w:val="004B1B7F"/>
    <w:rsid w:val="004B1C18"/>
    <w:rsid w:val="004B20BE"/>
    <w:rsid w:val="004B2F0F"/>
    <w:rsid w:val="004B3458"/>
    <w:rsid w:val="004B3A5D"/>
    <w:rsid w:val="004B4AB9"/>
    <w:rsid w:val="004B502E"/>
    <w:rsid w:val="004B58BD"/>
    <w:rsid w:val="004B5C03"/>
    <w:rsid w:val="004B5D37"/>
    <w:rsid w:val="004B7F91"/>
    <w:rsid w:val="004C0E38"/>
    <w:rsid w:val="004C0FC8"/>
    <w:rsid w:val="004C1244"/>
    <w:rsid w:val="004C1E56"/>
    <w:rsid w:val="004C20ED"/>
    <w:rsid w:val="004C2E81"/>
    <w:rsid w:val="004C3874"/>
    <w:rsid w:val="004C3952"/>
    <w:rsid w:val="004C3D20"/>
    <w:rsid w:val="004C4648"/>
    <w:rsid w:val="004C4AF3"/>
    <w:rsid w:val="004C6AD8"/>
    <w:rsid w:val="004D0F87"/>
    <w:rsid w:val="004D12F4"/>
    <w:rsid w:val="004D2A13"/>
    <w:rsid w:val="004D2D3F"/>
    <w:rsid w:val="004D3455"/>
    <w:rsid w:val="004D34B9"/>
    <w:rsid w:val="004D364C"/>
    <w:rsid w:val="004D40A6"/>
    <w:rsid w:val="004D496D"/>
    <w:rsid w:val="004D7BF3"/>
    <w:rsid w:val="004E023F"/>
    <w:rsid w:val="004E06BF"/>
    <w:rsid w:val="004E0EA9"/>
    <w:rsid w:val="004E12AB"/>
    <w:rsid w:val="004E2C7D"/>
    <w:rsid w:val="004E2D49"/>
    <w:rsid w:val="004E4315"/>
    <w:rsid w:val="004E44BE"/>
    <w:rsid w:val="004E4631"/>
    <w:rsid w:val="004E4838"/>
    <w:rsid w:val="004E4E15"/>
    <w:rsid w:val="004E57B3"/>
    <w:rsid w:val="004E59AC"/>
    <w:rsid w:val="004E698E"/>
    <w:rsid w:val="004E7801"/>
    <w:rsid w:val="004E79B9"/>
    <w:rsid w:val="004F00D4"/>
    <w:rsid w:val="004F08E8"/>
    <w:rsid w:val="004F0C9E"/>
    <w:rsid w:val="004F193D"/>
    <w:rsid w:val="004F22FF"/>
    <w:rsid w:val="004F2BCF"/>
    <w:rsid w:val="004F3A49"/>
    <w:rsid w:val="004F3BB9"/>
    <w:rsid w:val="004F52C3"/>
    <w:rsid w:val="004F5864"/>
    <w:rsid w:val="004F5B4A"/>
    <w:rsid w:val="004F6155"/>
    <w:rsid w:val="004F68EE"/>
    <w:rsid w:val="004F7D79"/>
    <w:rsid w:val="004F7E69"/>
    <w:rsid w:val="0050083D"/>
    <w:rsid w:val="00500CEC"/>
    <w:rsid w:val="00502E37"/>
    <w:rsid w:val="00504B11"/>
    <w:rsid w:val="005051D8"/>
    <w:rsid w:val="00506452"/>
    <w:rsid w:val="00510D0A"/>
    <w:rsid w:val="00511374"/>
    <w:rsid w:val="00512566"/>
    <w:rsid w:val="005125A2"/>
    <w:rsid w:val="0051368A"/>
    <w:rsid w:val="005155BE"/>
    <w:rsid w:val="005162AC"/>
    <w:rsid w:val="0051645E"/>
    <w:rsid w:val="00516CE2"/>
    <w:rsid w:val="00517261"/>
    <w:rsid w:val="00517D2A"/>
    <w:rsid w:val="00517DD0"/>
    <w:rsid w:val="00517E14"/>
    <w:rsid w:val="0052095D"/>
    <w:rsid w:val="00520AA0"/>
    <w:rsid w:val="00521CF3"/>
    <w:rsid w:val="00522A56"/>
    <w:rsid w:val="00522B7F"/>
    <w:rsid w:val="00523724"/>
    <w:rsid w:val="00523A9A"/>
    <w:rsid w:val="00524CF0"/>
    <w:rsid w:val="00526172"/>
    <w:rsid w:val="0052661E"/>
    <w:rsid w:val="00526B52"/>
    <w:rsid w:val="005278FD"/>
    <w:rsid w:val="00530B6E"/>
    <w:rsid w:val="0053108B"/>
    <w:rsid w:val="00531938"/>
    <w:rsid w:val="0053478F"/>
    <w:rsid w:val="00534FE2"/>
    <w:rsid w:val="005357FA"/>
    <w:rsid w:val="00536041"/>
    <w:rsid w:val="005360B8"/>
    <w:rsid w:val="00536F0C"/>
    <w:rsid w:val="00537BE0"/>
    <w:rsid w:val="00537F0F"/>
    <w:rsid w:val="0054015A"/>
    <w:rsid w:val="00540230"/>
    <w:rsid w:val="00540ACD"/>
    <w:rsid w:val="005411F1"/>
    <w:rsid w:val="00542730"/>
    <w:rsid w:val="005428F0"/>
    <w:rsid w:val="00542AFD"/>
    <w:rsid w:val="00542D51"/>
    <w:rsid w:val="00543B42"/>
    <w:rsid w:val="00543E9A"/>
    <w:rsid w:val="005446AE"/>
    <w:rsid w:val="00544B1A"/>
    <w:rsid w:val="005460D5"/>
    <w:rsid w:val="0054666A"/>
    <w:rsid w:val="00546830"/>
    <w:rsid w:val="005473B2"/>
    <w:rsid w:val="0055040D"/>
    <w:rsid w:val="00550625"/>
    <w:rsid w:val="00550781"/>
    <w:rsid w:val="00551728"/>
    <w:rsid w:val="005517A2"/>
    <w:rsid w:val="005532CC"/>
    <w:rsid w:val="0055491F"/>
    <w:rsid w:val="00555189"/>
    <w:rsid w:val="00557C6A"/>
    <w:rsid w:val="00560057"/>
    <w:rsid w:val="00562719"/>
    <w:rsid w:val="00562CAD"/>
    <w:rsid w:val="00564C0D"/>
    <w:rsid w:val="00566427"/>
    <w:rsid w:val="00566F36"/>
    <w:rsid w:val="00567D57"/>
    <w:rsid w:val="00570192"/>
    <w:rsid w:val="005709A5"/>
    <w:rsid w:val="00570F16"/>
    <w:rsid w:val="0057138F"/>
    <w:rsid w:val="00571745"/>
    <w:rsid w:val="00571F03"/>
    <w:rsid w:val="0057275A"/>
    <w:rsid w:val="005736B6"/>
    <w:rsid w:val="005746A1"/>
    <w:rsid w:val="0057538F"/>
    <w:rsid w:val="005757F2"/>
    <w:rsid w:val="00576507"/>
    <w:rsid w:val="00577471"/>
    <w:rsid w:val="00577B14"/>
    <w:rsid w:val="00580038"/>
    <w:rsid w:val="00580CC5"/>
    <w:rsid w:val="00581224"/>
    <w:rsid w:val="005818A6"/>
    <w:rsid w:val="005834B7"/>
    <w:rsid w:val="00584F8D"/>
    <w:rsid w:val="00585732"/>
    <w:rsid w:val="00585BC7"/>
    <w:rsid w:val="0058646D"/>
    <w:rsid w:val="0058676D"/>
    <w:rsid w:val="005913B7"/>
    <w:rsid w:val="00591418"/>
    <w:rsid w:val="0059143C"/>
    <w:rsid w:val="0059574B"/>
    <w:rsid w:val="00595942"/>
    <w:rsid w:val="00596128"/>
    <w:rsid w:val="005973F4"/>
    <w:rsid w:val="00597532"/>
    <w:rsid w:val="005979BC"/>
    <w:rsid w:val="005A073C"/>
    <w:rsid w:val="005A16A4"/>
    <w:rsid w:val="005A2361"/>
    <w:rsid w:val="005A273E"/>
    <w:rsid w:val="005A3067"/>
    <w:rsid w:val="005A5587"/>
    <w:rsid w:val="005A5654"/>
    <w:rsid w:val="005A580C"/>
    <w:rsid w:val="005A6F9E"/>
    <w:rsid w:val="005B0374"/>
    <w:rsid w:val="005B0E8C"/>
    <w:rsid w:val="005B32DA"/>
    <w:rsid w:val="005B36DF"/>
    <w:rsid w:val="005B391A"/>
    <w:rsid w:val="005B3934"/>
    <w:rsid w:val="005B45CB"/>
    <w:rsid w:val="005B4F99"/>
    <w:rsid w:val="005B67B1"/>
    <w:rsid w:val="005B6C75"/>
    <w:rsid w:val="005B7B10"/>
    <w:rsid w:val="005B7FBD"/>
    <w:rsid w:val="005C0248"/>
    <w:rsid w:val="005C034C"/>
    <w:rsid w:val="005C0AF0"/>
    <w:rsid w:val="005C16C4"/>
    <w:rsid w:val="005C2489"/>
    <w:rsid w:val="005C248D"/>
    <w:rsid w:val="005C2534"/>
    <w:rsid w:val="005C25D5"/>
    <w:rsid w:val="005C31D1"/>
    <w:rsid w:val="005C3E0F"/>
    <w:rsid w:val="005C50CB"/>
    <w:rsid w:val="005C54DB"/>
    <w:rsid w:val="005C77EF"/>
    <w:rsid w:val="005D1436"/>
    <w:rsid w:val="005D1990"/>
    <w:rsid w:val="005D242E"/>
    <w:rsid w:val="005D2F21"/>
    <w:rsid w:val="005D304F"/>
    <w:rsid w:val="005D37D7"/>
    <w:rsid w:val="005D5441"/>
    <w:rsid w:val="005D5B37"/>
    <w:rsid w:val="005D5CA2"/>
    <w:rsid w:val="005E0633"/>
    <w:rsid w:val="005E0B9E"/>
    <w:rsid w:val="005E195E"/>
    <w:rsid w:val="005E2C2A"/>
    <w:rsid w:val="005E452B"/>
    <w:rsid w:val="005E4A93"/>
    <w:rsid w:val="005E53BB"/>
    <w:rsid w:val="005E55D4"/>
    <w:rsid w:val="005E5976"/>
    <w:rsid w:val="005E6E15"/>
    <w:rsid w:val="005E7203"/>
    <w:rsid w:val="005F1513"/>
    <w:rsid w:val="005F1533"/>
    <w:rsid w:val="005F2B35"/>
    <w:rsid w:val="005F3651"/>
    <w:rsid w:val="005F4ECB"/>
    <w:rsid w:val="005F5E89"/>
    <w:rsid w:val="005F7F77"/>
    <w:rsid w:val="006024FA"/>
    <w:rsid w:val="0060285A"/>
    <w:rsid w:val="00602872"/>
    <w:rsid w:val="00602ABE"/>
    <w:rsid w:val="00602C04"/>
    <w:rsid w:val="00603431"/>
    <w:rsid w:val="006045B9"/>
    <w:rsid w:val="00605318"/>
    <w:rsid w:val="006056DB"/>
    <w:rsid w:val="00606270"/>
    <w:rsid w:val="006065B9"/>
    <w:rsid w:val="00606A02"/>
    <w:rsid w:val="00606B06"/>
    <w:rsid w:val="00606DD6"/>
    <w:rsid w:val="00607129"/>
    <w:rsid w:val="00607F22"/>
    <w:rsid w:val="00611BE4"/>
    <w:rsid w:val="006134F0"/>
    <w:rsid w:val="00613CC9"/>
    <w:rsid w:val="00613F16"/>
    <w:rsid w:val="00614BC4"/>
    <w:rsid w:val="006151BC"/>
    <w:rsid w:val="00615227"/>
    <w:rsid w:val="00617849"/>
    <w:rsid w:val="0061785B"/>
    <w:rsid w:val="006204ED"/>
    <w:rsid w:val="00621884"/>
    <w:rsid w:val="00621F7A"/>
    <w:rsid w:val="00622882"/>
    <w:rsid w:val="00622A7D"/>
    <w:rsid w:val="00622CF8"/>
    <w:rsid w:val="00622FC1"/>
    <w:rsid w:val="0062309F"/>
    <w:rsid w:val="0062340C"/>
    <w:rsid w:val="00623661"/>
    <w:rsid w:val="00625063"/>
    <w:rsid w:val="006251CE"/>
    <w:rsid w:val="00625C4D"/>
    <w:rsid w:val="00626AE3"/>
    <w:rsid w:val="00631413"/>
    <w:rsid w:val="00632833"/>
    <w:rsid w:val="00632A2A"/>
    <w:rsid w:val="006331FA"/>
    <w:rsid w:val="00633391"/>
    <w:rsid w:val="006335BC"/>
    <w:rsid w:val="00633E74"/>
    <w:rsid w:val="0063446A"/>
    <w:rsid w:val="0063558A"/>
    <w:rsid w:val="006357C1"/>
    <w:rsid w:val="00636090"/>
    <w:rsid w:val="00636775"/>
    <w:rsid w:val="00637DCD"/>
    <w:rsid w:val="00640050"/>
    <w:rsid w:val="006425BA"/>
    <w:rsid w:val="00642C87"/>
    <w:rsid w:val="00643F34"/>
    <w:rsid w:val="00645CA2"/>
    <w:rsid w:val="0064659E"/>
    <w:rsid w:val="00646EFF"/>
    <w:rsid w:val="0064706D"/>
    <w:rsid w:val="00647786"/>
    <w:rsid w:val="006523D6"/>
    <w:rsid w:val="00653144"/>
    <w:rsid w:val="00654628"/>
    <w:rsid w:val="0065520C"/>
    <w:rsid w:val="00656A7F"/>
    <w:rsid w:val="00656D61"/>
    <w:rsid w:val="00657D12"/>
    <w:rsid w:val="00660FBB"/>
    <w:rsid w:val="006614EE"/>
    <w:rsid w:val="0066231B"/>
    <w:rsid w:val="006623E3"/>
    <w:rsid w:val="006638AB"/>
    <w:rsid w:val="00664340"/>
    <w:rsid w:val="00664C85"/>
    <w:rsid w:val="006650D9"/>
    <w:rsid w:val="00666708"/>
    <w:rsid w:val="00666F1C"/>
    <w:rsid w:val="00667E5D"/>
    <w:rsid w:val="006700AF"/>
    <w:rsid w:val="00671515"/>
    <w:rsid w:val="006725ED"/>
    <w:rsid w:val="0067287B"/>
    <w:rsid w:val="0067348C"/>
    <w:rsid w:val="00675F69"/>
    <w:rsid w:val="0067630E"/>
    <w:rsid w:val="00676AB2"/>
    <w:rsid w:val="00676E5E"/>
    <w:rsid w:val="006771E8"/>
    <w:rsid w:val="00677643"/>
    <w:rsid w:val="006777D0"/>
    <w:rsid w:val="00680783"/>
    <w:rsid w:val="0068142F"/>
    <w:rsid w:val="00681593"/>
    <w:rsid w:val="00682C9D"/>
    <w:rsid w:val="00683342"/>
    <w:rsid w:val="00683F6B"/>
    <w:rsid w:val="00686B89"/>
    <w:rsid w:val="006876A3"/>
    <w:rsid w:val="00687A07"/>
    <w:rsid w:val="0069072D"/>
    <w:rsid w:val="00690A97"/>
    <w:rsid w:val="00692DA2"/>
    <w:rsid w:val="006938E2"/>
    <w:rsid w:val="00694081"/>
    <w:rsid w:val="00696AFC"/>
    <w:rsid w:val="00697AFD"/>
    <w:rsid w:val="00697BAF"/>
    <w:rsid w:val="006A014A"/>
    <w:rsid w:val="006A0E1E"/>
    <w:rsid w:val="006A19D9"/>
    <w:rsid w:val="006A218F"/>
    <w:rsid w:val="006A2278"/>
    <w:rsid w:val="006A2958"/>
    <w:rsid w:val="006A34DB"/>
    <w:rsid w:val="006A4A63"/>
    <w:rsid w:val="006A4E74"/>
    <w:rsid w:val="006A5F8C"/>
    <w:rsid w:val="006A60C8"/>
    <w:rsid w:val="006A792C"/>
    <w:rsid w:val="006A7AF2"/>
    <w:rsid w:val="006B0A4F"/>
    <w:rsid w:val="006B2421"/>
    <w:rsid w:val="006B2BFD"/>
    <w:rsid w:val="006B2FD4"/>
    <w:rsid w:val="006B45DD"/>
    <w:rsid w:val="006B561A"/>
    <w:rsid w:val="006B5A69"/>
    <w:rsid w:val="006B6292"/>
    <w:rsid w:val="006B640E"/>
    <w:rsid w:val="006B6441"/>
    <w:rsid w:val="006B65BB"/>
    <w:rsid w:val="006C22BF"/>
    <w:rsid w:val="006C2B78"/>
    <w:rsid w:val="006C3706"/>
    <w:rsid w:val="006C39F7"/>
    <w:rsid w:val="006C50E6"/>
    <w:rsid w:val="006C5731"/>
    <w:rsid w:val="006C6091"/>
    <w:rsid w:val="006C7304"/>
    <w:rsid w:val="006C7464"/>
    <w:rsid w:val="006C7488"/>
    <w:rsid w:val="006D2A20"/>
    <w:rsid w:val="006D3A48"/>
    <w:rsid w:val="006D3E35"/>
    <w:rsid w:val="006D41AF"/>
    <w:rsid w:val="006D46A5"/>
    <w:rsid w:val="006D4E2F"/>
    <w:rsid w:val="006D503F"/>
    <w:rsid w:val="006D5924"/>
    <w:rsid w:val="006D5972"/>
    <w:rsid w:val="006D661D"/>
    <w:rsid w:val="006D6BCF"/>
    <w:rsid w:val="006D7DD6"/>
    <w:rsid w:val="006D7F22"/>
    <w:rsid w:val="006E0C0E"/>
    <w:rsid w:val="006E2746"/>
    <w:rsid w:val="006E2978"/>
    <w:rsid w:val="006E2DB0"/>
    <w:rsid w:val="006E30FB"/>
    <w:rsid w:val="006E4290"/>
    <w:rsid w:val="006E4C75"/>
    <w:rsid w:val="006E4F28"/>
    <w:rsid w:val="006E671C"/>
    <w:rsid w:val="006E6887"/>
    <w:rsid w:val="006E68E0"/>
    <w:rsid w:val="006E7548"/>
    <w:rsid w:val="006E78C2"/>
    <w:rsid w:val="006E7D53"/>
    <w:rsid w:val="006F1AAF"/>
    <w:rsid w:val="006F290B"/>
    <w:rsid w:val="006F3010"/>
    <w:rsid w:val="006F3074"/>
    <w:rsid w:val="006F3931"/>
    <w:rsid w:val="006F4272"/>
    <w:rsid w:val="006F4343"/>
    <w:rsid w:val="006F4B7D"/>
    <w:rsid w:val="006F4BC4"/>
    <w:rsid w:val="006F6174"/>
    <w:rsid w:val="006F618A"/>
    <w:rsid w:val="006F6319"/>
    <w:rsid w:val="006F75EF"/>
    <w:rsid w:val="006F7CA2"/>
    <w:rsid w:val="0070040B"/>
    <w:rsid w:val="007008FA"/>
    <w:rsid w:val="00702148"/>
    <w:rsid w:val="00702208"/>
    <w:rsid w:val="0070336F"/>
    <w:rsid w:val="007034D0"/>
    <w:rsid w:val="007045D5"/>
    <w:rsid w:val="00705EAE"/>
    <w:rsid w:val="00705F59"/>
    <w:rsid w:val="007062D5"/>
    <w:rsid w:val="00706C9B"/>
    <w:rsid w:val="007077BD"/>
    <w:rsid w:val="00710B3F"/>
    <w:rsid w:val="00710F0C"/>
    <w:rsid w:val="00711783"/>
    <w:rsid w:val="00711925"/>
    <w:rsid w:val="00711E98"/>
    <w:rsid w:val="00712146"/>
    <w:rsid w:val="007123CE"/>
    <w:rsid w:val="00713838"/>
    <w:rsid w:val="007146C8"/>
    <w:rsid w:val="007148AE"/>
    <w:rsid w:val="007163DD"/>
    <w:rsid w:val="007165A7"/>
    <w:rsid w:val="00717890"/>
    <w:rsid w:val="00717BC3"/>
    <w:rsid w:val="00720DA2"/>
    <w:rsid w:val="00720F44"/>
    <w:rsid w:val="00721EA2"/>
    <w:rsid w:val="0072205D"/>
    <w:rsid w:val="00722573"/>
    <w:rsid w:val="00722D96"/>
    <w:rsid w:val="00723FFC"/>
    <w:rsid w:val="00724084"/>
    <w:rsid w:val="00724085"/>
    <w:rsid w:val="00724953"/>
    <w:rsid w:val="00724AE6"/>
    <w:rsid w:val="00724B80"/>
    <w:rsid w:val="00724C11"/>
    <w:rsid w:val="00726AA1"/>
    <w:rsid w:val="0072780E"/>
    <w:rsid w:val="00727D95"/>
    <w:rsid w:val="00730405"/>
    <w:rsid w:val="00730FC3"/>
    <w:rsid w:val="007312C9"/>
    <w:rsid w:val="0073233F"/>
    <w:rsid w:val="007325A9"/>
    <w:rsid w:val="00732696"/>
    <w:rsid w:val="00733FA8"/>
    <w:rsid w:val="00734094"/>
    <w:rsid w:val="0073677D"/>
    <w:rsid w:val="00736E41"/>
    <w:rsid w:val="00737786"/>
    <w:rsid w:val="007378A5"/>
    <w:rsid w:val="00740BD4"/>
    <w:rsid w:val="00740D48"/>
    <w:rsid w:val="00740DC2"/>
    <w:rsid w:val="00741B15"/>
    <w:rsid w:val="0074263C"/>
    <w:rsid w:val="007450C5"/>
    <w:rsid w:val="00745CF2"/>
    <w:rsid w:val="0074619B"/>
    <w:rsid w:val="007472E3"/>
    <w:rsid w:val="0074794A"/>
    <w:rsid w:val="0075100F"/>
    <w:rsid w:val="00751D42"/>
    <w:rsid w:val="00751E84"/>
    <w:rsid w:val="00753C05"/>
    <w:rsid w:val="007558E9"/>
    <w:rsid w:val="00756AEE"/>
    <w:rsid w:val="00757552"/>
    <w:rsid w:val="00760D50"/>
    <w:rsid w:val="0076126C"/>
    <w:rsid w:val="007613E2"/>
    <w:rsid w:val="00764EB2"/>
    <w:rsid w:val="00765DFD"/>
    <w:rsid w:val="0076647E"/>
    <w:rsid w:val="00766FBB"/>
    <w:rsid w:val="007675C5"/>
    <w:rsid w:val="007710AE"/>
    <w:rsid w:val="00771119"/>
    <w:rsid w:val="007711BF"/>
    <w:rsid w:val="00771D74"/>
    <w:rsid w:val="00772155"/>
    <w:rsid w:val="00773649"/>
    <w:rsid w:val="00773D3E"/>
    <w:rsid w:val="00774557"/>
    <w:rsid w:val="00774BB8"/>
    <w:rsid w:val="007763AC"/>
    <w:rsid w:val="0077677C"/>
    <w:rsid w:val="007830A5"/>
    <w:rsid w:val="007839A4"/>
    <w:rsid w:val="007865AB"/>
    <w:rsid w:val="007869BA"/>
    <w:rsid w:val="00786CEE"/>
    <w:rsid w:val="00786DBE"/>
    <w:rsid w:val="00787D69"/>
    <w:rsid w:val="007906AA"/>
    <w:rsid w:val="00790B97"/>
    <w:rsid w:val="00790CB0"/>
    <w:rsid w:val="0079297A"/>
    <w:rsid w:val="00792B3D"/>
    <w:rsid w:val="007946AA"/>
    <w:rsid w:val="00794882"/>
    <w:rsid w:val="00795688"/>
    <w:rsid w:val="00797456"/>
    <w:rsid w:val="007A0792"/>
    <w:rsid w:val="007A2742"/>
    <w:rsid w:val="007A2ADE"/>
    <w:rsid w:val="007A308E"/>
    <w:rsid w:val="007A446C"/>
    <w:rsid w:val="007A4C8C"/>
    <w:rsid w:val="007A5E7D"/>
    <w:rsid w:val="007A5FCB"/>
    <w:rsid w:val="007A6226"/>
    <w:rsid w:val="007A6685"/>
    <w:rsid w:val="007A7A2B"/>
    <w:rsid w:val="007B01BF"/>
    <w:rsid w:val="007B03CF"/>
    <w:rsid w:val="007B0750"/>
    <w:rsid w:val="007B0C76"/>
    <w:rsid w:val="007B0D7B"/>
    <w:rsid w:val="007B1E49"/>
    <w:rsid w:val="007B22F8"/>
    <w:rsid w:val="007B2E1A"/>
    <w:rsid w:val="007B39C9"/>
    <w:rsid w:val="007B4669"/>
    <w:rsid w:val="007B4D5A"/>
    <w:rsid w:val="007B5118"/>
    <w:rsid w:val="007B6038"/>
    <w:rsid w:val="007B6311"/>
    <w:rsid w:val="007B719A"/>
    <w:rsid w:val="007C0297"/>
    <w:rsid w:val="007C1E55"/>
    <w:rsid w:val="007C36F2"/>
    <w:rsid w:val="007C3C28"/>
    <w:rsid w:val="007C40E7"/>
    <w:rsid w:val="007C442E"/>
    <w:rsid w:val="007C4BFD"/>
    <w:rsid w:val="007C675D"/>
    <w:rsid w:val="007C679F"/>
    <w:rsid w:val="007C6EAB"/>
    <w:rsid w:val="007C7366"/>
    <w:rsid w:val="007C7B1A"/>
    <w:rsid w:val="007D2530"/>
    <w:rsid w:val="007D4480"/>
    <w:rsid w:val="007D5503"/>
    <w:rsid w:val="007D57C9"/>
    <w:rsid w:val="007D6DB0"/>
    <w:rsid w:val="007D766B"/>
    <w:rsid w:val="007D7D1E"/>
    <w:rsid w:val="007D7F5A"/>
    <w:rsid w:val="007E0496"/>
    <w:rsid w:val="007E30BE"/>
    <w:rsid w:val="007E3C56"/>
    <w:rsid w:val="007E3EB9"/>
    <w:rsid w:val="007E5389"/>
    <w:rsid w:val="007E5489"/>
    <w:rsid w:val="007E60D5"/>
    <w:rsid w:val="007E637C"/>
    <w:rsid w:val="007E73B8"/>
    <w:rsid w:val="007E767D"/>
    <w:rsid w:val="007E769A"/>
    <w:rsid w:val="007E7C4B"/>
    <w:rsid w:val="007F46DC"/>
    <w:rsid w:val="007F4AAE"/>
    <w:rsid w:val="007F51EE"/>
    <w:rsid w:val="00800005"/>
    <w:rsid w:val="008001B8"/>
    <w:rsid w:val="008006E1"/>
    <w:rsid w:val="00801E05"/>
    <w:rsid w:val="00802428"/>
    <w:rsid w:val="00803219"/>
    <w:rsid w:val="0080366C"/>
    <w:rsid w:val="00803E26"/>
    <w:rsid w:val="00803FEA"/>
    <w:rsid w:val="00804A31"/>
    <w:rsid w:val="008059A4"/>
    <w:rsid w:val="008065FE"/>
    <w:rsid w:val="00806AC7"/>
    <w:rsid w:val="00807139"/>
    <w:rsid w:val="008109AE"/>
    <w:rsid w:val="00811488"/>
    <w:rsid w:val="00811584"/>
    <w:rsid w:val="00811B81"/>
    <w:rsid w:val="00813421"/>
    <w:rsid w:val="008145FD"/>
    <w:rsid w:val="00814676"/>
    <w:rsid w:val="00815595"/>
    <w:rsid w:val="00816AA2"/>
    <w:rsid w:val="00817279"/>
    <w:rsid w:val="008179DD"/>
    <w:rsid w:val="00820F7C"/>
    <w:rsid w:val="00821AFB"/>
    <w:rsid w:val="008240F5"/>
    <w:rsid w:val="00824433"/>
    <w:rsid w:val="0082503E"/>
    <w:rsid w:val="0082598A"/>
    <w:rsid w:val="00825BA5"/>
    <w:rsid w:val="00825FD1"/>
    <w:rsid w:val="008267C7"/>
    <w:rsid w:val="008268EC"/>
    <w:rsid w:val="00826B3F"/>
    <w:rsid w:val="00830241"/>
    <w:rsid w:val="00830626"/>
    <w:rsid w:val="00831B06"/>
    <w:rsid w:val="00831DBC"/>
    <w:rsid w:val="0083496A"/>
    <w:rsid w:val="00835DFF"/>
    <w:rsid w:val="00836EC2"/>
    <w:rsid w:val="00837A73"/>
    <w:rsid w:val="00840164"/>
    <w:rsid w:val="00840585"/>
    <w:rsid w:val="008405DB"/>
    <w:rsid w:val="008423D0"/>
    <w:rsid w:val="008424F3"/>
    <w:rsid w:val="00842673"/>
    <w:rsid w:val="0084275E"/>
    <w:rsid w:val="00843C94"/>
    <w:rsid w:val="008440B3"/>
    <w:rsid w:val="00844640"/>
    <w:rsid w:val="008448B5"/>
    <w:rsid w:val="00844E0F"/>
    <w:rsid w:val="00844F30"/>
    <w:rsid w:val="00845A47"/>
    <w:rsid w:val="00845B56"/>
    <w:rsid w:val="0084657C"/>
    <w:rsid w:val="00846946"/>
    <w:rsid w:val="00847041"/>
    <w:rsid w:val="0084735D"/>
    <w:rsid w:val="00853DBC"/>
    <w:rsid w:val="00854ADD"/>
    <w:rsid w:val="00854FE3"/>
    <w:rsid w:val="00855C2B"/>
    <w:rsid w:val="00855D10"/>
    <w:rsid w:val="00855E91"/>
    <w:rsid w:val="00856391"/>
    <w:rsid w:val="00856637"/>
    <w:rsid w:val="00857330"/>
    <w:rsid w:val="00857614"/>
    <w:rsid w:val="00857943"/>
    <w:rsid w:val="0086199F"/>
    <w:rsid w:val="00861A8B"/>
    <w:rsid w:val="00862786"/>
    <w:rsid w:val="00863EEE"/>
    <w:rsid w:val="008643D5"/>
    <w:rsid w:val="008653D8"/>
    <w:rsid w:val="00865EBC"/>
    <w:rsid w:val="00867018"/>
    <w:rsid w:val="00870261"/>
    <w:rsid w:val="00871951"/>
    <w:rsid w:val="008735BC"/>
    <w:rsid w:val="00874058"/>
    <w:rsid w:val="008757AF"/>
    <w:rsid w:val="0087743C"/>
    <w:rsid w:val="00877C3C"/>
    <w:rsid w:val="00882328"/>
    <w:rsid w:val="008826BE"/>
    <w:rsid w:val="00883142"/>
    <w:rsid w:val="008832A0"/>
    <w:rsid w:val="00884BC8"/>
    <w:rsid w:val="008850F5"/>
    <w:rsid w:val="00885597"/>
    <w:rsid w:val="00885DFB"/>
    <w:rsid w:val="00886776"/>
    <w:rsid w:val="00887538"/>
    <w:rsid w:val="00891031"/>
    <w:rsid w:val="008923C8"/>
    <w:rsid w:val="00892912"/>
    <w:rsid w:val="00892E0D"/>
    <w:rsid w:val="00892F0B"/>
    <w:rsid w:val="00893205"/>
    <w:rsid w:val="00894CC2"/>
    <w:rsid w:val="0089506C"/>
    <w:rsid w:val="00895F7B"/>
    <w:rsid w:val="00896EB7"/>
    <w:rsid w:val="008A0805"/>
    <w:rsid w:val="008A1700"/>
    <w:rsid w:val="008A2584"/>
    <w:rsid w:val="008A2BE8"/>
    <w:rsid w:val="008A3FD9"/>
    <w:rsid w:val="008A4C2D"/>
    <w:rsid w:val="008A5DAB"/>
    <w:rsid w:val="008A696F"/>
    <w:rsid w:val="008A6B50"/>
    <w:rsid w:val="008A729B"/>
    <w:rsid w:val="008A793D"/>
    <w:rsid w:val="008A7BD7"/>
    <w:rsid w:val="008B007F"/>
    <w:rsid w:val="008B03BF"/>
    <w:rsid w:val="008B0798"/>
    <w:rsid w:val="008B0C18"/>
    <w:rsid w:val="008B1E4A"/>
    <w:rsid w:val="008B4F78"/>
    <w:rsid w:val="008B58B5"/>
    <w:rsid w:val="008B6806"/>
    <w:rsid w:val="008B6F63"/>
    <w:rsid w:val="008B71B4"/>
    <w:rsid w:val="008C001C"/>
    <w:rsid w:val="008C148D"/>
    <w:rsid w:val="008C2A34"/>
    <w:rsid w:val="008C2B6C"/>
    <w:rsid w:val="008C2FEE"/>
    <w:rsid w:val="008C377D"/>
    <w:rsid w:val="008C39ED"/>
    <w:rsid w:val="008C4003"/>
    <w:rsid w:val="008C4530"/>
    <w:rsid w:val="008C4809"/>
    <w:rsid w:val="008C51D5"/>
    <w:rsid w:val="008C551A"/>
    <w:rsid w:val="008C6B1B"/>
    <w:rsid w:val="008C6BD2"/>
    <w:rsid w:val="008C6D50"/>
    <w:rsid w:val="008C792D"/>
    <w:rsid w:val="008D0C64"/>
    <w:rsid w:val="008D0FBB"/>
    <w:rsid w:val="008D12D8"/>
    <w:rsid w:val="008D1C9A"/>
    <w:rsid w:val="008D201E"/>
    <w:rsid w:val="008D38BA"/>
    <w:rsid w:val="008D488E"/>
    <w:rsid w:val="008D761C"/>
    <w:rsid w:val="008E17CA"/>
    <w:rsid w:val="008E3ABF"/>
    <w:rsid w:val="008E5D17"/>
    <w:rsid w:val="008E613B"/>
    <w:rsid w:val="008E7C17"/>
    <w:rsid w:val="008F0AB4"/>
    <w:rsid w:val="008F1341"/>
    <w:rsid w:val="008F1AF4"/>
    <w:rsid w:val="008F2A73"/>
    <w:rsid w:val="008F311B"/>
    <w:rsid w:val="008F355E"/>
    <w:rsid w:val="008F3D92"/>
    <w:rsid w:val="008F5749"/>
    <w:rsid w:val="008F5CC3"/>
    <w:rsid w:val="008F693E"/>
    <w:rsid w:val="008F7A85"/>
    <w:rsid w:val="0090133B"/>
    <w:rsid w:val="009013D0"/>
    <w:rsid w:val="00901994"/>
    <w:rsid w:val="009021B7"/>
    <w:rsid w:val="009048F6"/>
    <w:rsid w:val="0090492B"/>
    <w:rsid w:val="00905D2A"/>
    <w:rsid w:val="00905E37"/>
    <w:rsid w:val="00907FD6"/>
    <w:rsid w:val="009100B0"/>
    <w:rsid w:val="009103CD"/>
    <w:rsid w:val="00911348"/>
    <w:rsid w:val="00912005"/>
    <w:rsid w:val="009120BE"/>
    <w:rsid w:val="00912667"/>
    <w:rsid w:val="009126C8"/>
    <w:rsid w:val="009127CB"/>
    <w:rsid w:val="00912B42"/>
    <w:rsid w:val="00912F76"/>
    <w:rsid w:val="0091342D"/>
    <w:rsid w:val="009148BF"/>
    <w:rsid w:val="009171F8"/>
    <w:rsid w:val="0092007E"/>
    <w:rsid w:val="00920BC7"/>
    <w:rsid w:val="00920EDB"/>
    <w:rsid w:val="00921A24"/>
    <w:rsid w:val="00923066"/>
    <w:rsid w:val="00923105"/>
    <w:rsid w:val="00923A4A"/>
    <w:rsid w:val="00925890"/>
    <w:rsid w:val="009267E9"/>
    <w:rsid w:val="0093078F"/>
    <w:rsid w:val="0093224B"/>
    <w:rsid w:val="009327FA"/>
    <w:rsid w:val="009338DC"/>
    <w:rsid w:val="00933A05"/>
    <w:rsid w:val="00933E82"/>
    <w:rsid w:val="00936CFA"/>
    <w:rsid w:val="00936E1E"/>
    <w:rsid w:val="00937060"/>
    <w:rsid w:val="009408C3"/>
    <w:rsid w:val="00943286"/>
    <w:rsid w:val="00943453"/>
    <w:rsid w:val="00944D66"/>
    <w:rsid w:val="009456FF"/>
    <w:rsid w:val="009505DD"/>
    <w:rsid w:val="0095149D"/>
    <w:rsid w:val="009522FE"/>
    <w:rsid w:val="00952A8C"/>
    <w:rsid w:val="0095412B"/>
    <w:rsid w:val="00954489"/>
    <w:rsid w:val="00955470"/>
    <w:rsid w:val="00956A4B"/>
    <w:rsid w:val="00957686"/>
    <w:rsid w:val="009607E0"/>
    <w:rsid w:val="009615A6"/>
    <w:rsid w:val="0096220C"/>
    <w:rsid w:val="00963F72"/>
    <w:rsid w:val="009641C9"/>
    <w:rsid w:val="00965F8D"/>
    <w:rsid w:val="0096742B"/>
    <w:rsid w:val="00967D3C"/>
    <w:rsid w:val="0097174D"/>
    <w:rsid w:val="0097184D"/>
    <w:rsid w:val="00972080"/>
    <w:rsid w:val="00973977"/>
    <w:rsid w:val="009741ED"/>
    <w:rsid w:val="0097477E"/>
    <w:rsid w:val="00974899"/>
    <w:rsid w:val="009750B6"/>
    <w:rsid w:val="0097654B"/>
    <w:rsid w:val="00977063"/>
    <w:rsid w:val="00980C9F"/>
    <w:rsid w:val="009817AA"/>
    <w:rsid w:val="00983C06"/>
    <w:rsid w:val="00983F04"/>
    <w:rsid w:val="009849B9"/>
    <w:rsid w:val="00986A42"/>
    <w:rsid w:val="00986C8E"/>
    <w:rsid w:val="009903AE"/>
    <w:rsid w:val="00990D6B"/>
    <w:rsid w:val="009911CF"/>
    <w:rsid w:val="009920AE"/>
    <w:rsid w:val="0099297A"/>
    <w:rsid w:val="0099320F"/>
    <w:rsid w:val="0099365D"/>
    <w:rsid w:val="00994C2C"/>
    <w:rsid w:val="00995BC5"/>
    <w:rsid w:val="00996318"/>
    <w:rsid w:val="00997625"/>
    <w:rsid w:val="009A1156"/>
    <w:rsid w:val="009A13D3"/>
    <w:rsid w:val="009A14C5"/>
    <w:rsid w:val="009A3260"/>
    <w:rsid w:val="009A32DB"/>
    <w:rsid w:val="009A4D76"/>
    <w:rsid w:val="009A5129"/>
    <w:rsid w:val="009A6AA9"/>
    <w:rsid w:val="009A6F78"/>
    <w:rsid w:val="009A7CA8"/>
    <w:rsid w:val="009B164E"/>
    <w:rsid w:val="009B16AD"/>
    <w:rsid w:val="009B2FB9"/>
    <w:rsid w:val="009B3465"/>
    <w:rsid w:val="009B34B7"/>
    <w:rsid w:val="009B4331"/>
    <w:rsid w:val="009B45EE"/>
    <w:rsid w:val="009B6203"/>
    <w:rsid w:val="009B6B9F"/>
    <w:rsid w:val="009B6D9E"/>
    <w:rsid w:val="009B70CB"/>
    <w:rsid w:val="009B7F6A"/>
    <w:rsid w:val="009C03C0"/>
    <w:rsid w:val="009C1ECB"/>
    <w:rsid w:val="009C26D4"/>
    <w:rsid w:val="009C303D"/>
    <w:rsid w:val="009C3553"/>
    <w:rsid w:val="009C3770"/>
    <w:rsid w:val="009C39F6"/>
    <w:rsid w:val="009C3FCB"/>
    <w:rsid w:val="009C441F"/>
    <w:rsid w:val="009C5992"/>
    <w:rsid w:val="009C663E"/>
    <w:rsid w:val="009C724E"/>
    <w:rsid w:val="009C75D2"/>
    <w:rsid w:val="009C7718"/>
    <w:rsid w:val="009C7804"/>
    <w:rsid w:val="009C7C0B"/>
    <w:rsid w:val="009C7DEE"/>
    <w:rsid w:val="009D17F4"/>
    <w:rsid w:val="009D4737"/>
    <w:rsid w:val="009D4783"/>
    <w:rsid w:val="009D5945"/>
    <w:rsid w:val="009E0227"/>
    <w:rsid w:val="009E0E86"/>
    <w:rsid w:val="009E10A0"/>
    <w:rsid w:val="009E1690"/>
    <w:rsid w:val="009E23B1"/>
    <w:rsid w:val="009E2726"/>
    <w:rsid w:val="009E27A9"/>
    <w:rsid w:val="009E2F27"/>
    <w:rsid w:val="009E3805"/>
    <w:rsid w:val="009E3B88"/>
    <w:rsid w:val="009E3D4B"/>
    <w:rsid w:val="009E5A5E"/>
    <w:rsid w:val="009E6A57"/>
    <w:rsid w:val="009E6AAA"/>
    <w:rsid w:val="009E6B74"/>
    <w:rsid w:val="009E7D10"/>
    <w:rsid w:val="009F05BB"/>
    <w:rsid w:val="009F063E"/>
    <w:rsid w:val="009F0CF7"/>
    <w:rsid w:val="009F1779"/>
    <w:rsid w:val="009F2446"/>
    <w:rsid w:val="009F2821"/>
    <w:rsid w:val="009F29D6"/>
    <w:rsid w:val="009F2C08"/>
    <w:rsid w:val="009F3E5C"/>
    <w:rsid w:val="009F44F2"/>
    <w:rsid w:val="009F4500"/>
    <w:rsid w:val="009F4BB9"/>
    <w:rsid w:val="009F5155"/>
    <w:rsid w:val="009F5A76"/>
    <w:rsid w:val="009F5B11"/>
    <w:rsid w:val="009F6FE3"/>
    <w:rsid w:val="009F740A"/>
    <w:rsid w:val="009F7563"/>
    <w:rsid w:val="00A00509"/>
    <w:rsid w:val="00A013D8"/>
    <w:rsid w:val="00A0205E"/>
    <w:rsid w:val="00A03A25"/>
    <w:rsid w:val="00A03CF0"/>
    <w:rsid w:val="00A03FB4"/>
    <w:rsid w:val="00A04512"/>
    <w:rsid w:val="00A04714"/>
    <w:rsid w:val="00A04B14"/>
    <w:rsid w:val="00A04B80"/>
    <w:rsid w:val="00A05CDA"/>
    <w:rsid w:val="00A0667D"/>
    <w:rsid w:val="00A06DAF"/>
    <w:rsid w:val="00A06DE0"/>
    <w:rsid w:val="00A07028"/>
    <w:rsid w:val="00A072C2"/>
    <w:rsid w:val="00A07F0B"/>
    <w:rsid w:val="00A10275"/>
    <w:rsid w:val="00A10776"/>
    <w:rsid w:val="00A10D6F"/>
    <w:rsid w:val="00A10E9A"/>
    <w:rsid w:val="00A1284A"/>
    <w:rsid w:val="00A12958"/>
    <w:rsid w:val="00A14424"/>
    <w:rsid w:val="00A16C89"/>
    <w:rsid w:val="00A17CAC"/>
    <w:rsid w:val="00A20235"/>
    <w:rsid w:val="00A21439"/>
    <w:rsid w:val="00A22F60"/>
    <w:rsid w:val="00A23928"/>
    <w:rsid w:val="00A2435A"/>
    <w:rsid w:val="00A25A6C"/>
    <w:rsid w:val="00A27660"/>
    <w:rsid w:val="00A27F75"/>
    <w:rsid w:val="00A30737"/>
    <w:rsid w:val="00A323A9"/>
    <w:rsid w:val="00A32DA5"/>
    <w:rsid w:val="00A33F29"/>
    <w:rsid w:val="00A34E0D"/>
    <w:rsid w:val="00A35926"/>
    <w:rsid w:val="00A362F2"/>
    <w:rsid w:val="00A370EA"/>
    <w:rsid w:val="00A40887"/>
    <w:rsid w:val="00A40CDD"/>
    <w:rsid w:val="00A41E08"/>
    <w:rsid w:val="00A41EB5"/>
    <w:rsid w:val="00A42101"/>
    <w:rsid w:val="00A428F8"/>
    <w:rsid w:val="00A43207"/>
    <w:rsid w:val="00A432D9"/>
    <w:rsid w:val="00A43B16"/>
    <w:rsid w:val="00A43BCC"/>
    <w:rsid w:val="00A4536E"/>
    <w:rsid w:val="00A461AF"/>
    <w:rsid w:val="00A4642A"/>
    <w:rsid w:val="00A46A14"/>
    <w:rsid w:val="00A474E9"/>
    <w:rsid w:val="00A50018"/>
    <w:rsid w:val="00A50429"/>
    <w:rsid w:val="00A50851"/>
    <w:rsid w:val="00A50AE4"/>
    <w:rsid w:val="00A51128"/>
    <w:rsid w:val="00A5120C"/>
    <w:rsid w:val="00A51E5D"/>
    <w:rsid w:val="00A521AA"/>
    <w:rsid w:val="00A52FBE"/>
    <w:rsid w:val="00A53FBB"/>
    <w:rsid w:val="00A54A4C"/>
    <w:rsid w:val="00A55707"/>
    <w:rsid w:val="00A55EC8"/>
    <w:rsid w:val="00A562A0"/>
    <w:rsid w:val="00A575EC"/>
    <w:rsid w:val="00A60AE5"/>
    <w:rsid w:val="00A61E37"/>
    <w:rsid w:val="00A62E5E"/>
    <w:rsid w:val="00A6374A"/>
    <w:rsid w:val="00A63C8C"/>
    <w:rsid w:val="00A65594"/>
    <w:rsid w:val="00A655C1"/>
    <w:rsid w:val="00A67E22"/>
    <w:rsid w:val="00A70BF8"/>
    <w:rsid w:val="00A70D82"/>
    <w:rsid w:val="00A711A4"/>
    <w:rsid w:val="00A71273"/>
    <w:rsid w:val="00A716DC"/>
    <w:rsid w:val="00A71CAC"/>
    <w:rsid w:val="00A730A9"/>
    <w:rsid w:val="00A73B64"/>
    <w:rsid w:val="00A74278"/>
    <w:rsid w:val="00A74E0C"/>
    <w:rsid w:val="00A756BD"/>
    <w:rsid w:val="00A76E26"/>
    <w:rsid w:val="00A77048"/>
    <w:rsid w:val="00A805E9"/>
    <w:rsid w:val="00A80E14"/>
    <w:rsid w:val="00A81AD3"/>
    <w:rsid w:val="00A827E6"/>
    <w:rsid w:val="00A83280"/>
    <w:rsid w:val="00A83AEB"/>
    <w:rsid w:val="00A8458B"/>
    <w:rsid w:val="00A90A5A"/>
    <w:rsid w:val="00A91F4C"/>
    <w:rsid w:val="00A925C6"/>
    <w:rsid w:val="00A933ED"/>
    <w:rsid w:val="00A9369D"/>
    <w:rsid w:val="00A94367"/>
    <w:rsid w:val="00A95813"/>
    <w:rsid w:val="00A96B38"/>
    <w:rsid w:val="00A96F45"/>
    <w:rsid w:val="00A97097"/>
    <w:rsid w:val="00A9723D"/>
    <w:rsid w:val="00A972B8"/>
    <w:rsid w:val="00A97A3D"/>
    <w:rsid w:val="00A97A49"/>
    <w:rsid w:val="00AA0887"/>
    <w:rsid w:val="00AA0C23"/>
    <w:rsid w:val="00AA1B16"/>
    <w:rsid w:val="00AA256E"/>
    <w:rsid w:val="00AA25A2"/>
    <w:rsid w:val="00AA2F9F"/>
    <w:rsid w:val="00AA38A0"/>
    <w:rsid w:val="00AA5994"/>
    <w:rsid w:val="00AA5EE3"/>
    <w:rsid w:val="00AA5F3C"/>
    <w:rsid w:val="00AA5FF9"/>
    <w:rsid w:val="00AA6109"/>
    <w:rsid w:val="00AA6C04"/>
    <w:rsid w:val="00AA6FB0"/>
    <w:rsid w:val="00AB0218"/>
    <w:rsid w:val="00AB03CF"/>
    <w:rsid w:val="00AB06AC"/>
    <w:rsid w:val="00AB0951"/>
    <w:rsid w:val="00AB1DC9"/>
    <w:rsid w:val="00AB3326"/>
    <w:rsid w:val="00AB4782"/>
    <w:rsid w:val="00AB6A29"/>
    <w:rsid w:val="00AB71E2"/>
    <w:rsid w:val="00AC0A97"/>
    <w:rsid w:val="00AC0B0F"/>
    <w:rsid w:val="00AC1AAF"/>
    <w:rsid w:val="00AC1E7A"/>
    <w:rsid w:val="00AC2446"/>
    <w:rsid w:val="00AC2475"/>
    <w:rsid w:val="00AC3401"/>
    <w:rsid w:val="00AC3A17"/>
    <w:rsid w:val="00AC3C22"/>
    <w:rsid w:val="00AC3D47"/>
    <w:rsid w:val="00AC5DFC"/>
    <w:rsid w:val="00AC5ED4"/>
    <w:rsid w:val="00AC5F86"/>
    <w:rsid w:val="00AC6ED9"/>
    <w:rsid w:val="00AC74BC"/>
    <w:rsid w:val="00AC7835"/>
    <w:rsid w:val="00AD056C"/>
    <w:rsid w:val="00AD1968"/>
    <w:rsid w:val="00AD30D0"/>
    <w:rsid w:val="00AD3C9B"/>
    <w:rsid w:val="00AD3FDF"/>
    <w:rsid w:val="00AD4529"/>
    <w:rsid w:val="00AD5489"/>
    <w:rsid w:val="00AD6CFA"/>
    <w:rsid w:val="00AD6EEE"/>
    <w:rsid w:val="00AD764F"/>
    <w:rsid w:val="00AE1F94"/>
    <w:rsid w:val="00AE3411"/>
    <w:rsid w:val="00AE34F5"/>
    <w:rsid w:val="00AE6EE8"/>
    <w:rsid w:val="00AE79A7"/>
    <w:rsid w:val="00AE7AED"/>
    <w:rsid w:val="00AE7D95"/>
    <w:rsid w:val="00AF075A"/>
    <w:rsid w:val="00AF1A49"/>
    <w:rsid w:val="00AF2F71"/>
    <w:rsid w:val="00AF5A83"/>
    <w:rsid w:val="00AF70B9"/>
    <w:rsid w:val="00AF7314"/>
    <w:rsid w:val="00B00118"/>
    <w:rsid w:val="00B011E6"/>
    <w:rsid w:val="00B01DD6"/>
    <w:rsid w:val="00B03773"/>
    <w:rsid w:val="00B03C75"/>
    <w:rsid w:val="00B048B6"/>
    <w:rsid w:val="00B05006"/>
    <w:rsid w:val="00B06007"/>
    <w:rsid w:val="00B06119"/>
    <w:rsid w:val="00B07B2A"/>
    <w:rsid w:val="00B10146"/>
    <w:rsid w:val="00B1044A"/>
    <w:rsid w:val="00B10750"/>
    <w:rsid w:val="00B118A0"/>
    <w:rsid w:val="00B128E2"/>
    <w:rsid w:val="00B1292D"/>
    <w:rsid w:val="00B12A10"/>
    <w:rsid w:val="00B14190"/>
    <w:rsid w:val="00B14D33"/>
    <w:rsid w:val="00B15917"/>
    <w:rsid w:val="00B15F06"/>
    <w:rsid w:val="00B163C9"/>
    <w:rsid w:val="00B16A79"/>
    <w:rsid w:val="00B175AB"/>
    <w:rsid w:val="00B212CE"/>
    <w:rsid w:val="00B2295A"/>
    <w:rsid w:val="00B22BF4"/>
    <w:rsid w:val="00B24513"/>
    <w:rsid w:val="00B26D69"/>
    <w:rsid w:val="00B27086"/>
    <w:rsid w:val="00B311EF"/>
    <w:rsid w:val="00B317B1"/>
    <w:rsid w:val="00B32943"/>
    <w:rsid w:val="00B32E92"/>
    <w:rsid w:val="00B354D0"/>
    <w:rsid w:val="00B35B1F"/>
    <w:rsid w:val="00B36286"/>
    <w:rsid w:val="00B36F92"/>
    <w:rsid w:val="00B37A88"/>
    <w:rsid w:val="00B4000D"/>
    <w:rsid w:val="00B408BE"/>
    <w:rsid w:val="00B40BC3"/>
    <w:rsid w:val="00B419FE"/>
    <w:rsid w:val="00B42997"/>
    <w:rsid w:val="00B42EAC"/>
    <w:rsid w:val="00B42FCB"/>
    <w:rsid w:val="00B433F4"/>
    <w:rsid w:val="00B438E6"/>
    <w:rsid w:val="00B44A71"/>
    <w:rsid w:val="00B45F66"/>
    <w:rsid w:val="00B47F34"/>
    <w:rsid w:val="00B47FF0"/>
    <w:rsid w:val="00B506AC"/>
    <w:rsid w:val="00B50C62"/>
    <w:rsid w:val="00B5230F"/>
    <w:rsid w:val="00B527FE"/>
    <w:rsid w:val="00B53070"/>
    <w:rsid w:val="00B53115"/>
    <w:rsid w:val="00B54252"/>
    <w:rsid w:val="00B544B0"/>
    <w:rsid w:val="00B54C98"/>
    <w:rsid w:val="00B555D8"/>
    <w:rsid w:val="00B55930"/>
    <w:rsid w:val="00B57683"/>
    <w:rsid w:val="00B57E84"/>
    <w:rsid w:val="00B61526"/>
    <w:rsid w:val="00B62453"/>
    <w:rsid w:val="00B62D6A"/>
    <w:rsid w:val="00B62E1D"/>
    <w:rsid w:val="00B63E27"/>
    <w:rsid w:val="00B655EE"/>
    <w:rsid w:val="00B65B7D"/>
    <w:rsid w:val="00B65B9E"/>
    <w:rsid w:val="00B66278"/>
    <w:rsid w:val="00B6674D"/>
    <w:rsid w:val="00B667DA"/>
    <w:rsid w:val="00B66983"/>
    <w:rsid w:val="00B672A8"/>
    <w:rsid w:val="00B6781A"/>
    <w:rsid w:val="00B717D6"/>
    <w:rsid w:val="00B718C6"/>
    <w:rsid w:val="00B72B35"/>
    <w:rsid w:val="00B73375"/>
    <w:rsid w:val="00B739E2"/>
    <w:rsid w:val="00B73F34"/>
    <w:rsid w:val="00B73F7E"/>
    <w:rsid w:val="00B744B0"/>
    <w:rsid w:val="00B74A54"/>
    <w:rsid w:val="00B75084"/>
    <w:rsid w:val="00B752BE"/>
    <w:rsid w:val="00B7610F"/>
    <w:rsid w:val="00B77DF3"/>
    <w:rsid w:val="00B8165E"/>
    <w:rsid w:val="00B81BE2"/>
    <w:rsid w:val="00B84DEC"/>
    <w:rsid w:val="00B8580C"/>
    <w:rsid w:val="00B85B9E"/>
    <w:rsid w:val="00B87B5F"/>
    <w:rsid w:val="00B9043E"/>
    <w:rsid w:val="00B907D3"/>
    <w:rsid w:val="00B911FE"/>
    <w:rsid w:val="00B91B4F"/>
    <w:rsid w:val="00B923E3"/>
    <w:rsid w:val="00B92DDF"/>
    <w:rsid w:val="00B93331"/>
    <w:rsid w:val="00B93481"/>
    <w:rsid w:val="00B93A5F"/>
    <w:rsid w:val="00B93B7D"/>
    <w:rsid w:val="00B93BF9"/>
    <w:rsid w:val="00B93FD3"/>
    <w:rsid w:val="00BA0AFE"/>
    <w:rsid w:val="00BA2BBD"/>
    <w:rsid w:val="00BA2ED0"/>
    <w:rsid w:val="00BA4137"/>
    <w:rsid w:val="00BA41A8"/>
    <w:rsid w:val="00BA4638"/>
    <w:rsid w:val="00BA5574"/>
    <w:rsid w:val="00BA5E53"/>
    <w:rsid w:val="00BA6696"/>
    <w:rsid w:val="00BA69D1"/>
    <w:rsid w:val="00BB0425"/>
    <w:rsid w:val="00BB057B"/>
    <w:rsid w:val="00BB1D11"/>
    <w:rsid w:val="00BB2055"/>
    <w:rsid w:val="00BB2073"/>
    <w:rsid w:val="00BB3A74"/>
    <w:rsid w:val="00BB6D82"/>
    <w:rsid w:val="00BB7602"/>
    <w:rsid w:val="00BC09EA"/>
    <w:rsid w:val="00BC0B14"/>
    <w:rsid w:val="00BC1451"/>
    <w:rsid w:val="00BC1EE6"/>
    <w:rsid w:val="00BC2029"/>
    <w:rsid w:val="00BC2073"/>
    <w:rsid w:val="00BC225B"/>
    <w:rsid w:val="00BC227E"/>
    <w:rsid w:val="00BC36D3"/>
    <w:rsid w:val="00BC5E5A"/>
    <w:rsid w:val="00BC6181"/>
    <w:rsid w:val="00BC663F"/>
    <w:rsid w:val="00BC7180"/>
    <w:rsid w:val="00BC784F"/>
    <w:rsid w:val="00BD0318"/>
    <w:rsid w:val="00BD0538"/>
    <w:rsid w:val="00BD0A85"/>
    <w:rsid w:val="00BD0ABA"/>
    <w:rsid w:val="00BD156C"/>
    <w:rsid w:val="00BD3FEF"/>
    <w:rsid w:val="00BD4543"/>
    <w:rsid w:val="00BD4A1B"/>
    <w:rsid w:val="00BD5451"/>
    <w:rsid w:val="00BD5C70"/>
    <w:rsid w:val="00BD6E44"/>
    <w:rsid w:val="00BD6FBF"/>
    <w:rsid w:val="00BD77E8"/>
    <w:rsid w:val="00BD7B23"/>
    <w:rsid w:val="00BD7B4F"/>
    <w:rsid w:val="00BD7F93"/>
    <w:rsid w:val="00BE0371"/>
    <w:rsid w:val="00BE0E89"/>
    <w:rsid w:val="00BE1C22"/>
    <w:rsid w:val="00BE2C04"/>
    <w:rsid w:val="00BE33A4"/>
    <w:rsid w:val="00BE3A6B"/>
    <w:rsid w:val="00BE3E1D"/>
    <w:rsid w:val="00BE43E4"/>
    <w:rsid w:val="00BE53B8"/>
    <w:rsid w:val="00BE74FB"/>
    <w:rsid w:val="00BF0212"/>
    <w:rsid w:val="00BF0F2C"/>
    <w:rsid w:val="00BF2CC8"/>
    <w:rsid w:val="00BF36A7"/>
    <w:rsid w:val="00BF3875"/>
    <w:rsid w:val="00BF4F2B"/>
    <w:rsid w:val="00BF57C6"/>
    <w:rsid w:val="00BF6F1E"/>
    <w:rsid w:val="00C004C3"/>
    <w:rsid w:val="00C00E26"/>
    <w:rsid w:val="00C00ED7"/>
    <w:rsid w:val="00C01D47"/>
    <w:rsid w:val="00C0271F"/>
    <w:rsid w:val="00C035C3"/>
    <w:rsid w:val="00C042D9"/>
    <w:rsid w:val="00C04766"/>
    <w:rsid w:val="00C04968"/>
    <w:rsid w:val="00C05735"/>
    <w:rsid w:val="00C0598A"/>
    <w:rsid w:val="00C06171"/>
    <w:rsid w:val="00C068FD"/>
    <w:rsid w:val="00C06A48"/>
    <w:rsid w:val="00C07419"/>
    <w:rsid w:val="00C1235E"/>
    <w:rsid w:val="00C1310B"/>
    <w:rsid w:val="00C13B23"/>
    <w:rsid w:val="00C13EAE"/>
    <w:rsid w:val="00C14D09"/>
    <w:rsid w:val="00C1506E"/>
    <w:rsid w:val="00C15FC3"/>
    <w:rsid w:val="00C16001"/>
    <w:rsid w:val="00C16D4D"/>
    <w:rsid w:val="00C16F17"/>
    <w:rsid w:val="00C16F98"/>
    <w:rsid w:val="00C1796C"/>
    <w:rsid w:val="00C20390"/>
    <w:rsid w:val="00C203C5"/>
    <w:rsid w:val="00C20751"/>
    <w:rsid w:val="00C22E9B"/>
    <w:rsid w:val="00C230FD"/>
    <w:rsid w:val="00C2314C"/>
    <w:rsid w:val="00C23458"/>
    <w:rsid w:val="00C238CD"/>
    <w:rsid w:val="00C262F7"/>
    <w:rsid w:val="00C26B0C"/>
    <w:rsid w:val="00C3068F"/>
    <w:rsid w:val="00C310B5"/>
    <w:rsid w:val="00C31124"/>
    <w:rsid w:val="00C3200F"/>
    <w:rsid w:val="00C331DC"/>
    <w:rsid w:val="00C35901"/>
    <w:rsid w:val="00C35F65"/>
    <w:rsid w:val="00C369A6"/>
    <w:rsid w:val="00C37D1E"/>
    <w:rsid w:val="00C403EA"/>
    <w:rsid w:val="00C407A7"/>
    <w:rsid w:val="00C40C98"/>
    <w:rsid w:val="00C41D5F"/>
    <w:rsid w:val="00C4557F"/>
    <w:rsid w:val="00C467A8"/>
    <w:rsid w:val="00C46D27"/>
    <w:rsid w:val="00C46E38"/>
    <w:rsid w:val="00C4752E"/>
    <w:rsid w:val="00C50D6A"/>
    <w:rsid w:val="00C51083"/>
    <w:rsid w:val="00C51FE0"/>
    <w:rsid w:val="00C529C5"/>
    <w:rsid w:val="00C530BF"/>
    <w:rsid w:val="00C558F9"/>
    <w:rsid w:val="00C55B57"/>
    <w:rsid w:val="00C57DA9"/>
    <w:rsid w:val="00C57E5A"/>
    <w:rsid w:val="00C605C3"/>
    <w:rsid w:val="00C60819"/>
    <w:rsid w:val="00C62036"/>
    <w:rsid w:val="00C62779"/>
    <w:rsid w:val="00C62FBA"/>
    <w:rsid w:val="00C6480B"/>
    <w:rsid w:val="00C64D50"/>
    <w:rsid w:val="00C6691F"/>
    <w:rsid w:val="00C66ED7"/>
    <w:rsid w:val="00C67A89"/>
    <w:rsid w:val="00C727BE"/>
    <w:rsid w:val="00C727C9"/>
    <w:rsid w:val="00C73544"/>
    <w:rsid w:val="00C74861"/>
    <w:rsid w:val="00C75061"/>
    <w:rsid w:val="00C75656"/>
    <w:rsid w:val="00C75798"/>
    <w:rsid w:val="00C75C35"/>
    <w:rsid w:val="00C77596"/>
    <w:rsid w:val="00C77EE1"/>
    <w:rsid w:val="00C80C87"/>
    <w:rsid w:val="00C8210B"/>
    <w:rsid w:val="00C82DEF"/>
    <w:rsid w:val="00C831D8"/>
    <w:rsid w:val="00C83366"/>
    <w:rsid w:val="00C83392"/>
    <w:rsid w:val="00C8398C"/>
    <w:rsid w:val="00C84F98"/>
    <w:rsid w:val="00C850C2"/>
    <w:rsid w:val="00C866FE"/>
    <w:rsid w:val="00C90E3A"/>
    <w:rsid w:val="00C91646"/>
    <w:rsid w:val="00C91B5B"/>
    <w:rsid w:val="00C95C91"/>
    <w:rsid w:val="00C962CD"/>
    <w:rsid w:val="00C96CBB"/>
    <w:rsid w:val="00C97F4D"/>
    <w:rsid w:val="00CA08A6"/>
    <w:rsid w:val="00CA0C0F"/>
    <w:rsid w:val="00CA1883"/>
    <w:rsid w:val="00CA2351"/>
    <w:rsid w:val="00CA2E70"/>
    <w:rsid w:val="00CA3551"/>
    <w:rsid w:val="00CA5971"/>
    <w:rsid w:val="00CA643A"/>
    <w:rsid w:val="00CA7BAF"/>
    <w:rsid w:val="00CB00E8"/>
    <w:rsid w:val="00CB04C8"/>
    <w:rsid w:val="00CB06A1"/>
    <w:rsid w:val="00CB08E8"/>
    <w:rsid w:val="00CB16C2"/>
    <w:rsid w:val="00CB18F7"/>
    <w:rsid w:val="00CB2153"/>
    <w:rsid w:val="00CB3593"/>
    <w:rsid w:val="00CB53EA"/>
    <w:rsid w:val="00CB5BC6"/>
    <w:rsid w:val="00CB63BA"/>
    <w:rsid w:val="00CB7041"/>
    <w:rsid w:val="00CB71C0"/>
    <w:rsid w:val="00CB750D"/>
    <w:rsid w:val="00CB79C7"/>
    <w:rsid w:val="00CB7A26"/>
    <w:rsid w:val="00CC0B85"/>
    <w:rsid w:val="00CC0D4C"/>
    <w:rsid w:val="00CC2C86"/>
    <w:rsid w:val="00CC539B"/>
    <w:rsid w:val="00CC56B6"/>
    <w:rsid w:val="00CC5CD7"/>
    <w:rsid w:val="00CC6320"/>
    <w:rsid w:val="00CC6698"/>
    <w:rsid w:val="00CD2C2E"/>
    <w:rsid w:val="00CD303B"/>
    <w:rsid w:val="00CD35D2"/>
    <w:rsid w:val="00CD3669"/>
    <w:rsid w:val="00CD4493"/>
    <w:rsid w:val="00CD6A97"/>
    <w:rsid w:val="00CD6BB1"/>
    <w:rsid w:val="00CD6C7D"/>
    <w:rsid w:val="00CE0E0D"/>
    <w:rsid w:val="00CE1C36"/>
    <w:rsid w:val="00CE1EA7"/>
    <w:rsid w:val="00CE3C13"/>
    <w:rsid w:val="00CE4C8F"/>
    <w:rsid w:val="00CE54EE"/>
    <w:rsid w:val="00CE5DEC"/>
    <w:rsid w:val="00CE6653"/>
    <w:rsid w:val="00CE6BE1"/>
    <w:rsid w:val="00CE73CB"/>
    <w:rsid w:val="00CE7DC8"/>
    <w:rsid w:val="00CF0D1F"/>
    <w:rsid w:val="00CF10E5"/>
    <w:rsid w:val="00CF2F2F"/>
    <w:rsid w:val="00CF4305"/>
    <w:rsid w:val="00CF44D6"/>
    <w:rsid w:val="00CF460C"/>
    <w:rsid w:val="00CF4C11"/>
    <w:rsid w:val="00CF5150"/>
    <w:rsid w:val="00CF5E6C"/>
    <w:rsid w:val="00CF653B"/>
    <w:rsid w:val="00CF678A"/>
    <w:rsid w:val="00CF71F8"/>
    <w:rsid w:val="00CF730C"/>
    <w:rsid w:val="00CF7520"/>
    <w:rsid w:val="00CF75C8"/>
    <w:rsid w:val="00CF7616"/>
    <w:rsid w:val="00CF7E4F"/>
    <w:rsid w:val="00D001B9"/>
    <w:rsid w:val="00D033F8"/>
    <w:rsid w:val="00D04225"/>
    <w:rsid w:val="00D043F4"/>
    <w:rsid w:val="00D04E67"/>
    <w:rsid w:val="00D0571A"/>
    <w:rsid w:val="00D057E3"/>
    <w:rsid w:val="00D06C62"/>
    <w:rsid w:val="00D0726C"/>
    <w:rsid w:val="00D072F7"/>
    <w:rsid w:val="00D1051A"/>
    <w:rsid w:val="00D10AED"/>
    <w:rsid w:val="00D11A24"/>
    <w:rsid w:val="00D1358F"/>
    <w:rsid w:val="00D13B61"/>
    <w:rsid w:val="00D13C7D"/>
    <w:rsid w:val="00D13E71"/>
    <w:rsid w:val="00D140C2"/>
    <w:rsid w:val="00D16C4C"/>
    <w:rsid w:val="00D173C9"/>
    <w:rsid w:val="00D17472"/>
    <w:rsid w:val="00D20921"/>
    <w:rsid w:val="00D20BD7"/>
    <w:rsid w:val="00D23387"/>
    <w:rsid w:val="00D2347F"/>
    <w:rsid w:val="00D249C7"/>
    <w:rsid w:val="00D24BAA"/>
    <w:rsid w:val="00D24BDC"/>
    <w:rsid w:val="00D26298"/>
    <w:rsid w:val="00D265DF"/>
    <w:rsid w:val="00D2704E"/>
    <w:rsid w:val="00D30E3F"/>
    <w:rsid w:val="00D3166F"/>
    <w:rsid w:val="00D32CFC"/>
    <w:rsid w:val="00D3377E"/>
    <w:rsid w:val="00D34AC0"/>
    <w:rsid w:val="00D35ACA"/>
    <w:rsid w:val="00D35BC9"/>
    <w:rsid w:val="00D40238"/>
    <w:rsid w:val="00D409A5"/>
    <w:rsid w:val="00D40AB4"/>
    <w:rsid w:val="00D410EF"/>
    <w:rsid w:val="00D42458"/>
    <w:rsid w:val="00D43D52"/>
    <w:rsid w:val="00D50504"/>
    <w:rsid w:val="00D516CA"/>
    <w:rsid w:val="00D517C3"/>
    <w:rsid w:val="00D51E93"/>
    <w:rsid w:val="00D52893"/>
    <w:rsid w:val="00D52FF0"/>
    <w:rsid w:val="00D54572"/>
    <w:rsid w:val="00D54590"/>
    <w:rsid w:val="00D54A17"/>
    <w:rsid w:val="00D55988"/>
    <w:rsid w:val="00D559B7"/>
    <w:rsid w:val="00D55CAF"/>
    <w:rsid w:val="00D6006D"/>
    <w:rsid w:val="00D60311"/>
    <w:rsid w:val="00D6216D"/>
    <w:rsid w:val="00D62E7B"/>
    <w:rsid w:val="00D63270"/>
    <w:rsid w:val="00D638B6"/>
    <w:rsid w:val="00D63DD6"/>
    <w:rsid w:val="00D65352"/>
    <w:rsid w:val="00D664B1"/>
    <w:rsid w:val="00D6660F"/>
    <w:rsid w:val="00D66985"/>
    <w:rsid w:val="00D70B36"/>
    <w:rsid w:val="00D71C4A"/>
    <w:rsid w:val="00D735C6"/>
    <w:rsid w:val="00D73765"/>
    <w:rsid w:val="00D73E67"/>
    <w:rsid w:val="00D74469"/>
    <w:rsid w:val="00D74D23"/>
    <w:rsid w:val="00D7598D"/>
    <w:rsid w:val="00D76488"/>
    <w:rsid w:val="00D7667A"/>
    <w:rsid w:val="00D769A1"/>
    <w:rsid w:val="00D77372"/>
    <w:rsid w:val="00D802B5"/>
    <w:rsid w:val="00D80DC2"/>
    <w:rsid w:val="00D817A7"/>
    <w:rsid w:val="00D83C2C"/>
    <w:rsid w:val="00D846E3"/>
    <w:rsid w:val="00D863DC"/>
    <w:rsid w:val="00D87147"/>
    <w:rsid w:val="00D87C0D"/>
    <w:rsid w:val="00D90704"/>
    <w:rsid w:val="00D908A3"/>
    <w:rsid w:val="00D92D40"/>
    <w:rsid w:val="00D92E22"/>
    <w:rsid w:val="00D93073"/>
    <w:rsid w:val="00D93C71"/>
    <w:rsid w:val="00D93CE1"/>
    <w:rsid w:val="00D94865"/>
    <w:rsid w:val="00D968CD"/>
    <w:rsid w:val="00D970FC"/>
    <w:rsid w:val="00D9734A"/>
    <w:rsid w:val="00D97A35"/>
    <w:rsid w:val="00DA0EE6"/>
    <w:rsid w:val="00DA0EF5"/>
    <w:rsid w:val="00DA0F56"/>
    <w:rsid w:val="00DA21CF"/>
    <w:rsid w:val="00DA2302"/>
    <w:rsid w:val="00DA234F"/>
    <w:rsid w:val="00DA253C"/>
    <w:rsid w:val="00DA313B"/>
    <w:rsid w:val="00DA3809"/>
    <w:rsid w:val="00DA4478"/>
    <w:rsid w:val="00DA48EF"/>
    <w:rsid w:val="00DA647E"/>
    <w:rsid w:val="00DA6674"/>
    <w:rsid w:val="00DA683C"/>
    <w:rsid w:val="00DA7355"/>
    <w:rsid w:val="00DB0455"/>
    <w:rsid w:val="00DB1040"/>
    <w:rsid w:val="00DB1FEE"/>
    <w:rsid w:val="00DB228A"/>
    <w:rsid w:val="00DB2BB0"/>
    <w:rsid w:val="00DB57E4"/>
    <w:rsid w:val="00DB5E49"/>
    <w:rsid w:val="00DB6A2C"/>
    <w:rsid w:val="00DC172E"/>
    <w:rsid w:val="00DC1DDF"/>
    <w:rsid w:val="00DC21BA"/>
    <w:rsid w:val="00DC3190"/>
    <w:rsid w:val="00DC3998"/>
    <w:rsid w:val="00DC4476"/>
    <w:rsid w:val="00DC4495"/>
    <w:rsid w:val="00DC44AA"/>
    <w:rsid w:val="00DC45C0"/>
    <w:rsid w:val="00DC4A61"/>
    <w:rsid w:val="00DC4BD7"/>
    <w:rsid w:val="00DC65F3"/>
    <w:rsid w:val="00DC72B0"/>
    <w:rsid w:val="00DD3876"/>
    <w:rsid w:val="00DD4D17"/>
    <w:rsid w:val="00DD6627"/>
    <w:rsid w:val="00DD6AD5"/>
    <w:rsid w:val="00DD6DBF"/>
    <w:rsid w:val="00DD76E7"/>
    <w:rsid w:val="00DD7F32"/>
    <w:rsid w:val="00DE12A4"/>
    <w:rsid w:val="00DE1F63"/>
    <w:rsid w:val="00DE476B"/>
    <w:rsid w:val="00DE570D"/>
    <w:rsid w:val="00DE65D5"/>
    <w:rsid w:val="00DE6B5A"/>
    <w:rsid w:val="00DE704D"/>
    <w:rsid w:val="00DF0530"/>
    <w:rsid w:val="00DF0B8E"/>
    <w:rsid w:val="00DF2387"/>
    <w:rsid w:val="00DF254B"/>
    <w:rsid w:val="00DF270F"/>
    <w:rsid w:val="00DF3A9B"/>
    <w:rsid w:val="00DF3B13"/>
    <w:rsid w:val="00DF4A20"/>
    <w:rsid w:val="00DF5A87"/>
    <w:rsid w:val="00E002A7"/>
    <w:rsid w:val="00E0118C"/>
    <w:rsid w:val="00E0306E"/>
    <w:rsid w:val="00E03EEC"/>
    <w:rsid w:val="00E07EE9"/>
    <w:rsid w:val="00E10146"/>
    <w:rsid w:val="00E1075D"/>
    <w:rsid w:val="00E112CD"/>
    <w:rsid w:val="00E114A6"/>
    <w:rsid w:val="00E11A27"/>
    <w:rsid w:val="00E12237"/>
    <w:rsid w:val="00E13190"/>
    <w:rsid w:val="00E13A46"/>
    <w:rsid w:val="00E13B98"/>
    <w:rsid w:val="00E142CD"/>
    <w:rsid w:val="00E16B0B"/>
    <w:rsid w:val="00E1731C"/>
    <w:rsid w:val="00E20FF7"/>
    <w:rsid w:val="00E21E04"/>
    <w:rsid w:val="00E226BE"/>
    <w:rsid w:val="00E23A0D"/>
    <w:rsid w:val="00E24266"/>
    <w:rsid w:val="00E24270"/>
    <w:rsid w:val="00E24CCE"/>
    <w:rsid w:val="00E25E1C"/>
    <w:rsid w:val="00E2638A"/>
    <w:rsid w:val="00E26B65"/>
    <w:rsid w:val="00E26C4A"/>
    <w:rsid w:val="00E27C91"/>
    <w:rsid w:val="00E27D2A"/>
    <w:rsid w:val="00E30533"/>
    <w:rsid w:val="00E30F73"/>
    <w:rsid w:val="00E32216"/>
    <w:rsid w:val="00E324AF"/>
    <w:rsid w:val="00E3251A"/>
    <w:rsid w:val="00E33B63"/>
    <w:rsid w:val="00E33C04"/>
    <w:rsid w:val="00E33DD7"/>
    <w:rsid w:val="00E34740"/>
    <w:rsid w:val="00E34762"/>
    <w:rsid w:val="00E34FE1"/>
    <w:rsid w:val="00E35849"/>
    <w:rsid w:val="00E35FD6"/>
    <w:rsid w:val="00E3739D"/>
    <w:rsid w:val="00E37454"/>
    <w:rsid w:val="00E37827"/>
    <w:rsid w:val="00E41DDF"/>
    <w:rsid w:val="00E44119"/>
    <w:rsid w:val="00E45D8C"/>
    <w:rsid w:val="00E46A4B"/>
    <w:rsid w:val="00E46D4B"/>
    <w:rsid w:val="00E47881"/>
    <w:rsid w:val="00E50056"/>
    <w:rsid w:val="00E5203B"/>
    <w:rsid w:val="00E53349"/>
    <w:rsid w:val="00E5382B"/>
    <w:rsid w:val="00E54543"/>
    <w:rsid w:val="00E54777"/>
    <w:rsid w:val="00E55051"/>
    <w:rsid w:val="00E56B41"/>
    <w:rsid w:val="00E577EA"/>
    <w:rsid w:val="00E57C47"/>
    <w:rsid w:val="00E6020A"/>
    <w:rsid w:val="00E60AD5"/>
    <w:rsid w:val="00E60E81"/>
    <w:rsid w:val="00E61448"/>
    <w:rsid w:val="00E626F6"/>
    <w:rsid w:val="00E62A4F"/>
    <w:rsid w:val="00E6362C"/>
    <w:rsid w:val="00E64E66"/>
    <w:rsid w:val="00E65BD0"/>
    <w:rsid w:val="00E66487"/>
    <w:rsid w:val="00E66842"/>
    <w:rsid w:val="00E66D50"/>
    <w:rsid w:val="00E72C3C"/>
    <w:rsid w:val="00E72E5B"/>
    <w:rsid w:val="00E7308B"/>
    <w:rsid w:val="00E745C8"/>
    <w:rsid w:val="00E747F5"/>
    <w:rsid w:val="00E76D6C"/>
    <w:rsid w:val="00E77D0C"/>
    <w:rsid w:val="00E80453"/>
    <w:rsid w:val="00E814C5"/>
    <w:rsid w:val="00E843D7"/>
    <w:rsid w:val="00E84C3F"/>
    <w:rsid w:val="00E854BC"/>
    <w:rsid w:val="00E85681"/>
    <w:rsid w:val="00E85AB3"/>
    <w:rsid w:val="00E86181"/>
    <w:rsid w:val="00E861E8"/>
    <w:rsid w:val="00E86B5F"/>
    <w:rsid w:val="00E86D17"/>
    <w:rsid w:val="00E86FA6"/>
    <w:rsid w:val="00E870A7"/>
    <w:rsid w:val="00E879F6"/>
    <w:rsid w:val="00E87D6A"/>
    <w:rsid w:val="00E9067E"/>
    <w:rsid w:val="00E90B86"/>
    <w:rsid w:val="00E915FC"/>
    <w:rsid w:val="00E9274A"/>
    <w:rsid w:val="00E93778"/>
    <w:rsid w:val="00E94EC6"/>
    <w:rsid w:val="00E9536A"/>
    <w:rsid w:val="00E95553"/>
    <w:rsid w:val="00E971B5"/>
    <w:rsid w:val="00E97C05"/>
    <w:rsid w:val="00E97F9F"/>
    <w:rsid w:val="00EA0590"/>
    <w:rsid w:val="00EA0C73"/>
    <w:rsid w:val="00EA0F70"/>
    <w:rsid w:val="00EA1BDE"/>
    <w:rsid w:val="00EA2A9C"/>
    <w:rsid w:val="00EA2D73"/>
    <w:rsid w:val="00EA3889"/>
    <w:rsid w:val="00EA3C56"/>
    <w:rsid w:val="00EA4957"/>
    <w:rsid w:val="00EA58ED"/>
    <w:rsid w:val="00EA5999"/>
    <w:rsid w:val="00EA5CE0"/>
    <w:rsid w:val="00EA6EEE"/>
    <w:rsid w:val="00EA7092"/>
    <w:rsid w:val="00EA741A"/>
    <w:rsid w:val="00EA79A4"/>
    <w:rsid w:val="00EB024E"/>
    <w:rsid w:val="00EB100B"/>
    <w:rsid w:val="00EB2D14"/>
    <w:rsid w:val="00EB2E63"/>
    <w:rsid w:val="00EB3607"/>
    <w:rsid w:val="00EB3FC4"/>
    <w:rsid w:val="00EB4B6F"/>
    <w:rsid w:val="00EB711B"/>
    <w:rsid w:val="00EB7FF4"/>
    <w:rsid w:val="00EC0351"/>
    <w:rsid w:val="00EC2232"/>
    <w:rsid w:val="00EC2E9D"/>
    <w:rsid w:val="00EC4F79"/>
    <w:rsid w:val="00EC5407"/>
    <w:rsid w:val="00EC741C"/>
    <w:rsid w:val="00EC7970"/>
    <w:rsid w:val="00ED0011"/>
    <w:rsid w:val="00ED02C6"/>
    <w:rsid w:val="00ED065D"/>
    <w:rsid w:val="00ED0B6F"/>
    <w:rsid w:val="00ED0D85"/>
    <w:rsid w:val="00ED109F"/>
    <w:rsid w:val="00ED1E10"/>
    <w:rsid w:val="00ED2596"/>
    <w:rsid w:val="00ED2629"/>
    <w:rsid w:val="00ED2D96"/>
    <w:rsid w:val="00ED3FDE"/>
    <w:rsid w:val="00ED41D0"/>
    <w:rsid w:val="00ED42A1"/>
    <w:rsid w:val="00ED4EB7"/>
    <w:rsid w:val="00ED7587"/>
    <w:rsid w:val="00EE05B5"/>
    <w:rsid w:val="00EE0D72"/>
    <w:rsid w:val="00EE1874"/>
    <w:rsid w:val="00EE1C3B"/>
    <w:rsid w:val="00EE2035"/>
    <w:rsid w:val="00EE2EE7"/>
    <w:rsid w:val="00EE385F"/>
    <w:rsid w:val="00EE3F8F"/>
    <w:rsid w:val="00EE655F"/>
    <w:rsid w:val="00EE7C4B"/>
    <w:rsid w:val="00EE7E55"/>
    <w:rsid w:val="00EF09C3"/>
    <w:rsid w:val="00EF1782"/>
    <w:rsid w:val="00EF27B5"/>
    <w:rsid w:val="00EF2DF2"/>
    <w:rsid w:val="00EF43C4"/>
    <w:rsid w:val="00EF45FF"/>
    <w:rsid w:val="00EF4854"/>
    <w:rsid w:val="00EF6A17"/>
    <w:rsid w:val="00EF70F4"/>
    <w:rsid w:val="00EF7D77"/>
    <w:rsid w:val="00F006AB"/>
    <w:rsid w:val="00F01AA3"/>
    <w:rsid w:val="00F02741"/>
    <w:rsid w:val="00F03577"/>
    <w:rsid w:val="00F03EC8"/>
    <w:rsid w:val="00F052CB"/>
    <w:rsid w:val="00F05FE4"/>
    <w:rsid w:val="00F06385"/>
    <w:rsid w:val="00F07820"/>
    <w:rsid w:val="00F07F8B"/>
    <w:rsid w:val="00F102FC"/>
    <w:rsid w:val="00F10355"/>
    <w:rsid w:val="00F12E82"/>
    <w:rsid w:val="00F13262"/>
    <w:rsid w:val="00F13D56"/>
    <w:rsid w:val="00F13FD5"/>
    <w:rsid w:val="00F145DF"/>
    <w:rsid w:val="00F1496C"/>
    <w:rsid w:val="00F15049"/>
    <w:rsid w:val="00F16131"/>
    <w:rsid w:val="00F2098C"/>
    <w:rsid w:val="00F20FAE"/>
    <w:rsid w:val="00F21993"/>
    <w:rsid w:val="00F21DFC"/>
    <w:rsid w:val="00F2390D"/>
    <w:rsid w:val="00F241B9"/>
    <w:rsid w:val="00F245B3"/>
    <w:rsid w:val="00F24CBB"/>
    <w:rsid w:val="00F25583"/>
    <w:rsid w:val="00F25CA3"/>
    <w:rsid w:val="00F25CFB"/>
    <w:rsid w:val="00F267C8"/>
    <w:rsid w:val="00F300C8"/>
    <w:rsid w:val="00F3077E"/>
    <w:rsid w:val="00F314E6"/>
    <w:rsid w:val="00F3168B"/>
    <w:rsid w:val="00F31A8F"/>
    <w:rsid w:val="00F31D56"/>
    <w:rsid w:val="00F32F32"/>
    <w:rsid w:val="00F35380"/>
    <w:rsid w:val="00F35AEC"/>
    <w:rsid w:val="00F367E7"/>
    <w:rsid w:val="00F36905"/>
    <w:rsid w:val="00F36A7B"/>
    <w:rsid w:val="00F3766D"/>
    <w:rsid w:val="00F3793A"/>
    <w:rsid w:val="00F40068"/>
    <w:rsid w:val="00F4259F"/>
    <w:rsid w:val="00F426ED"/>
    <w:rsid w:val="00F42919"/>
    <w:rsid w:val="00F43588"/>
    <w:rsid w:val="00F435BD"/>
    <w:rsid w:val="00F43F5D"/>
    <w:rsid w:val="00F441FE"/>
    <w:rsid w:val="00F4452D"/>
    <w:rsid w:val="00F44864"/>
    <w:rsid w:val="00F4523D"/>
    <w:rsid w:val="00F4589C"/>
    <w:rsid w:val="00F46E5D"/>
    <w:rsid w:val="00F47A38"/>
    <w:rsid w:val="00F47A87"/>
    <w:rsid w:val="00F50A46"/>
    <w:rsid w:val="00F515FF"/>
    <w:rsid w:val="00F51CA4"/>
    <w:rsid w:val="00F52B98"/>
    <w:rsid w:val="00F534E8"/>
    <w:rsid w:val="00F5518A"/>
    <w:rsid w:val="00F55BDE"/>
    <w:rsid w:val="00F55DE7"/>
    <w:rsid w:val="00F55ED6"/>
    <w:rsid w:val="00F56560"/>
    <w:rsid w:val="00F56F8C"/>
    <w:rsid w:val="00F57706"/>
    <w:rsid w:val="00F60205"/>
    <w:rsid w:val="00F60A41"/>
    <w:rsid w:val="00F61674"/>
    <w:rsid w:val="00F61C8C"/>
    <w:rsid w:val="00F61ECE"/>
    <w:rsid w:val="00F62A32"/>
    <w:rsid w:val="00F62F09"/>
    <w:rsid w:val="00F632E0"/>
    <w:rsid w:val="00F63796"/>
    <w:rsid w:val="00F63E3F"/>
    <w:rsid w:val="00F64DAB"/>
    <w:rsid w:val="00F653B1"/>
    <w:rsid w:val="00F659E4"/>
    <w:rsid w:val="00F65C92"/>
    <w:rsid w:val="00F6616E"/>
    <w:rsid w:val="00F6658B"/>
    <w:rsid w:val="00F66E9B"/>
    <w:rsid w:val="00F67C7F"/>
    <w:rsid w:val="00F67D63"/>
    <w:rsid w:val="00F717E0"/>
    <w:rsid w:val="00F718AB"/>
    <w:rsid w:val="00F71CAB"/>
    <w:rsid w:val="00F71DA0"/>
    <w:rsid w:val="00F71F19"/>
    <w:rsid w:val="00F723C6"/>
    <w:rsid w:val="00F723E4"/>
    <w:rsid w:val="00F7254F"/>
    <w:rsid w:val="00F72863"/>
    <w:rsid w:val="00F7310E"/>
    <w:rsid w:val="00F731D6"/>
    <w:rsid w:val="00F73252"/>
    <w:rsid w:val="00F732F9"/>
    <w:rsid w:val="00F73C8A"/>
    <w:rsid w:val="00F73EE1"/>
    <w:rsid w:val="00F74B67"/>
    <w:rsid w:val="00F757C2"/>
    <w:rsid w:val="00F75A8F"/>
    <w:rsid w:val="00F76FFF"/>
    <w:rsid w:val="00F80507"/>
    <w:rsid w:val="00F81434"/>
    <w:rsid w:val="00F81D50"/>
    <w:rsid w:val="00F82ADC"/>
    <w:rsid w:val="00F83D45"/>
    <w:rsid w:val="00F84F89"/>
    <w:rsid w:val="00F855FC"/>
    <w:rsid w:val="00F862F7"/>
    <w:rsid w:val="00F86682"/>
    <w:rsid w:val="00F90001"/>
    <w:rsid w:val="00F90ED3"/>
    <w:rsid w:val="00F922E8"/>
    <w:rsid w:val="00F926E7"/>
    <w:rsid w:val="00F940D2"/>
    <w:rsid w:val="00F96B5B"/>
    <w:rsid w:val="00F973EC"/>
    <w:rsid w:val="00FA138C"/>
    <w:rsid w:val="00FA34DA"/>
    <w:rsid w:val="00FA352D"/>
    <w:rsid w:val="00FA411C"/>
    <w:rsid w:val="00FA6133"/>
    <w:rsid w:val="00FA78EB"/>
    <w:rsid w:val="00FB2D38"/>
    <w:rsid w:val="00FB32F5"/>
    <w:rsid w:val="00FB35C1"/>
    <w:rsid w:val="00FB480C"/>
    <w:rsid w:val="00FB4C9D"/>
    <w:rsid w:val="00FB5041"/>
    <w:rsid w:val="00FB6B42"/>
    <w:rsid w:val="00FB6CE7"/>
    <w:rsid w:val="00FC068D"/>
    <w:rsid w:val="00FC0B9D"/>
    <w:rsid w:val="00FC1894"/>
    <w:rsid w:val="00FC2544"/>
    <w:rsid w:val="00FC2670"/>
    <w:rsid w:val="00FC2AB4"/>
    <w:rsid w:val="00FC2B52"/>
    <w:rsid w:val="00FC3512"/>
    <w:rsid w:val="00FC35CD"/>
    <w:rsid w:val="00FC4236"/>
    <w:rsid w:val="00FC5176"/>
    <w:rsid w:val="00FC55D1"/>
    <w:rsid w:val="00FC62B3"/>
    <w:rsid w:val="00FC687B"/>
    <w:rsid w:val="00FC71BE"/>
    <w:rsid w:val="00FC72C1"/>
    <w:rsid w:val="00FC7F03"/>
    <w:rsid w:val="00FD07DB"/>
    <w:rsid w:val="00FD08C9"/>
    <w:rsid w:val="00FD0B78"/>
    <w:rsid w:val="00FD23B8"/>
    <w:rsid w:val="00FD2443"/>
    <w:rsid w:val="00FD2518"/>
    <w:rsid w:val="00FD25B0"/>
    <w:rsid w:val="00FD37C1"/>
    <w:rsid w:val="00FD3C7E"/>
    <w:rsid w:val="00FD6D58"/>
    <w:rsid w:val="00FD6F9B"/>
    <w:rsid w:val="00FD7EC8"/>
    <w:rsid w:val="00FE028A"/>
    <w:rsid w:val="00FE0848"/>
    <w:rsid w:val="00FE0F43"/>
    <w:rsid w:val="00FE4EB4"/>
    <w:rsid w:val="00FE682F"/>
    <w:rsid w:val="00FE6A6E"/>
    <w:rsid w:val="00FE6B35"/>
    <w:rsid w:val="00FE7C2C"/>
    <w:rsid w:val="00FE7EC8"/>
    <w:rsid w:val="00FF13FB"/>
    <w:rsid w:val="00FF163F"/>
    <w:rsid w:val="00FF1DB7"/>
    <w:rsid w:val="00FF1EC8"/>
    <w:rsid w:val="00FF2628"/>
    <w:rsid w:val="00FF2790"/>
    <w:rsid w:val="00FF33C8"/>
    <w:rsid w:val="00FF376C"/>
    <w:rsid w:val="00FF42E4"/>
    <w:rsid w:val="00FF574D"/>
    <w:rsid w:val="00FF5D7E"/>
    <w:rsid w:val="00FF6996"/>
    <w:rsid w:val="00FF6ABB"/>
    <w:rsid w:val="00FF7B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9B114"/>
  <w15:chartTrackingRefBased/>
  <w15:docId w15:val="{B251E700-702F-47F4-89CF-5FB4F82E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063"/>
    <w:pPr>
      <w:widowControl w:val="0"/>
      <w:spacing w:line="360" w:lineRule="auto"/>
      <w:ind w:firstLineChars="200" w:firstLine="200"/>
    </w:pPr>
    <w:rPr>
      <w:rFonts w:ascii="Times New Roman" w:hAnsi="Times New Roman" w:cs="Times New Roman"/>
      <w:sz w:val="24"/>
      <w:szCs w:val="24"/>
    </w:rPr>
  </w:style>
  <w:style w:type="paragraph" w:styleId="Heading1">
    <w:name w:val="heading 1"/>
    <w:basedOn w:val="Heading2"/>
    <w:next w:val="Normal"/>
    <w:link w:val="Heading1Char"/>
    <w:uiPriority w:val="9"/>
    <w:qFormat/>
    <w:rsid w:val="00E50056"/>
    <w:pPr>
      <w:outlineLvl w:val="0"/>
    </w:pPr>
    <w:rPr>
      <w:sz w:val="32"/>
      <w:szCs w:val="32"/>
    </w:rPr>
  </w:style>
  <w:style w:type="paragraph" w:styleId="Heading2">
    <w:name w:val="heading 2"/>
    <w:basedOn w:val="Heading3"/>
    <w:next w:val="Normal"/>
    <w:link w:val="Heading2Char"/>
    <w:uiPriority w:val="9"/>
    <w:unhideWhenUsed/>
    <w:qFormat/>
    <w:rsid w:val="00E50056"/>
    <w:pPr>
      <w:outlineLvl w:val="1"/>
    </w:pPr>
  </w:style>
  <w:style w:type="paragraph" w:styleId="Heading3">
    <w:name w:val="heading 3"/>
    <w:basedOn w:val="Normal"/>
    <w:next w:val="Normal"/>
    <w:link w:val="Heading3Char"/>
    <w:uiPriority w:val="9"/>
    <w:unhideWhenUsed/>
    <w:qFormat/>
    <w:rsid w:val="00E50056"/>
    <w:pPr>
      <w:ind w:firstLineChars="0" w:firstLine="0"/>
      <w:outlineLvl w:val="2"/>
    </w:pPr>
    <w:rPr>
      <w:b/>
      <w:bCs/>
    </w:rPr>
  </w:style>
  <w:style w:type="paragraph" w:styleId="Heading4">
    <w:name w:val="heading 4"/>
    <w:basedOn w:val="Normal"/>
    <w:next w:val="Normal"/>
    <w:link w:val="Heading4Char"/>
    <w:uiPriority w:val="9"/>
    <w:unhideWhenUsed/>
    <w:qFormat/>
    <w:rsid w:val="00216A7D"/>
    <w:pPr>
      <w:outlineLvl w:val="3"/>
    </w:pPr>
    <w:rPr>
      <w:b/>
      <w:bCs/>
    </w:rPr>
  </w:style>
  <w:style w:type="paragraph" w:styleId="Heading5">
    <w:name w:val="heading 5"/>
    <w:basedOn w:val="Normal"/>
    <w:next w:val="Normal"/>
    <w:link w:val="Heading5Char"/>
    <w:uiPriority w:val="9"/>
    <w:unhideWhenUsed/>
    <w:qFormat/>
    <w:rsid w:val="008A5DAB"/>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0056"/>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E50056"/>
    <w:rPr>
      <w:rFonts w:ascii="Times New Roman" w:hAnsi="Times New Roman" w:cs="Times New Roman"/>
      <w:b/>
      <w:bCs/>
      <w:sz w:val="24"/>
      <w:szCs w:val="24"/>
    </w:rPr>
  </w:style>
  <w:style w:type="character" w:customStyle="1" w:styleId="Heading1Char">
    <w:name w:val="Heading 1 Char"/>
    <w:basedOn w:val="DefaultParagraphFont"/>
    <w:link w:val="Heading1"/>
    <w:uiPriority w:val="9"/>
    <w:rsid w:val="00E50056"/>
    <w:rPr>
      <w:rFonts w:ascii="Times New Roman" w:hAnsi="Times New Roman" w:cs="Times New Roman"/>
      <w:b/>
      <w:bCs/>
      <w:sz w:val="32"/>
      <w:szCs w:val="32"/>
    </w:rPr>
  </w:style>
  <w:style w:type="character" w:customStyle="1" w:styleId="Heading4Char">
    <w:name w:val="Heading 4 Char"/>
    <w:basedOn w:val="DefaultParagraphFont"/>
    <w:link w:val="Heading4"/>
    <w:uiPriority w:val="9"/>
    <w:rsid w:val="00216A7D"/>
    <w:rPr>
      <w:rFonts w:ascii="Times New Roman" w:hAnsi="Times New Roman" w:cs="Times New Roman"/>
      <w:b/>
      <w:bCs/>
      <w:sz w:val="24"/>
      <w:szCs w:val="24"/>
    </w:rPr>
  </w:style>
  <w:style w:type="paragraph" w:styleId="NormalWeb">
    <w:name w:val="Normal (Web)"/>
    <w:basedOn w:val="Normal"/>
    <w:uiPriority w:val="99"/>
    <w:unhideWhenUsed/>
    <w:rsid w:val="00D71C4A"/>
    <w:pPr>
      <w:widowControl/>
      <w:spacing w:before="100" w:beforeAutospacing="1" w:after="100" w:afterAutospacing="1"/>
    </w:pPr>
    <w:rPr>
      <w:rFonts w:ascii="SimSun" w:eastAsia="SimSun" w:hAnsi="SimSun" w:cs="SimSun"/>
      <w:kern w:val="0"/>
    </w:rPr>
  </w:style>
  <w:style w:type="character" w:customStyle="1" w:styleId="url">
    <w:name w:val="url"/>
    <w:basedOn w:val="DefaultParagraphFont"/>
    <w:rsid w:val="00D71C4A"/>
  </w:style>
  <w:style w:type="character" w:styleId="Hyperlink">
    <w:name w:val="Hyperlink"/>
    <w:basedOn w:val="DefaultParagraphFont"/>
    <w:uiPriority w:val="99"/>
    <w:unhideWhenUsed/>
    <w:rsid w:val="00AD3C9B"/>
    <w:rPr>
      <w:color w:val="0563C1" w:themeColor="hyperlink"/>
      <w:u w:val="single"/>
    </w:rPr>
  </w:style>
  <w:style w:type="character" w:styleId="UnresolvedMention">
    <w:name w:val="Unresolved Mention"/>
    <w:basedOn w:val="DefaultParagraphFont"/>
    <w:uiPriority w:val="99"/>
    <w:semiHidden/>
    <w:unhideWhenUsed/>
    <w:rsid w:val="00AD3C9B"/>
    <w:rPr>
      <w:color w:val="605E5C"/>
      <w:shd w:val="clear" w:color="auto" w:fill="E1DFDD"/>
    </w:rPr>
  </w:style>
  <w:style w:type="table" w:styleId="TableGrid">
    <w:name w:val="Table Grid"/>
    <w:basedOn w:val="TableNormal"/>
    <w:uiPriority w:val="39"/>
    <w:rsid w:val="00F1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60AE5"/>
    <w:rPr>
      <w:rFonts w:asciiTheme="majorHAnsi" w:eastAsia="SimHei" w:hAnsiTheme="majorHAnsi" w:cstheme="majorBidi"/>
      <w:sz w:val="20"/>
      <w:szCs w:val="20"/>
    </w:rPr>
  </w:style>
  <w:style w:type="paragraph" w:styleId="ListParagraph">
    <w:name w:val="List Paragraph"/>
    <w:basedOn w:val="Normal"/>
    <w:uiPriority w:val="34"/>
    <w:qFormat/>
    <w:rsid w:val="005B45CB"/>
    <w:pPr>
      <w:ind w:firstLine="420"/>
    </w:pPr>
  </w:style>
  <w:style w:type="paragraph" w:styleId="TOCHeading">
    <w:name w:val="TOC Heading"/>
    <w:basedOn w:val="Heading1"/>
    <w:next w:val="Normal"/>
    <w:uiPriority w:val="39"/>
    <w:unhideWhenUsed/>
    <w:qFormat/>
    <w:rsid w:val="00216A7D"/>
    <w:pPr>
      <w:widowControl/>
      <w:spacing w:before="24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F314E6"/>
    <w:pPr>
      <w:tabs>
        <w:tab w:val="right" w:leader="dot" w:pos="8296"/>
      </w:tabs>
      <w:spacing w:line="600" w:lineRule="auto"/>
      <w:ind w:firstLine="480"/>
    </w:pPr>
  </w:style>
  <w:style w:type="paragraph" w:styleId="TOC2">
    <w:name w:val="toc 2"/>
    <w:basedOn w:val="Normal"/>
    <w:next w:val="Normal"/>
    <w:autoRedefine/>
    <w:uiPriority w:val="39"/>
    <w:unhideWhenUsed/>
    <w:rsid w:val="00216A7D"/>
    <w:pPr>
      <w:ind w:leftChars="200" w:left="420"/>
    </w:pPr>
  </w:style>
  <w:style w:type="paragraph" w:styleId="TOC3">
    <w:name w:val="toc 3"/>
    <w:basedOn w:val="Normal"/>
    <w:next w:val="Normal"/>
    <w:autoRedefine/>
    <w:uiPriority w:val="39"/>
    <w:unhideWhenUsed/>
    <w:rsid w:val="00F314E6"/>
    <w:pPr>
      <w:tabs>
        <w:tab w:val="right" w:leader="dot" w:pos="8296"/>
      </w:tabs>
      <w:spacing w:line="240" w:lineRule="auto"/>
      <w:ind w:leftChars="400" w:left="960" w:firstLine="480"/>
    </w:pPr>
  </w:style>
  <w:style w:type="paragraph" w:styleId="Header">
    <w:name w:val="header"/>
    <w:basedOn w:val="Normal"/>
    <w:link w:val="HeaderChar"/>
    <w:uiPriority w:val="99"/>
    <w:unhideWhenUsed/>
    <w:rsid w:val="0044704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47048"/>
    <w:rPr>
      <w:sz w:val="18"/>
      <w:szCs w:val="18"/>
    </w:rPr>
  </w:style>
  <w:style w:type="paragraph" w:styleId="Footer">
    <w:name w:val="footer"/>
    <w:basedOn w:val="Normal"/>
    <w:link w:val="FooterChar"/>
    <w:uiPriority w:val="99"/>
    <w:unhideWhenUsed/>
    <w:rsid w:val="0044704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447048"/>
    <w:rPr>
      <w:sz w:val="18"/>
      <w:szCs w:val="18"/>
    </w:rPr>
  </w:style>
  <w:style w:type="character" w:styleId="PlaceholderText">
    <w:name w:val="Placeholder Text"/>
    <w:basedOn w:val="DefaultParagraphFont"/>
    <w:uiPriority w:val="99"/>
    <w:semiHidden/>
    <w:rsid w:val="001E3661"/>
    <w:rPr>
      <w:color w:val="808080"/>
    </w:rPr>
  </w:style>
  <w:style w:type="paragraph" w:styleId="TOC4">
    <w:name w:val="toc 4"/>
    <w:basedOn w:val="Normal"/>
    <w:next w:val="Normal"/>
    <w:autoRedefine/>
    <w:uiPriority w:val="39"/>
    <w:unhideWhenUsed/>
    <w:rsid w:val="007077BD"/>
    <w:pPr>
      <w:ind w:leftChars="600" w:left="1260"/>
    </w:pPr>
  </w:style>
  <w:style w:type="paragraph" w:styleId="TOC5">
    <w:name w:val="toc 5"/>
    <w:basedOn w:val="Normal"/>
    <w:next w:val="Normal"/>
    <w:autoRedefine/>
    <w:uiPriority w:val="39"/>
    <w:unhideWhenUsed/>
    <w:rsid w:val="003C55A3"/>
    <w:pPr>
      <w:spacing w:line="240" w:lineRule="auto"/>
      <w:ind w:leftChars="800" w:left="1680"/>
      <w:jc w:val="both"/>
    </w:pPr>
    <w:rPr>
      <w:rFonts w:asciiTheme="minorHAnsi" w:hAnsiTheme="minorHAnsi" w:cstheme="minorBidi"/>
      <w:sz w:val="21"/>
      <w:szCs w:val="22"/>
    </w:rPr>
  </w:style>
  <w:style w:type="paragraph" w:styleId="TOC6">
    <w:name w:val="toc 6"/>
    <w:basedOn w:val="Normal"/>
    <w:next w:val="Normal"/>
    <w:autoRedefine/>
    <w:uiPriority w:val="39"/>
    <w:unhideWhenUsed/>
    <w:rsid w:val="003C55A3"/>
    <w:pPr>
      <w:spacing w:line="240" w:lineRule="auto"/>
      <w:ind w:leftChars="1000" w:left="2100"/>
      <w:jc w:val="both"/>
    </w:pPr>
    <w:rPr>
      <w:rFonts w:asciiTheme="minorHAnsi" w:hAnsiTheme="minorHAnsi" w:cstheme="minorBidi"/>
      <w:sz w:val="21"/>
      <w:szCs w:val="22"/>
    </w:rPr>
  </w:style>
  <w:style w:type="paragraph" w:styleId="TOC7">
    <w:name w:val="toc 7"/>
    <w:basedOn w:val="Normal"/>
    <w:next w:val="Normal"/>
    <w:autoRedefine/>
    <w:uiPriority w:val="39"/>
    <w:unhideWhenUsed/>
    <w:rsid w:val="003C55A3"/>
    <w:pPr>
      <w:spacing w:line="240" w:lineRule="auto"/>
      <w:ind w:leftChars="1200" w:left="2520"/>
      <w:jc w:val="both"/>
    </w:pPr>
    <w:rPr>
      <w:rFonts w:asciiTheme="minorHAnsi" w:hAnsiTheme="minorHAnsi" w:cstheme="minorBidi"/>
      <w:sz w:val="21"/>
      <w:szCs w:val="22"/>
    </w:rPr>
  </w:style>
  <w:style w:type="paragraph" w:styleId="TOC8">
    <w:name w:val="toc 8"/>
    <w:basedOn w:val="Normal"/>
    <w:next w:val="Normal"/>
    <w:autoRedefine/>
    <w:uiPriority w:val="39"/>
    <w:unhideWhenUsed/>
    <w:rsid w:val="003C55A3"/>
    <w:pPr>
      <w:spacing w:line="240" w:lineRule="auto"/>
      <w:ind w:leftChars="1400" w:left="2940"/>
      <w:jc w:val="both"/>
    </w:pPr>
    <w:rPr>
      <w:rFonts w:asciiTheme="minorHAnsi" w:hAnsiTheme="minorHAnsi" w:cstheme="minorBidi"/>
      <w:sz w:val="21"/>
      <w:szCs w:val="22"/>
    </w:rPr>
  </w:style>
  <w:style w:type="paragraph" w:styleId="TOC9">
    <w:name w:val="toc 9"/>
    <w:basedOn w:val="Normal"/>
    <w:next w:val="Normal"/>
    <w:autoRedefine/>
    <w:uiPriority w:val="39"/>
    <w:unhideWhenUsed/>
    <w:rsid w:val="003C55A3"/>
    <w:pPr>
      <w:spacing w:line="240" w:lineRule="auto"/>
      <w:ind w:leftChars="1600" w:left="3360"/>
      <w:jc w:val="both"/>
    </w:pPr>
    <w:rPr>
      <w:rFonts w:asciiTheme="minorHAnsi" w:hAnsiTheme="minorHAnsi" w:cstheme="minorBidi"/>
      <w:sz w:val="21"/>
      <w:szCs w:val="22"/>
    </w:rPr>
  </w:style>
  <w:style w:type="paragraph" w:styleId="Revision">
    <w:name w:val="Revision"/>
    <w:hidden/>
    <w:uiPriority w:val="99"/>
    <w:semiHidden/>
    <w:rsid w:val="00447044"/>
    <w:rPr>
      <w:rFonts w:ascii="Times New Roman" w:hAnsi="Times New Roman" w:cs="Times New Roman"/>
      <w:sz w:val="24"/>
      <w:szCs w:val="24"/>
    </w:rPr>
  </w:style>
  <w:style w:type="paragraph" w:customStyle="1" w:styleId="a">
    <w:name w:val="注"/>
    <w:basedOn w:val="Normal"/>
    <w:link w:val="a0"/>
    <w:qFormat/>
    <w:rsid w:val="00B1044A"/>
    <w:pPr>
      <w:ind w:firstLineChars="0" w:firstLine="0"/>
      <w:jc w:val="center"/>
    </w:pPr>
  </w:style>
  <w:style w:type="character" w:customStyle="1" w:styleId="a0">
    <w:name w:val="注 字符"/>
    <w:basedOn w:val="DefaultParagraphFont"/>
    <w:link w:val="a"/>
    <w:rsid w:val="00B1044A"/>
    <w:rPr>
      <w:rFonts w:ascii="Times New Roman" w:hAnsi="Times New Roman" w:cs="Times New Roman"/>
      <w:sz w:val="24"/>
      <w:szCs w:val="24"/>
    </w:rPr>
  </w:style>
  <w:style w:type="character" w:customStyle="1" w:styleId="Heading5Char">
    <w:name w:val="Heading 5 Char"/>
    <w:basedOn w:val="DefaultParagraphFont"/>
    <w:link w:val="Heading5"/>
    <w:uiPriority w:val="9"/>
    <w:rsid w:val="008A5DAB"/>
    <w:rPr>
      <w:rFonts w:ascii="Times New Roman" w:hAnsi="Times New Roman" w:cs="Times New Roman"/>
      <w:b/>
      <w:bCs/>
      <w:sz w:val="28"/>
      <w:szCs w:val="28"/>
    </w:rPr>
  </w:style>
  <w:style w:type="paragraph" w:styleId="Date">
    <w:name w:val="Date"/>
    <w:basedOn w:val="Normal"/>
    <w:next w:val="Normal"/>
    <w:link w:val="DateChar"/>
    <w:uiPriority w:val="99"/>
    <w:semiHidden/>
    <w:unhideWhenUsed/>
    <w:rsid w:val="00E95553"/>
    <w:pPr>
      <w:ind w:leftChars="2500" w:left="100"/>
    </w:pPr>
  </w:style>
  <w:style w:type="character" w:customStyle="1" w:styleId="DateChar">
    <w:name w:val="Date Char"/>
    <w:basedOn w:val="DefaultParagraphFont"/>
    <w:link w:val="Date"/>
    <w:uiPriority w:val="99"/>
    <w:semiHidden/>
    <w:rsid w:val="00E95553"/>
    <w:rPr>
      <w:rFonts w:ascii="Times New Roman" w:hAnsi="Times New Roman" w:cs="Times New Roman"/>
      <w:sz w:val="24"/>
      <w:szCs w:val="24"/>
    </w:rPr>
  </w:style>
  <w:style w:type="character" w:styleId="Strong">
    <w:name w:val="Strong"/>
    <w:basedOn w:val="DefaultParagraphFont"/>
    <w:uiPriority w:val="22"/>
    <w:qFormat/>
    <w:rsid w:val="005F2B35"/>
    <w:rPr>
      <w:b/>
      <w:bCs/>
    </w:rPr>
  </w:style>
  <w:style w:type="table" w:styleId="PlainTable1">
    <w:name w:val="Plain Table 1"/>
    <w:basedOn w:val="TableNormal"/>
    <w:uiPriority w:val="41"/>
    <w:rsid w:val="005F2B3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8109AE"/>
    <w:rPr>
      <w:sz w:val="16"/>
      <w:szCs w:val="16"/>
    </w:rPr>
  </w:style>
  <w:style w:type="paragraph" w:styleId="CommentText">
    <w:name w:val="annotation text"/>
    <w:basedOn w:val="Normal"/>
    <w:link w:val="CommentTextChar"/>
    <w:uiPriority w:val="99"/>
    <w:unhideWhenUsed/>
    <w:rsid w:val="008109AE"/>
    <w:pPr>
      <w:spacing w:line="240" w:lineRule="auto"/>
    </w:pPr>
    <w:rPr>
      <w:sz w:val="20"/>
      <w:szCs w:val="20"/>
    </w:rPr>
  </w:style>
  <w:style w:type="character" w:customStyle="1" w:styleId="CommentTextChar">
    <w:name w:val="Comment Text Char"/>
    <w:basedOn w:val="DefaultParagraphFont"/>
    <w:link w:val="CommentText"/>
    <w:uiPriority w:val="99"/>
    <w:rsid w:val="008109A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9AE"/>
    <w:rPr>
      <w:b/>
      <w:bCs/>
    </w:rPr>
  </w:style>
  <w:style w:type="character" w:customStyle="1" w:styleId="CommentSubjectChar">
    <w:name w:val="Comment Subject Char"/>
    <w:basedOn w:val="CommentTextChar"/>
    <w:link w:val="CommentSubject"/>
    <w:uiPriority w:val="99"/>
    <w:semiHidden/>
    <w:rsid w:val="008109A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523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3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1479">
      <w:bodyDiv w:val="1"/>
      <w:marLeft w:val="0"/>
      <w:marRight w:val="0"/>
      <w:marTop w:val="0"/>
      <w:marBottom w:val="0"/>
      <w:divBdr>
        <w:top w:val="none" w:sz="0" w:space="0" w:color="auto"/>
        <w:left w:val="none" w:sz="0" w:space="0" w:color="auto"/>
        <w:bottom w:val="none" w:sz="0" w:space="0" w:color="auto"/>
        <w:right w:val="none" w:sz="0" w:space="0" w:color="auto"/>
      </w:divBdr>
    </w:div>
    <w:div w:id="19822189">
      <w:bodyDiv w:val="1"/>
      <w:marLeft w:val="0"/>
      <w:marRight w:val="0"/>
      <w:marTop w:val="0"/>
      <w:marBottom w:val="0"/>
      <w:divBdr>
        <w:top w:val="none" w:sz="0" w:space="0" w:color="auto"/>
        <w:left w:val="none" w:sz="0" w:space="0" w:color="auto"/>
        <w:bottom w:val="none" w:sz="0" w:space="0" w:color="auto"/>
        <w:right w:val="none" w:sz="0" w:space="0" w:color="auto"/>
      </w:divBdr>
      <w:divsChild>
        <w:div w:id="784425597">
          <w:marLeft w:val="0"/>
          <w:marRight w:val="0"/>
          <w:marTop w:val="0"/>
          <w:marBottom w:val="0"/>
          <w:divBdr>
            <w:top w:val="none" w:sz="0" w:space="0" w:color="auto"/>
            <w:left w:val="none" w:sz="0" w:space="0" w:color="auto"/>
            <w:bottom w:val="none" w:sz="0" w:space="0" w:color="auto"/>
            <w:right w:val="none" w:sz="0" w:space="0" w:color="auto"/>
          </w:divBdr>
        </w:div>
        <w:div w:id="141895989">
          <w:marLeft w:val="0"/>
          <w:marRight w:val="0"/>
          <w:marTop w:val="0"/>
          <w:marBottom w:val="0"/>
          <w:divBdr>
            <w:top w:val="none" w:sz="0" w:space="0" w:color="auto"/>
            <w:left w:val="none" w:sz="0" w:space="0" w:color="auto"/>
            <w:bottom w:val="none" w:sz="0" w:space="0" w:color="auto"/>
            <w:right w:val="none" w:sz="0" w:space="0" w:color="auto"/>
          </w:divBdr>
        </w:div>
        <w:div w:id="1733305831">
          <w:marLeft w:val="0"/>
          <w:marRight w:val="0"/>
          <w:marTop w:val="0"/>
          <w:marBottom w:val="0"/>
          <w:divBdr>
            <w:top w:val="none" w:sz="0" w:space="0" w:color="auto"/>
            <w:left w:val="none" w:sz="0" w:space="0" w:color="auto"/>
            <w:bottom w:val="none" w:sz="0" w:space="0" w:color="auto"/>
            <w:right w:val="none" w:sz="0" w:space="0" w:color="auto"/>
          </w:divBdr>
        </w:div>
        <w:div w:id="796534607">
          <w:marLeft w:val="0"/>
          <w:marRight w:val="0"/>
          <w:marTop w:val="0"/>
          <w:marBottom w:val="0"/>
          <w:divBdr>
            <w:top w:val="none" w:sz="0" w:space="0" w:color="auto"/>
            <w:left w:val="none" w:sz="0" w:space="0" w:color="auto"/>
            <w:bottom w:val="none" w:sz="0" w:space="0" w:color="auto"/>
            <w:right w:val="none" w:sz="0" w:space="0" w:color="auto"/>
          </w:divBdr>
        </w:div>
        <w:div w:id="165558910">
          <w:marLeft w:val="0"/>
          <w:marRight w:val="0"/>
          <w:marTop w:val="0"/>
          <w:marBottom w:val="0"/>
          <w:divBdr>
            <w:top w:val="none" w:sz="0" w:space="0" w:color="auto"/>
            <w:left w:val="none" w:sz="0" w:space="0" w:color="auto"/>
            <w:bottom w:val="none" w:sz="0" w:space="0" w:color="auto"/>
            <w:right w:val="none" w:sz="0" w:space="0" w:color="auto"/>
          </w:divBdr>
        </w:div>
        <w:div w:id="2134707414">
          <w:marLeft w:val="0"/>
          <w:marRight w:val="0"/>
          <w:marTop w:val="0"/>
          <w:marBottom w:val="0"/>
          <w:divBdr>
            <w:top w:val="none" w:sz="0" w:space="0" w:color="auto"/>
            <w:left w:val="none" w:sz="0" w:space="0" w:color="auto"/>
            <w:bottom w:val="none" w:sz="0" w:space="0" w:color="auto"/>
            <w:right w:val="none" w:sz="0" w:space="0" w:color="auto"/>
          </w:divBdr>
        </w:div>
        <w:div w:id="2080319270">
          <w:marLeft w:val="0"/>
          <w:marRight w:val="0"/>
          <w:marTop w:val="0"/>
          <w:marBottom w:val="0"/>
          <w:divBdr>
            <w:top w:val="none" w:sz="0" w:space="0" w:color="auto"/>
            <w:left w:val="none" w:sz="0" w:space="0" w:color="auto"/>
            <w:bottom w:val="none" w:sz="0" w:space="0" w:color="auto"/>
            <w:right w:val="none" w:sz="0" w:space="0" w:color="auto"/>
          </w:divBdr>
        </w:div>
      </w:divsChild>
    </w:div>
    <w:div w:id="23756231">
      <w:bodyDiv w:val="1"/>
      <w:marLeft w:val="0"/>
      <w:marRight w:val="0"/>
      <w:marTop w:val="0"/>
      <w:marBottom w:val="0"/>
      <w:divBdr>
        <w:top w:val="none" w:sz="0" w:space="0" w:color="auto"/>
        <w:left w:val="none" w:sz="0" w:space="0" w:color="auto"/>
        <w:bottom w:val="none" w:sz="0" w:space="0" w:color="auto"/>
        <w:right w:val="none" w:sz="0" w:space="0" w:color="auto"/>
      </w:divBdr>
    </w:div>
    <w:div w:id="60754596">
      <w:bodyDiv w:val="1"/>
      <w:marLeft w:val="0"/>
      <w:marRight w:val="0"/>
      <w:marTop w:val="0"/>
      <w:marBottom w:val="0"/>
      <w:divBdr>
        <w:top w:val="none" w:sz="0" w:space="0" w:color="auto"/>
        <w:left w:val="none" w:sz="0" w:space="0" w:color="auto"/>
        <w:bottom w:val="none" w:sz="0" w:space="0" w:color="auto"/>
        <w:right w:val="none" w:sz="0" w:space="0" w:color="auto"/>
      </w:divBdr>
    </w:div>
    <w:div w:id="82917469">
      <w:bodyDiv w:val="1"/>
      <w:marLeft w:val="0"/>
      <w:marRight w:val="0"/>
      <w:marTop w:val="0"/>
      <w:marBottom w:val="0"/>
      <w:divBdr>
        <w:top w:val="none" w:sz="0" w:space="0" w:color="auto"/>
        <w:left w:val="none" w:sz="0" w:space="0" w:color="auto"/>
        <w:bottom w:val="none" w:sz="0" w:space="0" w:color="auto"/>
        <w:right w:val="none" w:sz="0" w:space="0" w:color="auto"/>
      </w:divBdr>
    </w:div>
    <w:div w:id="93862584">
      <w:bodyDiv w:val="1"/>
      <w:marLeft w:val="0"/>
      <w:marRight w:val="0"/>
      <w:marTop w:val="0"/>
      <w:marBottom w:val="0"/>
      <w:divBdr>
        <w:top w:val="none" w:sz="0" w:space="0" w:color="auto"/>
        <w:left w:val="none" w:sz="0" w:space="0" w:color="auto"/>
        <w:bottom w:val="none" w:sz="0" w:space="0" w:color="auto"/>
        <w:right w:val="none" w:sz="0" w:space="0" w:color="auto"/>
      </w:divBdr>
    </w:div>
    <w:div w:id="99765003">
      <w:bodyDiv w:val="1"/>
      <w:marLeft w:val="0"/>
      <w:marRight w:val="0"/>
      <w:marTop w:val="0"/>
      <w:marBottom w:val="0"/>
      <w:divBdr>
        <w:top w:val="none" w:sz="0" w:space="0" w:color="auto"/>
        <w:left w:val="none" w:sz="0" w:space="0" w:color="auto"/>
        <w:bottom w:val="none" w:sz="0" w:space="0" w:color="auto"/>
        <w:right w:val="none" w:sz="0" w:space="0" w:color="auto"/>
      </w:divBdr>
    </w:div>
    <w:div w:id="126313321">
      <w:bodyDiv w:val="1"/>
      <w:marLeft w:val="0"/>
      <w:marRight w:val="0"/>
      <w:marTop w:val="0"/>
      <w:marBottom w:val="0"/>
      <w:divBdr>
        <w:top w:val="none" w:sz="0" w:space="0" w:color="auto"/>
        <w:left w:val="none" w:sz="0" w:space="0" w:color="auto"/>
        <w:bottom w:val="none" w:sz="0" w:space="0" w:color="auto"/>
        <w:right w:val="none" w:sz="0" w:space="0" w:color="auto"/>
      </w:divBdr>
    </w:div>
    <w:div w:id="131559700">
      <w:bodyDiv w:val="1"/>
      <w:marLeft w:val="0"/>
      <w:marRight w:val="0"/>
      <w:marTop w:val="0"/>
      <w:marBottom w:val="0"/>
      <w:divBdr>
        <w:top w:val="none" w:sz="0" w:space="0" w:color="auto"/>
        <w:left w:val="none" w:sz="0" w:space="0" w:color="auto"/>
        <w:bottom w:val="none" w:sz="0" w:space="0" w:color="auto"/>
        <w:right w:val="none" w:sz="0" w:space="0" w:color="auto"/>
      </w:divBdr>
      <w:divsChild>
        <w:div w:id="1289972877">
          <w:marLeft w:val="0"/>
          <w:marRight w:val="0"/>
          <w:marTop w:val="0"/>
          <w:marBottom w:val="0"/>
          <w:divBdr>
            <w:top w:val="none" w:sz="0" w:space="0" w:color="auto"/>
            <w:left w:val="none" w:sz="0" w:space="0" w:color="auto"/>
            <w:bottom w:val="none" w:sz="0" w:space="0" w:color="auto"/>
            <w:right w:val="none" w:sz="0" w:space="0" w:color="auto"/>
          </w:divBdr>
          <w:divsChild>
            <w:div w:id="5208661">
              <w:marLeft w:val="0"/>
              <w:marRight w:val="0"/>
              <w:marTop w:val="0"/>
              <w:marBottom w:val="0"/>
              <w:divBdr>
                <w:top w:val="none" w:sz="0" w:space="0" w:color="auto"/>
                <w:left w:val="none" w:sz="0" w:space="0" w:color="auto"/>
                <w:bottom w:val="none" w:sz="0" w:space="0" w:color="auto"/>
                <w:right w:val="none" w:sz="0" w:space="0" w:color="auto"/>
              </w:divBdr>
              <w:divsChild>
                <w:div w:id="1186676897">
                  <w:marLeft w:val="0"/>
                  <w:marRight w:val="0"/>
                  <w:marTop w:val="0"/>
                  <w:marBottom w:val="0"/>
                  <w:divBdr>
                    <w:top w:val="none" w:sz="0" w:space="0" w:color="auto"/>
                    <w:left w:val="none" w:sz="0" w:space="0" w:color="auto"/>
                    <w:bottom w:val="none" w:sz="0" w:space="0" w:color="auto"/>
                    <w:right w:val="none" w:sz="0" w:space="0" w:color="auto"/>
                  </w:divBdr>
                  <w:divsChild>
                    <w:div w:id="13366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82341">
          <w:marLeft w:val="0"/>
          <w:marRight w:val="0"/>
          <w:marTop w:val="0"/>
          <w:marBottom w:val="0"/>
          <w:divBdr>
            <w:top w:val="none" w:sz="0" w:space="0" w:color="auto"/>
            <w:left w:val="none" w:sz="0" w:space="0" w:color="auto"/>
            <w:bottom w:val="none" w:sz="0" w:space="0" w:color="auto"/>
            <w:right w:val="none" w:sz="0" w:space="0" w:color="auto"/>
          </w:divBdr>
          <w:divsChild>
            <w:div w:id="1472940629">
              <w:marLeft w:val="0"/>
              <w:marRight w:val="0"/>
              <w:marTop w:val="0"/>
              <w:marBottom w:val="0"/>
              <w:divBdr>
                <w:top w:val="none" w:sz="0" w:space="0" w:color="auto"/>
                <w:left w:val="none" w:sz="0" w:space="0" w:color="auto"/>
                <w:bottom w:val="none" w:sz="0" w:space="0" w:color="auto"/>
                <w:right w:val="none" w:sz="0" w:space="0" w:color="auto"/>
              </w:divBdr>
              <w:divsChild>
                <w:div w:id="1397166687">
                  <w:marLeft w:val="0"/>
                  <w:marRight w:val="0"/>
                  <w:marTop w:val="0"/>
                  <w:marBottom w:val="0"/>
                  <w:divBdr>
                    <w:top w:val="none" w:sz="0" w:space="0" w:color="auto"/>
                    <w:left w:val="none" w:sz="0" w:space="0" w:color="auto"/>
                    <w:bottom w:val="none" w:sz="0" w:space="0" w:color="auto"/>
                    <w:right w:val="none" w:sz="0" w:space="0" w:color="auto"/>
                  </w:divBdr>
                  <w:divsChild>
                    <w:div w:id="15147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2475">
      <w:bodyDiv w:val="1"/>
      <w:marLeft w:val="0"/>
      <w:marRight w:val="0"/>
      <w:marTop w:val="0"/>
      <w:marBottom w:val="0"/>
      <w:divBdr>
        <w:top w:val="none" w:sz="0" w:space="0" w:color="auto"/>
        <w:left w:val="none" w:sz="0" w:space="0" w:color="auto"/>
        <w:bottom w:val="none" w:sz="0" w:space="0" w:color="auto"/>
        <w:right w:val="none" w:sz="0" w:space="0" w:color="auto"/>
      </w:divBdr>
    </w:div>
    <w:div w:id="184902934">
      <w:bodyDiv w:val="1"/>
      <w:marLeft w:val="0"/>
      <w:marRight w:val="0"/>
      <w:marTop w:val="0"/>
      <w:marBottom w:val="0"/>
      <w:divBdr>
        <w:top w:val="none" w:sz="0" w:space="0" w:color="auto"/>
        <w:left w:val="none" w:sz="0" w:space="0" w:color="auto"/>
        <w:bottom w:val="none" w:sz="0" w:space="0" w:color="auto"/>
        <w:right w:val="none" w:sz="0" w:space="0" w:color="auto"/>
      </w:divBdr>
      <w:divsChild>
        <w:div w:id="1175027117">
          <w:marLeft w:val="0"/>
          <w:marRight w:val="0"/>
          <w:marTop w:val="0"/>
          <w:marBottom w:val="0"/>
          <w:divBdr>
            <w:top w:val="none" w:sz="0" w:space="0" w:color="auto"/>
            <w:left w:val="none" w:sz="0" w:space="0" w:color="auto"/>
            <w:bottom w:val="none" w:sz="0" w:space="0" w:color="auto"/>
            <w:right w:val="none" w:sz="0" w:space="0" w:color="auto"/>
          </w:divBdr>
          <w:divsChild>
            <w:div w:id="1292370869">
              <w:marLeft w:val="0"/>
              <w:marRight w:val="0"/>
              <w:marTop w:val="0"/>
              <w:marBottom w:val="0"/>
              <w:divBdr>
                <w:top w:val="none" w:sz="0" w:space="0" w:color="auto"/>
                <w:left w:val="none" w:sz="0" w:space="0" w:color="auto"/>
                <w:bottom w:val="none" w:sz="0" w:space="0" w:color="auto"/>
                <w:right w:val="none" w:sz="0" w:space="0" w:color="auto"/>
              </w:divBdr>
              <w:divsChild>
                <w:div w:id="1609583923">
                  <w:marLeft w:val="0"/>
                  <w:marRight w:val="0"/>
                  <w:marTop w:val="0"/>
                  <w:marBottom w:val="0"/>
                  <w:divBdr>
                    <w:top w:val="none" w:sz="0" w:space="0" w:color="auto"/>
                    <w:left w:val="none" w:sz="0" w:space="0" w:color="auto"/>
                    <w:bottom w:val="none" w:sz="0" w:space="0" w:color="auto"/>
                    <w:right w:val="none" w:sz="0" w:space="0" w:color="auto"/>
                  </w:divBdr>
                  <w:divsChild>
                    <w:div w:id="757679945">
                      <w:marLeft w:val="0"/>
                      <w:marRight w:val="0"/>
                      <w:marTop w:val="0"/>
                      <w:marBottom w:val="0"/>
                      <w:divBdr>
                        <w:top w:val="none" w:sz="0" w:space="0" w:color="auto"/>
                        <w:left w:val="none" w:sz="0" w:space="0" w:color="auto"/>
                        <w:bottom w:val="none" w:sz="0" w:space="0" w:color="auto"/>
                        <w:right w:val="none" w:sz="0" w:space="0" w:color="auto"/>
                      </w:divBdr>
                      <w:divsChild>
                        <w:div w:id="1427389062">
                          <w:marLeft w:val="0"/>
                          <w:marRight w:val="0"/>
                          <w:marTop w:val="0"/>
                          <w:marBottom w:val="0"/>
                          <w:divBdr>
                            <w:top w:val="none" w:sz="0" w:space="0" w:color="auto"/>
                            <w:left w:val="none" w:sz="0" w:space="0" w:color="auto"/>
                            <w:bottom w:val="none" w:sz="0" w:space="0" w:color="auto"/>
                            <w:right w:val="none" w:sz="0" w:space="0" w:color="auto"/>
                          </w:divBdr>
                          <w:divsChild>
                            <w:div w:id="10461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91049">
      <w:bodyDiv w:val="1"/>
      <w:marLeft w:val="0"/>
      <w:marRight w:val="0"/>
      <w:marTop w:val="0"/>
      <w:marBottom w:val="0"/>
      <w:divBdr>
        <w:top w:val="none" w:sz="0" w:space="0" w:color="auto"/>
        <w:left w:val="none" w:sz="0" w:space="0" w:color="auto"/>
        <w:bottom w:val="none" w:sz="0" w:space="0" w:color="auto"/>
        <w:right w:val="none" w:sz="0" w:space="0" w:color="auto"/>
      </w:divBdr>
    </w:div>
    <w:div w:id="211577218">
      <w:bodyDiv w:val="1"/>
      <w:marLeft w:val="0"/>
      <w:marRight w:val="0"/>
      <w:marTop w:val="0"/>
      <w:marBottom w:val="0"/>
      <w:divBdr>
        <w:top w:val="none" w:sz="0" w:space="0" w:color="auto"/>
        <w:left w:val="none" w:sz="0" w:space="0" w:color="auto"/>
        <w:bottom w:val="none" w:sz="0" w:space="0" w:color="auto"/>
        <w:right w:val="none" w:sz="0" w:space="0" w:color="auto"/>
      </w:divBdr>
    </w:div>
    <w:div w:id="211618248">
      <w:bodyDiv w:val="1"/>
      <w:marLeft w:val="0"/>
      <w:marRight w:val="0"/>
      <w:marTop w:val="0"/>
      <w:marBottom w:val="0"/>
      <w:divBdr>
        <w:top w:val="none" w:sz="0" w:space="0" w:color="auto"/>
        <w:left w:val="none" w:sz="0" w:space="0" w:color="auto"/>
        <w:bottom w:val="none" w:sz="0" w:space="0" w:color="auto"/>
        <w:right w:val="none" w:sz="0" w:space="0" w:color="auto"/>
      </w:divBdr>
    </w:div>
    <w:div w:id="214203233">
      <w:bodyDiv w:val="1"/>
      <w:marLeft w:val="0"/>
      <w:marRight w:val="0"/>
      <w:marTop w:val="0"/>
      <w:marBottom w:val="0"/>
      <w:divBdr>
        <w:top w:val="none" w:sz="0" w:space="0" w:color="auto"/>
        <w:left w:val="none" w:sz="0" w:space="0" w:color="auto"/>
        <w:bottom w:val="none" w:sz="0" w:space="0" w:color="auto"/>
        <w:right w:val="none" w:sz="0" w:space="0" w:color="auto"/>
      </w:divBdr>
    </w:div>
    <w:div w:id="241914931">
      <w:bodyDiv w:val="1"/>
      <w:marLeft w:val="0"/>
      <w:marRight w:val="0"/>
      <w:marTop w:val="0"/>
      <w:marBottom w:val="0"/>
      <w:divBdr>
        <w:top w:val="none" w:sz="0" w:space="0" w:color="auto"/>
        <w:left w:val="none" w:sz="0" w:space="0" w:color="auto"/>
        <w:bottom w:val="none" w:sz="0" w:space="0" w:color="auto"/>
        <w:right w:val="none" w:sz="0" w:space="0" w:color="auto"/>
      </w:divBdr>
    </w:div>
    <w:div w:id="250117251">
      <w:bodyDiv w:val="1"/>
      <w:marLeft w:val="0"/>
      <w:marRight w:val="0"/>
      <w:marTop w:val="0"/>
      <w:marBottom w:val="0"/>
      <w:divBdr>
        <w:top w:val="none" w:sz="0" w:space="0" w:color="auto"/>
        <w:left w:val="none" w:sz="0" w:space="0" w:color="auto"/>
        <w:bottom w:val="none" w:sz="0" w:space="0" w:color="auto"/>
        <w:right w:val="none" w:sz="0" w:space="0" w:color="auto"/>
      </w:divBdr>
    </w:div>
    <w:div w:id="253826623">
      <w:bodyDiv w:val="1"/>
      <w:marLeft w:val="0"/>
      <w:marRight w:val="0"/>
      <w:marTop w:val="0"/>
      <w:marBottom w:val="0"/>
      <w:divBdr>
        <w:top w:val="none" w:sz="0" w:space="0" w:color="auto"/>
        <w:left w:val="none" w:sz="0" w:space="0" w:color="auto"/>
        <w:bottom w:val="none" w:sz="0" w:space="0" w:color="auto"/>
        <w:right w:val="none" w:sz="0" w:space="0" w:color="auto"/>
      </w:divBdr>
    </w:div>
    <w:div w:id="258876030">
      <w:bodyDiv w:val="1"/>
      <w:marLeft w:val="0"/>
      <w:marRight w:val="0"/>
      <w:marTop w:val="0"/>
      <w:marBottom w:val="0"/>
      <w:divBdr>
        <w:top w:val="none" w:sz="0" w:space="0" w:color="auto"/>
        <w:left w:val="none" w:sz="0" w:space="0" w:color="auto"/>
        <w:bottom w:val="none" w:sz="0" w:space="0" w:color="auto"/>
        <w:right w:val="none" w:sz="0" w:space="0" w:color="auto"/>
      </w:divBdr>
    </w:div>
    <w:div w:id="300118215">
      <w:bodyDiv w:val="1"/>
      <w:marLeft w:val="0"/>
      <w:marRight w:val="0"/>
      <w:marTop w:val="0"/>
      <w:marBottom w:val="0"/>
      <w:divBdr>
        <w:top w:val="none" w:sz="0" w:space="0" w:color="auto"/>
        <w:left w:val="none" w:sz="0" w:space="0" w:color="auto"/>
        <w:bottom w:val="none" w:sz="0" w:space="0" w:color="auto"/>
        <w:right w:val="none" w:sz="0" w:space="0" w:color="auto"/>
      </w:divBdr>
      <w:divsChild>
        <w:div w:id="724841616">
          <w:marLeft w:val="0"/>
          <w:marRight w:val="0"/>
          <w:marTop w:val="0"/>
          <w:marBottom w:val="0"/>
          <w:divBdr>
            <w:top w:val="none" w:sz="0" w:space="0" w:color="auto"/>
            <w:left w:val="none" w:sz="0" w:space="0" w:color="auto"/>
            <w:bottom w:val="none" w:sz="0" w:space="0" w:color="auto"/>
            <w:right w:val="none" w:sz="0" w:space="0" w:color="auto"/>
          </w:divBdr>
        </w:div>
      </w:divsChild>
    </w:div>
    <w:div w:id="302273989">
      <w:bodyDiv w:val="1"/>
      <w:marLeft w:val="0"/>
      <w:marRight w:val="0"/>
      <w:marTop w:val="0"/>
      <w:marBottom w:val="0"/>
      <w:divBdr>
        <w:top w:val="none" w:sz="0" w:space="0" w:color="auto"/>
        <w:left w:val="none" w:sz="0" w:space="0" w:color="auto"/>
        <w:bottom w:val="none" w:sz="0" w:space="0" w:color="auto"/>
        <w:right w:val="none" w:sz="0" w:space="0" w:color="auto"/>
      </w:divBdr>
      <w:divsChild>
        <w:div w:id="578443951">
          <w:blockQuote w:val="1"/>
          <w:marLeft w:val="720"/>
          <w:marRight w:val="720"/>
          <w:marTop w:val="100"/>
          <w:marBottom w:val="0"/>
          <w:divBdr>
            <w:top w:val="none" w:sz="0" w:space="0" w:color="auto"/>
            <w:left w:val="none" w:sz="0" w:space="0" w:color="auto"/>
            <w:bottom w:val="none" w:sz="0" w:space="0" w:color="auto"/>
            <w:right w:val="none" w:sz="0" w:space="0" w:color="auto"/>
          </w:divBdr>
          <w:divsChild>
            <w:div w:id="14109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62482">
      <w:bodyDiv w:val="1"/>
      <w:marLeft w:val="0"/>
      <w:marRight w:val="0"/>
      <w:marTop w:val="0"/>
      <w:marBottom w:val="0"/>
      <w:divBdr>
        <w:top w:val="none" w:sz="0" w:space="0" w:color="auto"/>
        <w:left w:val="none" w:sz="0" w:space="0" w:color="auto"/>
        <w:bottom w:val="none" w:sz="0" w:space="0" w:color="auto"/>
        <w:right w:val="none" w:sz="0" w:space="0" w:color="auto"/>
      </w:divBdr>
      <w:divsChild>
        <w:div w:id="821700488">
          <w:marLeft w:val="0"/>
          <w:marRight w:val="0"/>
          <w:marTop w:val="0"/>
          <w:marBottom w:val="0"/>
          <w:divBdr>
            <w:top w:val="none" w:sz="0" w:space="0" w:color="auto"/>
            <w:left w:val="none" w:sz="0" w:space="0" w:color="auto"/>
            <w:bottom w:val="none" w:sz="0" w:space="0" w:color="auto"/>
            <w:right w:val="none" w:sz="0" w:space="0" w:color="auto"/>
          </w:divBdr>
          <w:divsChild>
            <w:div w:id="1249465665">
              <w:marLeft w:val="0"/>
              <w:marRight w:val="0"/>
              <w:marTop w:val="0"/>
              <w:marBottom w:val="0"/>
              <w:divBdr>
                <w:top w:val="none" w:sz="0" w:space="0" w:color="auto"/>
                <w:left w:val="none" w:sz="0" w:space="0" w:color="auto"/>
                <w:bottom w:val="none" w:sz="0" w:space="0" w:color="auto"/>
                <w:right w:val="none" w:sz="0" w:space="0" w:color="auto"/>
              </w:divBdr>
              <w:divsChild>
                <w:div w:id="84563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5971">
      <w:bodyDiv w:val="1"/>
      <w:marLeft w:val="0"/>
      <w:marRight w:val="0"/>
      <w:marTop w:val="0"/>
      <w:marBottom w:val="0"/>
      <w:divBdr>
        <w:top w:val="none" w:sz="0" w:space="0" w:color="auto"/>
        <w:left w:val="none" w:sz="0" w:space="0" w:color="auto"/>
        <w:bottom w:val="none" w:sz="0" w:space="0" w:color="auto"/>
        <w:right w:val="none" w:sz="0" w:space="0" w:color="auto"/>
      </w:divBdr>
    </w:div>
    <w:div w:id="382293871">
      <w:bodyDiv w:val="1"/>
      <w:marLeft w:val="0"/>
      <w:marRight w:val="0"/>
      <w:marTop w:val="0"/>
      <w:marBottom w:val="0"/>
      <w:divBdr>
        <w:top w:val="none" w:sz="0" w:space="0" w:color="auto"/>
        <w:left w:val="none" w:sz="0" w:space="0" w:color="auto"/>
        <w:bottom w:val="none" w:sz="0" w:space="0" w:color="auto"/>
        <w:right w:val="none" w:sz="0" w:space="0" w:color="auto"/>
      </w:divBdr>
    </w:div>
    <w:div w:id="402724624">
      <w:bodyDiv w:val="1"/>
      <w:marLeft w:val="0"/>
      <w:marRight w:val="0"/>
      <w:marTop w:val="0"/>
      <w:marBottom w:val="0"/>
      <w:divBdr>
        <w:top w:val="none" w:sz="0" w:space="0" w:color="auto"/>
        <w:left w:val="none" w:sz="0" w:space="0" w:color="auto"/>
        <w:bottom w:val="none" w:sz="0" w:space="0" w:color="auto"/>
        <w:right w:val="none" w:sz="0" w:space="0" w:color="auto"/>
      </w:divBdr>
    </w:div>
    <w:div w:id="431515235">
      <w:bodyDiv w:val="1"/>
      <w:marLeft w:val="0"/>
      <w:marRight w:val="0"/>
      <w:marTop w:val="0"/>
      <w:marBottom w:val="0"/>
      <w:divBdr>
        <w:top w:val="none" w:sz="0" w:space="0" w:color="auto"/>
        <w:left w:val="none" w:sz="0" w:space="0" w:color="auto"/>
        <w:bottom w:val="none" w:sz="0" w:space="0" w:color="auto"/>
        <w:right w:val="none" w:sz="0" w:space="0" w:color="auto"/>
      </w:divBdr>
    </w:div>
    <w:div w:id="432944203">
      <w:bodyDiv w:val="1"/>
      <w:marLeft w:val="0"/>
      <w:marRight w:val="0"/>
      <w:marTop w:val="0"/>
      <w:marBottom w:val="0"/>
      <w:divBdr>
        <w:top w:val="none" w:sz="0" w:space="0" w:color="auto"/>
        <w:left w:val="none" w:sz="0" w:space="0" w:color="auto"/>
        <w:bottom w:val="none" w:sz="0" w:space="0" w:color="auto"/>
        <w:right w:val="none" w:sz="0" w:space="0" w:color="auto"/>
      </w:divBdr>
    </w:div>
    <w:div w:id="451823436">
      <w:bodyDiv w:val="1"/>
      <w:marLeft w:val="0"/>
      <w:marRight w:val="0"/>
      <w:marTop w:val="0"/>
      <w:marBottom w:val="0"/>
      <w:divBdr>
        <w:top w:val="none" w:sz="0" w:space="0" w:color="auto"/>
        <w:left w:val="none" w:sz="0" w:space="0" w:color="auto"/>
        <w:bottom w:val="none" w:sz="0" w:space="0" w:color="auto"/>
        <w:right w:val="none" w:sz="0" w:space="0" w:color="auto"/>
      </w:divBdr>
    </w:div>
    <w:div w:id="452291973">
      <w:bodyDiv w:val="1"/>
      <w:marLeft w:val="0"/>
      <w:marRight w:val="0"/>
      <w:marTop w:val="0"/>
      <w:marBottom w:val="0"/>
      <w:divBdr>
        <w:top w:val="none" w:sz="0" w:space="0" w:color="auto"/>
        <w:left w:val="none" w:sz="0" w:space="0" w:color="auto"/>
        <w:bottom w:val="none" w:sz="0" w:space="0" w:color="auto"/>
        <w:right w:val="none" w:sz="0" w:space="0" w:color="auto"/>
      </w:divBdr>
    </w:div>
    <w:div w:id="477651368">
      <w:bodyDiv w:val="1"/>
      <w:marLeft w:val="0"/>
      <w:marRight w:val="0"/>
      <w:marTop w:val="0"/>
      <w:marBottom w:val="0"/>
      <w:divBdr>
        <w:top w:val="none" w:sz="0" w:space="0" w:color="auto"/>
        <w:left w:val="none" w:sz="0" w:space="0" w:color="auto"/>
        <w:bottom w:val="none" w:sz="0" w:space="0" w:color="auto"/>
        <w:right w:val="none" w:sz="0" w:space="0" w:color="auto"/>
      </w:divBdr>
    </w:div>
    <w:div w:id="484274130">
      <w:bodyDiv w:val="1"/>
      <w:marLeft w:val="0"/>
      <w:marRight w:val="0"/>
      <w:marTop w:val="0"/>
      <w:marBottom w:val="0"/>
      <w:divBdr>
        <w:top w:val="none" w:sz="0" w:space="0" w:color="auto"/>
        <w:left w:val="none" w:sz="0" w:space="0" w:color="auto"/>
        <w:bottom w:val="none" w:sz="0" w:space="0" w:color="auto"/>
        <w:right w:val="none" w:sz="0" w:space="0" w:color="auto"/>
      </w:divBdr>
    </w:div>
    <w:div w:id="488716352">
      <w:bodyDiv w:val="1"/>
      <w:marLeft w:val="0"/>
      <w:marRight w:val="0"/>
      <w:marTop w:val="0"/>
      <w:marBottom w:val="0"/>
      <w:divBdr>
        <w:top w:val="none" w:sz="0" w:space="0" w:color="auto"/>
        <w:left w:val="none" w:sz="0" w:space="0" w:color="auto"/>
        <w:bottom w:val="none" w:sz="0" w:space="0" w:color="auto"/>
        <w:right w:val="none" w:sz="0" w:space="0" w:color="auto"/>
      </w:divBdr>
    </w:div>
    <w:div w:id="499199451">
      <w:bodyDiv w:val="1"/>
      <w:marLeft w:val="0"/>
      <w:marRight w:val="0"/>
      <w:marTop w:val="0"/>
      <w:marBottom w:val="0"/>
      <w:divBdr>
        <w:top w:val="none" w:sz="0" w:space="0" w:color="auto"/>
        <w:left w:val="none" w:sz="0" w:space="0" w:color="auto"/>
        <w:bottom w:val="none" w:sz="0" w:space="0" w:color="auto"/>
        <w:right w:val="none" w:sz="0" w:space="0" w:color="auto"/>
      </w:divBdr>
      <w:divsChild>
        <w:div w:id="1113942538">
          <w:blockQuote w:val="1"/>
          <w:marLeft w:val="720"/>
          <w:marRight w:val="720"/>
          <w:marTop w:val="100"/>
          <w:marBottom w:val="0"/>
          <w:divBdr>
            <w:top w:val="none" w:sz="0" w:space="0" w:color="auto"/>
            <w:left w:val="none" w:sz="0" w:space="0" w:color="auto"/>
            <w:bottom w:val="none" w:sz="0" w:space="0" w:color="auto"/>
            <w:right w:val="none" w:sz="0" w:space="0" w:color="auto"/>
          </w:divBdr>
          <w:divsChild>
            <w:div w:id="210672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3657">
      <w:bodyDiv w:val="1"/>
      <w:marLeft w:val="0"/>
      <w:marRight w:val="0"/>
      <w:marTop w:val="0"/>
      <w:marBottom w:val="0"/>
      <w:divBdr>
        <w:top w:val="none" w:sz="0" w:space="0" w:color="auto"/>
        <w:left w:val="none" w:sz="0" w:space="0" w:color="auto"/>
        <w:bottom w:val="none" w:sz="0" w:space="0" w:color="auto"/>
        <w:right w:val="none" w:sz="0" w:space="0" w:color="auto"/>
      </w:divBdr>
    </w:div>
    <w:div w:id="539709153">
      <w:bodyDiv w:val="1"/>
      <w:marLeft w:val="0"/>
      <w:marRight w:val="0"/>
      <w:marTop w:val="0"/>
      <w:marBottom w:val="0"/>
      <w:divBdr>
        <w:top w:val="none" w:sz="0" w:space="0" w:color="auto"/>
        <w:left w:val="none" w:sz="0" w:space="0" w:color="auto"/>
        <w:bottom w:val="none" w:sz="0" w:space="0" w:color="auto"/>
        <w:right w:val="none" w:sz="0" w:space="0" w:color="auto"/>
      </w:divBdr>
      <w:divsChild>
        <w:div w:id="1898514766">
          <w:marLeft w:val="0"/>
          <w:marRight w:val="0"/>
          <w:marTop w:val="0"/>
          <w:marBottom w:val="0"/>
          <w:divBdr>
            <w:top w:val="none" w:sz="0" w:space="0" w:color="auto"/>
            <w:left w:val="none" w:sz="0" w:space="0" w:color="auto"/>
            <w:bottom w:val="none" w:sz="0" w:space="0" w:color="auto"/>
            <w:right w:val="none" w:sz="0" w:space="0" w:color="auto"/>
          </w:divBdr>
        </w:div>
        <w:div w:id="230165249">
          <w:marLeft w:val="0"/>
          <w:marRight w:val="0"/>
          <w:marTop w:val="0"/>
          <w:marBottom w:val="0"/>
          <w:divBdr>
            <w:top w:val="none" w:sz="0" w:space="0" w:color="auto"/>
            <w:left w:val="none" w:sz="0" w:space="0" w:color="auto"/>
            <w:bottom w:val="none" w:sz="0" w:space="0" w:color="auto"/>
            <w:right w:val="none" w:sz="0" w:space="0" w:color="auto"/>
          </w:divBdr>
        </w:div>
        <w:div w:id="884753604">
          <w:marLeft w:val="0"/>
          <w:marRight w:val="0"/>
          <w:marTop w:val="0"/>
          <w:marBottom w:val="0"/>
          <w:divBdr>
            <w:top w:val="none" w:sz="0" w:space="0" w:color="auto"/>
            <w:left w:val="none" w:sz="0" w:space="0" w:color="auto"/>
            <w:bottom w:val="none" w:sz="0" w:space="0" w:color="auto"/>
            <w:right w:val="none" w:sz="0" w:space="0" w:color="auto"/>
          </w:divBdr>
        </w:div>
        <w:div w:id="1030909909">
          <w:marLeft w:val="0"/>
          <w:marRight w:val="0"/>
          <w:marTop w:val="0"/>
          <w:marBottom w:val="0"/>
          <w:divBdr>
            <w:top w:val="none" w:sz="0" w:space="0" w:color="auto"/>
            <w:left w:val="none" w:sz="0" w:space="0" w:color="auto"/>
            <w:bottom w:val="none" w:sz="0" w:space="0" w:color="auto"/>
            <w:right w:val="none" w:sz="0" w:space="0" w:color="auto"/>
          </w:divBdr>
        </w:div>
        <w:div w:id="1250188317">
          <w:marLeft w:val="0"/>
          <w:marRight w:val="0"/>
          <w:marTop w:val="0"/>
          <w:marBottom w:val="120"/>
          <w:divBdr>
            <w:top w:val="single" w:sz="6" w:space="0" w:color="auto"/>
            <w:left w:val="single" w:sz="6" w:space="0" w:color="auto"/>
            <w:bottom w:val="single" w:sz="6" w:space="0" w:color="auto"/>
            <w:right w:val="single" w:sz="6" w:space="0" w:color="auto"/>
          </w:divBdr>
        </w:div>
        <w:div w:id="1890142434">
          <w:marLeft w:val="0"/>
          <w:marRight w:val="0"/>
          <w:marTop w:val="0"/>
          <w:marBottom w:val="0"/>
          <w:divBdr>
            <w:top w:val="none" w:sz="0" w:space="0" w:color="auto"/>
            <w:left w:val="none" w:sz="0" w:space="0" w:color="auto"/>
            <w:bottom w:val="none" w:sz="0" w:space="0" w:color="auto"/>
            <w:right w:val="none" w:sz="0" w:space="0" w:color="auto"/>
          </w:divBdr>
        </w:div>
        <w:div w:id="2132165991">
          <w:marLeft w:val="0"/>
          <w:marRight w:val="0"/>
          <w:marTop w:val="0"/>
          <w:marBottom w:val="0"/>
          <w:divBdr>
            <w:top w:val="none" w:sz="0" w:space="0" w:color="auto"/>
            <w:left w:val="none" w:sz="0" w:space="0" w:color="auto"/>
            <w:bottom w:val="none" w:sz="0" w:space="0" w:color="auto"/>
            <w:right w:val="none" w:sz="0" w:space="0" w:color="auto"/>
          </w:divBdr>
        </w:div>
      </w:divsChild>
    </w:div>
    <w:div w:id="543176232">
      <w:bodyDiv w:val="1"/>
      <w:marLeft w:val="0"/>
      <w:marRight w:val="0"/>
      <w:marTop w:val="0"/>
      <w:marBottom w:val="0"/>
      <w:divBdr>
        <w:top w:val="none" w:sz="0" w:space="0" w:color="auto"/>
        <w:left w:val="none" w:sz="0" w:space="0" w:color="auto"/>
        <w:bottom w:val="none" w:sz="0" w:space="0" w:color="auto"/>
        <w:right w:val="none" w:sz="0" w:space="0" w:color="auto"/>
      </w:divBdr>
      <w:divsChild>
        <w:div w:id="682245435">
          <w:marLeft w:val="-720"/>
          <w:marRight w:val="0"/>
          <w:marTop w:val="0"/>
          <w:marBottom w:val="0"/>
          <w:divBdr>
            <w:top w:val="none" w:sz="0" w:space="0" w:color="auto"/>
            <w:left w:val="none" w:sz="0" w:space="0" w:color="auto"/>
            <w:bottom w:val="none" w:sz="0" w:space="0" w:color="auto"/>
            <w:right w:val="none" w:sz="0" w:space="0" w:color="auto"/>
          </w:divBdr>
        </w:div>
      </w:divsChild>
    </w:div>
    <w:div w:id="557938651">
      <w:bodyDiv w:val="1"/>
      <w:marLeft w:val="0"/>
      <w:marRight w:val="0"/>
      <w:marTop w:val="0"/>
      <w:marBottom w:val="0"/>
      <w:divBdr>
        <w:top w:val="none" w:sz="0" w:space="0" w:color="auto"/>
        <w:left w:val="none" w:sz="0" w:space="0" w:color="auto"/>
        <w:bottom w:val="none" w:sz="0" w:space="0" w:color="auto"/>
        <w:right w:val="none" w:sz="0" w:space="0" w:color="auto"/>
      </w:divBdr>
    </w:div>
    <w:div w:id="566191324">
      <w:bodyDiv w:val="1"/>
      <w:marLeft w:val="0"/>
      <w:marRight w:val="0"/>
      <w:marTop w:val="0"/>
      <w:marBottom w:val="0"/>
      <w:divBdr>
        <w:top w:val="none" w:sz="0" w:space="0" w:color="auto"/>
        <w:left w:val="none" w:sz="0" w:space="0" w:color="auto"/>
        <w:bottom w:val="none" w:sz="0" w:space="0" w:color="auto"/>
        <w:right w:val="none" w:sz="0" w:space="0" w:color="auto"/>
      </w:divBdr>
    </w:div>
    <w:div w:id="568420582">
      <w:bodyDiv w:val="1"/>
      <w:marLeft w:val="0"/>
      <w:marRight w:val="0"/>
      <w:marTop w:val="0"/>
      <w:marBottom w:val="0"/>
      <w:divBdr>
        <w:top w:val="none" w:sz="0" w:space="0" w:color="auto"/>
        <w:left w:val="none" w:sz="0" w:space="0" w:color="auto"/>
        <w:bottom w:val="none" w:sz="0" w:space="0" w:color="auto"/>
        <w:right w:val="none" w:sz="0" w:space="0" w:color="auto"/>
      </w:divBdr>
    </w:div>
    <w:div w:id="569081158">
      <w:bodyDiv w:val="1"/>
      <w:marLeft w:val="0"/>
      <w:marRight w:val="0"/>
      <w:marTop w:val="0"/>
      <w:marBottom w:val="0"/>
      <w:divBdr>
        <w:top w:val="none" w:sz="0" w:space="0" w:color="auto"/>
        <w:left w:val="none" w:sz="0" w:space="0" w:color="auto"/>
        <w:bottom w:val="none" w:sz="0" w:space="0" w:color="auto"/>
        <w:right w:val="none" w:sz="0" w:space="0" w:color="auto"/>
      </w:divBdr>
    </w:div>
    <w:div w:id="575431864">
      <w:bodyDiv w:val="1"/>
      <w:marLeft w:val="0"/>
      <w:marRight w:val="0"/>
      <w:marTop w:val="0"/>
      <w:marBottom w:val="0"/>
      <w:divBdr>
        <w:top w:val="none" w:sz="0" w:space="0" w:color="auto"/>
        <w:left w:val="none" w:sz="0" w:space="0" w:color="auto"/>
        <w:bottom w:val="none" w:sz="0" w:space="0" w:color="auto"/>
        <w:right w:val="none" w:sz="0" w:space="0" w:color="auto"/>
      </w:divBdr>
    </w:div>
    <w:div w:id="585843665">
      <w:bodyDiv w:val="1"/>
      <w:marLeft w:val="0"/>
      <w:marRight w:val="0"/>
      <w:marTop w:val="0"/>
      <w:marBottom w:val="0"/>
      <w:divBdr>
        <w:top w:val="none" w:sz="0" w:space="0" w:color="auto"/>
        <w:left w:val="none" w:sz="0" w:space="0" w:color="auto"/>
        <w:bottom w:val="none" w:sz="0" w:space="0" w:color="auto"/>
        <w:right w:val="none" w:sz="0" w:space="0" w:color="auto"/>
      </w:divBdr>
    </w:div>
    <w:div w:id="595334429">
      <w:bodyDiv w:val="1"/>
      <w:marLeft w:val="0"/>
      <w:marRight w:val="0"/>
      <w:marTop w:val="0"/>
      <w:marBottom w:val="0"/>
      <w:divBdr>
        <w:top w:val="none" w:sz="0" w:space="0" w:color="auto"/>
        <w:left w:val="none" w:sz="0" w:space="0" w:color="auto"/>
        <w:bottom w:val="none" w:sz="0" w:space="0" w:color="auto"/>
        <w:right w:val="none" w:sz="0" w:space="0" w:color="auto"/>
      </w:divBdr>
    </w:div>
    <w:div w:id="595746543">
      <w:bodyDiv w:val="1"/>
      <w:marLeft w:val="0"/>
      <w:marRight w:val="0"/>
      <w:marTop w:val="0"/>
      <w:marBottom w:val="0"/>
      <w:divBdr>
        <w:top w:val="none" w:sz="0" w:space="0" w:color="auto"/>
        <w:left w:val="none" w:sz="0" w:space="0" w:color="auto"/>
        <w:bottom w:val="none" w:sz="0" w:space="0" w:color="auto"/>
        <w:right w:val="none" w:sz="0" w:space="0" w:color="auto"/>
      </w:divBdr>
    </w:div>
    <w:div w:id="608902454">
      <w:bodyDiv w:val="1"/>
      <w:marLeft w:val="0"/>
      <w:marRight w:val="0"/>
      <w:marTop w:val="0"/>
      <w:marBottom w:val="0"/>
      <w:divBdr>
        <w:top w:val="none" w:sz="0" w:space="0" w:color="auto"/>
        <w:left w:val="none" w:sz="0" w:space="0" w:color="auto"/>
        <w:bottom w:val="none" w:sz="0" w:space="0" w:color="auto"/>
        <w:right w:val="none" w:sz="0" w:space="0" w:color="auto"/>
      </w:divBdr>
    </w:div>
    <w:div w:id="627662672">
      <w:bodyDiv w:val="1"/>
      <w:marLeft w:val="0"/>
      <w:marRight w:val="0"/>
      <w:marTop w:val="0"/>
      <w:marBottom w:val="0"/>
      <w:divBdr>
        <w:top w:val="none" w:sz="0" w:space="0" w:color="auto"/>
        <w:left w:val="none" w:sz="0" w:space="0" w:color="auto"/>
        <w:bottom w:val="none" w:sz="0" w:space="0" w:color="auto"/>
        <w:right w:val="none" w:sz="0" w:space="0" w:color="auto"/>
      </w:divBdr>
    </w:div>
    <w:div w:id="633683617">
      <w:bodyDiv w:val="1"/>
      <w:marLeft w:val="0"/>
      <w:marRight w:val="0"/>
      <w:marTop w:val="0"/>
      <w:marBottom w:val="0"/>
      <w:divBdr>
        <w:top w:val="none" w:sz="0" w:space="0" w:color="auto"/>
        <w:left w:val="none" w:sz="0" w:space="0" w:color="auto"/>
        <w:bottom w:val="none" w:sz="0" w:space="0" w:color="auto"/>
        <w:right w:val="none" w:sz="0" w:space="0" w:color="auto"/>
      </w:divBdr>
      <w:divsChild>
        <w:div w:id="77866942">
          <w:marLeft w:val="-720"/>
          <w:marRight w:val="0"/>
          <w:marTop w:val="0"/>
          <w:marBottom w:val="0"/>
          <w:divBdr>
            <w:top w:val="none" w:sz="0" w:space="0" w:color="auto"/>
            <w:left w:val="none" w:sz="0" w:space="0" w:color="auto"/>
            <w:bottom w:val="none" w:sz="0" w:space="0" w:color="auto"/>
            <w:right w:val="none" w:sz="0" w:space="0" w:color="auto"/>
          </w:divBdr>
        </w:div>
      </w:divsChild>
    </w:div>
    <w:div w:id="635452648">
      <w:bodyDiv w:val="1"/>
      <w:marLeft w:val="0"/>
      <w:marRight w:val="0"/>
      <w:marTop w:val="0"/>
      <w:marBottom w:val="0"/>
      <w:divBdr>
        <w:top w:val="none" w:sz="0" w:space="0" w:color="auto"/>
        <w:left w:val="none" w:sz="0" w:space="0" w:color="auto"/>
        <w:bottom w:val="none" w:sz="0" w:space="0" w:color="auto"/>
        <w:right w:val="none" w:sz="0" w:space="0" w:color="auto"/>
      </w:divBdr>
      <w:divsChild>
        <w:div w:id="2043552237">
          <w:marLeft w:val="-720"/>
          <w:marRight w:val="0"/>
          <w:marTop w:val="0"/>
          <w:marBottom w:val="0"/>
          <w:divBdr>
            <w:top w:val="none" w:sz="0" w:space="0" w:color="auto"/>
            <w:left w:val="none" w:sz="0" w:space="0" w:color="auto"/>
            <w:bottom w:val="none" w:sz="0" w:space="0" w:color="auto"/>
            <w:right w:val="none" w:sz="0" w:space="0" w:color="auto"/>
          </w:divBdr>
        </w:div>
      </w:divsChild>
    </w:div>
    <w:div w:id="642659192">
      <w:bodyDiv w:val="1"/>
      <w:marLeft w:val="0"/>
      <w:marRight w:val="0"/>
      <w:marTop w:val="0"/>
      <w:marBottom w:val="0"/>
      <w:divBdr>
        <w:top w:val="none" w:sz="0" w:space="0" w:color="auto"/>
        <w:left w:val="none" w:sz="0" w:space="0" w:color="auto"/>
        <w:bottom w:val="none" w:sz="0" w:space="0" w:color="auto"/>
        <w:right w:val="none" w:sz="0" w:space="0" w:color="auto"/>
      </w:divBdr>
    </w:div>
    <w:div w:id="665792867">
      <w:bodyDiv w:val="1"/>
      <w:marLeft w:val="0"/>
      <w:marRight w:val="0"/>
      <w:marTop w:val="0"/>
      <w:marBottom w:val="0"/>
      <w:divBdr>
        <w:top w:val="none" w:sz="0" w:space="0" w:color="auto"/>
        <w:left w:val="none" w:sz="0" w:space="0" w:color="auto"/>
        <w:bottom w:val="none" w:sz="0" w:space="0" w:color="auto"/>
        <w:right w:val="none" w:sz="0" w:space="0" w:color="auto"/>
      </w:divBdr>
    </w:div>
    <w:div w:id="690450452">
      <w:bodyDiv w:val="1"/>
      <w:marLeft w:val="0"/>
      <w:marRight w:val="0"/>
      <w:marTop w:val="0"/>
      <w:marBottom w:val="0"/>
      <w:divBdr>
        <w:top w:val="none" w:sz="0" w:space="0" w:color="auto"/>
        <w:left w:val="none" w:sz="0" w:space="0" w:color="auto"/>
        <w:bottom w:val="none" w:sz="0" w:space="0" w:color="auto"/>
        <w:right w:val="none" w:sz="0" w:space="0" w:color="auto"/>
      </w:divBdr>
    </w:div>
    <w:div w:id="716323586">
      <w:bodyDiv w:val="1"/>
      <w:marLeft w:val="0"/>
      <w:marRight w:val="0"/>
      <w:marTop w:val="0"/>
      <w:marBottom w:val="0"/>
      <w:divBdr>
        <w:top w:val="none" w:sz="0" w:space="0" w:color="auto"/>
        <w:left w:val="none" w:sz="0" w:space="0" w:color="auto"/>
        <w:bottom w:val="none" w:sz="0" w:space="0" w:color="auto"/>
        <w:right w:val="none" w:sz="0" w:space="0" w:color="auto"/>
      </w:divBdr>
    </w:div>
    <w:div w:id="726221510">
      <w:bodyDiv w:val="1"/>
      <w:marLeft w:val="0"/>
      <w:marRight w:val="0"/>
      <w:marTop w:val="0"/>
      <w:marBottom w:val="0"/>
      <w:divBdr>
        <w:top w:val="none" w:sz="0" w:space="0" w:color="auto"/>
        <w:left w:val="none" w:sz="0" w:space="0" w:color="auto"/>
        <w:bottom w:val="none" w:sz="0" w:space="0" w:color="auto"/>
        <w:right w:val="none" w:sz="0" w:space="0" w:color="auto"/>
      </w:divBdr>
      <w:divsChild>
        <w:div w:id="1017854194">
          <w:marLeft w:val="-720"/>
          <w:marRight w:val="0"/>
          <w:marTop w:val="0"/>
          <w:marBottom w:val="0"/>
          <w:divBdr>
            <w:top w:val="none" w:sz="0" w:space="0" w:color="auto"/>
            <w:left w:val="none" w:sz="0" w:space="0" w:color="auto"/>
            <w:bottom w:val="none" w:sz="0" w:space="0" w:color="auto"/>
            <w:right w:val="none" w:sz="0" w:space="0" w:color="auto"/>
          </w:divBdr>
        </w:div>
      </w:divsChild>
    </w:div>
    <w:div w:id="72661048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1002179">
      <w:bodyDiv w:val="1"/>
      <w:marLeft w:val="0"/>
      <w:marRight w:val="0"/>
      <w:marTop w:val="0"/>
      <w:marBottom w:val="0"/>
      <w:divBdr>
        <w:top w:val="none" w:sz="0" w:space="0" w:color="auto"/>
        <w:left w:val="none" w:sz="0" w:space="0" w:color="auto"/>
        <w:bottom w:val="none" w:sz="0" w:space="0" w:color="auto"/>
        <w:right w:val="none" w:sz="0" w:space="0" w:color="auto"/>
      </w:divBdr>
      <w:divsChild>
        <w:div w:id="1402406613">
          <w:marLeft w:val="0"/>
          <w:marRight w:val="0"/>
          <w:marTop w:val="0"/>
          <w:marBottom w:val="0"/>
          <w:divBdr>
            <w:top w:val="none" w:sz="0" w:space="0" w:color="auto"/>
            <w:left w:val="none" w:sz="0" w:space="0" w:color="auto"/>
            <w:bottom w:val="none" w:sz="0" w:space="0" w:color="auto"/>
            <w:right w:val="none" w:sz="0" w:space="0" w:color="auto"/>
          </w:divBdr>
          <w:divsChild>
            <w:div w:id="720403226">
              <w:marLeft w:val="0"/>
              <w:marRight w:val="0"/>
              <w:marTop w:val="0"/>
              <w:marBottom w:val="0"/>
              <w:divBdr>
                <w:top w:val="none" w:sz="0" w:space="0" w:color="auto"/>
                <w:left w:val="none" w:sz="0" w:space="0" w:color="auto"/>
                <w:bottom w:val="none" w:sz="0" w:space="0" w:color="auto"/>
                <w:right w:val="none" w:sz="0" w:space="0" w:color="auto"/>
              </w:divBdr>
              <w:divsChild>
                <w:div w:id="20279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625482">
      <w:bodyDiv w:val="1"/>
      <w:marLeft w:val="0"/>
      <w:marRight w:val="0"/>
      <w:marTop w:val="0"/>
      <w:marBottom w:val="0"/>
      <w:divBdr>
        <w:top w:val="none" w:sz="0" w:space="0" w:color="auto"/>
        <w:left w:val="none" w:sz="0" w:space="0" w:color="auto"/>
        <w:bottom w:val="none" w:sz="0" w:space="0" w:color="auto"/>
        <w:right w:val="none" w:sz="0" w:space="0" w:color="auto"/>
      </w:divBdr>
    </w:div>
    <w:div w:id="755251666">
      <w:bodyDiv w:val="1"/>
      <w:marLeft w:val="0"/>
      <w:marRight w:val="0"/>
      <w:marTop w:val="0"/>
      <w:marBottom w:val="0"/>
      <w:divBdr>
        <w:top w:val="none" w:sz="0" w:space="0" w:color="auto"/>
        <w:left w:val="none" w:sz="0" w:space="0" w:color="auto"/>
        <w:bottom w:val="none" w:sz="0" w:space="0" w:color="auto"/>
        <w:right w:val="none" w:sz="0" w:space="0" w:color="auto"/>
      </w:divBdr>
      <w:divsChild>
        <w:div w:id="786000758">
          <w:marLeft w:val="-720"/>
          <w:marRight w:val="0"/>
          <w:marTop w:val="0"/>
          <w:marBottom w:val="0"/>
          <w:divBdr>
            <w:top w:val="none" w:sz="0" w:space="0" w:color="auto"/>
            <w:left w:val="none" w:sz="0" w:space="0" w:color="auto"/>
            <w:bottom w:val="none" w:sz="0" w:space="0" w:color="auto"/>
            <w:right w:val="none" w:sz="0" w:space="0" w:color="auto"/>
          </w:divBdr>
        </w:div>
      </w:divsChild>
    </w:div>
    <w:div w:id="759832044">
      <w:bodyDiv w:val="1"/>
      <w:marLeft w:val="0"/>
      <w:marRight w:val="0"/>
      <w:marTop w:val="0"/>
      <w:marBottom w:val="0"/>
      <w:divBdr>
        <w:top w:val="none" w:sz="0" w:space="0" w:color="auto"/>
        <w:left w:val="none" w:sz="0" w:space="0" w:color="auto"/>
        <w:bottom w:val="none" w:sz="0" w:space="0" w:color="auto"/>
        <w:right w:val="none" w:sz="0" w:space="0" w:color="auto"/>
      </w:divBdr>
    </w:div>
    <w:div w:id="766509118">
      <w:bodyDiv w:val="1"/>
      <w:marLeft w:val="0"/>
      <w:marRight w:val="0"/>
      <w:marTop w:val="0"/>
      <w:marBottom w:val="0"/>
      <w:divBdr>
        <w:top w:val="none" w:sz="0" w:space="0" w:color="auto"/>
        <w:left w:val="none" w:sz="0" w:space="0" w:color="auto"/>
        <w:bottom w:val="none" w:sz="0" w:space="0" w:color="auto"/>
        <w:right w:val="none" w:sz="0" w:space="0" w:color="auto"/>
      </w:divBdr>
    </w:div>
    <w:div w:id="776604701">
      <w:bodyDiv w:val="1"/>
      <w:marLeft w:val="0"/>
      <w:marRight w:val="0"/>
      <w:marTop w:val="0"/>
      <w:marBottom w:val="0"/>
      <w:divBdr>
        <w:top w:val="none" w:sz="0" w:space="0" w:color="auto"/>
        <w:left w:val="none" w:sz="0" w:space="0" w:color="auto"/>
        <w:bottom w:val="none" w:sz="0" w:space="0" w:color="auto"/>
        <w:right w:val="none" w:sz="0" w:space="0" w:color="auto"/>
      </w:divBdr>
      <w:divsChild>
        <w:div w:id="1415124256">
          <w:marLeft w:val="0"/>
          <w:marRight w:val="0"/>
          <w:marTop w:val="0"/>
          <w:marBottom w:val="0"/>
          <w:divBdr>
            <w:top w:val="none" w:sz="0" w:space="0" w:color="auto"/>
            <w:left w:val="none" w:sz="0" w:space="0" w:color="auto"/>
            <w:bottom w:val="none" w:sz="0" w:space="0" w:color="auto"/>
            <w:right w:val="none" w:sz="0" w:space="0" w:color="auto"/>
          </w:divBdr>
        </w:div>
        <w:div w:id="128981776">
          <w:marLeft w:val="0"/>
          <w:marRight w:val="0"/>
          <w:marTop w:val="0"/>
          <w:marBottom w:val="0"/>
          <w:divBdr>
            <w:top w:val="none" w:sz="0" w:space="0" w:color="auto"/>
            <w:left w:val="none" w:sz="0" w:space="0" w:color="auto"/>
            <w:bottom w:val="none" w:sz="0" w:space="0" w:color="auto"/>
            <w:right w:val="none" w:sz="0" w:space="0" w:color="auto"/>
          </w:divBdr>
        </w:div>
        <w:div w:id="1331327417">
          <w:marLeft w:val="0"/>
          <w:marRight w:val="0"/>
          <w:marTop w:val="0"/>
          <w:marBottom w:val="0"/>
          <w:divBdr>
            <w:top w:val="none" w:sz="0" w:space="0" w:color="auto"/>
            <w:left w:val="none" w:sz="0" w:space="0" w:color="auto"/>
            <w:bottom w:val="none" w:sz="0" w:space="0" w:color="auto"/>
            <w:right w:val="none" w:sz="0" w:space="0" w:color="auto"/>
          </w:divBdr>
        </w:div>
        <w:div w:id="1769809676">
          <w:marLeft w:val="0"/>
          <w:marRight w:val="0"/>
          <w:marTop w:val="0"/>
          <w:marBottom w:val="0"/>
          <w:divBdr>
            <w:top w:val="none" w:sz="0" w:space="0" w:color="auto"/>
            <w:left w:val="none" w:sz="0" w:space="0" w:color="auto"/>
            <w:bottom w:val="none" w:sz="0" w:space="0" w:color="auto"/>
            <w:right w:val="none" w:sz="0" w:space="0" w:color="auto"/>
          </w:divBdr>
        </w:div>
        <w:div w:id="296031450">
          <w:marLeft w:val="0"/>
          <w:marRight w:val="0"/>
          <w:marTop w:val="0"/>
          <w:marBottom w:val="0"/>
          <w:divBdr>
            <w:top w:val="none" w:sz="0" w:space="0" w:color="auto"/>
            <w:left w:val="none" w:sz="0" w:space="0" w:color="auto"/>
            <w:bottom w:val="none" w:sz="0" w:space="0" w:color="auto"/>
            <w:right w:val="none" w:sz="0" w:space="0" w:color="auto"/>
          </w:divBdr>
        </w:div>
        <w:div w:id="1794516763">
          <w:marLeft w:val="0"/>
          <w:marRight w:val="0"/>
          <w:marTop w:val="0"/>
          <w:marBottom w:val="0"/>
          <w:divBdr>
            <w:top w:val="none" w:sz="0" w:space="0" w:color="auto"/>
            <w:left w:val="none" w:sz="0" w:space="0" w:color="auto"/>
            <w:bottom w:val="none" w:sz="0" w:space="0" w:color="auto"/>
            <w:right w:val="none" w:sz="0" w:space="0" w:color="auto"/>
          </w:divBdr>
        </w:div>
        <w:div w:id="1356465931">
          <w:marLeft w:val="0"/>
          <w:marRight w:val="0"/>
          <w:marTop w:val="0"/>
          <w:marBottom w:val="0"/>
          <w:divBdr>
            <w:top w:val="none" w:sz="0" w:space="0" w:color="auto"/>
            <w:left w:val="none" w:sz="0" w:space="0" w:color="auto"/>
            <w:bottom w:val="none" w:sz="0" w:space="0" w:color="auto"/>
            <w:right w:val="none" w:sz="0" w:space="0" w:color="auto"/>
          </w:divBdr>
        </w:div>
      </w:divsChild>
    </w:div>
    <w:div w:id="785077678">
      <w:bodyDiv w:val="1"/>
      <w:marLeft w:val="0"/>
      <w:marRight w:val="0"/>
      <w:marTop w:val="0"/>
      <w:marBottom w:val="0"/>
      <w:divBdr>
        <w:top w:val="none" w:sz="0" w:space="0" w:color="auto"/>
        <w:left w:val="none" w:sz="0" w:space="0" w:color="auto"/>
        <w:bottom w:val="none" w:sz="0" w:space="0" w:color="auto"/>
        <w:right w:val="none" w:sz="0" w:space="0" w:color="auto"/>
      </w:divBdr>
    </w:div>
    <w:div w:id="789973951">
      <w:bodyDiv w:val="1"/>
      <w:marLeft w:val="0"/>
      <w:marRight w:val="0"/>
      <w:marTop w:val="0"/>
      <w:marBottom w:val="0"/>
      <w:divBdr>
        <w:top w:val="none" w:sz="0" w:space="0" w:color="auto"/>
        <w:left w:val="none" w:sz="0" w:space="0" w:color="auto"/>
        <w:bottom w:val="none" w:sz="0" w:space="0" w:color="auto"/>
        <w:right w:val="none" w:sz="0" w:space="0" w:color="auto"/>
      </w:divBdr>
    </w:div>
    <w:div w:id="796992934">
      <w:bodyDiv w:val="1"/>
      <w:marLeft w:val="0"/>
      <w:marRight w:val="0"/>
      <w:marTop w:val="0"/>
      <w:marBottom w:val="0"/>
      <w:divBdr>
        <w:top w:val="none" w:sz="0" w:space="0" w:color="auto"/>
        <w:left w:val="none" w:sz="0" w:space="0" w:color="auto"/>
        <w:bottom w:val="none" w:sz="0" w:space="0" w:color="auto"/>
        <w:right w:val="none" w:sz="0" w:space="0" w:color="auto"/>
      </w:divBdr>
    </w:div>
    <w:div w:id="843281900">
      <w:bodyDiv w:val="1"/>
      <w:marLeft w:val="0"/>
      <w:marRight w:val="0"/>
      <w:marTop w:val="0"/>
      <w:marBottom w:val="0"/>
      <w:divBdr>
        <w:top w:val="none" w:sz="0" w:space="0" w:color="auto"/>
        <w:left w:val="none" w:sz="0" w:space="0" w:color="auto"/>
        <w:bottom w:val="none" w:sz="0" w:space="0" w:color="auto"/>
        <w:right w:val="none" w:sz="0" w:space="0" w:color="auto"/>
      </w:divBdr>
    </w:div>
    <w:div w:id="877165350">
      <w:bodyDiv w:val="1"/>
      <w:marLeft w:val="0"/>
      <w:marRight w:val="0"/>
      <w:marTop w:val="0"/>
      <w:marBottom w:val="0"/>
      <w:divBdr>
        <w:top w:val="none" w:sz="0" w:space="0" w:color="auto"/>
        <w:left w:val="none" w:sz="0" w:space="0" w:color="auto"/>
        <w:bottom w:val="none" w:sz="0" w:space="0" w:color="auto"/>
        <w:right w:val="none" w:sz="0" w:space="0" w:color="auto"/>
      </w:divBdr>
    </w:div>
    <w:div w:id="879320693">
      <w:bodyDiv w:val="1"/>
      <w:marLeft w:val="0"/>
      <w:marRight w:val="0"/>
      <w:marTop w:val="0"/>
      <w:marBottom w:val="0"/>
      <w:divBdr>
        <w:top w:val="none" w:sz="0" w:space="0" w:color="auto"/>
        <w:left w:val="none" w:sz="0" w:space="0" w:color="auto"/>
        <w:bottom w:val="none" w:sz="0" w:space="0" w:color="auto"/>
        <w:right w:val="none" w:sz="0" w:space="0" w:color="auto"/>
      </w:divBdr>
    </w:div>
    <w:div w:id="896286985">
      <w:bodyDiv w:val="1"/>
      <w:marLeft w:val="0"/>
      <w:marRight w:val="0"/>
      <w:marTop w:val="0"/>
      <w:marBottom w:val="0"/>
      <w:divBdr>
        <w:top w:val="none" w:sz="0" w:space="0" w:color="auto"/>
        <w:left w:val="none" w:sz="0" w:space="0" w:color="auto"/>
        <w:bottom w:val="none" w:sz="0" w:space="0" w:color="auto"/>
        <w:right w:val="none" w:sz="0" w:space="0" w:color="auto"/>
      </w:divBdr>
    </w:div>
    <w:div w:id="898830294">
      <w:bodyDiv w:val="1"/>
      <w:marLeft w:val="0"/>
      <w:marRight w:val="0"/>
      <w:marTop w:val="0"/>
      <w:marBottom w:val="0"/>
      <w:divBdr>
        <w:top w:val="none" w:sz="0" w:space="0" w:color="auto"/>
        <w:left w:val="none" w:sz="0" w:space="0" w:color="auto"/>
        <w:bottom w:val="none" w:sz="0" w:space="0" w:color="auto"/>
        <w:right w:val="none" w:sz="0" w:space="0" w:color="auto"/>
      </w:divBdr>
    </w:div>
    <w:div w:id="908076134">
      <w:bodyDiv w:val="1"/>
      <w:marLeft w:val="0"/>
      <w:marRight w:val="0"/>
      <w:marTop w:val="0"/>
      <w:marBottom w:val="0"/>
      <w:divBdr>
        <w:top w:val="none" w:sz="0" w:space="0" w:color="auto"/>
        <w:left w:val="none" w:sz="0" w:space="0" w:color="auto"/>
        <w:bottom w:val="none" w:sz="0" w:space="0" w:color="auto"/>
        <w:right w:val="none" w:sz="0" w:space="0" w:color="auto"/>
      </w:divBdr>
      <w:divsChild>
        <w:div w:id="1899438784">
          <w:marLeft w:val="-720"/>
          <w:marRight w:val="0"/>
          <w:marTop w:val="0"/>
          <w:marBottom w:val="0"/>
          <w:divBdr>
            <w:top w:val="none" w:sz="0" w:space="0" w:color="auto"/>
            <w:left w:val="none" w:sz="0" w:space="0" w:color="auto"/>
            <w:bottom w:val="none" w:sz="0" w:space="0" w:color="auto"/>
            <w:right w:val="none" w:sz="0" w:space="0" w:color="auto"/>
          </w:divBdr>
        </w:div>
      </w:divsChild>
    </w:div>
    <w:div w:id="916863314">
      <w:bodyDiv w:val="1"/>
      <w:marLeft w:val="0"/>
      <w:marRight w:val="0"/>
      <w:marTop w:val="0"/>
      <w:marBottom w:val="0"/>
      <w:divBdr>
        <w:top w:val="none" w:sz="0" w:space="0" w:color="auto"/>
        <w:left w:val="none" w:sz="0" w:space="0" w:color="auto"/>
        <w:bottom w:val="none" w:sz="0" w:space="0" w:color="auto"/>
        <w:right w:val="none" w:sz="0" w:space="0" w:color="auto"/>
      </w:divBdr>
    </w:div>
    <w:div w:id="928807537">
      <w:bodyDiv w:val="1"/>
      <w:marLeft w:val="0"/>
      <w:marRight w:val="0"/>
      <w:marTop w:val="0"/>
      <w:marBottom w:val="0"/>
      <w:divBdr>
        <w:top w:val="none" w:sz="0" w:space="0" w:color="auto"/>
        <w:left w:val="none" w:sz="0" w:space="0" w:color="auto"/>
        <w:bottom w:val="none" w:sz="0" w:space="0" w:color="auto"/>
        <w:right w:val="none" w:sz="0" w:space="0" w:color="auto"/>
      </w:divBdr>
    </w:div>
    <w:div w:id="930622073">
      <w:bodyDiv w:val="1"/>
      <w:marLeft w:val="0"/>
      <w:marRight w:val="0"/>
      <w:marTop w:val="0"/>
      <w:marBottom w:val="0"/>
      <w:divBdr>
        <w:top w:val="none" w:sz="0" w:space="0" w:color="auto"/>
        <w:left w:val="none" w:sz="0" w:space="0" w:color="auto"/>
        <w:bottom w:val="none" w:sz="0" w:space="0" w:color="auto"/>
        <w:right w:val="none" w:sz="0" w:space="0" w:color="auto"/>
      </w:divBdr>
      <w:divsChild>
        <w:div w:id="1891573393">
          <w:marLeft w:val="-720"/>
          <w:marRight w:val="0"/>
          <w:marTop w:val="0"/>
          <w:marBottom w:val="0"/>
          <w:divBdr>
            <w:top w:val="none" w:sz="0" w:space="0" w:color="auto"/>
            <w:left w:val="none" w:sz="0" w:space="0" w:color="auto"/>
            <w:bottom w:val="none" w:sz="0" w:space="0" w:color="auto"/>
            <w:right w:val="none" w:sz="0" w:space="0" w:color="auto"/>
          </w:divBdr>
        </w:div>
      </w:divsChild>
    </w:div>
    <w:div w:id="931399290">
      <w:bodyDiv w:val="1"/>
      <w:marLeft w:val="0"/>
      <w:marRight w:val="0"/>
      <w:marTop w:val="0"/>
      <w:marBottom w:val="0"/>
      <w:divBdr>
        <w:top w:val="none" w:sz="0" w:space="0" w:color="auto"/>
        <w:left w:val="none" w:sz="0" w:space="0" w:color="auto"/>
        <w:bottom w:val="none" w:sz="0" w:space="0" w:color="auto"/>
        <w:right w:val="none" w:sz="0" w:space="0" w:color="auto"/>
      </w:divBdr>
    </w:div>
    <w:div w:id="939532928">
      <w:bodyDiv w:val="1"/>
      <w:marLeft w:val="0"/>
      <w:marRight w:val="0"/>
      <w:marTop w:val="0"/>
      <w:marBottom w:val="0"/>
      <w:divBdr>
        <w:top w:val="none" w:sz="0" w:space="0" w:color="auto"/>
        <w:left w:val="none" w:sz="0" w:space="0" w:color="auto"/>
        <w:bottom w:val="none" w:sz="0" w:space="0" w:color="auto"/>
        <w:right w:val="none" w:sz="0" w:space="0" w:color="auto"/>
      </w:divBdr>
      <w:divsChild>
        <w:div w:id="2054380218">
          <w:marLeft w:val="-720"/>
          <w:marRight w:val="0"/>
          <w:marTop w:val="0"/>
          <w:marBottom w:val="0"/>
          <w:divBdr>
            <w:top w:val="none" w:sz="0" w:space="0" w:color="auto"/>
            <w:left w:val="none" w:sz="0" w:space="0" w:color="auto"/>
            <w:bottom w:val="none" w:sz="0" w:space="0" w:color="auto"/>
            <w:right w:val="none" w:sz="0" w:space="0" w:color="auto"/>
          </w:divBdr>
        </w:div>
      </w:divsChild>
    </w:div>
    <w:div w:id="939726519">
      <w:bodyDiv w:val="1"/>
      <w:marLeft w:val="0"/>
      <w:marRight w:val="0"/>
      <w:marTop w:val="0"/>
      <w:marBottom w:val="0"/>
      <w:divBdr>
        <w:top w:val="none" w:sz="0" w:space="0" w:color="auto"/>
        <w:left w:val="none" w:sz="0" w:space="0" w:color="auto"/>
        <w:bottom w:val="none" w:sz="0" w:space="0" w:color="auto"/>
        <w:right w:val="none" w:sz="0" w:space="0" w:color="auto"/>
      </w:divBdr>
      <w:divsChild>
        <w:div w:id="1105728797">
          <w:marLeft w:val="0"/>
          <w:marRight w:val="0"/>
          <w:marTop w:val="0"/>
          <w:marBottom w:val="0"/>
          <w:divBdr>
            <w:top w:val="none" w:sz="0" w:space="0" w:color="auto"/>
            <w:left w:val="none" w:sz="0" w:space="0" w:color="auto"/>
            <w:bottom w:val="none" w:sz="0" w:space="0" w:color="auto"/>
            <w:right w:val="none" w:sz="0" w:space="0" w:color="auto"/>
          </w:divBdr>
        </w:div>
        <w:div w:id="150758685">
          <w:marLeft w:val="0"/>
          <w:marRight w:val="0"/>
          <w:marTop w:val="0"/>
          <w:marBottom w:val="0"/>
          <w:divBdr>
            <w:top w:val="none" w:sz="0" w:space="0" w:color="auto"/>
            <w:left w:val="none" w:sz="0" w:space="0" w:color="auto"/>
            <w:bottom w:val="none" w:sz="0" w:space="0" w:color="auto"/>
            <w:right w:val="none" w:sz="0" w:space="0" w:color="auto"/>
          </w:divBdr>
        </w:div>
        <w:div w:id="579095205">
          <w:marLeft w:val="0"/>
          <w:marRight w:val="0"/>
          <w:marTop w:val="0"/>
          <w:marBottom w:val="0"/>
          <w:divBdr>
            <w:top w:val="none" w:sz="0" w:space="0" w:color="auto"/>
            <w:left w:val="none" w:sz="0" w:space="0" w:color="auto"/>
            <w:bottom w:val="none" w:sz="0" w:space="0" w:color="auto"/>
            <w:right w:val="none" w:sz="0" w:space="0" w:color="auto"/>
          </w:divBdr>
        </w:div>
      </w:divsChild>
    </w:div>
    <w:div w:id="958410698">
      <w:bodyDiv w:val="1"/>
      <w:marLeft w:val="0"/>
      <w:marRight w:val="0"/>
      <w:marTop w:val="0"/>
      <w:marBottom w:val="0"/>
      <w:divBdr>
        <w:top w:val="none" w:sz="0" w:space="0" w:color="auto"/>
        <w:left w:val="none" w:sz="0" w:space="0" w:color="auto"/>
        <w:bottom w:val="none" w:sz="0" w:space="0" w:color="auto"/>
        <w:right w:val="none" w:sz="0" w:space="0" w:color="auto"/>
      </w:divBdr>
      <w:divsChild>
        <w:div w:id="1035468881">
          <w:marLeft w:val="0"/>
          <w:marRight w:val="0"/>
          <w:marTop w:val="0"/>
          <w:marBottom w:val="0"/>
          <w:divBdr>
            <w:top w:val="none" w:sz="0" w:space="0" w:color="auto"/>
            <w:left w:val="none" w:sz="0" w:space="0" w:color="auto"/>
            <w:bottom w:val="none" w:sz="0" w:space="0" w:color="auto"/>
            <w:right w:val="none" w:sz="0" w:space="0" w:color="auto"/>
          </w:divBdr>
          <w:divsChild>
            <w:div w:id="1127508134">
              <w:marLeft w:val="0"/>
              <w:marRight w:val="0"/>
              <w:marTop w:val="0"/>
              <w:marBottom w:val="0"/>
              <w:divBdr>
                <w:top w:val="none" w:sz="0" w:space="0" w:color="auto"/>
                <w:left w:val="none" w:sz="0" w:space="0" w:color="auto"/>
                <w:bottom w:val="none" w:sz="0" w:space="0" w:color="auto"/>
                <w:right w:val="none" w:sz="0" w:space="0" w:color="auto"/>
              </w:divBdr>
              <w:divsChild>
                <w:div w:id="19333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85966">
      <w:bodyDiv w:val="1"/>
      <w:marLeft w:val="0"/>
      <w:marRight w:val="0"/>
      <w:marTop w:val="0"/>
      <w:marBottom w:val="0"/>
      <w:divBdr>
        <w:top w:val="none" w:sz="0" w:space="0" w:color="auto"/>
        <w:left w:val="none" w:sz="0" w:space="0" w:color="auto"/>
        <w:bottom w:val="none" w:sz="0" w:space="0" w:color="auto"/>
        <w:right w:val="none" w:sz="0" w:space="0" w:color="auto"/>
      </w:divBdr>
    </w:div>
    <w:div w:id="985746305">
      <w:bodyDiv w:val="1"/>
      <w:marLeft w:val="0"/>
      <w:marRight w:val="0"/>
      <w:marTop w:val="0"/>
      <w:marBottom w:val="0"/>
      <w:divBdr>
        <w:top w:val="none" w:sz="0" w:space="0" w:color="auto"/>
        <w:left w:val="none" w:sz="0" w:space="0" w:color="auto"/>
        <w:bottom w:val="none" w:sz="0" w:space="0" w:color="auto"/>
        <w:right w:val="none" w:sz="0" w:space="0" w:color="auto"/>
      </w:divBdr>
      <w:divsChild>
        <w:div w:id="1293749647">
          <w:marLeft w:val="-720"/>
          <w:marRight w:val="0"/>
          <w:marTop w:val="0"/>
          <w:marBottom w:val="0"/>
          <w:divBdr>
            <w:top w:val="none" w:sz="0" w:space="0" w:color="auto"/>
            <w:left w:val="none" w:sz="0" w:space="0" w:color="auto"/>
            <w:bottom w:val="none" w:sz="0" w:space="0" w:color="auto"/>
            <w:right w:val="none" w:sz="0" w:space="0" w:color="auto"/>
          </w:divBdr>
        </w:div>
      </w:divsChild>
    </w:div>
    <w:div w:id="989478379">
      <w:bodyDiv w:val="1"/>
      <w:marLeft w:val="0"/>
      <w:marRight w:val="0"/>
      <w:marTop w:val="0"/>
      <w:marBottom w:val="0"/>
      <w:divBdr>
        <w:top w:val="none" w:sz="0" w:space="0" w:color="auto"/>
        <w:left w:val="none" w:sz="0" w:space="0" w:color="auto"/>
        <w:bottom w:val="none" w:sz="0" w:space="0" w:color="auto"/>
        <w:right w:val="none" w:sz="0" w:space="0" w:color="auto"/>
      </w:divBdr>
      <w:divsChild>
        <w:div w:id="168063953">
          <w:marLeft w:val="-720"/>
          <w:marRight w:val="0"/>
          <w:marTop w:val="0"/>
          <w:marBottom w:val="0"/>
          <w:divBdr>
            <w:top w:val="none" w:sz="0" w:space="0" w:color="auto"/>
            <w:left w:val="none" w:sz="0" w:space="0" w:color="auto"/>
            <w:bottom w:val="none" w:sz="0" w:space="0" w:color="auto"/>
            <w:right w:val="none" w:sz="0" w:space="0" w:color="auto"/>
          </w:divBdr>
        </w:div>
      </w:divsChild>
    </w:div>
    <w:div w:id="1005941351">
      <w:bodyDiv w:val="1"/>
      <w:marLeft w:val="0"/>
      <w:marRight w:val="0"/>
      <w:marTop w:val="0"/>
      <w:marBottom w:val="0"/>
      <w:divBdr>
        <w:top w:val="none" w:sz="0" w:space="0" w:color="auto"/>
        <w:left w:val="none" w:sz="0" w:space="0" w:color="auto"/>
        <w:bottom w:val="none" w:sz="0" w:space="0" w:color="auto"/>
        <w:right w:val="none" w:sz="0" w:space="0" w:color="auto"/>
      </w:divBdr>
    </w:div>
    <w:div w:id="1015764310">
      <w:bodyDiv w:val="1"/>
      <w:marLeft w:val="0"/>
      <w:marRight w:val="0"/>
      <w:marTop w:val="0"/>
      <w:marBottom w:val="0"/>
      <w:divBdr>
        <w:top w:val="none" w:sz="0" w:space="0" w:color="auto"/>
        <w:left w:val="none" w:sz="0" w:space="0" w:color="auto"/>
        <w:bottom w:val="none" w:sz="0" w:space="0" w:color="auto"/>
        <w:right w:val="none" w:sz="0" w:space="0" w:color="auto"/>
      </w:divBdr>
    </w:div>
    <w:div w:id="1016081949">
      <w:bodyDiv w:val="1"/>
      <w:marLeft w:val="0"/>
      <w:marRight w:val="0"/>
      <w:marTop w:val="0"/>
      <w:marBottom w:val="0"/>
      <w:divBdr>
        <w:top w:val="none" w:sz="0" w:space="0" w:color="auto"/>
        <w:left w:val="none" w:sz="0" w:space="0" w:color="auto"/>
        <w:bottom w:val="none" w:sz="0" w:space="0" w:color="auto"/>
        <w:right w:val="none" w:sz="0" w:space="0" w:color="auto"/>
      </w:divBdr>
    </w:div>
    <w:div w:id="1032926418">
      <w:bodyDiv w:val="1"/>
      <w:marLeft w:val="0"/>
      <w:marRight w:val="0"/>
      <w:marTop w:val="0"/>
      <w:marBottom w:val="0"/>
      <w:divBdr>
        <w:top w:val="none" w:sz="0" w:space="0" w:color="auto"/>
        <w:left w:val="none" w:sz="0" w:space="0" w:color="auto"/>
        <w:bottom w:val="none" w:sz="0" w:space="0" w:color="auto"/>
        <w:right w:val="none" w:sz="0" w:space="0" w:color="auto"/>
      </w:divBdr>
    </w:div>
    <w:div w:id="1036352296">
      <w:bodyDiv w:val="1"/>
      <w:marLeft w:val="0"/>
      <w:marRight w:val="0"/>
      <w:marTop w:val="0"/>
      <w:marBottom w:val="0"/>
      <w:divBdr>
        <w:top w:val="none" w:sz="0" w:space="0" w:color="auto"/>
        <w:left w:val="none" w:sz="0" w:space="0" w:color="auto"/>
        <w:bottom w:val="none" w:sz="0" w:space="0" w:color="auto"/>
        <w:right w:val="none" w:sz="0" w:space="0" w:color="auto"/>
      </w:divBdr>
    </w:div>
    <w:div w:id="1049917319">
      <w:bodyDiv w:val="1"/>
      <w:marLeft w:val="0"/>
      <w:marRight w:val="0"/>
      <w:marTop w:val="0"/>
      <w:marBottom w:val="0"/>
      <w:divBdr>
        <w:top w:val="none" w:sz="0" w:space="0" w:color="auto"/>
        <w:left w:val="none" w:sz="0" w:space="0" w:color="auto"/>
        <w:bottom w:val="none" w:sz="0" w:space="0" w:color="auto"/>
        <w:right w:val="none" w:sz="0" w:space="0" w:color="auto"/>
      </w:divBdr>
    </w:div>
    <w:div w:id="1079213287">
      <w:bodyDiv w:val="1"/>
      <w:marLeft w:val="0"/>
      <w:marRight w:val="0"/>
      <w:marTop w:val="0"/>
      <w:marBottom w:val="0"/>
      <w:divBdr>
        <w:top w:val="none" w:sz="0" w:space="0" w:color="auto"/>
        <w:left w:val="none" w:sz="0" w:space="0" w:color="auto"/>
        <w:bottom w:val="none" w:sz="0" w:space="0" w:color="auto"/>
        <w:right w:val="none" w:sz="0" w:space="0" w:color="auto"/>
      </w:divBdr>
    </w:div>
    <w:div w:id="1092822020">
      <w:bodyDiv w:val="1"/>
      <w:marLeft w:val="0"/>
      <w:marRight w:val="0"/>
      <w:marTop w:val="0"/>
      <w:marBottom w:val="0"/>
      <w:divBdr>
        <w:top w:val="none" w:sz="0" w:space="0" w:color="auto"/>
        <w:left w:val="none" w:sz="0" w:space="0" w:color="auto"/>
        <w:bottom w:val="none" w:sz="0" w:space="0" w:color="auto"/>
        <w:right w:val="none" w:sz="0" w:space="0" w:color="auto"/>
      </w:divBdr>
    </w:div>
    <w:div w:id="1101023819">
      <w:bodyDiv w:val="1"/>
      <w:marLeft w:val="0"/>
      <w:marRight w:val="0"/>
      <w:marTop w:val="0"/>
      <w:marBottom w:val="0"/>
      <w:divBdr>
        <w:top w:val="none" w:sz="0" w:space="0" w:color="auto"/>
        <w:left w:val="none" w:sz="0" w:space="0" w:color="auto"/>
        <w:bottom w:val="none" w:sz="0" w:space="0" w:color="auto"/>
        <w:right w:val="none" w:sz="0" w:space="0" w:color="auto"/>
      </w:divBdr>
    </w:div>
    <w:div w:id="1109160823">
      <w:bodyDiv w:val="1"/>
      <w:marLeft w:val="0"/>
      <w:marRight w:val="0"/>
      <w:marTop w:val="0"/>
      <w:marBottom w:val="0"/>
      <w:divBdr>
        <w:top w:val="none" w:sz="0" w:space="0" w:color="auto"/>
        <w:left w:val="none" w:sz="0" w:space="0" w:color="auto"/>
        <w:bottom w:val="none" w:sz="0" w:space="0" w:color="auto"/>
        <w:right w:val="none" w:sz="0" w:space="0" w:color="auto"/>
      </w:divBdr>
      <w:divsChild>
        <w:div w:id="2126196474">
          <w:marLeft w:val="0"/>
          <w:marRight w:val="0"/>
          <w:marTop w:val="0"/>
          <w:marBottom w:val="0"/>
          <w:divBdr>
            <w:top w:val="none" w:sz="0" w:space="0" w:color="auto"/>
            <w:left w:val="none" w:sz="0" w:space="0" w:color="auto"/>
            <w:bottom w:val="none" w:sz="0" w:space="0" w:color="auto"/>
            <w:right w:val="none" w:sz="0" w:space="0" w:color="auto"/>
          </w:divBdr>
          <w:divsChild>
            <w:div w:id="647979832">
              <w:marLeft w:val="0"/>
              <w:marRight w:val="0"/>
              <w:marTop w:val="0"/>
              <w:marBottom w:val="0"/>
              <w:divBdr>
                <w:top w:val="none" w:sz="0" w:space="0" w:color="auto"/>
                <w:left w:val="none" w:sz="0" w:space="0" w:color="auto"/>
                <w:bottom w:val="none" w:sz="0" w:space="0" w:color="auto"/>
                <w:right w:val="none" w:sz="0" w:space="0" w:color="auto"/>
              </w:divBdr>
              <w:divsChild>
                <w:div w:id="15076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14692">
      <w:bodyDiv w:val="1"/>
      <w:marLeft w:val="0"/>
      <w:marRight w:val="0"/>
      <w:marTop w:val="0"/>
      <w:marBottom w:val="0"/>
      <w:divBdr>
        <w:top w:val="none" w:sz="0" w:space="0" w:color="auto"/>
        <w:left w:val="none" w:sz="0" w:space="0" w:color="auto"/>
        <w:bottom w:val="none" w:sz="0" w:space="0" w:color="auto"/>
        <w:right w:val="none" w:sz="0" w:space="0" w:color="auto"/>
      </w:divBdr>
    </w:div>
    <w:div w:id="1111708309">
      <w:bodyDiv w:val="1"/>
      <w:marLeft w:val="0"/>
      <w:marRight w:val="0"/>
      <w:marTop w:val="0"/>
      <w:marBottom w:val="0"/>
      <w:divBdr>
        <w:top w:val="none" w:sz="0" w:space="0" w:color="auto"/>
        <w:left w:val="none" w:sz="0" w:space="0" w:color="auto"/>
        <w:bottom w:val="none" w:sz="0" w:space="0" w:color="auto"/>
        <w:right w:val="none" w:sz="0" w:space="0" w:color="auto"/>
      </w:divBdr>
    </w:div>
    <w:div w:id="1117408394">
      <w:bodyDiv w:val="1"/>
      <w:marLeft w:val="0"/>
      <w:marRight w:val="0"/>
      <w:marTop w:val="0"/>
      <w:marBottom w:val="0"/>
      <w:divBdr>
        <w:top w:val="none" w:sz="0" w:space="0" w:color="auto"/>
        <w:left w:val="none" w:sz="0" w:space="0" w:color="auto"/>
        <w:bottom w:val="none" w:sz="0" w:space="0" w:color="auto"/>
        <w:right w:val="none" w:sz="0" w:space="0" w:color="auto"/>
      </w:divBdr>
    </w:div>
    <w:div w:id="1125349736">
      <w:bodyDiv w:val="1"/>
      <w:marLeft w:val="0"/>
      <w:marRight w:val="0"/>
      <w:marTop w:val="0"/>
      <w:marBottom w:val="0"/>
      <w:divBdr>
        <w:top w:val="none" w:sz="0" w:space="0" w:color="auto"/>
        <w:left w:val="none" w:sz="0" w:space="0" w:color="auto"/>
        <w:bottom w:val="none" w:sz="0" w:space="0" w:color="auto"/>
        <w:right w:val="none" w:sz="0" w:space="0" w:color="auto"/>
      </w:divBdr>
    </w:div>
    <w:div w:id="1130200812">
      <w:bodyDiv w:val="1"/>
      <w:marLeft w:val="0"/>
      <w:marRight w:val="0"/>
      <w:marTop w:val="0"/>
      <w:marBottom w:val="0"/>
      <w:divBdr>
        <w:top w:val="none" w:sz="0" w:space="0" w:color="auto"/>
        <w:left w:val="none" w:sz="0" w:space="0" w:color="auto"/>
        <w:bottom w:val="none" w:sz="0" w:space="0" w:color="auto"/>
        <w:right w:val="none" w:sz="0" w:space="0" w:color="auto"/>
      </w:divBdr>
      <w:divsChild>
        <w:div w:id="333148540">
          <w:marLeft w:val="0"/>
          <w:marRight w:val="0"/>
          <w:marTop w:val="0"/>
          <w:marBottom w:val="0"/>
          <w:divBdr>
            <w:top w:val="none" w:sz="0" w:space="0" w:color="auto"/>
            <w:left w:val="none" w:sz="0" w:space="0" w:color="auto"/>
            <w:bottom w:val="none" w:sz="0" w:space="0" w:color="auto"/>
            <w:right w:val="none" w:sz="0" w:space="0" w:color="auto"/>
          </w:divBdr>
        </w:div>
        <w:div w:id="1459833866">
          <w:marLeft w:val="0"/>
          <w:marRight w:val="0"/>
          <w:marTop w:val="0"/>
          <w:marBottom w:val="0"/>
          <w:divBdr>
            <w:top w:val="none" w:sz="0" w:space="0" w:color="auto"/>
            <w:left w:val="none" w:sz="0" w:space="0" w:color="auto"/>
            <w:bottom w:val="none" w:sz="0" w:space="0" w:color="auto"/>
            <w:right w:val="none" w:sz="0" w:space="0" w:color="auto"/>
          </w:divBdr>
        </w:div>
        <w:div w:id="782379138">
          <w:marLeft w:val="0"/>
          <w:marRight w:val="0"/>
          <w:marTop w:val="0"/>
          <w:marBottom w:val="0"/>
          <w:divBdr>
            <w:top w:val="none" w:sz="0" w:space="0" w:color="auto"/>
            <w:left w:val="none" w:sz="0" w:space="0" w:color="auto"/>
            <w:bottom w:val="none" w:sz="0" w:space="0" w:color="auto"/>
            <w:right w:val="none" w:sz="0" w:space="0" w:color="auto"/>
          </w:divBdr>
        </w:div>
        <w:div w:id="679821118">
          <w:marLeft w:val="0"/>
          <w:marRight w:val="0"/>
          <w:marTop w:val="0"/>
          <w:marBottom w:val="0"/>
          <w:divBdr>
            <w:top w:val="none" w:sz="0" w:space="0" w:color="auto"/>
            <w:left w:val="none" w:sz="0" w:space="0" w:color="auto"/>
            <w:bottom w:val="none" w:sz="0" w:space="0" w:color="auto"/>
            <w:right w:val="none" w:sz="0" w:space="0" w:color="auto"/>
          </w:divBdr>
        </w:div>
      </w:divsChild>
    </w:div>
    <w:div w:id="1136139057">
      <w:bodyDiv w:val="1"/>
      <w:marLeft w:val="0"/>
      <w:marRight w:val="0"/>
      <w:marTop w:val="0"/>
      <w:marBottom w:val="0"/>
      <w:divBdr>
        <w:top w:val="none" w:sz="0" w:space="0" w:color="auto"/>
        <w:left w:val="none" w:sz="0" w:space="0" w:color="auto"/>
        <w:bottom w:val="none" w:sz="0" w:space="0" w:color="auto"/>
        <w:right w:val="none" w:sz="0" w:space="0" w:color="auto"/>
      </w:divBdr>
    </w:div>
    <w:div w:id="1143278572">
      <w:bodyDiv w:val="1"/>
      <w:marLeft w:val="0"/>
      <w:marRight w:val="0"/>
      <w:marTop w:val="0"/>
      <w:marBottom w:val="0"/>
      <w:divBdr>
        <w:top w:val="none" w:sz="0" w:space="0" w:color="auto"/>
        <w:left w:val="none" w:sz="0" w:space="0" w:color="auto"/>
        <w:bottom w:val="none" w:sz="0" w:space="0" w:color="auto"/>
        <w:right w:val="none" w:sz="0" w:space="0" w:color="auto"/>
      </w:divBdr>
    </w:div>
    <w:div w:id="1157573705">
      <w:bodyDiv w:val="1"/>
      <w:marLeft w:val="0"/>
      <w:marRight w:val="0"/>
      <w:marTop w:val="0"/>
      <w:marBottom w:val="0"/>
      <w:divBdr>
        <w:top w:val="none" w:sz="0" w:space="0" w:color="auto"/>
        <w:left w:val="none" w:sz="0" w:space="0" w:color="auto"/>
        <w:bottom w:val="none" w:sz="0" w:space="0" w:color="auto"/>
        <w:right w:val="none" w:sz="0" w:space="0" w:color="auto"/>
      </w:divBdr>
    </w:div>
    <w:div w:id="1158037158">
      <w:bodyDiv w:val="1"/>
      <w:marLeft w:val="0"/>
      <w:marRight w:val="0"/>
      <w:marTop w:val="0"/>
      <w:marBottom w:val="0"/>
      <w:divBdr>
        <w:top w:val="none" w:sz="0" w:space="0" w:color="auto"/>
        <w:left w:val="none" w:sz="0" w:space="0" w:color="auto"/>
        <w:bottom w:val="none" w:sz="0" w:space="0" w:color="auto"/>
        <w:right w:val="none" w:sz="0" w:space="0" w:color="auto"/>
      </w:divBdr>
    </w:div>
    <w:div w:id="1165123168">
      <w:bodyDiv w:val="1"/>
      <w:marLeft w:val="0"/>
      <w:marRight w:val="0"/>
      <w:marTop w:val="0"/>
      <w:marBottom w:val="0"/>
      <w:divBdr>
        <w:top w:val="none" w:sz="0" w:space="0" w:color="auto"/>
        <w:left w:val="none" w:sz="0" w:space="0" w:color="auto"/>
        <w:bottom w:val="none" w:sz="0" w:space="0" w:color="auto"/>
        <w:right w:val="none" w:sz="0" w:space="0" w:color="auto"/>
      </w:divBdr>
    </w:div>
    <w:div w:id="1214539924">
      <w:bodyDiv w:val="1"/>
      <w:marLeft w:val="0"/>
      <w:marRight w:val="0"/>
      <w:marTop w:val="0"/>
      <w:marBottom w:val="0"/>
      <w:divBdr>
        <w:top w:val="none" w:sz="0" w:space="0" w:color="auto"/>
        <w:left w:val="none" w:sz="0" w:space="0" w:color="auto"/>
        <w:bottom w:val="none" w:sz="0" w:space="0" w:color="auto"/>
        <w:right w:val="none" w:sz="0" w:space="0" w:color="auto"/>
      </w:divBdr>
      <w:divsChild>
        <w:div w:id="260532427">
          <w:marLeft w:val="-720"/>
          <w:marRight w:val="0"/>
          <w:marTop w:val="0"/>
          <w:marBottom w:val="0"/>
          <w:divBdr>
            <w:top w:val="none" w:sz="0" w:space="0" w:color="auto"/>
            <w:left w:val="none" w:sz="0" w:space="0" w:color="auto"/>
            <w:bottom w:val="none" w:sz="0" w:space="0" w:color="auto"/>
            <w:right w:val="none" w:sz="0" w:space="0" w:color="auto"/>
          </w:divBdr>
        </w:div>
      </w:divsChild>
    </w:div>
    <w:div w:id="1214736946">
      <w:bodyDiv w:val="1"/>
      <w:marLeft w:val="0"/>
      <w:marRight w:val="0"/>
      <w:marTop w:val="0"/>
      <w:marBottom w:val="0"/>
      <w:divBdr>
        <w:top w:val="none" w:sz="0" w:space="0" w:color="auto"/>
        <w:left w:val="none" w:sz="0" w:space="0" w:color="auto"/>
        <w:bottom w:val="none" w:sz="0" w:space="0" w:color="auto"/>
        <w:right w:val="none" w:sz="0" w:space="0" w:color="auto"/>
      </w:divBdr>
    </w:div>
    <w:div w:id="1223447062">
      <w:bodyDiv w:val="1"/>
      <w:marLeft w:val="0"/>
      <w:marRight w:val="0"/>
      <w:marTop w:val="0"/>
      <w:marBottom w:val="0"/>
      <w:divBdr>
        <w:top w:val="none" w:sz="0" w:space="0" w:color="auto"/>
        <w:left w:val="none" w:sz="0" w:space="0" w:color="auto"/>
        <w:bottom w:val="none" w:sz="0" w:space="0" w:color="auto"/>
        <w:right w:val="none" w:sz="0" w:space="0" w:color="auto"/>
      </w:divBdr>
    </w:div>
    <w:div w:id="1227567981">
      <w:bodyDiv w:val="1"/>
      <w:marLeft w:val="0"/>
      <w:marRight w:val="0"/>
      <w:marTop w:val="0"/>
      <w:marBottom w:val="0"/>
      <w:divBdr>
        <w:top w:val="none" w:sz="0" w:space="0" w:color="auto"/>
        <w:left w:val="none" w:sz="0" w:space="0" w:color="auto"/>
        <w:bottom w:val="none" w:sz="0" w:space="0" w:color="auto"/>
        <w:right w:val="none" w:sz="0" w:space="0" w:color="auto"/>
      </w:divBdr>
    </w:div>
    <w:div w:id="1246568053">
      <w:bodyDiv w:val="1"/>
      <w:marLeft w:val="0"/>
      <w:marRight w:val="0"/>
      <w:marTop w:val="0"/>
      <w:marBottom w:val="0"/>
      <w:divBdr>
        <w:top w:val="none" w:sz="0" w:space="0" w:color="auto"/>
        <w:left w:val="none" w:sz="0" w:space="0" w:color="auto"/>
        <w:bottom w:val="none" w:sz="0" w:space="0" w:color="auto"/>
        <w:right w:val="none" w:sz="0" w:space="0" w:color="auto"/>
      </w:divBdr>
      <w:divsChild>
        <w:div w:id="171578825">
          <w:marLeft w:val="-720"/>
          <w:marRight w:val="0"/>
          <w:marTop w:val="0"/>
          <w:marBottom w:val="0"/>
          <w:divBdr>
            <w:top w:val="none" w:sz="0" w:space="0" w:color="auto"/>
            <w:left w:val="none" w:sz="0" w:space="0" w:color="auto"/>
            <w:bottom w:val="none" w:sz="0" w:space="0" w:color="auto"/>
            <w:right w:val="none" w:sz="0" w:space="0" w:color="auto"/>
          </w:divBdr>
        </w:div>
      </w:divsChild>
    </w:div>
    <w:div w:id="1248492609">
      <w:bodyDiv w:val="1"/>
      <w:marLeft w:val="0"/>
      <w:marRight w:val="0"/>
      <w:marTop w:val="0"/>
      <w:marBottom w:val="0"/>
      <w:divBdr>
        <w:top w:val="none" w:sz="0" w:space="0" w:color="auto"/>
        <w:left w:val="none" w:sz="0" w:space="0" w:color="auto"/>
        <w:bottom w:val="none" w:sz="0" w:space="0" w:color="auto"/>
        <w:right w:val="none" w:sz="0" w:space="0" w:color="auto"/>
      </w:divBdr>
      <w:divsChild>
        <w:div w:id="1977834454">
          <w:marLeft w:val="0"/>
          <w:marRight w:val="0"/>
          <w:marTop w:val="0"/>
          <w:marBottom w:val="0"/>
          <w:divBdr>
            <w:top w:val="none" w:sz="0" w:space="0" w:color="auto"/>
            <w:left w:val="none" w:sz="0" w:space="0" w:color="auto"/>
            <w:bottom w:val="none" w:sz="0" w:space="0" w:color="auto"/>
            <w:right w:val="none" w:sz="0" w:space="0" w:color="auto"/>
          </w:divBdr>
        </w:div>
        <w:div w:id="1370446610">
          <w:marLeft w:val="0"/>
          <w:marRight w:val="0"/>
          <w:marTop w:val="0"/>
          <w:marBottom w:val="0"/>
          <w:divBdr>
            <w:top w:val="none" w:sz="0" w:space="0" w:color="auto"/>
            <w:left w:val="none" w:sz="0" w:space="0" w:color="auto"/>
            <w:bottom w:val="none" w:sz="0" w:space="0" w:color="auto"/>
            <w:right w:val="none" w:sz="0" w:space="0" w:color="auto"/>
          </w:divBdr>
        </w:div>
        <w:div w:id="1868836309">
          <w:marLeft w:val="0"/>
          <w:marRight w:val="0"/>
          <w:marTop w:val="0"/>
          <w:marBottom w:val="0"/>
          <w:divBdr>
            <w:top w:val="none" w:sz="0" w:space="0" w:color="auto"/>
            <w:left w:val="none" w:sz="0" w:space="0" w:color="auto"/>
            <w:bottom w:val="none" w:sz="0" w:space="0" w:color="auto"/>
            <w:right w:val="none" w:sz="0" w:space="0" w:color="auto"/>
          </w:divBdr>
        </w:div>
        <w:div w:id="1351755203">
          <w:marLeft w:val="0"/>
          <w:marRight w:val="0"/>
          <w:marTop w:val="0"/>
          <w:marBottom w:val="0"/>
          <w:divBdr>
            <w:top w:val="none" w:sz="0" w:space="0" w:color="auto"/>
            <w:left w:val="none" w:sz="0" w:space="0" w:color="auto"/>
            <w:bottom w:val="none" w:sz="0" w:space="0" w:color="auto"/>
            <w:right w:val="none" w:sz="0" w:space="0" w:color="auto"/>
          </w:divBdr>
        </w:div>
      </w:divsChild>
    </w:div>
    <w:div w:id="1271357588">
      <w:bodyDiv w:val="1"/>
      <w:marLeft w:val="0"/>
      <w:marRight w:val="0"/>
      <w:marTop w:val="0"/>
      <w:marBottom w:val="0"/>
      <w:divBdr>
        <w:top w:val="none" w:sz="0" w:space="0" w:color="auto"/>
        <w:left w:val="none" w:sz="0" w:space="0" w:color="auto"/>
        <w:bottom w:val="none" w:sz="0" w:space="0" w:color="auto"/>
        <w:right w:val="none" w:sz="0" w:space="0" w:color="auto"/>
      </w:divBdr>
      <w:divsChild>
        <w:div w:id="2146509678">
          <w:marLeft w:val="-720"/>
          <w:marRight w:val="0"/>
          <w:marTop w:val="0"/>
          <w:marBottom w:val="0"/>
          <w:divBdr>
            <w:top w:val="none" w:sz="0" w:space="0" w:color="auto"/>
            <w:left w:val="none" w:sz="0" w:space="0" w:color="auto"/>
            <w:bottom w:val="none" w:sz="0" w:space="0" w:color="auto"/>
            <w:right w:val="none" w:sz="0" w:space="0" w:color="auto"/>
          </w:divBdr>
        </w:div>
      </w:divsChild>
    </w:div>
    <w:div w:id="1277837034">
      <w:bodyDiv w:val="1"/>
      <w:marLeft w:val="0"/>
      <w:marRight w:val="0"/>
      <w:marTop w:val="0"/>
      <w:marBottom w:val="0"/>
      <w:divBdr>
        <w:top w:val="none" w:sz="0" w:space="0" w:color="auto"/>
        <w:left w:val="none" w:sz="0" w:space="0" w:color="auto"/>
        <w:bottom w:val="none" w:sz="0" w:space="0" w:color="auto"/>
        <w:right w:val="none" w:sz="0" w:space="0" w:color="auto"/>
      </w:divBdr>
    </w:div>
    <w:div w:id="1294554891">
      <w:bodyDiv w:val="1"/>
      <w:marLeft w:val="0"/>
      <w:marRight w:val="0"/>
      <w:marTop w:val="0"/>
      <w:marBottom w:val="0"/>
      <w:divBdr>
        <w:top w:val="none" w:sz="0" w:space="0" w:color="auto"/>
        <w:left w:val="none" w:sz="0" w:space="0" w:color="auto"/>
        <w:bottom w:val="none" w:sz="0" w:space="0" w:color="auto"/>
        <w:right w:val="none" w:sz="0" w:space="0" w:color="auto"/>
      </w:divBdr>
      <w:divsChild>
        <w:div w:id="1562716799">
          <w:marLeft w:val="0"/>
          <w:marRight w:val="0"/>
          <w:marTop w:val="0"/>
          <w:marBottom w:val="0"/>
          <w:divBdr>
            <w:top w:val="none" w:sz="0" w:space="0" w:color="auto"/>
            <w:left w:val="none" w:sz="0" w:space="0" w:color="auto"/>
            <w:bottom w:val="none" w:sz="0" w:space="0" w:color="auto"/>
            <w:right w:val="none" w:sz="0" w:space="0" w:color="auto"/>
          </w:divBdr>
          <w:divsChild>
            <w:div w:id="1674725023">
              <w:marLeft w:val="0"/>
              <w:marRight w:val="0"/>
              <w:marTop w:val="0"/>
              <w:marBottom w:val="0"/>
              <w:divBdr>
                <w:top w:val="none" w:sz="0" w:space="0" w:color="auto"/>
                <w:left w:val="none" w:sz="0" w:space="0" w:color="auto"/>
                <w:bottom w:val="none" w:sz="0" w:space="0" w:color="auto"/>
                <w:right w:val="none" w:sz="0" w:space="0" w:color="auto"/>
              </w:divBdr>
              <w:divsChild>
                <w:div w:id="18062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87700">
      <w:bodyDiv w:val="1"/>
      <w:marLeft w:val="0"/>
      <w:marRight w:val="0"/>
      <w:marTop w:val="0"/>
      <w:marBottom w:val="0"/>
      <w:divBdr>
        <w:top w:val="none" w:sz="0" w:space="0" w:color="auto"/>
        <w:left w:val="none" w:sz="0" w:space="0" w:color="auto"/>
        <w:bottom w:val="none" w:sz="0" w:space="0" w:color="auto"/>
        <w:right w:val="none" w:sz="0" w:space="0" w:color="auto"/>
      </w:divBdr>
    </w:div>
    <w:div w:id="1387797634">
      <w:bodyDiv w:val="1"/>
      <w:marLeft w:val="0"/>
      <w:marRight w:val="0"/>
      <w:marTop w:val="0"/>
      <w:marBottom w:val="0"/>
      <w:divBdr>
        <w:top w:val="none" w:sz="0" w:space="0" w:color="auto"/>
        <w:left w:val="none" w:sz="0" w:space="0" w:color="auto"/>
        <w:bottom w:val="none" w:sz="0" w:space="0" w:color="auto"/>
        <w:right w:val="none" w:sz="0" w:space="0" w:color="auto"/>
      </w:divBdr>
    </w:div>
    <w:div w:id="1395619489">
      <w:bodyDiv w:val="1"/>
      <w:marLeft w:val="0"/>
      <w:marRight w:val="0"/>
      <w:marTop w:val="0"/>
      <w:marBottom w:val="0"/>
      <w:divBdr>
        <w:top w:val="none" w:sz="0" w:space="0" w:color="auto"/>
        <w:left w:val="none" w:sz="0" w:space="0" w:color="auto"/>
        <w:bottom w:val="none" w:sz="0" w:space="0" w:color="auto"/>
        <w:right w:val="none" w:sz="0" w:space="0" w:color="auto"/>
      </w:divBdr>
      <w:divsChild>
        <w:div w:id="1128427386">
          <w:marLeft w:val="-720"/>
          <w:marRight w:val="0"/>
          <w:marTop w:val="0"/>
          <w:marBottom w:val="0"/>
          <w:divBdr>
            <w:top w:val="none" w:sz="0" w:space="0" w:color="auto"/>
            <w:left w:val="none" w:sz="0" w:space="0" w:color="auto"/>
            <w:bottom w:val="none" w:sz="0" w:space="0" w:color="auto"/>
            <w:right w:val="none" w:sz="0" w:space="0" w:color="auto"/>
          </w:divBdr>
        </w:div>
      </w:divsChild>
    </w:div>
    <w:div w:id="1408766824">
      <w:bodyDiv w:val="1"/>
      <w:marLeft w:val="0"/>
      <w:marRight w:val="0"/>
      <w:marTop w:val="0"/>
      <w:marBottom w:val="0"/>
      <w:divBdr>
        <w:top w:val="none" w:sz="0" w:space="0" w:color="auto"/>
        <w:left w:val="none" w:sz="0" w:space="0" w:color="auto"/>
        <w:bottom w:val="none" w:sz="0" w:space="0" w:color="auto"/>
        <w:right w:val="none" w:sz="0" w:space="0" w:color="auto"/>
      </w:divBdr>
      <w:divsChild>
        <w:div w:id="1071925182">
          <w:marLeft w:val="-720"/>
          <w:marRight w:val="0"/>
          <w:marTop w:val="0"/>
          <w:marBottom w:val="0"/>
          <w:divBdr>
            <w:top w:val="none" w:sz="0" w:space="0" w:color="auto"/>
            <w:left w:val="none" w:sz="0" w:space="0" w:color="auto"/>
            <w:bottom w:val="none" w:sz="0" w:space="0" w:color="auto"/>
            <w:right w:val="none" w:sz="0" w:space="0" w:color="auto"/>
          </w:divBdr>
        </w:div>
      </w:divsChild>
    </w:div>
    <w:div w:id="1431975924">
      <w:bodyDiv w:val="1"/>
      <w:marLeft w:val="0"/>
      <w:marRight w:val="0"/>
      <w:marTop w:val="0"/>
      <w:marBottom w:val="0"/>
      <w:divBdr>
        <w:top w:val="none" w:sz="0" w:space="0" w:color="auto"/>
        <w:left w:val="none" w:sz="0" w:space="0" w:color="auto"/>
        <w:bottom w:val="none" w:sz="0" w:space="0" w:color="auto"/>
        <w:right w:val="none" w:sz="0" w:space="0" w:color="auto"/>
      </w:divBdr>
    </w:div>
    <w:div w:id="1446345139">
      <w:bodyDiv w:val="1"/>
      <w:marLeft w:val="0"/>
      <w:marRight w:val="0"/>
      <w:marTop w:val="0"/>
      <w:marBottom w:val="0"/>
      <w:divBdr>
        <w:top w:val="none" w:sz="0" w:space="0" w:color="auto"/>
        <w:left w:val="none" w:sz="0" w:space="0" w:color="auto"/>
        <w:bottom w:val="none" w:sz="0" w:space="0" w:color="auto"/>
        <w:right w:val="none" w:sz="0" w:space="0" w:color="auto"/>
      </w:divBdr>
    </w:div>
    <w:div w:id="1451513906">
      <w:bodyDiv w:val="1"/>
      <w:marLeft w:val="0"/>
      <w:marRight w:val="0"/>
      <w:marTop w:val="0"/>
      <w:marBottom w:val="0"/>
      <w:divBdr>
        <w:top w:val="none" w:sz="0" w:space="0" w:color="auto"/>
        <w:left w:val="none" w:sz="0" w:space="0" w:color="auto"/>
        <w:bottom w:val="none" w:sz="0" w:space="0" w:color="auto"/>
        <w:right w:val="none" w:sz="0" w:space="0" w:color="auto"/>
      </w:divBdr>
    </w:div>
    <w:div w:id="1462069491">
      <w:bodyDiv w:val="1"/>
      <w:marLeft w:val="0"/>
      <w:marRight w:val="0"/>
      <w:marTop w:val="0"/>
      <w:marBottom w:val="0"/>
      <w:divBdr>
        <w:top w:val="none" w:sz="0" w:space="0" w:color="auto"/>
        <w:left w:val="none" w:sz="0" w:space="0" w:color="auto"/>
        <w:bottom w:val="none" w:sz="0" w:space="0" w:color="auto"/>
        <w:right w:val="none" w:sz="0" w:space="0" w:color="auto"/>
      </w:divBdr>
    </w:div>
    <w:div w:id="1489711767">
      <w:bodyDiv w:val="1"/>
      <w:marLeft w:val="0"/>
      <w:marRight w:val="0"/>
      <w:marTop w:val="0"/>
      <w:marBottom w:val="0"/>
      <w:divBdr>
        <w:top w:val="none" w:sz="0" w:space="0" w:color="auto"/>
        <w:left w:val="none" w:sz="0" w:space="0" w:color="auto"/>
        <w:bottom w:val="none" w:sz="0" w:space="0" w:color="auto"/>
        <w:right w:val="none" w:sz="0" w:space="0" w:color="auto"/>
      </w:divBdr>
    </w:div>
    <w:div w:id="1490827550">
      <w:bodyDiv w:val="1"/>
      <w:marLeft w:val="0"/>
      <w:marRight w:val="0"/>
      <w:marTop w:val="0"/>
      <w:marBottom w:val="0"/>
      <w:divBdr>
        <w:top w:val="none" w:sz="0" w:space="0" w:color="auto"/>
        <w:left w:val="none" w:sz="0" w:space="0" w:color="auto"/>
        <w:bottom w:val="none" w:sz="0" w:space="0" w:color="auto"/>
        <w:right w:val="none" w:sz="0" w:space="0" w:color="auto"/>
      </w:divBdr>
      <w:divsChild>
        <w:div w:id="1359042171">
          <w:marLeft w:val="0"/>
          <w:marRight w:val="0"/>
          <w:marTop w:val="0"/>
          <w:marBottom w:val="0"/>
          <w:divBdr>
            <w:top w:val="single" w:sz="2" w:space="0" w:color="E3E3E3"/>
            <w:left w:val="single" w:sz="2" w:space="0" w:color="E3E3E3"/>
            <w:bottom w:val="single" w:sz="2" w:space="0" w:color="E3E3E3"/>
            <w:right w:val="single" w:sz="2" w:space="0" w:color="E3E3E3"/>
          </w:divBdr>
        </w:div>
        <w:div w:id="12548260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00467658">
      <w:bodyDiv w:val="1"/>
      <w:marLeft w:val="0"/>
      <w:marRight w:val="0"/>
      <w:marTop w:val="0"/>
      <w:marBottom w:val="0"/>
      <w:divBdr>
        <w:top w:val="none" w:sz="0" w:space="0" w:color="auto"/>
        <w:left w:val="none" w:sz="0" w:space="0" w:color="auto"/>
        <w:bottom w:val="none" w:sz="0" w:space="0" w:color="auto"/>
        <w:right w:val="none" w:sz="0" w:space="0" w:color="auto"/>
      </w:divBdr>
    </w:div>
    <w:div w:id="1532066571">
      <w:bodyDiv w:val="1"/>
      <w:marLeft w:val="0"/>
      <w:marRight w:val="0"/>
      <w:marTop w:val="0"/>
      <w:marBottom w:val="0"/>
      <w:divBdr>
        <w:top w:val="none" w:sz="0" w:space="0" w:color="auto"/>
        <w:left w:val="none" w:sz="0" w:space="0" w:color="auto"/>
        <w:bottom w:val="none" w:sz="0" w:space="0" w:color="auto"/>
        <w:right w:val="none" w:sz="0" w:space="0" w:color="auto"/>
      </w:divBdr>
      <w:divsChild>
        <w:div w:id="782962398">
          <w:marLeft w:val="0"/>
          <w:marRight w:val="0"/>
          <w:marTop w:val="0"/>
          <w:marBottom w:val="0"/>
          <w:divBdr>
            <w:top w:val="none" w:sz="0" w:space="0" w:color="auto"/>
            <w:left w:val="none" w:sz="0" w:space="0" w:color="auto"/>
            <w:bottom w:val="none" w:sz="0" w:space="0" w:color="auto"/>
            <w:right w:val="none" w:sz="0" w:space="0" w:color="auto"/>
          </w:divBdr>
        </w:div>
        <w:div w:id="1764911788">
          <w:marLeft w:val="0"/>
          <w:marRight w:val="0"/>
          <w:marTop w:val="0"/>
          <w:marBottom w:val="0"/>
          <w:divBdr>
            <w:top w:val="none" w:sz="0" w:space="0" w:color="auto"/>
            <w:left w:val="none" w:sz="0" w:space="0" w:color="auto"/>
            <w:bottom w:val="none" w:sz="0" w:space="0" w:color="auto"/>
            <w:right w:val="none" w:sz="0" w:space="0" w:color="auto"/>
          </w:divBdr>
        </w:div>
        <w:div w:id="1765570930">
          <w:marLeft w:val="0"/>
          <w:marRight w:val="0"/>
          <w:marTop w:val="0"/>
          <w:marBottom w:val="0"/>
          <w:divBdr>
            <w:top w:val="none" w:sz="0" w:space="0" w:color="auto"/>
            <w:left w:val="none" w:sz="0" w:space="0" w:color="auto"/>
            <w:bottom w:val="none" w:sz="0" w:space="0" w:color="auto"/>
            <w:right w:val="none" w:sz="0" w:space="0" w:color="auto"/>
          </w:divBdr>
        </w:div>
        <w:div w:id="679620642">
          <w:marLeft w:val="0"/>
          <w:marRight w:val="0"/>
          <w:marTop w:val="0"/>
          <w:marBottom w:val="0"/>
          <w:divBdr>
            <w:top w:val="none" w:sz="0" w:space="0" w:color="auto"/>
            <w:left w:val="none" w:sz="0" w:space="0" w:color="auto"/>
            <w:bottom w:val="none" w:sz="0" w:space="0" w:color="auto"/>
            <w:right w:val="none" w:sz="0" w:space="0" w:color="auto"/>
          </w:divBdr>
        </w:div>
        <w:div w:id="198082211">
          <w:marLeft w:val="0"/>
          <w:marRight w:val="0"/>
          <w:marTop w:val="0"/>
          <w:marBottom w:val="0"/>
          <w:divBdr>
            <w:top w:val="none" w:sz="0" w:space="0" w:color="auto"/>
            <w:left w:val="none" w:sz="0" w:space="0" w:color="auto"/>
            <w:bottom w:val="none" w:sz="0" w:space="0" w:color="auto"/>
            <w:right w:val="none" w:sz="0" w:space="0" w:color="auto"/>
          </w:divBdr>
        </w:div>
        <w:div w:id="1774324368">
          <w:marLeft w:val="0"/>
          <w:marRight w:val="0"/>
          <w:marTop w:val="0"/>
          <w:marBottom w:val="0"/>
          <w:divBdr>
            <w:top w:val="none" w:sz="0" w:space="0" w:color="auto"/>
            <w:left w:val="none" w:sz="0" w:space="0" w:color="auto"/>
            <w:bottom w:val="none" w:sz="0" w:space="0" w:color="auto"/>
            <w:right w:val="none" w:sz="0" w:space="0" w:color="auto"/>
          </w:divBdr>
        </w:div>
        <w:div w:id="1308240884">
          <w:marLeft w:val="0"/>
          <w:marRight w:val="0"/>
          <w:marTop w:val="0"/>
          <w:marBottom w:val="0"/>
          <w:divBdr>
            <w:top w:val="none" w:sz="0" w:space="0" w:color="auto"/>
            <w:left w:val="none" w:sz="0" w:space="0" w:color="auto"/>
            <w:bottom w:val="none" w:sz="0" w:space="0" w:color="auto"/>
            <w:right w:val="none" w:sz="0" w:space="0" w:color="auto"/>
          </w:divBdr>
        </w:div>
        <w:div w:id="1051924594">
          <w:marLeft w:val="0"/>
          <w:marRight w:val="0"/>
          <w:marTop w:val="0"/>
          <w:marBottom w:val="0"/>
          <w:divBdr>
            <w:top w:val="none" w:sz="0" w:space="0" w:color="auto"/>
            <w:left w:val="none" w:sz="0" w:space="0" w:color="auto"/>
            <w:bottom w:val="none" w:sz="0" w:space="0" w:color="auto"/>
            <w:right w:val="none" w:sz="0" w:space="0" w:color="auto"/>
          </w:divBdr>
        </w:div>
      </w:divsChild>
    </w:div>
    <w:div w:id="1538930309">
      <w:bodyDiv w:val="1"/>
      <w:marLeft w:val="0"/>
      <w:marRight w:val="0"/>
      <w:marTop w:val="0"/>
      <w:marBottom w:val="0"/>
      <w:divBdr>
        <w:top w:val="none" w:sz="0" w:space="0" w:color="auto"/>
        <w:left w:val="none" w:sz="0" w:space="0" w:color="auto"/>
        <w:bottom w:val="none" w:sz="0" w:space="0" w:color="auto"/>
        <w:right w:val="none" w:sz="0" w:space="0" w:color="auto"/>
      </w:divBdr>
    </w:div>
    <w:div w:id="1544833033">
      <w:bodyDiv w:val="1"/>
      <w:marLeft w:val="0"/>
      <w:marRight w:val="0"/>
      <w:marTop w:val="0"/>
      <w:marBottom w:val="0"/>
      <w:divBdr>
        <w:top w:val="none" w:sz="0" w:space="0" w:color="auto"/>
        <w:left w:val="none" w:sz="0" w:space="0" w:color="auto"/>
        <w:bottom w:val="none" w:sz="0" w:space="0" w:color="auto"/>
        <w:right w:val="none" w:sz="0" w:space="0" w:color="auto"/>
      </w:divBdr>
    </w:div>
    <w:div w:id="1549605785">
      <w:bodyDiv w:val="1"/>
      <w:marLeft w:val="0"/>
      <w:marRight w:val="0"/>
      <w:marTop w:val="0"/>
      <w:marBottom w:val="0"/>
      <w:divBdr>
        <w:top w:val="none" w:sz="0" w:space="0" w:color="auto"/>
        <w:left w:val="none" w:sz="0" w:space="0" w:color="auto"/>
        <w:bottom w:val="none" w:sz="0" w:space="0" w:color="auto"/>
        <w:right w:val="none" w:sz="0" w:space="0" w:color="auto"/>
      </w:divBdr>
    </w:div>
    <w:div w:id="1563520597">
      <w:bodyDiv w:val="1"/>
      <w:marLeft w:val="0"/>
      <w:marRight w:val="0"/>
      <w:marTop w:val="0"/>
      <w:marBottom w:val="0"/>
      <w:divBdr>
        <w:top w:val="none" w:sz="0" w:space="0" w:color="auto"/>
        <w:left w:val="none" w:sz="0" w:space="0" w:color="auto"/>
        <w:bottom w:val="none" w:sz="0" w:space="0" w:color="auto"/>
        <w:right w:val="none" w:sz="0" w:space="0" w:color="auto"/>
      </w:divBdr>
    </w:div>
    <w:div w:id="1563758141">
      <w:bodyDiv w:val="1"/>
      <w:marLeft w:val="0"/>
      <w:marRight w:val="0"/>
      <w:marTop w:val="0"/>
      <w:marBottom w:val="0"/>
      <w:divBdr>
        <w:top w:val="none" w:sz="0" w:space="0" w:color="auto"/>
        <w:left w:val="none" w:sz="0" w:space="0" w:color="auto"/>
        <w:bottom w:val="none" w:sz="0" w:space="0" w:color="auto"/>
        <w:right w:val="none" w:sz="0" w:space="0" w:color="auto"/>
      </w:divBdr>
    </w:div>
    <w:div w:id="1604145728">
      <w:bodyDiv w:val="1"/>
      <w:marLeft w:val="0"/>
      <w:marRight w:val="0"/>
      <w:marTop w:val="0"/>
      <w:marBottom w:val="0"/>
      <w:divBdr>
        <w:top w:val="none" w:sz="0" w:space="0" w:color="auto"/>
        <w:left w:val="none" w:sz="0" w:space="0" w:color="auto"/>
        <w:bottom w:val="none" w:sz="0" w:space="0" w:color="auto"/>
        <w:right w:val="none" w:sz="0" w:space="0" w:color="auto"/>
      </w:divBdr>
    </w:div>
    <w:div w:id="1637031904">
      <w:bodyDiv w:val="1"/>
      <w:marLeft w:val="0"/>
      <w:marRight w:val="0"/>
      <w:marTop w:val="0"/>
      <w:marBottom w:val="0"/>
      <w:divBdr>
        <w:top w:val="none" w:sz="0" w:space="0" w:color="auto"/>
        <w:left w:val="none" w:sz="0" w:space="0" w:color="auto"/>
        <w:bottom w:val="none" w:sz="0" w:space="0" w:color="auto"/>
        <w:right w:val="none" w:sz="0" w:space="0" w:color="auto"/>
      </w:divBdr>
      <w:divsChild>
        <w:div w:id="1923559779">
          <w:marLeft w:val="0"/>
          <w:marRight w:val="0"/>
          <w:marTop w:val="0"/>
          <w:marBottom w:val="0"/>
          <w:divBdr>
            <w:top w:val="none" w:sz="0" w:space="0" w:color="auto"/>
            <w:left w:val="none" w:sz="0" w:space="0" w:color="auto"/>
            <w:bottom w:val="none" w:sz="0" w:space="0" w:color="auto"/>
            <w:right w:val="none" w:sz="0" w:space="0" w:color="auto"/>
          </w:divBdr>
        </w:div>
        <w:div w:id="654912941">
          <w:marLeft w:val="0"/>
          <w:marRight w:val="0"/>
          <w:marTop w:val="0"/>
          <w:marBottom w:val="0"/>
          <w:divBdr>
            <w:top w:val="none" w:sz="0" w:space="0" w:color="auto"/>
            <w:left w:val="none" w:sz="0" w:space="0" w:color="auto"/>
            <w:bottom w:val="none" w:sz="0" w:space="0" w:color="auto"/>
            <w:right w:val="none" w:sz="0" w:space="0" w:color="auto"/>
          </w:divBdr>
        </w:div>
        <w:div w:id="1623997327">
          <w:marLeft w:val="0"/>
          <w:marRight w:val="0"/>
          <w:marTop w:val="0"/>
          <w:marBottom w:val="0"/>
          <w:divBdr>
            <w:top w:val="none" w:sz="0" w:space="0" w:color="auto"/>
            <w:left w:val="none" w:sz="0" w:space="0" w:color="auto"/>
            <w:bottom w:val="none" w:sz="0" w:space="0" w:color="auto"/>
            <w:right w:val="none" w:sz="0" w:space="0" w:color="auto"/>
          </w:divBdr>
        </w:div>
        <w:div w:id="2110540319">
          <w:marLeft w:val="0"/>
          <w:marRight w:val="0"/>
          <w:marTop w:val="0"/>
          <w:marBottom w:val="0"/>
          <w:divBdr>
            <w:top w:val="none" w:sz="0" w:space="0" w:color="auto"/>
            <w:left w:val="none" w:sz="0" w:space="0" w:color="auto"/>
            <w:bottom w:val="none" w:sz="0" w:space="0" w:color="auto"/>
            <w:right w:val="none" w:sz="0" w:space="0" w:color="auto"/>
          </w:divBdr>
        </w:div>
        <w:div w:id="831796961">
          <w:marLeft w:val="0"/>
          <w:marRight w:val="0"/>
          <w:marTop w:val="0"/>
          <w:marBottom w:val="0"/>
          <w:divBdr>
            <w:top w:val="none" w:sz="0" w:space="0" w:color="auto"/>
            <w:left w:val="none" w:sz="0" w:space="0" w:color="auto"/>
            <w:bottom w:val="none" w:sz="0" w:space="0" w:color="auto"/>
            <w:right w:val="none" w:sz="0" w:space="0" w:color="auto"/>
          </w:divBdr>
        </w:div>
        <w:div w:id="1850830582">
          <w:marLeft w:val="0"/>
          <w:marRight w:val="0"/>
          <w:marTop w:val="0"/>
          <w:marBottom w:val="0"/>
          <w:divBdr>
            <w:top w:val="none" w:sz="0" w:space="0" w:color="auto"/>
            <w:left w:val="none" w:sz="0" w:space="0" w:color="auto"/>
            <w:bottom w:val="none" w:sz="0" w:space="0" w:color="auto"/>
            <w:right w:val="none" w:sz="0" w:space="0" w:color="auto"/>
          </w:divBdr>
        </w:div>
        <w:div w:id="2036887139">
          <w:marLeft w:val="0"/>
          <w:marRight w:val="0"/>
          <w:marTop w:val="0"/>
          <w:marBottom w:val="0"/>
          <w:divBdr>
            <w:top w:val="none" w:sz="0" w:space="0" w:color="auto"/>
            <w:left w:val="none" w:sz="0" w:space="0" w:color="auto"/>
            <w:bottom w:val="none" w:sz="0" w:space="0" w:color="auto"/>
            <w:right w:val="none" w:sz="0" w:space="0" w:color="auto"/>
          </w:divBdr>
        </w:div>
        <w:div w:id="2129817043">
          <w:marLeft w:val="0"/>
          <w:marRight w:val="0"/>
          <w:marTop w:val="0"/>
          <w:marBottom w:val="0"/>
          <w:divBdr>
            <w:top w:val="none" w:sz="0" w:space="0" w:color="auto"/>
            <w:left w:val="none" w:sz="0" w:space="0" w:color="auto"/>
            <w:bottom w:val="none" w:sz="0" w:space="0" w:color="auto"/>
            <w:right w:val="none" w:sz="0" w:space="0" w:color="auto"/>
          </w:divBdr>
        </w:div>
      </w:divsChild>
    </w:div>
    <w:div w:id="1644769669">
      <w:bodyDiv w:val="1"/>
      <w:marLeft w:val="0"/>
      <w:marRight w:val="0"/>
      <w:marTop w:val="0"/>
      <w:marBottom w:val="0"/>
      <w:divBdr>
        <w:top w:val="none" w:sz="0" w:space="0" w:color="auto"/>
        <w:left w:val="none" w:sz="0" w:space="0" w:color="auto"/>
        <w:bottom w:val="none" w:sz="0" w:space="0" w:color="auto"/>
        <w:right w:val="none" w:sz="0" w:space="0" w:color="auto"/>
      </w:divBdr>
    </w:div>
    <w:div w:id="1664047146">
      <w:bodyDiv w:val="1"/>
      <w:marLeft w:val="0"/>
      <w:marRight w:val="0"/>
      <w:marTop w:val="0"/>
      <w:marBottom w:val="0"/>
      <w:divBdr>
        <w:top w:val="none" w:sz="0" w:space="0" w:color="auto"/>
        <w:left w:val="none" w:sz="0" w:space="0" w:color="auto"/>
        <w:bottom w:val="none" w:sz="0" w:space="0" w:color="auto"/>
        <w:right w:val="none" w:sz="0" w:space="0" w:color="auto"/>
      </w:divBdr>
    </w:div>
    <w:div w:id="1672753258">
      <w:bodyDiv w:val="1"/>
      <w:marLeft w:val="0"/>
      <w:marRight w:val="0"/>
      <w:marTop w:val="0"/>
      <w:marBottom w:val="0"/>
      <w:divBdr>
        <w:top w:val="none" w:sz="0" w:space="0" w:color="auto"/>
        <w:left w:val="none" w:sz="0" w:space="0" w:color="auto"/>
        <w:bottom w:val="none" w:sz="0" w:space="0" w:color="auto"/>
        <w:right w:val="none" w:sz="0" w:space="0" w:color="auto"/>
      </w:divBdr>
    </w:div>
    <w:div w:id="1681658244">
      <w:bodyDiv w:val="1"/>
      <w:marLeft w:val="0"/>
      <w:marRight w:val="0"/>
      <w:marTop w:val="0"/>
      <w:marBottom w:val="0"/>
      <w:divBdr>
        <w:top w:val="none" w:sz="0" w:space="0" w:color="auto"/>
        <w:left w:val="none" w:sz="0" w:space="0" w:color="auto"/>
        <w:bottom w:val="none" w:sz="0" w:space="0" w:color="auto"/>
        <w:right w:val="none" w:sz="0" w:space="0" w:color="auto"/>
      </w:divBdr>
    </w:div>
    <w:div w:id="1685938094">
      <w:bodyDiv w:val="1"/>
      <w:marLeft w:val="0"/>
      <w:marRight w:val="0"/>
      <w:marTop w:val="0"/>
      <w:marBottom w:val="0"/>
      <w:divBdr>
        <w:top w:val="none" w:sz="0" w:space="0" w:color="auto"/>
        <w:left w:val="none" w:sz="0" w:space="0" w:color="auto"/>
        <w:bottom w:val="none" w:sz="0" w:space="0" w:color="auto"/>
        <w:right w:val="none" w:sz="0" w:space="0" w:color="auto"/>
      </w:divBdr>
    </w:div>
    <w:div w:id="1686249445">
      <w:bodyDiv w:val="1"/>
      <w:marLeft w:val="0"/>
      <w:marRight w:val="0"/>
      <w:marTop w:val="0"/>
      <w:marBottom w:val="0"/>
      <w:divBdr>
        <w:top w:val="none" w:sz="0" w:space="0" w:color="auto"/>
        <w:left w:val="none" w:sz="0" w:space="0" w:color="auto"/>
        <w:bottom w:val="none" w:sz="0" w:space="0" w:color="auto"/>
        <w:right w:val="none" w:sz="0" w:space="0" w:color="auto"/>
      </w:divBdr>
    </w:div>
    <w:div w:id="1692799443">
      <w:bodyDiv w:val="1"/>
      <w:marLeft w:val="0"/>
      <w:marRight w:val="0"/>
      <w:marTop w:val="0"/>
      <w:marBottom w:val="0"/>
      <w:divBdr>
        <w:top w:val="none" w:sz="0" w:space="0" w:color="auto"/>
        <w:left w:val="none" w:sz="0" w:space="0" w:color="auto"/>
        <w:bottom w:val="none" w:sz="0" w:space="0" w:color="auto"/>
        <w:right w:val="none" w:sz="0" w:space="0" w:color="auto"/>
      </w:divBdr>
    </w:div>
    <w:div w:id="1694647539">
      <w:bodyDiv w:val="1"/>
      <w:marLeft w:val="0"/>
      <w:marRight w:val="0"/>
      <w:marTop w:val="0"/>
      <w:marBottom w:val="0"/>
      <w:divBdr>
        <w:top w:val="none" w:sz="0" w:space="0" w:color="auto"/>
        <w:left w:val="none" w:sz="0" w:space="0" w:color="auto"/>
        <w:bottom w:val="none" w:sz="0" w:space="0" w:color="auto"/>
        <w:right w:val="none" w:sz="0" w:space="0" w:color="auto"/>
      </w:divBdr>
    </w:div>
    <w:div w:id="1709909424">
      <w:bodyDiv w:val="1"/>
      <w:marLeft w:val="0"/>
      <w:marRight w:val="0"/>
      <w:marTop w:val="0"/>
      <w:marBottom w:val="0"/>
      <w:divBdr>
        <w:top w:val="none" w:sz="0" w:space="0" w:color="auto"/>
        <w:left w:val="none" w:sz="0" w:space="0" w:color="auto"/>
        <w:bottom w:val="none" w:sz="0" w:space="0" w:color="auto"/>
        <w:right w:val="none" w:sz="0" w:space="0" w:color="auto"/>
      </w:divBdr>
    </w:div>
    <w:div w:id="1721633993">
      <w:bodyDiv w:val="1"/>
      <w:marLeft w:val="0"/>
      <w:marRight w:val="0"/>
      <w:marTop w:val="0"/>
      <w:marBottom w:val="0"/>
      <w:divBdr>
        <w:top w:val="none" w:sz="0" w:space="0" w:color="auto"/>
        <w:left w:val="none" w:sz="0" w:space="0" w:color="auto"/>
        <w:bottom w:val="none" w:sz="0" w:space="0" w:color="auto"/>
        <w:right w:val="none" w:sz="0" w:space="0" w:color="auto"/>
      </w:divBdr>
    </w:div>
    <w:div w:id="1750884784">
      <w:bodyDiv w:val="1"/>
      <w:marLeft w:val="0"/>
      <w:marRight w:val="0"/>
      <w:marTop w:val="0"/>
      <w:marBottom w:val="0"/>
      <w:divBdr>
        <w:top w:val="none" w:sz="0" w:space="0" w:color="auto"/>
        <w:left w:val="none" w:sz="0" w:space="0" w:color="auto"/>
        <w:bottom w:val="none" w:sz="0" w:space="0" w:color="auto"/>
        <w:right w:val="none" w:sz="0" w:space="0" w:color="auto"/>
      </w:divBdr>
    </w:div>
    <w:div w:id="1763986006">
      <w:bodyDiv w:val="1"/>
      <w:marLeft w:val="0"/>
      <w:marRight w:val="0"/>
      <w:marTop w:val="0"/>
      <w:marBottom w:val="0"/>
      <w:divBdr>
        <w:top w:val="none" w:sz="0" w:space="0" w:color="auto"/>
        <w:left w:val="none" w:sz="0" w:space="0" w:color="auto"/>
        <w:bottom w:val="none" w:sz="0" w:space="0" w:color="auto"/>
        <w:right w:val="none" w:sz="0" w:space="0" w:color="auto"/>
      </w:divBdr>
    </w:div>
    <w:div w:id="1790665829">
      <w:bodyDiv w:val="1"/>
      <w:marLeft w:val="0"/>
      <w:marRight w:val="0"/>
      <w:marTop w:val="0"/>
      <w:marBottom w:val="0"/>
      <w:divBdr>
        <w:top w:val="none" w:sz="0" w:space="0" w:color="auto"/>
        <w:left w:val="none" w:sz="0" w:space="0" w:color="auto"/>
        <w:bottom w:val="none" w:sz="0" w:space="0" w:color="auto"/>
        <w:right w:val="none" w:sz="0" w:space="0" w:color="auto"/>
      </w:divBdr>
      <w:divsChild>
        <w:div w:id="508178858">
          <w:marLeft w:val="-720"/>
          <w:marRight w:val="0"/>
          <w:marTop w:val="0"/>
          <w:marBottom w:val="0"/>
          <w:divBdr>
            <w:top w:val="none" w:sz="0" w:space="0" w:color="auto"/>
            <w:left w:val="none" w:sz="0" w:space="0" w:color="auto"/>
            <w:bottom w:val="none" w:sz="0" w:space="0" w:color="auto"/>
            <w:right w:val="none" w:sz="0" w:space="0" w:color="auto"/>
          </w:divBdr>
        </w:div>
      </w:divsChild>
    </w:div>
    <w:div w:id="1805347025">
      <w:bodyDiv w:val="1"/>
      <w:marLeft w:val="0"/>
      <w:marRight w:val="0"/>
      <w:marTop w:val="0"/>
      <w:marBottom w:val="0"/>
      <w:divBdr>
        <w:top w:val="none" w:sz="0" w:space="0" w:color="auto"/>
        <w:left w:val="none" w:sz="0" w:space="0" w:color="auto"/>
        <w:bottom w:val="none" w:sz="0" w:space="0" w:color="auto"/>
        <w:right w:val="none" w:sz="0" w:space="0" w:color="auto"/>
      </w:divBdr>
      <w:divsChild>
        <w:div w:id="213586374">
          <w:marLeft w:val="-720"/>
          <w:marRight w:val="0"/>
          <w:marTop w:val="0"/>
          <w:marBottom w:val="0"/>
          <w:divBdr>
            <w:top w:val="none" w:sz="0" w:space="0" w:color="auto"/>
            <w:left w:val="none" w:sz="0" w:space="0" w:color="auto"/>
            <w:bottom w:val="none" w:sz="0" w:space="0" w:color="auto"/>
            <w:right w:val="none" w:sz="0" w:space="0" w:color="auto"/>
          </w:divBdr>
        </w:div>
      </w:divsChild>
    </w:div>
    <w:div w:id="1844777927">
      <w:bodyDiv w:val="1"/>
      <w:marLeft w:val="0"/>
      <w:marRight w:val="0"/>
      <w:marTop w:val="0"/>
      <w:marBottom w:val="0"/>
      <w:divBdr>
        <w:top w:val="none" w:sz="0" w:space="0" w:color="auto"/>
        <w:left w:val="none" w:sz="0" w:space="0" w:color="auto"/>
        <w:bottom w:val="none" w:sz="0" w:space="0" w:color="auto"/>
        <w:right w:val="none" w:sz="0" w:space="0" w:color="auto"/>
      </w:divBdr>
    </w:div>
    <w:div w:id="1851219984">
      <w:bodyDiv w:val="1"/>
      <w:marLeft w:val="0"/>
      <w:marRight w:val="0"/>
      <w:marTop w:val="0"/>
      <w:marBottom w:val="0"/>
      <w:divBdr>
        <w:top w:val="none" w:sz="0" w:space="0" w:color="auto"/>
        <w:left w:val="none" w:sz="0" w:space="0" w:color="auto"/>
        <w:bottom w:val="none" w:sz="0" w:space="0" w:color="auto"/>
        <w:right w:val="none" w:sz="0" w:space="0" w:color="auto"/>
      </w:divBdr>
    </w:div>
    <w:div w:id="1856460668">
      <w:bodyDiv w:val="1"/>
      <w:marLeft w:val="0"/>
      <w:marRight w:val="0"/>
      <w:marTop w:val="0"/>
      <w:marBottom w:val="0"/>
      <w:divBdr>
        <w:top w:val="none" w:sz="0" w:space="0" w:color="auto"/>
        <w:left w:val="none" w:sz="0" w:space="0" w:color="auto"/>
        <w:bottom w:val="none" w:sz="0" w:space="0" w:color="auto"/>
        <w:right w:val="none" w:sz="0" w:space="0" w:color="auto"/>
      </w:divBdr>
    </w:div>
    <w:div w:id="1861040003">
      <w:bodyDiv w:val="1"/>
      <w:marLeft w:val="0"/>
      <w:marRight w:val="0"/>
      <w:marTop w:val="0"/>
      <w:marBottom w:val="0"/>
      <w:divBdr>
        <w:top w:val="none" w:sz="0" w:space="0" w:color="auto"/>
        <w:left w:val="none" w:sz="0" w:space="0" w:color="auto"/>
        <w:bottom w:val="none" w:sz="0" w:space="0" w:color="auto"/>
        <w:right w:val="none" w:sz="0" w:space="0" w:color="auto"/>
      </w:divBdr>
    </w:div>
    <w:div w:id="1874999829">
      <w:bodyDiv w:val="1"/>
      <w:marLeft w:val="0"/>
      <w:marRight w:val="0"/>
      <w:marTop w:val="0"/>
      <w:marBottom w:val="0"/>
      <w:divBdr>
        <w:top w:val="none" w:sz="0" w:space="0" w:color="auto"/>
        <w:left w:val="none" w:sz="0" w:space="0" w:color="auto"/>
        <w:bottom w:val="none" w:sz="0" w:space="0" w:color="auto"/>
        <w:right w:val="none" w:sz="0" w:space="0" w:color="auto"/>
      </w:divBdr>
    </w:div>
    <w:div w:id="1893226256">
      <w:bodyDiv w:val="1"/>
      <w:marLeft w:val="0"/>
      <w:marRight w:val="0"/>
      <w:marTop w:val="0"/>
      <w:marBottom w:val="0"/>
      <w:divBdr>
        <w:top w:val="none" w:sz="0" w:space="0" w:color="auto"/>
        <w:left w:val="none" w:sz="0" w:space="0" w:color="auto"/>
        <w:bottom w:val="none" w:sz="0" w:space="0" w:color="auto"/>
        <w:right w:val="none" w:sz="0" w:space="0" w:color="auto"/>
      </w:divBdr>
      <w:divsChild>
        <w:div w:id="1924678493">
          <w:marLeft w:val="-720"/>
          <w:marRight w:val="0"/>
          <w:marTop w:val="0"/>
          <w:marBottom w:val="0"/>
          <w:divBdr>
            <w:top w:val="none" w:sz="0" w:space="0" w:color="auto"/>
            <w:left w:val="none" w:sz="0" w:space="0" w:color="auto"/>
            <w:bottom w:val="none" w:sz="0" w:space="0" w:color="auto"/>
            <w:right w:val="none" w:sz="0" w:space="0" w:color="auto"/>
          </w:divBdr>
        </w:div>
      </w:divsChild>
    </w:div>
    <w:div w:id="1901477399">
      <w:bodyDiv w:val="1"/>
      <w:marLeft w:val="0"/>
      <w:marRight w:val="0"/>
      <w:marTop w:val="0"/>
      <w:marBottom w:val="0"/>
      <w:divBdr>
        <w:top w:val="none" w:sz="0" w:space="0" w:color="auto"/>
        <w:left w:val="none" w:sz="0" w:space="0" w:color="auto"/>
        <w:bottom w:val="none" w:sz="0" w:space="0" w:color="auto"/>
        <w:right w:val="none" w:sz="0" w:space="0" w:color="auto"/>
      </w:divBdr>
    </w:div>
    <w:div w:id="1937594526">
      <w:bodyDiv w:val="1"/>
      <w:marLeft w:val="0"/>
      <w:marRight w:val="0"/>
      <w:marTop w:val="0"/>
      <w:marBottom w:val="0"/>
      <w:divBdr>
        <w:top w:val="none" w:sz="0" w:space="0" w:color="auto"/>
        <w:left w:val="none" w:sz="0" w:space="0" w:color="auto"/>
        <w:bottom w:val="none" w:sz="0" w:space="0" w:color="auto"/>
        <w:right w:val="none" w:sz="0" w:space="0" w:color="auto"/>
      </w:divBdr>
    </w:div>
    <w:div w:id="1952857097">
      <w:bodyDiv w:val="1"/>
      <w:marLeft w:val="0"/>
      <w:marRight w:val="0"/>
      <w:marTop w:val="0"/>
      <w:marBottom w:val="0"/>
      <w:divBdr>
        <w:top w:val="none" w:sz="0" w:space="0" w:color="auto"/>
        <w:left w:val="none" w:sz="0" w:space="0" w:color="auto"/>
        <w:bottom w:val="none" w:sz="0" w:space="0" w:color="auto"/>
        <w:right w:val="none" w:sz="0" w:space="0" w:color="auto"/>
      </w:divBdr>
    </w:div>
    <w:div w:id="2007392549">
      <w:bodyDiv w:val="1"/>
      <w:marLeft w:val="0"/>
      <w:marRight w:val="0"/>
      <w:marTop w:val="0"/>
      <w:marBottom w:val="0"/>
      <w:divBdr>
        <w:top w:val="none" w:sz="0" w:space="0" w:color="auto"/>
        <w:left w:val="none" w:sz="0" w:space="0" w:color="auto"/>
        <w:bottom w:val="none" w:sz="0" w:space="0" w:color="auto"/>
        <w:right w:val="none" w:sz="0" w:space="0" w:color="auto"/>
      </w:divBdr>
    </w:div>
    <w:div w:id="2014800948">
      <w:bodyDiv w:val="1"/>
      <w:marLeft w:val="0"/>
      <w:marRight w:val="0"/>
      <w:marTop w:val="0"/>
      <w:marBottom w:val="0"/>
      <w:divBdr>
        <w:top w:val="none" w:sz="0" w:space="0" w:color="auto"/>
        <w:left w:val="none" w:sz="0" w:space="0" w:color="auto"/>
        <w:bottom w:val="none" w:sz="0" w:space="0" w:color="auto"/>
        <w:right w:val="none" w:sz="0" w:space="0" w:color="auto"/>
      </w:divBdr>
    </w:div>
    <w:div w:id="2037583206">
      <w:bodyDiv w:val="1"/>
      <w:marLeft w:val="0"/>
      <w:marRight w:val="0"/>
      <w:marTop w:val="0"/>
      <w:marBottom w:val="0"/>
      <w:divBdr>
        <w:top w:val="none" w:sz="0" w:space="0" w:color="auto"/>
        <w:left w:val="none" w:sz="0" w:space="0" w:color="auto"/>
        <w:bottom w:val="none" w:sz="0" w:space="0" w:color="auto"/>
        <w:right w:val="none" w:sz="0" w:space="0" w:color="auto"/>
      </w:divBdr>
    </w:div>
    <w:div w:id="2046983095">
      <w:bodyDiv w:val="1"/>
      <w:marLeft w:val="0"/>
      <w:marRight w:val="0"/>
      <w:marTop w:val="0"/>
      <w:marBottom w:val="0"/>
      <w:divBdr>
        <w:top w:val="none" w:sz="0" w:space="0" w:color="auto"/>
        <w:left w:val="none" w:sz="0" w:space="0" w:color="auto"/>
        <w:bottom w:val="none" w:sz="0" w:space="0" w:color="auto"/>
        <w:right w:val="none" w:sz="0" w:space="0" w:color="auto"/>
      </w:divBdr>
    </w:div>
    <w:div w:id="2047219632">
      <w:bodyDiv w:val="1"/>
      <w:marLeft w:val="0"/>
      <w:marRight w:val="0"/>
      <w:marTop w:val="0"/>
      <w:marBottom w:val="0"/>
      <w:divBdr>
        <w:top w:val="none" w:sz="0" w:space="0" w:color="auto"/>
        <w:left w:val="none" w:sz="0" w:space="0" w:color="auto"/>
        <w:bottom w:val="none" w:sz="0" w:space="0" w:color="auto"/>
        <w:right w:val="none" w:sz="0" w:space="0" w:color="auto"/>
      </w:divBdr>
    </w:div>
    <w:div w:id="2056660331">
      <w:bodyDiv w:val="1"/>
      <w:marLeft w:val="0"/>
      <w:marRight w:val="0"/>
      <w:marTop w:val="0"/>
      <w:marBottom w:val="0"/>
      <w:divBdr>
        <w:top w:val="none" w:sz="0" w:space="0" w:color="auto"/>
        <w:left w:val="none" w:sz="0" w:space="0" w:color="auto"/>
        <w:bottom w:val="none" w:sz="0" w:space="0" w:color="auto"/>
        <w:right w:val="none" w:sz="0" w:space="0" w:color="auto"/>
      </w:divBdr>
    </w:div>
    <w:div w:id="2063820031">
      <w:bodyDiv w:val="1"/>
      <w:marLeft w:val="0"/>
      <w:marRight w:val="0"/>
      <w:marTop w:val="0"/>
      <w:marBottom w:val="0"/>
      <w:divBdr>
        <w:top w:val="none" w:sz="0" w:space="0" w:color="auto"/>
        <w:left w:val="none" w:sz="0" w:space="0" w:color="auto"/>
        <w:bottom w:val="none" w:sz="0" w:space="0" w:color="auto"/>
        <w:right w:val="none" w:sz="0" w:space="0" w:color="auto"/>
      </w:divBdr>
      <w:divsChild>
        <w:div w:id="1074088942">
          <w:marLeft w:val="0"/>
          <w:marRight w:val="0"/>
          <w:marTop w:val="0"/>
          <w:marBottom w:val="0"/>
          <w:divBdr>
            <w:top w:val="none" w:sz="0" w:space="0" w:color="auto"/>
            <w:left w:val="none" w:sz="0" w:space="0" w:color="auto"/>
            <w:bottom w:val="none" w:sz="0" w:space="0" w:color="auto"/>
            <w:right w:val="none" w:sz="0" w:space="0" w:color="auto"/>
          </w:divBdr>
        </w:div>
      </w:divsChild>
    </w:div>
    <w:div w:id="2080130893">
      <w:bodyDiv w:val="1"/>
      <w:marLeft w:val="0"/>
      <w:marRight w:val="0"/>
      <w:marTop w:val="0"/>
      <w:marBottom w:val="0"/>
      <w:divBdr>
        <w:top w:val="none" w:sz="0" w:space="0" w:color="auto"/>
        <w:left w:val="none" w:sz="0" w:space="0" w:color="auto"/>
        <w:bottom w:val="none" w:sz="0" w:space="0" w:color="auto"/>
        <w:right w:val="none" w:sz="0" w:space="0" w:color="auto"/>
      </w:divBdr>
    </w:div>
    <w:div w:id="2092004257">
      <w:bodyDiv w:val="1"/>
      <w:marLeft w:val="0"/>
      <w:marRight w:val="0"/>
      <w:marTop w:val="0"/>
      <w:marBottom w:val="0"/>
      <w:divBdr>
        <w:top w:val="none" w:sz="0" w:space="0" w:color="auto"/>
        <w:left w:val="none" w:sz="0" w:space="0" w:color="auto"/>
        <w:bottom w:val="none" w:sz="0" w:space="0" w:color="auto"/>
        <w:right w:val="none" w:sz="0" w:space="0" w:color="auto"/>
      </w:divBdr>
    </w:div>
    <w:div w:id="2105220739">
      <w:bodyDiv w:val="1"/>
      <w:marLeft w:val="0"/>
      <w:marRight w:val="0"/>
      <w:marTop w:val="0"/>
      <w:marBottom w:val="0"/>
      <w:divBdr>
        <w:top w:val="none" w:sz="0" w:space="0" w:color="auto"/>
        <w:left w:val="none" w:sz="0" w:space="0" w:color="auto"/>
        <w:bottom w:val="none" w:sz="0" w:space="0" w:color="auto"/>
        <w:right w:val="none" w:sz="0" w:space="0" w:color="auto"/>
      </w:divBdr>
    </w:div>
    <w:div w:id="213027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p.weixin.qq.com/s?__biz=MjM5MzM0NjY2MA%3D%3D&amp;mid=2652671510&amp;idx=2&amp;sn=cc470ee1c9f9180af099d4012e2dae7c&amp;chksm=bc87c6c5f3487cbd08bfea116fa5205f8b91c8f648806a43f42740bc42b8fd3309ee8c433419&amp;scene=27" TargetMode="External"/><Relationship Id="rId18" Type="http://schemas.openxmlformats.org/officeDocument/2006/relationships/hyperlink" Target="https://d.wanfangdata.com.cn/thesis/ChhUaGVzaXNOZXdTMjAyNDA5MjAxNTE3MjUSB0Q3MjI4NDcaCGQyaXVnbjY5" TargetMode="External"/><Relationship Id="rId26" Type="http://schemas.openxmlformats.org/officeDocument/2006/relationships/hyperlink" Target="http://mp.cnfol.com/49592/article/1743169804-141725357.html" TargetMode="External"/><Relationship Id="rId21" Type="http://schemas.openxmlformats.org/officeDocument/2006/relationships/hyperlink" Target="https://trendinsight.oceanengine.com/arithmetic-report/detail/802"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57/jibs.2009.52" TargetMode="External"/><Relationship Id="rId17" Type="http://schemas.openxmlformats.org/officeDocument/2006/relationships/hyperlink" Target="https://hbr.org/1997/07/why-focused-strategies-may-be-wrong-for-emerging-markets" TargetMode="External"/><Relationship Id="rId25" Type="http://schemas.openxmlformats.org/officeDocument/2006/relationships/hyperlink" Target="https://www.semanticscholar.org/paper/EMERGING-MARKETS%3A-CONCEPT-EVOLUTION-AND-BUSINESS-Serban-Borisov/4e9bcec4bf565b169137786f2dc3d5c9fda8d590"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stj.cqvip.com/Qikan/Article/Detail?id=00002EKIL5587JP0MPDG6JP06P" TargetMode="External"/><Relationship Id="rId20" Type="http://schemas.openxmlformats.org/officeDocument/2006/relationships/hyperlink" Target="https://doi.org/10.5465/20159604" TargetMode="External"/><Relationship Id="rId29" Type="http://schemas.openxmlformats.org/officeDocument/2006/relationships/hyperlink" Target="https://doi.org/10.12677/ecl.2024.13414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254/2754-1169/2025.20870" TargetMode="External"/><Relationship Id="rId24" Type="http://schemas.openxmlformats.org/officeDocument/2006/relationships/hyperlink" Target="https://doi.org/10.3390/jrfm17070262"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0149206317723711" TargetMode="External"/><Relationship Id="rId23" Type="http://schemas.openxmlformats.org/officeDocument/2006/relationships/hyperlink" Target="https://doi.org/10.1016/j.jwb.2018.12.002" TargetMode="External"/><Relationship Id="rId28" Type="http://schemas.openxmlformats.org/officeDocument/2006/relationships/hyperlink" Target="https://www.semanticscholar.org/paper/Internationalization-propensity-in-public-firms-in-Tsao-Wang/2b2e5c3d1cbb26d395ac1028f3470a2c40b8edc1" TargetMode="External"/><Relationship Id="rId36" Type="http://schemas.openxmlformats.org/officeDocument/2006/relationships/footer" Target="footer3.xml"/><Relationship Id="rId10" Type="http://schemas.openxmlformats.org/officeDocument/2006/relationships/hyperlink" Target="http://mp.cnfol.com/49592/article/1743169804-141725357.html" TargetMode="External"/><Relationship Id="rId19" Type="http://schemas.openxmlformats.org/officeDocument/2006/relationships/hyperlink" Target="https://doi.org/10.1108/ijebr-10-2019-057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2660/joscmv11n1p53-63" TargetMode="External"/><Relationship Id="rId22" Type="http://schemas.openxmlformats.org/officeDocument/2006/relationships/hyperlink" Target="https://www.oppo.com/en/about/" TargetMode="External"/><Relationship Id="rId27" Type="http://schemas.openxmlformats.org/officeDocument/2006/relationships/hyperlink" Target="https://www.gov.cn/zhengce/2022-01/12/content_5718603.htm" TargetMode="External"/><Relationship Id="rId30" Type="http://schemas.openxmlformats.org/officeDocument/2006/relationships/hyperlink" Target="https://doi.org/10.1016/0304-405x(76)90026-x" TargetMode="External"/><Relationship Id="rId35" Type="http://schemas.openxmlformats.org/officeDocument/2006/relationships/header" Target="header3.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2.8744886908749056E-2"/>
          <c:y val="2.973240832507433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9031625398381958E-3"/>
          <c:y val="0.26977205153617445"/>
          <c:w val="0.62936183602202944"/>
          <c:h val="0.66085232903865221"/>
        </c:manualLayout>
      </c:layout>
      <c:pie3DChart>
        <c:varyColors val="1"/>
        <c:ser>
          <c:idx val="0"/>
          <c:order val="0"/>
          <c:tx>
            <c:strRef>
              <c:f>Sheet1!$B$1</c:f>
              <c:strCache>
                <c:ptCount val="1"/>
                <c:pt idx="0">
                  <c:v>Share Structure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058-4427-B749-97FFDA091A2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058-4427-B749-97FFDA091A2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058-4427-B749-97FFDA091A2A}"/>
              </c:ext>
            </c:extLst>
          </c:dPt>
          <c:cat>
            <c:strRef>
              <c:f>Sheet1!$A$2:$A$4</c:f>
              <c:strCache>
                <c:ptCount val="3"/>
                <c:pt idx="0">
                  <c:v>Chen Mingyong</c:v>
                </c:pt>
                <c:pt idx="1">
                  <c:v>Foreign Capital</c:v>
                </c:pt>
                <c:pt idx="2">
                  <c:v>Employees and Other Shareholders</c:v>
                </c:pt>
              </c:strCache>
            </c:strRef>
          </c:cat>
          <c:val>
            <c:numRef>
              <c:f>Sheet1!$B$2:$B$4</c:f>
              <c:numCache>
                <c:formatCode>0%</c:formatCode>
                <c:ptCount val="3"/>
                <c:pt idx="0" formatCode="0.00%">
                  <c:v>0.1</c:v>
                </c:pt>
                <c:pt idx="1">
                  <c:v>0.4</c:v>
                </c:pt>
                <c:pt idx="2">
                  <c:v>0.5</c:v>
                </c:pt>
              </c:numCache>
            </c:numRef>
          </c:val>
          <c:extLst>
            <c:ext xmlns:c16="http://schemas.microsoft.com/office/drawing/2014/chart" uri="{C3380CC4-5D6E-409C-BE32-E72D297353CC}">
              <c16:uniqueId val="{00000006-4058-4427-B749-97FFDA091A2A}"/>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3426499856186769"/>
          <c:y val="3.6449903623295886E-2"/>
          <c:w val="0.33631602619910317"/>
          <c:h val="0.9069320992953184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2.8744886908749056E-2"/>
          <c:y val="2.973240832507433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9031625398381958E-3"/>
          <c:y val="0.26977205153617445"/>
          <c:w val="0.62936183602202944"/>
          <c:h val="0.66085232903865221"/>
        </c:manualLayout>
      </c:layout>
      <c:pie3DChart>
        <c:varyColors val="1"/>
        <c:ser>
          <c:idx val="0"/>
          <c:order val="0"/>
          <c:tx>
            <c:strRef>
              <c:f>Sheet1!$B$1</c:f>
              <c:strCache>
                <c:ptCount val="1"/>
                <c:pt idx="0">
                  <c:v>Voting Rights Structure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0C0-4977-AD5D-3CD2CC6EC6D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0C0-4977-AD5D-3CD2CC6EC6D1}"/>
              </c:ext>
            </c:extLst>
          </c:dPt>
          <c:cat>
            <c:strRef>
              <c:f>Sheet1!$A$2:$A$3</c:f>
              <c:strCache>
                <c:ptCount val="2"/>
                <c:pt idx="0">
                  <c:v>Chen Mingyong</c:v>
                </c:pt>
                <c:pt idx="1">
                  <c:v>Others</c:v>
                </c:pt>
              </c:strCache>
            </c:strRef>
          </c:cat>
          <c:val>
            <c:numRef>
              <c:f>Sheet1!$B$2:$B$3</c:f>
              <c:numCache>
                <c:formatCode>0%</c:formatCode>
                <c:ptCount val="2"/>
                <c:pt idx="0" formatCode="0.00%">
                  <c:v>0.61080000000000001</c:v>
                </c:pt>
                <c:pt idx="1">
                  <c:v>0.4</c:v>
                </c:pt>
              </c:numCache>
            </c:numRef>
          </c:val>
          <c:extLst>
            <c:ext xmlns:c16="http://schemas.microsoft.com/office/drawing/2014/chart" uri="{C3380CC4-5D6E-409C-BE32-E72D297353CC}">
              <c16:uniqueId val="{00000006-B0C0-4977-AD5D-3CD2CC6EC6D1}"/>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3426499856186769"/>
          <c:y val="3.6449903623295886E-2"/>
          <c:w val="0.33631602619910317"/>
          <c:h val="0.9069320992953184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DEB66-134D-48F1-9562-7733FA2B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4975</Words>
  <Characters>28361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Zhuang</dc:creator>
  <cp:keywords/>
  <dc:description/>
  <cp:lastModifiedBy>SDI PC New 16</cp:lastModifiedBy>
  <cp:revision>7</cp:revision>
  <cp:lastPrinted>2024-12-17T02:10:00Z</cp:lastPrinted>
  <dcterms:created xsi:type="dcterms:W3CDTF">2025-07-14T11:48:00Z</dcterms:created>
  <dcterms:modified xsi:type="dcterms:W3CDTF">2025-07-16T10:25:00Z</dcterms:modified>
</cp:coreProperties>
</file>