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B3AF1" w14:textId="5FA4C47E" w:rsidR="00AB23B4" w:rsidRDefault="00AB23B4" w:rsidP="002870A6">
      <w:pPr>
        <w:jc w:val="right"/>
        <w:rPr>
          <w:rFonts w:ascii="Arial" w:hAnsi="Arial" w:cs="Arial"/>
          <w:b/>
          <w:bCs/>
          <w:i/>
          <w:iCs/>
          <w:noProof/>
          <w:sz w:val="28"/>
          <w:szCs w:val="28"/>
          <w:u w:val="single"/>
          <w:lang w:eastAsia="en-PH"/>
        </w:rPr>
      </w:pPr>
      <w:bookmarkStart w:id="0" w:name="_GoBack"/>
      <w:bookmarkEnd w:id="0"/>
      <w:r w:rsidRPr="00AB23B4">
        <w:rPr>
          <w:rFonts w:ascii="Arial" w:hAnsi="Arial" w:cs="Arial"/>
          <w:b/>
          <w:bCs/>
          <w:i/>
          <w:iCs/>
          <w:noProof/>
          <w:sz w:val="28"/>
          <w:szCs w:val="28"/>
          <w:u w:val="single"/>
          <w:lang w:eastAsia="en-PH"/>
        </w:rPr>
        <w:t>Original Research Article</w:t>
      </w:r>
    </w:p>
    <w:p w14:paraId="51E38D7F" w14:textId="77777777" w:rsidR="00AB23B4" w:rsidRDefault="00AB23B4" w:rsidP="002870A6">
      <w:pPr>
        <w:jc w:val="right"/>
        <w:rPr>
          <w:rFonts w:ascii="Arial" w:hAnsi="Arial" w:cs="Arial"/>
          <w:b/>
          <w:noProof/>
          <w:sz w:val="28"/>
          <w:szCs w:val="28"/>
          <w:lang w:val="en-PH" w:eastAsia="en-PH"/>
        </w:rPr>
      </w:pPr>
    </w:p>
    <w:p w14:paraId="228C904B" w14:textId="0F5A4933" w:rsidR="006E79E4" w:rsidRDefault="002870A6" w:rsidP="002870A6">
      <w:pPr>
        <w:jc w:val="right"/>
        <w:rPr>
          <w:rFonts w:ascii="Arial" w:hAnsi="Arial" w:cs="Arial"/>
          <w:b/>
          <w:noProof/>
          <w:sz w:val="28"/>
          <w:szCs w:val="28"/>
          <w:lang w:val="en-PH" w:eastAsia="en-PH"/>
        </w:rPr>
      </w:pPr>
      <w:r w:rsidRPr="002870A6">
        <w:rPr>
          <w:rFonts w:ascii="Arial" w:hAnsi="Arial" w:cs="Arial"/>
          <w:b/>
          <w:noProof/>
          <w:sz w:val="28"/>
          <w:szCs w:val="28"/>
          <w:lang w:val="en-PH" w:eastAsia="en-PH"/>
        </w:rPr>
        <w:t>RESOURCES DISTRIBUTION AND MONITORING MECHANISM OF TEACHERS IN PUBLIC ELEMENTARY SCHOOLS</w:t>
      </w:r>
    </w:p>
    <w:p w14:paraId="4ED97BE6" w14:textId="77777777" w:rsidR="00AB23B4" w:rsidRDefault="00AB23B4" w:rsidP="002870A6">
      <w:pPr>
        <w:jc w:val="right"/>
        <w:rPr>
          <w:rFonts w:ascii="Arial" w:hAnsi="Arial" w:cs="Arial"/>
          <w:b/>
          <w:noProof/>
          <w:sz w:val="28"/>
          <w:szCs w:val="28"/>
          <w:lang w:val="en-PH" w:eastAsia="en-PH"/>
        </w:rPr>
      </w:pPr>
    </w:p>
    <w:p w14:paraId="46B3DCDD" w14:textId="5B581C31" w:rsidR="00717F2E" w:rsidRDefault="00180859">
      <w:pPr>
        <w:pStyle w:val="Affiliation"/>
        <w:spacing w:line="240" w:lineRule="auto"/>
        <w:jc w:val="left"/>
        <w:rPr>
          <w:rFonts w:ascii="Arial" w:hAnsi="Arial" w:cs="Arial"/>
          <w:i/>
        </w:rPr>
        <w:sectPr w:rsidR="00717F2E" w:rsidSect="00BE5216">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506A3341" w:rsidR="00717F2E" w:rsidRPr="000763D2" w:rsidRDefault="003C6A82" w:rsidP="001F1D3E">
            <w:pPr>
              <w:jc w:val="both"/>
              <w:rPr>
                <w:rFonts w:ascii="Arial" w:hAnsi="Arial" w:cs="Arial"/>
                <w:iCs/>
              </w:rPr>
            </w:pPr>
            <w:r w:rsidRPr="007E1FEA">
              <w:rPr>
                <w:rFonts w:ascii="Arial" w:hAnsi="Arial" w:cs="Arial"/>
                <w:iCs/>
                <w:highlight w:val="yellow"/>
              </w:rPr>
              <w:t xml:space="preserve">This study aimed to assess the resource allocation and monitoring systems for teachers in public elementary schools within </w:t>
            </w:r>
            <w:proofErr w:type="spellStart"/>
            <w:r w:rsidRPr="007E1FEA">
              <w:rPr>
                <w:rFonts w:ascii="Arial" w:hAnsi="Arial" w:cs="Arial"/>
                <w:iCs/>
                <w:highlight w:val="yellow"/>
              </w:rPr>
              <w:t>Caraga</w:t>
            </w:r>
            <w:proofErr w:type="spellEnd"/>
            <w:r w:rsidRPr="007E1FEA">
              <w:rPr>
                <w:rFonts w:ascii="Arial" w:hAnsi="Arial" w:cs="Arial"/>
                <w:iCs/>
                <w:highlight w:val="yellow"/>
              </w:rPr>
              <w:t xml:space="preserve"> District, Division of Davao Oriental. It employed universal sampling and a non-experimental, quantitative research design with a correlational approach. A total of 132 public elementary school teachers participated as respondents. The analysis involved the use of the mean, Pearson Product Moment Correlation coefficient (Pearson r), and regression analysis. Results showed that resource distribution—covering curriculum, development, maintenance, community engagement, and environmental aspects—was rated highly. Similarly, monitoring mechanisms—pertaining to guidelines, exploration, curriculum relevance, delivery, and learning—also received high ratings. A significant relationship was found between resource distribution and monitoring mechanisms, indicating that resource domains notably influence monitoring practices. These insights can guide educational institutions in fostering a peaceful work environment and building peacekeeping skills through seminars and workshops aimed at improving resource allocation and monitoring systems for teachers in these schools.</w:t>
            </w:r>
          </w:p>
        </w:tc>
      </w:tr>
    </w:tbl>
    <w:p w14:paraId="175A3F79" w14:textId="77777777" w:rsidR="00717F2E" w:rsidRDefault="00717F2E">
      <w:pPr>
        <w:pStyle w:val="Body"/>
        <w:spacing w:after="0"/>
        <w:rPr>
          <w:rFonts w:ascii="Arial" w:hAnsi="Arial" w:cs="Arial"/>
          <w:i/>
        </w:rPr>
      </w:pPr>
    </w:p>
    <w:p w14:paraId="4F2A9DC6" w14:textId="25D55FE3" w:rsidR="004B323E" w:rsidRDefault="00180859" w:rsidP="00E32CA0">
      <w:pPr>
        <w:jc w:val="both"/>
        <w:rPr>
          <w:rFonts w:ascii="Arial" w:hAnsi="Arial" w:cs="Arial"/>
          <w:iCs/>
        </w:rPr>
      </w:pPr>
      <w:r w:rsidRPr="000763D2">
        <w:rPr>
          <w:rFonts w:ascii="Arial" w:hAnsi="Arial" w:cs="Arial"/>
          <w:i/>
          <w:iCs/>
        </w:rPr>
        <w:t>Keywords</w:t>
      </w:r>
      <w:r>
        <w:rPr>
          <w:rFonts w:ascii="Arial" w:hAnsi="Arial" w:cs="Arial"/>
        </w:rPr>
        <w:t xml:space="preserve">: </w:t>
      </w:r>
      <w:r w:rsidR="00E32CA0">
        <w:rPr>
          <w:rFonts w:ascii="Arial" w:hAnsi="Arial" w:cs="Arial"/>
          <w:iCs/>
        </w:rPr>
        <w:t xml:space="preserve">resources distribution, monitoring mechanism, </w:t>
      </w:r>
      <w:proofErr w:type="gramStart"/>
      <w:r w:rsidR="00E32CA0" w:rsidRPr="00E32CA0">
        <w:rPr>
          <w:rFonts w:ascii="Arial" w:hAnsi="Arial" w:cs="Arial"/>
          <w:iCs/>
        </w:rPr>
        <w:t>teachers</w:t>
      </w:r>
      <w:proofErr w:type="gramEnd"/>
      <w:r w:rsidR="00E32CA0" w:rsidRPr="00E32CA0">
        <w:rPr>
          <w:rFonts w:ascii="Arial" w:hAnsi="Arial" w:cs="Arial"/>
          <w:iCs/>
        </w:rPr>
        <w:t xml:space="preserve"> public elementary schools</w:t>
      </w:r>
      <w:r w:rsidR="00E32CA0">
        <w:rPr>
          <w:rFonts w:ascii="Arial" w:hAnsi="Arial" w:cs="Arial"/>
          <w:iCs/>
        </w:rPr>
        <w:t>, education</w:t>
      </w:r>
    </w:p>
    <w:p w14:paraId="6D6C10E5" w14:textId="77777777" w:rsidR="003B71E2" w:rsidRDefault="003B71E2" w:rsidP="003B71E2">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2FE29DCA" w14:textId="7844B46B" w:rsidR="00AB33EF" w:rsidRPr="00AB33EF" w:rsidRDefault="00AB33EF" w:rsidP="00AB33EF">
      <w:pPr>
        <w:jc w:val="both"/>
        <w:rPr>
          <w:rFonts w:ascii="Arial" w:hAnsi="Arial"/>
        </w:rPr>
      </w:pPr>
      <w:r w:rsidRPr="00AB33EF">
        <w:rPr>
          <w:rFonts w:ascii="Arial" w:hAnsi="Arial"/>
        </w:rPr>
        <w:t>Effective distribution of teaching and learning resources is essential to ensure that educational programs are challenging and engaging for students, while also respecting the values and sensitivities of the wider school c</w:t>
      </w:r>
      <w:r w:rsidR="004734FA">
        <w:rPr>
          <w:rFonts w:ascii="Arial" w:hAnsi="Arial"/>
        </w:rPr>
        <w:t>ommunity (</w:t>
      </w:r>
      <w:r w:rsidR="004734FA" w:rsidRPr="004734FA">
        <w:rPr>
          <w:rFonts w:ascii="Arial" w:hAnsi="Arial"/>
        </w:rPr>
        <w:t xml:space="preserve">Cress </w:t>
      </w:r>
      <w:r w:rsidR="004734FA">
        <w:rPr>
          <w:rFonts w:ascii="Arial" w:hAnsi="Arial"/>
        </w:rPr>
        <w:t xml:space="preserve">et al., 2023). </w:t>
      </w:r>
      <w:r w:rsidRPr="00AB33EF">
        <w:rPr>
          <w:rFonts w:ascii="Arial" w:hAnsi="Arial"/>
        </w:rPr>
        <w:t>Schools must carefully select resources that neither offend students nor conflict with community standards by avoiding obscene, offensi</w:t>
      </w:r>
      <w:r w:rsidR="004734FA">
        <w:rPr>
          <w:rFonts w:ascii="Arial" w:hAnsi="Arial"/>
        </w:rPr>
        <w:t xml:space="preserve">ve, or controversial materials (Post, 2024). </w:t>
      </w:r>
      <w:r w:rsidRPr="00AB33EF">
        <w:rPr>
          <w:rFonts w:ascii="Arial" w:hAnsi="Arial"/>
        </w:rPr>
        <w:t>To guide this process, the Department provides clear guidelines to assist teachers and school principals in choosing appropriate teaching and learning resources available within the school. These guidelines also offer protocols for addressing any objections regarding specific resources, ensuring decisions are well-informed and transparent.</w:t>
      </w:r>
    </w:p>
    <w:p w14:paraId="23CC1B7C" w14:textId="77777777" w:rsidR="00AB33EF" w:rsidRPr="00AB33EF" w:rsidRDefault="00AB33EF" w:rsidP="00AB33EF">
      <w:pPr>
        <w:jc w:val="both"/>
        <w:rPr>
          <w:rFonts w:ascii="Arial" w:hAnsi="Arial"/>
        </w:rPr>
      </w:pPr>
    </w:p>
    <w:p w14:paraId="68473A5D" w14:textId="43CD5A50" w:rsidR="00AB33EF" w:rsidRPr="00AB33EF" w:rsidRDefault="00AB33EF" w:rsidP="00AB33EF">
      <w:pPr>
        <w:jc w:val="both"/>
        <w:rPr>
          <w:rFonts w:ascii="Arial" w:hAnsi="Arial"/>
        </w:rPr>
      </w:pPr>
      <w:r w:rsidRPr="00AB33EF">
        <w:rPr>
          <w:rFonts w:ascii="Arial" w:hAnsi="Arial"/>
        </w:rPr>
        <w:t>In selecting these resources, educators must consider expected student learning outcomes and curriculum standards, alongside the unique needs of their student population. Resources should be age-appropriate, free from highly offensive content, and evaluated in terms of language, behavior,</w:t>
      </w:r>
      <w:r w:rsidR="004734FA">
        <w:rPr>
          <w:rFonts w:ascii="Arial" w:hAnsi="Arial"/>
        </w:rPr>
        <w:t xml:space="preserve"> imagery, and thematic elements (</w:t>
      </w:r>
      <w:r w:rsidR="004734FA" w:rsidRPr="004734FA">
        <w:rPr>
          <w:rFonts w:ascii="Arial" w:hAnsi="Arial"/>
        </w:rPr>
        <w:t>Girardin</w:t>
      </w:r>
      <w:r w:rsidR="004734FA">
        <w:rPr>
          <w:rFonts w:ascii="Arial" w:hAnsi="Arial"/>
        </w:rPr>
        <w:t>, 2022).</w:t>
      </w:r>
      <w:r w:rsidRPr="00AB33EF">
        <w:rPr>
          <w:rFonts w:ascii="Arial" w:hAnsi="Arial"/>
        </w:rPr>
        <w:t xml:space="preserve"> Furthermore, consideration must be given to the literary, artistic, and educational merit of the materials, as well as the author’s intent and the overall character of the content (</w:t>
      </w:r>
      <w:proofErr w:type="spellStart"/>
      <w:r w:rsidR="004734FA">
        <w:rPr>
          <w:rFonts w:ascii="Arial" w:hAnsi="Arial"/>
        </w:rPr>
        <w:t>Alam</w:t>
      </w:r>
      <w:proofErr w:type="spellEnd"/>
      <w:r w:rsidR="004734FA">
        <w:rPr>
          <w:rFonts w:ascii="Arial" w:hAnsi="Arial"/>
        </w:rPr>
        <w:t>, 2021</w:t>
      </w:r>
      <w:r w:rsidRPr="00AB33EF">
        <w:rPr>
          <w:rFonts w:ascii="Arial" w:hAnsi="Arial"/>
        </w:rPr>
        <w:t>).</w:t>
      </w:r>
    </w:p>
    <w:p w14:paraId="0F96E538" w14:textId="77777777" w:rsidR="00AB33EF" w:rsidRPr="00AB33EF" w:rsidRDefault="00AB33EF" w:rsidP="00AB33EF">
      <w:pPr>
        <w:jc w:val="both"/>
        <w:rPr>
          <w:rFonts w:ascii="Arial" w:hAnsi="Arial"/>
        </w:rPr>
      </w:pPr>
    </w:p>
    <w:p w14:paraId="2AE44A3F" w14:textId="0AA87D1D" w:rsidR="00AB33EF" w:rsidRPr="00AB33EF" w:rsidRDefault="00AB33EF" w:rsidP="00AB33EF">
      <w:pPr>
        <w:jc w:val="both"/>
        <w:rPr>
          <w:rFonts w:ascii="Arial" w:hAnsi="Arial"/>
        </w:rPr>
      </w:pPr>
      <w:r w:rsidRPr="00AB33EF">
        <w:rPr>
          <w:rFonts w:ascii="Arial" w:hAnsi="Arial"/>
        </w:rPr>
        <w:t>Within organizational and educational contexts, efficient resource distribution is a persistent challenge. Inef</w:t>
      </w:r>
      <w:r w:rsidR="00C32A6B">
        <w:rPr>
          <w:rFonts w:ascii="Arial" w:hAnsi="Arial"/>
        </w:rPr>
        <w:t xml:space="preserve">fective management of resources, </w:t>
      </w:r>
      <w:r w:rsidRPr="00AB33EF">
        <w:rPr>
          <w:rFonts w:ascii="Arial" w:hAnsi="Arial"/>
        </w:rPr>
        <w:t>whether financial, hu</w:t>
      </w:r>
      <w:r w:rsidR="00C32A6B">
        <w:rPr>
          <w:rFonts w:ascii="Arial" w:hAnsi="Arial"/>
        </w:rPr>
        <w:t xml:space="preserve">man, informational, or material, </w:t>
      </w:r>
      <w:r w:rsidRPr="00AB33EF">
        <w:rPr>
          <w:rFonts w:ascii="Arial" w:hAnsi="Arial"/>
        </w:rPr>
        <w:t>can hinder the development and delivery of quality education (</w:t>
      </w:r>
      <w:r w:rsidR="00C32A6B" w:rsidRPr="00C32A6B">
        <w:rPr>
          <w:rFonts w:ascii="Arial" w:hAnsi="Arial"/>
        </w:rPr>
        <w:t>Nadeem</w:t>
      </w:r>
      <w:r w:rsidR="00C32A6B">
        <w:rPr>
          <w:rFonts w:ascii="Arial" w:hAnsi="Arial"/>
        </w:rPr>
        <w:t>, 2024</w:t>
      </w:r>
      <w:r w:rsidRPr="00AB33EF">
        <w:rPr>
          <w:rFonts w:ascii="Arial" w:hAnsi="Arial"/>
        </w:rPr>
        <w:t xml:space="preserve">). Consequently, resource distribution management has become a critical area within project </w:t>
      </w:r>
      <w:r w:rsidRPr="00AB33EF">
        <w:rPr>
          <w:rFonts w:ascii="Arial" w:hAnsi="Arial"/>
        </w:rPr>
        <w:lastRenderedPageBreak/>
        <w:t>and school administration, incorporating techniques and philosophies to optimize allocation and utilization (</w:t>
      </w:r>
      <w:r w:rsidR="006E3E3B">
        <w:rPr>
          <w:rFonts w:ascii="Arial" w:hAnsi="Arial"/>
        </w:rPr>
        <w:t>Liu, 2024</w:t>
      </w:r>
      <w:r w:rsidRPr="00AB33EF">
        <w:rPr>
          <w:rFonts w:ascii="Arial" w:hAnsi="Arial"/>
        </w:rPr>
        <w:t>).</w:t>
      </w:r>
    </w:p>
    <w:p w14:paraId="13010F82" w14:textId="77777777" w:rsidR="00AB33EF" w:rsidRPr="00AB33EF" w:rsidRDefault="00AB33EF" w:rsidP="00AB33EF">
      <w:pPr>
        <w:jc w:val="both"/>
        <w:rPr>
          <w:rFonts w:ascii="Arial" w:hAnsi="Arial"/>
        </w:rPr>
      </w:pPr>
    </w:p>
    <w:p w14:paraId="2ABC9FAE" w14:textId="7A2DB44A" w:rsidR="00AB33EF" w:rsidRPr="00AB33EF" w:rsidRDefault="00AB33EF" w:rsidP="00AB33EF">
      <w:pPr>
        <w:jc w:val="both"/>
        <w:rPr>
          <w:rFonts w:ascii="Arial" w:hAnsi="Arial"/>
        </w:rPr>
      </w:pPr>
      <w:r w:rsidRPr="00AB33EF">
        <w:rPr>
          <w:rFonts w:ascii="Arial" w:hAnsi="Arial"/>
        </w:rPr>
        <w:t>Resource distribution strategies aim to maximize efficiency and minimize waste, ensuring that resources are used where they are most needed. In education, this means providing teachers with the necessary materials, support, and tools to enhance instruction and student</w:t>
      </w:r>
      <w:r w:rsidR="008B7327">
        <w:rPr>
          <w:rFonts w:ascii="Arial" w:hAnsi="Arial"/>
        </w:rPr>
        <w:t xml:space="preserve"> learning outcomes (</w:t>
      </w:r>
      <w:r w:rsidR="008B7327" w:rsidRPr="008B7327">
        <w:rPr>
          <w:rFonts w:ascii="Arial" w:hAnsi="Arial"/>
        </w:rPr>
        <w:t>Sagar</w:t>
      </w:r>
      <w:r w:rsidR="008B7327">
        <w:rPr>
          <w:rFonts w:ascii="Arial" w:hAnsi="Arial"/>
        </w:rPr>
        <w:t xml:space="preserve"> et al., 2023).</w:t>
      </w:r>
      <w:r w:rsidRPr="00AB33EF">
        <w:rPr>
          <w:rFonts w:ascii="Arial" w:hAnsi="Arial"/>
        </w:rPr>
        <w:t xml:space="preserve"> Schools may centralize specific functions, employ suitable technologies, and leverage local assets to improve overall resource management and support educational goals (</w:t>
      </w:r>
      <w:r w:rsidR="008B7327" w:rsidRPr="008B7327">
        <w:rPr>
          <w:rFonts w:ascii="Arial" w:hAnsi="Arial"/>
        </w:rPr>
        <w:t>Adeleke</w:t>
      </w:r>
      <w:r w:rsidR="008B7327">
        <w:rPr>
          <w:rFonts w:ascii="Arial" w:hAnsi="Arial"/>
        </w:rPr>
        <w:t xml:space="preserve"> et al., 2024</w:t>
      </w:r>
      <w:r w:rsidRPr="00AB33EF">
        <w:rPr>
          <w:rFonts w:ascii="Arial" w:hAnsi="Arial"/>
        </w:rPr>
        <w:t>).</w:t>
      </w:r>
    </w:p>
    <w:p w14:paraId="2146AB8E" w14:textId="77777777" w:rsidR="00AB33EF" w:rsidRPr="00AB33EF" w:rsidRDefault="00AB33EF" w:rsidP="00AB33EF">
      <w:pPr>
        <w:jc w:val="both"/>
        <w:rPr>
          <w:rFonts w:ascii="Arial" w:hAnsi="Arial"/>
        </w:rPr>
      </w:pPr>
    </w:p>
    <w:p w14:paraId="2F303C28" w14:textId="7A60884C" w:rsidR="00AB33EF" w:rsidRPr="00AB33EF" w:rsidRDefault="00AB33EF" w:rsidP="00AB33EF">
      <w:pPr>
        <w:jc w:val="both"/>
        <w:rPr>
          <w:rFonts w:ascii="Arial" w:hAnsi="Arial"/>
        </w:rPr>
      </w:pPr>
      <w:r w:rsidRPr="00AB33EF">
        <w:rPr>
          <w:rFonts w:ascii="Arial" w:hAnsi="Arial"/>
        </w:rPr>
        <w:t>Resource distribution is fundamentally about the responsible and strategic allocation of resources across an organization. In public elementary schools, this involves ensuring that teachers have access to appropriate instructional materials, professional development opportunities</w:t>
      </w:r>
      <w:r w:rsidR="00DF6A25">
        <w:rPr>
          <w:rFonts w:ascii="Arial" w:hAnsi="Arial"/>
        </w:rPr>
        <w:t>, and supportive environments (Liu, 2024).</w:t>
      </w:r>
      <w:r w:rsidRPr="00AB33EF">
        <w:rPr>
          <w:rFonts w:ascii="Arial" w:hAnsi="Arial"/>
        </w:rPr>
        <w:t xml:space="preserve"> Effective resource distribution is also closely linked with monitoring mechanisms that track usage, effectiveness, and gaps, enabling timely adjustm</w:t>
      </w:r>
      <w:r w:rsidR="00DF6A25">
        <w:rPr>
          <w:rFonts w:ascii="Arial" w:hAnsi="Arial"/>
        </w:rPr>
        <w:t>ents and continuous improvement (</w:t>
      </w:r>
      <w:proofErr w:type="spellStart"/>
      <w:r w:rsidR="00DF6A25" w:rsidRPr="00DF6A25">
        <w:rPr>
          <w:rFonts w:ascii="Arial" w:hAnsi="Arial"/>
        </w:rPr>
        <w:t>Atieh</w:t>
      </w:r>
      <w:proofErr w:type="spellEnd"/>
      <w:r w:rsidR="00DF6A25">
        <w:rPr>
          <w:rFonts w:ascii="Arial" w:hAnsi="Arial"/>
        </w:rPr>
        <w:t>, 2021).</w:t>
      </w:r>
    </w:p>
    <w:p w14:paraId="68808EA4" w14:textId="77777777" w:rsidR="00AB33EF" w:rsidRPr="00AB33EF" w:rsidRDefault="00AB33EF" w:rsidP="00AB33EF">
      <w:pPr>
        <w:jc w:val="both"/>
        <w:rPr>
          <w:rFonts w:ascii="Arial" w:hAnsi="Arial"/>
        </w:rPr>
      </w:pPr>
    </w:p>
    <w:p w14:paraId="26ED07B1" w14:textId="5988F262" w:rsidR="00AB33EF" w:rsidRPr="00AB33EF" w:rsidRDefault="00AB33EF" w:rsidP="00AB33EF">
      <w:pPr>
        <w:jc w:val="both"/>
        <w:rPr>
          <w:rFonts w:ascii="Arial" w:hAnsi="Arial"/>
        </w:rPr>
      </w:pPr>
      <w:r w:rsidRPr="00AB33EF">
        <w:rPr>
          <w:rFonts w:ascii="Arial" w:hAnsi="Arial"/>
        </w:rPr>
        <w:t>One widely used technique in resource management is resource leveling, which smooths out fluctuations in resource availability by forecasting demands and balancing supply accordingly. This approach helps avoid shortages or surpluses that could disrupt instructional continuity (</w:t>
      </w:r>
      <w:proofErr w:type="spellStart"/>
      <w:r w:rsidR="00DF6A25" w:rsidRPr="00DF6A25">
        <w:rPr>
          <w:rFonts w:ascii="Arial" w:hAnsi="Arial"/>
        </w:rPr>
        <w:t>Almatroushi</w:t>
      </w:r>
      <w:proofErr w:type="spellEnd"/>
      <w:r w:rsidR="00DF6A25">
        <w:rPr>
          <w:rFonts w:ascii="Arial" w:hAnsi="Arial"/>
        </w:rPr>
        <w:t xml:space="preserve"> et al., 2021</w:t>
      </w:r>
      <w:r w:rsidRPr="00AB33EF">
        <w:rPr>
          <w:rFonts w:ascii="Arial" w:hAnsi="Arial"/>
        </w:rPr>
        <w:t>).</w:t>
      </w:r>
    </w:p>
    <w:p w14:paraId="6E4CCA2B" w14:textId="77777777" w:rsidR="00AB33EF" w:rsidRPr="00AB33EF" w:rsidRDefault="00AB33EF" w:rsidP="00AB33EF">
      <w:pPr>
        <w:jc w:val="both"/>
        <w:rPr>
          <w:rFonts w:ascii="Arial" w:hAnsi="Arial"/>
        </w:rPr>
      </w:pPr>
    </w:p>
    <w:p w14:paraId="12F4CEA8" w14:textId="77777777" w:rsidR="00AB33EF" w:rsidRPr="00AB33EF" w:rsidRDefault="00AB33EF" w:rsidP="00AB33EF">
      <w:pPr>
        <w:jc w:val="both"/>
        <w:rPr>
          <w:rFonts w:ascii="Arial" w:hAnsi="Arial"/>
        </w:rPr>
      </w:pPr>
      <w:r w:rsidRPr="00AB33EF">
        <w:rPr>
          <w:rFonts w:ascii="Arial" w:hAnsi="Arial"/>
        </w:rPr>
        <w:t>Recognizing the importance of these factors, this study aims to examine the current practices of resource distribution and monitoring mechanisms among teachers in public elementary schools. The findings are expected to provide valuable insights for school principals and administrators, guiding them in making informed decisions to optimize resource allocation and enhance the quality of academic instruction. Ultimately, this research seeks to contribute to the development of effective administrative policies that support both teachers and learners in public elementary education.</w:t>
      </w:r>
    </w:p>
    <w:p w14:paraId="4733E1A6" w14:textId="77777777" w:rsidR="00E32CA0" w:rsidRDefault="00E32CA0" w:rsidP="00E32CA0">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0AADCC46" w14:textId="77777777" w:rsidR="00FC2C5C" w:rsidRPr="00FC2C5C" w:rsidRDefault="00FC2C5C" w:rsidP="00FC2C5C">
      <w:pPr>
        <w:jc w:val="both"/>
        <w:rPr>
          <w:rFonts w:ascii="Arial" w:eastAsia="MS Mincho" w:hAnsi="Arial" w:cs="Arial"/>
          <w:lang w:eastAsia="ja-JP"/>
        </w:rPr>
      </w:pPr>
      <w:r w:rsidRPr="00FC2C5C">
        <w:rPr>
          <w:rFonts w:ascii="Arial" w:eastAsia="MS Mincho" w:hAnsi="Arial" w:cs="Arial"/>
          <w:lang w:eastAsia="ja-JP"/>
        </w:rPr>
        <w:t xml:space="preserve">This study was conducted to determine the resources distribution and monitoring mechanism of teachers in public elementary schools in </w:t>
      </w:r>
      <w:proofErr w:type="spellStart"/>
      <w:r w:rsidRPr="00FC2C5C">
        <w:rPr>
          <w:rFonts w:ascii="Arial" w:eastAsia="MS Mincho" w:hAnsi="Arial" w:cs="Arial"/>
          <w:lang w:eastAsia="ja-JP"/>
        </w:rPr>
        <w:t>Caraga</w:t>
      </w:r>
      <w:proofErr w:type="spellEnd"/>
      <w:r w:rsidRPr="00FC2C5C">
        <w:rPr>
          <w:rFonts w:ascii="Arial" w:eastAsia="MS Mincho" w:hAnsi="Arial" w:cs="Arial"/>
          <w:lang w:eastAsia="ja-JP"/>
        </w:rPr>
        <w:t xml:space="preserve"> District, Division of Davao Oriental. Specifically, it seeks answer to the following sub-problems:</w:t>
      </w:r>
    </w:p>
    <w:p w14:paraId="488254FF" w14:textId="77777777"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1. What is the degree of resources distribution of teachers in public elementary schools in terms of:</w:t>
      </w:r>
    </w:p>
    <w:p w14:paraId="4B03A3FC" w14:textId="700D9FFF" w:rsidR="00FC2C5C" w:rsidRPr="00FC2C5C" w:rsidRDefault="00FC2C5C" w:rsidP="00FC2C5C">
      <w:pPr>
        <w:rPr>
          <w:rFonts w:ascii="Arial" w:eastAsia="MS Mincho" w:hAnsi="Arial" w:cs="Arial"/>
          <w:lang w:eastAsia="ja-JP"/>
        </w:rPr>
      </w:pPr>
      <w:r>
        <w:rPr>
          <w:rFonts w:ascii="Arial" w:eastAsia="MS Mincho" w:hAnsi="Arial" w:cs="Arial"/>
          <w:lang w:eastAsia="ja-JP"/>
        </w:rPr>
        <w:t xml:space="preserve">1.1 </w:t>
      </w:r>
      <w:r w:rsidRPr="00FC2C5C">
        <w:rPr>
          <w:rFonts w:ascii="Arial" w:eastAsia="MS Mincho" w:hAnsi="Arial" w:cs="Arial"/>
          <w:lang w:eastAsia="ja-JP"/>
        </w:rPr>
        <w:t>curriculum,</w:t>
      </w:r>
    </w:p>
    <w:p w14:paraId="65B6E338" w14:textId="548CD213" w:rsidR="00FC2C5C" w:rsidRPr="00FC2C5C" w:rsidRDefault="00FC2C5C" w:rsidP="00FC2C5C">
      <w:pPr>
        <w:rPr>
          <w:rFonts w:ascii="Arial" w:eastAsia="MS Mincho" w:hAnsi="Arial" w:cs="Arial"/>
          <w:lang w:eastAsia="ja-JP"/>
        </w:rPr>
      </w:pPr>
      <w:r>
        <w:rPr>
          <w:rFonts w:ascii="Arial" w:eastAsia="MS Mincho" w:hAnsi="Arial" w:cs="Arial"/>
          <w:lang w:eastAsia="ja-JP"/>
        </w:rPr>
        <w:t xml:space="preserve">1.2 </w:t>
      </w:r>
      <w:r w:rsidRPr="00FC2C5C">
        <w:rPr>
          <w:rFonts w:ascii="Arial" w:eastAsia="MS Mincho" w:hAnsi="Arial" w:cs="Arial"/>
          <w:lang w:eastAsia="ja-JP"/>
        </w:rPr>
        <w:t>development,</w:t>
      </w:r>
    </w:p>
    <w:p w14:paraId="3437D208" w14:textId="30353063" w:rsidR="00FC2C5C" w:rsidRPr="00FC2C5C" w:rsidRDefault="00FC2C5C" w:rsidP="00FC2C5C">
      <w:pPr>
        <w:rPr>
          <w:rFonts w:ascii="Arial" w:eastAsia="MS Mincho" w:hAnsi="Arial" w:cs="Arial"/>
          <w:lang w:eastAsia="ja-JP"/>
        </w:rPr>
      </w:pPr>
      <w:r>
        <w:rPr>
          <w:rFonts w:ascii="Arial" w:eastAsia="MS Mincho" w:hAnsi="Arial" w:cs="Arial"/>
          <w:lang w:eastAsia="ja-JP"/>
        </w:rPr>
        <w:t xml:space="preserve">1.3 </w:t>
      </w:r>
      <w:r w:rsidRPr="00FC2C5C">
        <w:rPr>
          <w:rFonts w:ascii="Arial" w:eastAsia="MS Mincho" w:hAnsi="Arial" w:cs="Arial"/>
          <w:lang w:eastAsia="ja-JP"/>
        </w:rPr>
        <w:t>maintenance,</w:t>
      </w:r>
    </w:p>
    <w:p w14:paraId="5C814BF4" w14:textId="3ED32025"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1.4 community building</w:t>
      </w:r>
      <w:r>
        <w:rPr>
          <w:rFonts w:ascii="Arial" w:eastAsia="MS Mincho" w:hAnsi="Arial" w:cs="Arial"/>
          <w:lang w:eastAsia="ja-JP"/>
        </w:rPr>
        <w:t>,</w:t>
      </w:r>
      <w:r w:rsidRPr="00FC2C5C">
        <w:rPr>
          <w:rFonts w:ascii="Arial" w:eastAsia="MS Mincho" w:hAnsi="Arial" w:cs="Arial"/>
          <w:lang w:eastAsia="ja-JP"/>
        </w:rPr>
        <w:t xml:space="preserve"> and </w:t>
      </w:r>
    </w:p>
    <w:p w14:paraId="674BC1AE" w14:textId="77777777"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1.5 environment?</w:t>
      </w:r>
    </w:p>
    <w:p w14:paraId="133C96F1" w14:textId="77777777" w:rsidR="00FC2C5C" w:rsidRDefault="00FC2C5C" w:rsidP="00FC2C5C">
      <w:pPr>
        <w:rPr>
          <w:rFonts w:ascii="Arial" w:eastAsia="MS Mincho" w:hAnsi="Arial" w:cs="Arial"/>
          <w:lang w:eastAsia="ja-JP"/>
        </w:rPr>
      </w:pPr>
    </w:p>
    <w:p w14:paraId="60521B95" w14:textId="39733171"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2. What is the level of monitoring mechanism of teachers in public elementary schools in terms of:</w:t>
      </w:r>
    </w:p>
    <w:p w14:paraId="48F90822" w14:textId="77777777"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2.1 guidelines,</w:t>
      </w:r>
    </w:p>
    <w:p w14:paraId="14B9D480" w14:textId="77777777"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2.2 exploring,</w:t>
      </w:r>
    </w:p>
    <w:p w14:paraId="3819E54D" w14:textId="77777777"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2.3 relevance,</w:t>
      </w:r>
    </w:p>
    <w:p w14:paraId="547E9AA8" w14:textId="77777777"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2.4 delivery and</w:t>
      </w:r>
    </w:p>
    <w:p w14:paraId="17FFF726" w14:textId="2EBEAA91" w:rsidR="00FC2C5C" w:rsidRDefault="00FC2C5C" w:rsidP="00FC2C5C">
      <w:pPr>
        <w:rPr>
          <w:rFonts w:ascii="Arial" w:eastAsia="MS Mincho" w:hAnsi="Arial" w:cs="Arial"/>
          <w:lang w:eastAsia="ja-JP"/>
        </w:rPr>
      </w:pPr>
      <w:r w:rsidRPr="00FC2C5C">
        <w:rPr>
          <w:rFonts w:ascii="Arial" w:eastAsia="MS Mincho" w:hAnsi="Arial" w:cs="Arial"/>
          <w:lang w:eastAsia="ja-JP"/>
        </w:rPr>
        <w:t>2.5 learning?</w:t>
      </w:r>
    </w:p>
    <w:p w14:paraId="63A23ADD" w14:textId="77777777" w:rsidR="00FC2C5C" w:rsidRPr="00FC2C5C" w:rsidRDefault="00FC2C5C" w:rsidP="00FC2C5C">
      <w:pPr>
        <w:rPr>
          <w:rFonts w:ascii="Arial" w:eastAsia="MS Mincho" w:hAnsi="Arial" w:cs="Arial"/>
          <w:lang w:eastAsia="ja-JP"/>
        </w:rPr>
      </w:pPr>
    </w:p>
    <w:p w14:paraId="51B937A8" w14:textId="0D0F7061"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3. Is there significant relationship on the level of resources distribution and monitoring mechanism of teachers in public elementary schools?</w:t>
      </w:r>
    </w:p>
    <w:p w14:paraId="40F4990F" w14:textId="77777777" w:rsidR="00FC2C5C" w:rsidRDefault="00FC2C5C" w:rsidP="00FC2C5C">
      <w:pPr>
        <w:rPr>
          <w:rFonts w:ascii="Arial" w:eastAsia="MS Mincho" w:hAnsi="Arial" w:cs="Arial"/>
          <w:lang w:eastAsia="ja-JP"/>
        </w:rPr>
      </w:pPr>
    </w:p>
    <w:p w14:paraId="738FD306" w14:textId="6166597F" w:rsidR="00FC2C5C" w:rsidRDefault="00FC2C5C" w:rsidP="00FC2C5C">
      <w:pPr>
        <w:rPr>
          <w:rFonts w:ascii="Arial" w:eastAsia="MS Mincho" w:hAnsi="Arial" w:cs="Arial"/>
          <w:lang w:eastAsia="ja-JP"/>
        </w:rPr>
      </w:pPr>
      <w:r w:rsidRPr="00FC2C5C">
        <w:rPr>
          <w:rFonts w:ascii="Arial" w:eastAsia="MS Mincho" w:hAnsi="Arial" w:cs="Arial"/>
          <w:lang w:eastAsia="ja-JP"/>
        </w:rPr>
        <w:t>4. Which domains of resources distribution significantly influence monitoring mechanism of teachers in public elementary schools</w:t>
      </w:r>
      <w:r>
        <w:rPr>
          <w:rFonts w:ascii="Arial" w:eastAsia="MS Mincho" w:hAnsi="Arial" w:cs="Arial"/>
          <w:lang w:eastAsia="ja-JP"/>
        </w:rPr>
        <w:t>?</w:t>
      </w:r>
    </w:p>
    <w:p w14:paraId="2E844942" w14:textId="77777777" w:rsidR="009573F2" w:rsidRDefault="009573F2" w:rsidP="00FC2C5C">
      <w:pPr>
        <w:rPr>
          <w:rFonts w:ascii="Arial" w:eastAsia="MS Mincho" w:hAnsi="Arial" w:cs="Arial"/>
          <w:b/>
          <w:lang w:eastAsia="ja-JP"/>
        </w:rPr>
      </w:pPr>
    </w:p>
    <w:p w14:paraId="4110F409" w14:textId="14FAD0AF"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77777777"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The null hypotheses were tested in this study at 0.05 level of significance.</w:t>
      </w:r>
    </w:p>
    <w:p w14:paraId="6BDFCB8B" w14:textId="77777777" w:rsidR="009573F2" w:rsidRPr="009573F2" w:rsidRDefault="009573F2" w:rsidP="009573F2">
      <w:pPr>
        <w:pStyle w:val="AbstHead"/>
        <w:jc w:val="both"/>
        <w:rPr>
          <w:rFonts w:ascii="Arial" w:hAnsi="Arial" w:cs="Arial"/>
          <w:b w:val="0"/>
          <w:caps w:val="0"/>
          <w:sz w:val="20"/>
        </w:rPr>
      </w:pPr>
      <w:r w:rsidRPr="009573F2">
        <w:rPr>
          <w:rFonts w:ascii="Arial" w:hAnsi="Arial" w:cs="Arial"/>
          <w:b w:val="0"/>
          <w:caps w:val="0"/>
          <w:sz w:val="20"/>
        </w:rPr>
        <w:t>Ho1. There is no significant relationship between resources distribution and monitoring mechanism of teachers in public elementary schools.</w:t>
      </w:r>
    </w:p>
    <w:p w14:paraId="64C3BB2E" w14:textId="73B5FC2E" w:rsidR="00CE60AB" w:rsidRDefault="009573F2" w:rsidP="009573F2">
      <w:pPr>
        <w:pStyle w:val="AbstHead"/>
        <w:spacing w:after="0"/>
        <w:jc w:val="both"/>
        <w:rPr>
          <w:rFonts w:ascii="Arial" w:hAnsi="Arial" w:cs="Arial"/>
          <w:b w:val="0"/>
          <w:caps w:val="0"/>
          <w:sz w:val="20"/>
        </w:rPr>
      </w:pPr>
      <w:r w:rsidRPr="009573F2">
        <w:rPr>
          <w:rFonts w:ascii="Arial" w:hAnsi="Arial" w:cs="Arial"/>
          <w:b w:val="0"/>
          <w:caps w:val="0"/>
          <w:sz w:val="20"/>
        </w:rPr>
        <w:t>Ho2. The domains of resources distribution do not significantly influence monitoring mechanism of teachers in public elementary schools.</w:t>
      </w:r>
    </w:p>
    <w:p w14:paraId="279862E7" w14:textId="77777777" w:rsidR="009573F2" w:rsidRDefault="009573F2" w:rsidP="009573F2">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4AD22935" w14:textId="77777777" w:rsidR="005608FF" w:rsidRPr="005608FF" w:rsidRDefault="005608FF" w:rsidP="005608FF">
      <w:pPr>
        <w:jc w:val="both"/>
        <w:rPr>
          <w:rFonts w:ascii="Arial" w:hAnsi="Arial" w:cs="Arial"/>
        </w:rPr>
      </w:pPr>
      <w:r w:rsidRPr="005608FF">
        <w:rPr>
          <w:rFonts w:ascii="Arial" w:hAnsi="Arial" w:cs="Arial"/>
        </w:rPr>
        <w:t>This study employed a quantitative research design, specifically utilizing a descriptive-correlational approach. Quantitative research involves the systematic collection and analysis of numerical data using statistical techniques to ensure objective, accurate, and measurable outcomes (</w:t>
      </w:r>
      <w:proofErr w:type="spellStart"/>
      <w:r w:rsidRPr="005608FF">
        <w:rPr>
          <w:rFonts w:ascii="Arial" w:hAnsi="Arial" w:cs="Arial"/>
        </w:rPr>
        <w:t>Mohajan</w:t>
      </w:r>
      <w:proofErr w:type="spellEnd"/>
      <w:r w:rsidRPr="005608FF">
        <w:rPr>
          <w:rFonts w:ascii="Arial" w:hAnsi="Arial" w:cs="Arial"/>
        </w:rPr>
        <w:t>, 2020). This methodology is appropriate for identifying patterns and relationships among measurable variables relevant to educational management.</w:t>
      </w:r>
    </w:p>
    <w:p w14:paraId="7B83B5DC" w14:textId="77777777" w:rsidR="005608FF" w:rsidRPr="005608FF" w:rsidRDefault="005608FF" w:rsidP="005608FF">
      <w:pPr>
        <w:jc w:val="both"/>
        <w:rPr>
          <w:rFonts w:ascii="Arial" w:hAnsi="Arial" w:cs="Arial"/>
        </w:rPr>
      </w:pPr>
    </w:p>
    <w:p w14:paraId="06E4B070" w14:textId="77777777" w:rsidR="005608FF" w:rsidRPr="005608FF" w:rsidRDefault="005608FF" w:rsidP="005608FF">
      <w:pPr>
        <w:jc w:val="both"/>
        <w:rPr>
          <w:rFonts w:ascii="Arial" w:hAnsi="Arial" w:cs="Arial"/>
        </w:rPr>
      </w:pPr>
      <w:r w:rsidRPr="005608FF">
        <w:rPr>
          <w:rFonts w:ascii="Arial" w:hAnsi="Arial" w:cs="Arial"/>
        </w:rPr>
        <w:t>The descriptive-correlational design was particularly suited for this study as it aimed to determine the relationship between the distribution of teaching resources and the monitoring mechanisms in place, as well as their impact on the performance and effectiveness of teachers in public elementary schools. This approach enabled the researcher to describe existing practices in resource allocation and monitoring without manipulating any variables, while also examining how these practices correlate with teacher-related outcomes such as workload balance, job satisfaction, or instructional efficiency.</w:t>
      </w:r>
    </w:p>
    <w:p w14:paraId="0E516160" w14:textId="77777777" w:rsidR="005608FF" w:rsidRPr="005608FF" w:rsidRDefault="005608FF" w:rsidP="005608FF">
      <w:pPr>
        <w:jc w:val="both"/>
        <w:rPr>
          <w:rFonts w:ascii="Arial" w:hAnsi="Arial" w:cs="Arial"/>
        </w:rPr>
      </w:pPr>
    </w:p>
    <w:p w14:paraId="63116B8D" w14:textId="77777777" w:rsidR="005608FF" w:rsidRPr="005608FF" w:rsidRDefault="005608FF" w:rsidP="005608FF">
      <w:pPr>
        <w:jc w:val="both"/>
        <w:rPr>
          <w:rFonts w:ascii="Arial" w:hAnsi="Arial" w:cs="Arial"/>
        </w:rPr>
      </w:pPr>
      <w:r w:rsidRPr="005608FF">
        <w:rPr>
          <w:rFonts w:ascii="Arial" w:hAnsi="Arial" w:cs="Arial"/>
        </w:rPr>
        <w:t>Through this design, the study sought to assess how equitably resources are distributed among public elementary school teachers and how monitoring systems support or hinder effective resource utilization. The findings are expected to provide insights that can guide policy formulation and improve resource management strategies in public education.</w:t>
      </w:r>
    </w:p>
    <w:p w14:paraId="06BC563A" w14:textId="77777777" w:rsidR="00CE60AB" w:rsidRDefault="00CE60AB" w:rsidP="00CE60AB">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7EC764B" w14:textId="3389DE2C" w:rsidR="00870C19" w:rsidRPr="006554E0" w:rsidRDefault="00870C19" w:rsidP="00870C19">
      <w:pPr>
        <w:jc w:val="both"/>
        <w:rPr>
          <w:rFonts w:ascii="Arial" w:hAnsi="Arial" w:cs="Arial"/>
          <w:strike/>
          <w:color w:val="FF0000"/>
        </w:rPr>
      </w:pPr>
      <w:r w:rsidRPr="00B3292F">
        <w:rPr>
          <w:rFonts w:ascii="Arial" w:hAnsi="Arial" w:cs="Arial"/>
        </w:rPr>
        <w:t>The respondents of the study were 132 teachers</w:t>
      </w:r>
      <w:r>
        <w:rPr>
          <w:rFonts w:ascii="Arial" w:hAnsi="Arial" w:cs="Arial"/>
        </w:rPr>
        <w:t xml:space="preserve"> </w:t>
      </w:r>
      <w:r w:rsidRPr="00275176">
        <w:rPr>
          <w:rFonts w:ascii="Arial" w:hAnsi="Arial" w:cs="Arial"/>
          <w:highlight w:val="yellow"/>
        </w:rPr>
        <w:t>from</w:t>
      </w:r>
      <w:r w:rsidRPr="00B3292F">
        <w:rPr>
          <w:rFonts w:ascii="Arial" w:hAnsi="Arial" w:cs="Arial"/>
        </w:rPr>
        <w:t xml:space="preserve"> public elementary schools in </w:t>
      </w:r>
      <w:proofErr w:type="spellStart"/>
      <w:r w:rsidRPr="00B3292F">
        <w:rPr>
          <w:rFonts w:ascii="Arial" w:hAnsi="Arial" w:cs="Arial"/>
        </w:rPr>
        <w:t>Caraga</w:t>
      </w:r>
      <w:proofErr w:type="spellEnd"/>
      <w:r w:rsidRPr="00B3292F">
        <w:rPr>
          <w:rFonts w:ascii="Arial" w:hAnsi="Arial" w:cs="Arial"/>
        </w:rPr>
        <w:t xml:space="preserve"> District, Division of Davao Oriental. The following schools were the respondents of the study. </w:t>
      </w:r>
      <w:r w:rsidRPr="00275176">
        <w:rPr>
          <w:rFonts w:ascii="Arial" w:hAnsi="Arial" w:cs="Arial"/>
          <w:highlight w:val="yellow"/>
        </w:rPr>
        <w:t>These</w:t>
      </w:r>
      <w:r>
        <w:rPr>
          <w:rFonts w:ascii="Arial" w:hAnsi="Arial" w:cs="Arial"/>
        </w:rPr>
        <w:t xml:space="preserve"> </w:t>
      </w:r>
      <w:r w:rsidRPr="00B3292F">
        <w:rPr>
          <w:rFonts w:ascii="Arial" w:hAnsi="Arial" w:cs="Arial"/>
        </w:rPr>
        <w:t xml:space="preserve">respondents evaluated </w:t>
      </w:r>
      <w:r w:rsidRPr="00275176">
        <w:rPr>
          <w:rFonts w:ascii="Arial" w:hAnsi="Arial" w:cs="Arial"/>
          <w:highlight w:val="yellow"/>
        </w:rPr>
        <w:t>the</w:t>
      </w:r>
      <w:r>
        <w:rPr>
          <w:rFonts w:ascii="Arial" w:hAnsi="Arial" w:cs="Arial"/>
        </w:rPr>
        <w:t xml:space="preserve"> </w:t>
      </w:r>
      <w:r w:rsidRPr="00B3292F">
        <w:rPr>
          <w:rFonts w:ascii="Arial" w:hAnsi="Arial" w:cs="Arial"/>
        </w:rPr>
        <w:t xml:space="preserve">distribution </w:t>
      </w:r>
      <w:r w:rsidRPr="00275176">
        <w:rPr>
          <w:rFonts w:ascii="Arial" w:hAnsi="Arial" w:cs="Arial"/>
          <w:highlight w:val="yellow"/>
        </w:rPr>
        <w:t>of school resources</w:t>
      </w:r>
      <w:r>
        <w:rPr>
          <w:rFonts w:ascii="Arial" w:hAnsi="Arial" w:cs="Arial"/>
        </w:rPr>
        <w:t xml:space="preserve"> </w:t>
      </w:r>
      <w:r w:rsidRPr="00B3292F">
        <w:rPr>
          <w:rFonts w:ascii="Arial" w:hAnsi="Arial" w:cs="Arial"/>
        </w:rPr>
        <w:t xml:space="preserve">and monitoring mechanism </w:t>
      </w:r>
      <w:r w:rsidRPr="00275176">
        <w:rPr>
          <w:rFonts w:ascii="Arial" w:hAnsi="Arial" w:cs="Arial"/>
          <w:highlight w:val="yellow"/>
        </w:rPr>
        <w:t>for</w:t>
      </w:r>
      <w:r w:rsidRPr="00275176">
        <w:rPr>
          <w:rFonts w:ascii="Arial" w:hAnsi="Arial" w:cs="Arial"/>
        </w:rPr>
        <w:t xml:space="preserve"> </w:t>
      </w:r>
      <w:r w:rsidRPr="00B3292F">
        <w:rPr>
          <w:rFonts w:ascii="Arial" w:hAnsi="Arial" w:cs="Arial"/>
        </w:rPr>
        <w:t xml:space="preserve">teachers in public elementary schools. This study was conducted during the S.Y. 2022 to 2023. The researcher used universal sampling in selecting the actual respondents which means all the population of the study were considered as respondents. The respondents were the teachers who </w:t>
      </w:r>
      <w:r w:rsidRPr="00C2010A">
        <w:rPr>
          <w:rFonts w:ascii="Arial" w:hAnsi="Arial" w:cs="Arial"/>
          <w:highlight w:val="yellow"/>
        </w:rPr>
        <w:t>had</w:t>
      </w:r>
      <w:r>
        <w:rPr>
          <w:rFonts w:ascii="Arial" w:hAnsi="Arial" w:cs="Arial"/>
        </w:rPr>
        <w:t xml:space="preserve"> </w:t>
      </w:r>
      <w:r w:rsidRPr="00B3292F">
        <w:rPr>
          <w:rFonts w:ascii="Arial" w:hAnsi="Arial" w:cs="Arial"/>
        </w:rPr>
        <w:t xml:space="preserve">been </w:t>
      </w:r>
      <w:r w:rsidRPr="006554E0">
        <w:rPr>
          <w:rFonts w:ascii="Arial" w:hAnsi="Arial" w:cs="Arial"/>
          <w:highlight w:val="yellow"/>
        </w:rPr>
        <w:t xml:space="preserve">in public school </w:t>
      </w:r>
      <w:proofErr w:type="spellStart"/>
      <w:r w:rsidRPr="006554E0">
        <w:rPr>
          <w:rFonts w:ascii="Arial" w:hAnsi="Arial" w:cs="Arial"/>
          <w:highlight w:val="yellow"/>
        </w:rPr>
        <w:t>sevice</w:t>
      </w:r>
      <w:proofErr w:type="spellEnd"/>
      <w:r w:rsidRPr="006554E0">
        <w:rPr>
          <w:rFonts w:ascii="Arial" w:hAnsi="Arial" w:cs="Arial"/>
          <w:highlight w:val="yellow"/>
        </w:rPr>
        <w:t xml:space="preserve"> for two years or more</w:t>
      </w:r>
      <w:r>
        <w:rPr>
          <w:rFonts w:ascii="Arial" w:hAnsi="Arial" w:cs="Arial"/>
        </w:rPr>
        <w:t xml:space="preserve">. </w:t>
      </w:r>
    </w:p>
    <w:p w14:paraId="1F9B518A" w14:textId="77777777" w:rsidR="00B3292F" w:rsidRPr="00570943" w:rsidRDefault="00B3292F" w:rsidP="00CE60AB">
      <w:pPr>
        <w:jc w:val="both"/>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6AF7FF5" w14:textId="77777777" w:rsidR="0072610F" w:rsidRPr="0072610F" w:rsidRDefault="0072610F" w:rsidP="0072610F">
      <w:pPr>
        <w:jc w:val="both"/>
        <w:rPr>
          <w:rFonts w:ascii="Arial" w:hAnsi="Arial" w:cs="Arial"/>
        </w:rPr>
      </w:pPr>
      <w:r w:rsidRPr="0072610F">
        <w:rPr>
          <w:rFonts w:ascii="Arial" w:hAnsi="Arial" w:cs="Arial"/>
        </w:rPr>
        <w:t xml:space="preserve">The instrument used in this study was a researcher-made questionnaire consisting of two main parts, specifically developed to gather data on the </w:t>
      </w:r>
      <w:proofErr w:type="gramStart"/>
      <w:r w:rsidRPr="0072610F">
        <w:rPr>
          <w:rFonts w:ascii="Arial" w:hAnsi="Arial" w:cs="Arial"/>
        </w:rPr>
        <w:t>resources</w:t>
      </w:r>
      <w:proofErr w:type="gramEnd"/>
      <w:r w:rsidRPr="0072610F">
        <w:rPr>
          <w:rFonts w:ascii="Arial" w:hAnsi="Arial" w:cs="Arial"/>
        </w:rPr>
        <w:t xml:space="preserve"> distribution and the monitoring mechanism of teachers in public elementary schools.</w:t>
      </w:r>
    </w:p>
    <w:p w14:paraId="15CC9846" w14:textId="77777777" w:rsidR="0072610F" w:rsidRPr="0072610F" w:rsidRDefault="0072610F" w:rsidP="0072610F">
      <w:pPr>
        <w:jc w:val="both"/>
        <w:rPr>
          <w:rFonts w:ascii="Arial" w:hAnsi="Arial" w:cs="Arial"/>
        </w:rPr>
      </w:pPr>
    </w:p>
    <w:p w14:paraId="64FA66BB" w14:textId="5DAD5217" w:rsidR="0072610F" w:rsidRPr="0072610F" w:rsidRDefault="0072610F" w:rsidP="0072610F">
      <w:pPr>
        <w:jc w:val="both"/>
        <w:rPr>
          <w:rFonts w:ascii="Arial" w:hAnsi="Arial" w:cs="Arial"/>
        </w:rPr>
      </w:pPr>
      <w:r w:rsidRPr="0072610F">
        <w:rPr>
          <w:rFonts w:ascii="Arial" w:hAnsi="Arial" w:cs="Arial"/>
        </w:rPr>
        <w:lastRenderedPageBreak/>
        <w:t>The first part of the questionnaire focused on resources distribution. It was designed to assess the availability, adequacy, and equitable allocation of teaching resources among public elementary school teachers. The items in this section were based on a comprehensive review of relevant literature and existing frameworks on educational resource management. To ensure content validity, the instrument underwent expert validation by professionals in the fields of education, school administration, and instructional support. The resources distribution scale yielded a</w:t>
      </w:r>
      <w:r>
        <w:rPr>
          <w:rFonts w:ascii="Arial" w:hAnsi="Arial" w:cs="Arial"/>
        </w:rPr>
        <w:t xml:space="preserve"> Cronbach’s alpha value of 0.928</w:t>
      </w:r>
      <w:r w:rsidRPr="0072610F">
        <w:rPr>
          <w:rFonts w:ascii="Arial" w:hAnsi="Arial" w:cs="Arial"/>
        </w:rPr>
        <w:t>, indicating excellent internal consistency and reliability.</w:t>
      </w:r>
    </w:p>
    <w:p w14:paraId="754401B3" w14:textId="77777777" w:rsidR="0072610F" w:rsidRPr="0072610F" w:rsidRDefault="0072610F" w:rsidP="0072610F">
      <w:pPr>
        <w:jc w:val="both"/>
        <w:rPr>
          <w:rFonts w:ascii="Arial" w:hAnsi="Arial" w:cs="Arial"/>
        </w:rPr>
      </w:pPr>
    </w:p>
    <w:p w14:paraId="2870C1EA" w14:textId="3B0EA522" w:rsidR="0072610F" w:rsidRDefault="0072610F" w:rsidP="0072610F">
      <w:pPr>
        <w:jc w:val="both"/>
        <w:rPr>
          <w:rFonts w:ascii="Arial" w:hAnsi="Arial" w:cs="Arial"/>
        </w:rPr>
      </w:pPr>
      <w:r w:rsidRPr="0072610F">
        <w:rPr>
          <w:rFonts w:ascii="Arial" w:hAnsi="Arial" w:cs="Arial"/>
        </w:rPr>
        <w:t>The second part of the questionnaire examined the monitoring mechanism of teachers. This section included items that evaluated how school administrators track, evaluate, and support the implementation and utilization of distributed resources by teachers. It covered aspects such as frequency of supervision, feedback quality, monitoring tools used, and the perceived effectiveness and fairness of monitoring practices. This section also demonstrated strong reliability, with a</w:t>
      </w:r>
      <w:r>
        <w:rPr>
          <w:rFonts w:ascii="Arial" w:hAnsi="Arial" w:cs="Arial"/>
        </w:rPr>
        <w:t xml:space="preserve"> Cronbach’s alpha value of 0.917</w:t>
      </w:r>
      <w:r w:rsidRPr="0072610F">
        <w:rPr>
          <w:rFonts w:ascii="Arial" w:hAnsi="Arial" w:cs="Arial"/>
        </w:rPr>
        <w:t>, confirming the instrument’s consistency in measuring teachers’ perceptions of monitoring mechanisms.</w:t>
      </w:r>
    </w:p>
    <w:p w14:paraId="3F56FC0A" w14:textId="77777777" w:rsidR="0072610F" w:rsidRDefault="0072610F" w:rsidP="0072610F">
      <w:pPr>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29A368A0" w14:textId="0C0A6E4D" w:rsidR="001E5EAF" w:rsidRPr="001E5EAF" w:rsidRDefault="001E5EAF" w:rsidP="001E5EAF">
      <w:pPr>
        <w:pStyle w:val="Heading1"/>
        <w:jc w:val="both"/>
        <w:rPr>
          <w:rFonts w:cs="Arial"/>
          <w:b w:val="0"/>
          <w:kern w:val="0"/>
          <w:sz w:val="20"/>
        </w:rPr>
      </w:pPr>
      <w:r w:rsidRPr="001E5EAF">
        <w:rPr>
          <w:rFonts w:cs="Arial"/>
          <w:b w:val="0"/>
          <w:kern w:val="0"/>
          <w:sz w:val="20"/>
        </w:rPr>
        <w:t>The data collection procedure for this study was conducted in a systematic, ethical, and organized manner to uphold the integrity of the research process. Initially, formal permission was secured from the Dean of the Graduate School, and upon approval, an official endorsement letter was forwarded to the Schools Division Superintendent for further evaluation and clearance. This hierarchical approval process ensured compliance with academic and institutional protocols.</w:t>
      </w:r>
    </w:p>
    <w:p w14:paraId="599D7F8F" w14:textId="36593667" w:rsidR="001E5EAF" w:rsidRPr="001E5EAF" w:rsidRDefault="001E5EAF" w:rsidP="001E5EAF">
      <w:pPr>
        <w:pStyle w:val="Heading1"/>
        <w:jc w:val="both"/>
        <w:rPr>
          <w:rFonts w:cs="Arial"/>
          <w:b w:val="0"/>
          <w:kern w:val="0"/>
          <w:sz w:val="20"/>
        </w:rPr>
      </w:pPr>
      <w:r w:rsidRPr="001E5EAF">
        <w:rPr>
          <w:rFonts w:cs="Arial"/>
          <w:b w:val="0"/>
          <w:kern w:val="0"/>
          <w:sz w:val="20"/>
        </w:rPr>
        <w:t xml:space="preserve">Once all necessary approvals were obtained, data collection commenced through the distribution of researcher-made survey questionnaires specifically designed to gather data on the </w:t>
      </w:r>
      <w:proofErr w:type="gramStart"/>
      <w:r w:rsidRPr="001E5EAF">
        <w:rPr>
          <w:rFonts w:cs="Arial"/>
          <w:b w:val="0"/>
          <w:kern w:val="0"/>
          <w:sz w:val="20"/>
        </w:rPr>
        <w:t>resources</w:t>
      </w:r>
      <w:proofErr w:type="gramEnd"/>
      <w:r w:rsidRPr="001E5EAF">
        <w:rPr>
          <w:rFonts w:cs="Arial"/>
          <w:b w:val="0"/>
          <w:kern w:val="0"/>
          <w:sz w:val="20"/>
        </w:rPr>
        <w:t xml:space="preserve"> distribution and monitoring mechanism of teachers in public elementary schools. Coordination with school heads and key personnel facilitated the smooth and orderly administration of the questionnaires to the identified teacher-respondents.</w:t>
      </w:r>
    </w:p>
    <w:p w14:paraId="74B974D7" w14:textId="6278DDFA" w:rsidR="001E5EAF" w:rsidRPr="001E5EAF" w:rsidRDefault="001E5EAF" w:rsidP="001E5EAF">
      <w:pPr>
        <w:pStyle w:val="Heading1"/>
        <w:jc w:val="both"/>
        <w:rPr>
          <w:rFonts w:cs="Arial"/>
          <w:b w:val="0"/>
          <w:kern w:val="0"/>
          <w:sz w:val="20"/>
        </w:rPr>
      </w:pPr>
      <w:r w:rsidRPr="001E5EAF">
        <w:rPr>
          <w:rFonts w:cs="Arial"/>
          <w:b w:val="0"/>
          <w:kern w:val="0"/>
          <w:sz w:val="20"/>
        </w:rPr>
        <w:t>Each participant was briefed on the purpose of the study and the ethical considerations involved, particularly the assurance of confidentiality and anonymity of their responses. This approach aimed to foster honest, accurate, and unbiased responses from the participants.</w:t>
      </w:r>
    </w:p>
    <w:p w14:paraId="09C458DD" w14:textId="77777777" w:rsidR="001E5EAF" w:rsidRPr="001E5EAF" w:rsidRDefault="001E5EAF" w:rsidP="001E5EAF">
      <w:pPr>
        <w:pStyle w:val="Heading1"/>
        <w:jc w:val="both"/>
        <w:rPr>
          <w:rFonts w:cs="Arial"/>
          <w:b w:val="0"/>
          <w:kern w:val="0"/>
          <w:sz w:val="20"/>
        </w:rPr>
      </w:pPr>
      <w:r w:rsidRPr="001E5EAF">
        <w:rPr>
          <w:rFonts w:cs="Arial"/>
          <w:b w:val="0"/>
          <w:kern w:val="0"/>
          <w:sz w:val="20"/>
        </w:rPr>
        <w:t>After the survey period, the retrieval of completed questionnaires was carried out efficiently. The data gathered were carefully organized, coded, and tabulated for analysis. The responses were then subjected to appropriate statistical treatments including mean, standard deviation, Pearson’s correlation, and regression analysis to determine the extent of the relationship between the distribution of teaching resources and the monitoring mechanisms applied to teachers in public elementary schools.</w:t>
      </w:r>
    </w:p>
    <w:p w14:paraId="1C13872C" w14:textId="5E91CE71" w:rsidR="00717F2E" w:rsidRPr="005D71AE" w:rsidRDefault="00180859" w:rsidP="00CE60AB">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707CF97E" w14:textId="365C160F" w:rsidR="001E5EAF" w:rsidRPr="001E5EAF" w:rsidRDefault="001E5EAF" w:rsidP="001E5EAF">
      <w:pPr>
        <w:pStyle w:val="Head1"/>
        <w:jc w:val="both"/>
        <w:rPr>
          <w:rFonts w:ascii="Arial" w:hAnsi="Arial" w:cs="Arial"/>
          <w:b w:val="0"/>
          <w:caps w:val="0"/>
          <w:color w:val="000000"/>
          <w:sz w:val="20"/>
        </w:rPr>
      </w:pPr>
      <w:r w:rsidRPr="001E5EAF">
        <w:rPr>
          <w:rFonts w:ascii="Arial" w:hAnsi="Arial" w:cs="Arial"/>
          <w:b w:val="0"/>
          <w:caps w:val="0"/>
          <w:color w:val="000000"/>
          <w:sz w:val="20"/>
        </w:rPr>
        <w:lastRenderedPageBreak/>
        <w:t>In analyzing and interpreting the data gathered for this study, several statistical tools were utilized to address the research objectives:</w:t>
      </w:r>
    </w:p>
    <w:p w14:paraId="0B3907FE" w14:textId="03EE3C02" w:rsidR="001E5EAF" w:rsidRPr="001E5EAF" w:rsidRDefault="001E5EAF" w:rsidP="001E5EAF">
      <w:pPr>
        <w:pStyle w:val="Head1"/>
        <w:jc w:val="both"/>
        <w:rPr>
          <w:rFonts w:ascii="Arial" w:hAnsi="Arial" w:cs="Arial"/>
          <w:b w:val="0"/>
          <w:caps w:val="0"/>
          <w:color w:val="000000"/>
          <w:sz w:val="20"/>
        </w:rPr>
      </w:pPr>
      <w:r w:rsidRPr="001E5EAF">
        <w:rPr>
          <w:rFonts w:ascii="Arial" w:hAnsi="Arial" w:cs="Arial"/>
          <w:b w:val="0"/>
          <w:caps w:val="0"/>
          <w:color w:val="000000"/>
          <w:sz w:val="20"/>
        </w:rPr>
        <w:t xml:space="preserve">Mean was used to assess the level of resources distribution and the level of monitoring mechanism of teachers in public elementary schools. </w:t>
      </w:r>
    </w:p>
    <w:p w14:paraId="276719F8" w14:textId="361E3B65" w:rsidR="001E5EAF" w:rsidRPr="001E5EAF" w:rsidRDefault="001E5EAF" w:rsidP="001E5EAF">
      <w:pPr>
        <w:pStyle w:val="Head1"/>
        <w:jc w:val="both"/>
        <w:rPr>
          <w:rFonts w:ascii="Arial" w:hAnsi="Arial" w:cs="Arial"/>
          <w:b w:val="0"/>
          <w:caps w:val="0"/>
          <w:color w:val="000000"/>
          <w:sz w:val="20"/>
        </w:rPr>
      </w:pPr>
      <w:r w:rsidRPr="001E5EAF">
        <w:rPr>
          <w:rFonts w:ascii="Arial" w:hAnsi="Arial" w:cs="Arial"/>
          <w:b w:val="0"/>
          <w:caps w:val="0"/>
          <w:color w:val="000000"/>
          <w:sz w:val="20"/>
        </w:rPr>
        <w:t xml:space="preserve">Pearson r-moment correlation analysis was applied to examine the strength and direction of the relationship between resources distribution and the monitoring mechanism of teachers. </w:t>
      </w:r>
    </w:p>
    <w:p w14:paraId="395C023B" w14:textId="4FA232B2" w:rsidR="001E5EAF" w:rsidRPr="001E5EAF" w:rsidRDefault="001E5EAF" w:rsidP="001E5EAF">
      <w:pPr>
        <w:pStyle w:val="Head1"/>
        <w:jc w:val="both"/>
        <w:rPr>
          <w:rFonts w:ascii="Arial" w:hAnsi="Arial" w:cs="Arial"/>
          <w:b w:val="0"/>
          <w:caps w:val="0"/>
          <w:color w:val="000000"/>
          <w:sz w:val="20"/>
        </w:rPr>
      </w:pPr>
      <w:r w:rsidRPr="001E5EAF">
        <w:rPr>
          <w:rFonts w:ascii="Arial" w:hAnsi="Arial" w:cs="Arial"/>
          <w:b w:val="0"/>
          <w:caps w:val="0"/>
          <w:color w:val="000000"/>
          <w:sz w:val="20"/>
        </w:rPr>
        <w:t xml:space="preserve">Multiple linear regression analysis was employed to determine whether </w:t>
      </w:r>
      <w:r>
        <w:rPr>
          <w:rFonts w:ascii="Arial" w:hAnsi="Arial" w:cs="Arial"/>
          <w:b w:val="0"/>
          <w:caps w:val="0"/>
          <w:color w:val="000000"/>
          <w:sz w:val="20"/>
        </w:rPr>
        <w:t xml:space="preserve">the domains of </w:t>
      </w:r>
      <w:r w:rsidRPr="001E5EAF">
        <w:rPr>
          <w:rFonts w:ascii="Arial" w:hAnsi="Arial" w:cs="Arial"/>
          <w:b w:val="0"/>
          <w:caps w:val="0"/>
          <w:color w:val="000000"/>
          <w:sz w:val="20"/>
        </w:rPr>
        <w:t>resources distribution significantly influence monitoring mechanism of teachers</w:t>
      </w:r>
      <w:r>
        <w:rPr>
          <w:rFonts w:ascii="Arial" w:hAnsi="Arial" w:cs="Arial"/>
          <w:b w:val="0"/>
          <w:caps w:val="0"/>
          <w:color w:val="000000"/>
          <w:sz w:val="20"/>
        </w:rPr>
        <w:t xml:space="preserve">. </w:t>
      </w:r>
    </w:p>
    <w:p w14:paraId="74C827DB" w14:textId="77777777" w:rsidR="0047680F" w:rsidRDefault="0047680F" w:rsidP="0047680F">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297A2080" w:rsidR="005D71AE" w:rsidRPr="00DF319F" w:rsidRDefault="00180859" w:rsidP="00DF319F">
      <w:pPr>
        <w:suppressAutoHyphens/>
        <w:jc w:val="both"/>
        <w:rPr>
          <w:rFonts w:ascii="Arial" w:hAnsi="Arial" w:cs="Arial"/>
          <w:b/>
        </w:rPr>
      </w:pPr>
      <w:r>
        <w:rPr>
          <w:rFonts w:ascii="Arial" w:hAnsi="Arial" w:cs="Arial"/>
          <w:b/>
        </w:rPr>
        <w:t xml:space="preserve">3.1 </w:t>
      </w:r>
      <w:r w:rsidR="00911B0B" w:rsidRPr="00911B0B">
        <w:rPr>
          <w:rFonts w:ascii="Arial" w:hAnsi="Arial" w:cs="Arial"/>
          <w:b/>
        </w:rPr>
        <w:t xml:space="preserve">Level of Resource Distribution </w:t>
      </w:r>
      <w:r w:rsidR="00DF319F" w:rsidRPr="00DF319F">
        <w:rPr>
          <w:rFonts w:ascii="Arial" w:hAnsi="Arial" w:cs="Arial"/>
          <w:b/>
        </w:rPr>
        <w:t>of Teachers</w:t>
      </w:r>
    </w:p>
    <w:p w14:paraId="1B38FF68" w14:textId="77777777" w:rsidR="00EF4B2D" w:rsidRDefault="00EF4B2D">
      <w:pPr>
        <w:suppressAutoHyphens/>
        <w:jc w:val="both"/>
        <w:rPr>
          <w:rFonts w:ascii="Arial" w:hAnsi="Arial" w:cs="Arial"/>
          <w:b/>
        </w:rPr>
      </w:pPr>
    </w:p>
    <w:p w14:paraId="496DE70A" w14:textId="0AD573C6" w:rsidR="002F5C4B"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911B0B" w:rsidRPr="00911B0B">
        <w:rPr>
          <w:rFonts w:ascii="Arial" w:hAnsi="Arial" w:cs="Arial"/>
          <w:i/>
          <w:iCs/>
        </w:rPr>
        <w:t>Level of Resource Distribution of Teache</w:t>
      </w:r>
      <w:r w:rsidR="00911B0B">
        <w:rPr>
          <w:rFonts w:ascii="Arial" w:hAnsi="Arial" w:cs="Arial"/>
          <w:i/>
          <w:iCs/>
        </w:rPr>
        <w:t>rs</w:t>
      </w:r>
    </w:p>
    <w:p w14:paraId="210C3B23" w14:textId="77777777" w:rsidR="006259A4" w:rsidRPr="006259A4" w:rsidRDefault="006259A4">
      <w:pPr>
        <w:suppressAutoHyphens/>
        <w:jc w:val="both"/>
        <w:rPr>
          <w:rFonts w:ascii="Arial" w:hAnsi="Arial" w:cs="Arial"/>
          <w:i/>
          <w:iCs/>
        </w:rPr>
      </w:pPr>
    </w:p>
    <w:tbl>
      <w:tblPr>
        <w:tblW w:w="8509" w:type="dxa"/>
        <w:jc w:val="center"/>
        <w:tblLook w:val="04A0" w:firstRow="1" w:lastRow="0" w:firstColumn="1" w:lastColumn="0" w:noHBand="0" w:noVBand="1"/>
      </w:tblPr>
      <w:tblGrid>
        <w:gridCol w:w="498"/>
        <w:gridCol w:w="4089"/>
        <w:gridCol w:w="1965"/>
        <w:gridCol w:w="1957"/>
      </w:tblGrid>
      <w:tr w:rsidR="00911B0B" w:rsidRPr="00911B0B" w14:paraId="12ED1FFF" w14:textId="77777777" w:rsidTr="000518A6">
        <w:trPr>
          <w:jc w:val="center"/>
        </w:trPr>
        <w:tc>
          <w:tcPr>
            <w:tcW w:w="498" w:type="dxa"/>
            <w:tcBorders>
              <w:top w:val="single" w:sz="4" w:space="0" w:color="auto"/>
              <w:bottom w:val="single" w:sz="4" w:space="0" w:color="auto"/>
            </w:tcBorders>
          </w:tcPr>
          <w:p w14:paraId="051589BC" w14:textId="77777777" w:rsidR="00911B0B" w:rsidRPr="00911B0B" w:rsidRDefault="00911B0B" w:rsidP="000518A6">
            <w:pPr>
              <w:pStyle w:val="NoSpacing"/>
              <w:jc w:val="center"/>
              <w:rPr>
                <w:rFonts w:ascii="Arial" w:hAnsi="Arial" w:cs="Arial"/>
                <w:b/>
                <w:sz w:val="20"/>
                <w:szCs w:val="20"/>
              </w:rPr>
            </w:pPr>
          </w:p>
          <w:p w14:paraId="2651956A" w14:textId="77777777" w:rsidR="00911B0B" w:rsidRPr="00911B0B" w:rsidRDefault="00911B0B" w:rsidP="000518A6">
            <w:pPr>
              <w:pStyle w:val="NoSpacing"/>
              <w:jc w:val="center"/>
              <w:rPr>
                <w:rFonts w:ascii="Arial" w:hAnsi="Arial" w:cs="Arial"/>
                <w:b/>
                <w:sz w:val="20"/>
                <w:szCs w:val="20"/>
              </w:rPr>
            </w:pPr>
            <w:r w:rsidRPr="00911B0B">
              <w:rPr>
                <w:rFonts w:ascii="Arial" w:hAnsi="Arial" w:cs="Arial"/>
                <w:b/>
                <w:sz w:val="20"/>
                <w:szCs w:val="20"/>
              </w:rPr>
              <w:t>No</w:t>
            </w:r>
          </w:p>
        </w:tc>
        <w:tc>
          <w:tcPr>
            <w:tcW w:w="4089" w:type="dxa"/>
            <w:tcBorders>
              <w:top w:val="single" w:sz="4" w:space="0" w:color="auto"/>
              <w:bottom w:val="single" w:sz="4" w:space="0" w:color="auto"/>
            </w:tcBorders>
          </w:tcPr>
          <w:p w14:paraId="22DDCC1E" w14:textId="77777777" w:rsidR="00911B0B" w:rsidRPr="00911B0B" w:rsidRDefault="00911B0B" w:rsidP="000518A6">
            <w:pPr>
              <w:pStyle w:val="NoSpacing"/>
              <w:jc w:val="center"/>
              <w:rPr>
                <w:rFonts w:ascii="Arial" w:hAnsi="Arial" w:cs="Arial"/>
                <w:b/>
                <w:sz w:val="20"/>
                <w:szCs w:val="20"/>
              </w:rPr>
            </w:pPr>
          </w:p>
          <w:p w14:paraId="31EC4EC0" w14:textId="109D9E29" w:rsidR="00911B0B" w:rsidRPr="00911B0B" w:rsidRDefault="00911B0B" w:rsidP="000518A6">
            <w:pPr>
              <w:pStyle w:val="NoSpacing"/>
              <w:jc w:val="center"/>
              <w:rPr>
                <w:rFonts w:ascii="Arial" w:hAnsi="Arial" w:cs="Arial"/>
                <w:b/>
                <w:sz w:val="20"/>
                <w:szCs w:val="20"/>
              </w:rPr>
            </w:pPr>
            <w:r w:rsidRPr="00911B0B">
              <w:rPr>
                <w:rFonts w:ascii="Arial" w:hAnsi="Arial" w:cs="Arial"/>
                <w:b/>
                <w:sz w:val="20"/>
                <w:szCs w:val="20"/>
              </w:rPr>
              <w:t>Domains</w:t>
            </w:r>
          </w:p>
        </w:tc>
        <w:tc>
          <w:tcPr>
            <w:tcW w:w="1965" w:type="dxa"/>
            <w:tcBorders>
              <w:top w:val="single" w:sz="4" w:space="0" w:color="auto"/>
              <w:bottom w:val="single" w:sz="4" w:space="0" w:color="auto"/>
            </w:tcBorders>
          </w:tcPr>
          <w:p w14:paraId="5195E9E6" w14:textId="77777777" w:rsidR="00911B0B" w:rsidRPr="00911B0B" w:rsidRDefault="00911B0B" w:rsidP="000518A6">
            <w:pPr>
              <w:pStyle w:val="NoSpacing"/>
              <w:jc w:val="center"/>
              <w:rPr>
                <w:rFonts w:ascii="Arial" w:hAnsi="Arial" w:cs="Arial"/>
                <w:b/>
                <w:sz w:val="20"/>
                <w:szCs w:val="20"/>
              </w:rPr>
            </w:pPr>
            <w:r w:rsidRPr="00911B0B">
              <w:rPr>
                <w:rFonts w:ascii="Arial" w:hAnsi="Arial" w:cs="Arial"/>
                <w:b/>
                <w:sz w:val="20"/>
                <w:szCs w:val="20"/>
              </w:rPr>
              <w:t xml:space="preserve">Mean </w:t>
            </w:r>
          </w:p>
          <w:p w14:paraId="7F3B07B3" w14:textId="77777777" w:rsidR="00911B0B" w:rsidRPr="00911B0B" w:rsidRDefault="00911B0B" w:rsidP="000518A6">
            <w:pPr>
              <w:pStyle w:val="NoSpacing"/>
              <w:jc w:val="center"/>
              <w:rPr>
                <w:rFonts w:ascii="Arial" w:hAnsi="Arial" w:cs="Arial"/>
                <w:b/>
                <w:sz w:val="20"/>
                <w:szCs w:val="20"/>
              </w:rPr>
            </w:pPr>
            <w:r w:rsidRPr="00911B0B">
              <w:rPr>
                <w:rFonts w:ascii="Arial" w:hAnsi="Arial" w:cs="Arial"/>
                <w:b/>
                <w:sz w:val="20"/>
                <w:szCs w:val="20"/>
              </w:rPr>
              <w:t>(x)</w:t>
            </w:r>
          </w:p>
        </w:tc>
        <w:tc>
          <w:tcPr>
            <w:tcW w:w="1957" w:type="dxa"/>
            <w:tcBorders>
              <w:top w:val="single" w:sz="4" w:space="0" w:color="auto"/>
              <w:bottom w:val="single" w:sz="4" w:space="0" w:color="auto"/>
            </w:tcBorders>
          </w:tcPr>
          <w:p w14:paraId="16A3547E" w14:textId="77777777" w:rsidR="00911B0B" w:rsidRPr="00911B0B" w:rsidRDefault="00911B0B" w:rsidP="000518A6">
            <w:pPr>
              <w:pStyle w:val="NoSpacing"/>
              <w:jc w:val="center"/>
              <w:rPr>
                <w:rFonts w:ascii="Arial" w:hAnsi="Arial" w:cs="Arial"/>
                <w:b/>
                <w:sz w:val="20"/>
                <w:szCs w:val="20"/>
              </w:rPr>
            </w:pPr>
            <w:r w:rsidRPr="00911B0B">
              <w:rPr>
                <w:rFonts w:ascii="Arial" w:hAnsi="Arial" w:cs="Arial"/>
                <w:b/>
                <w:sz w:val="20"/>
                <w:szCs w:val="20"/>
              </w:rPr>
              <w:t>Descriptive Level</w:t>
            </w:r>
          </w:p>
        </w:tc>
      </w:tr>
      <w:tr w:rsidR="00911B0B" w:rsidRPr="00911B0B" w14:paraId="13E78BB7" w14:textId="77777777" w:rsidTr="000518A6">
        <w:trPr>
          <w:jc w:val="center"/>
        </w:trPr>
        <w:tc>
          <w:tcPr>
            <w:tcW w:w="498" w:type="dxa"/>
            <w:tcBorders>
              <w:top w:val="single" w:sz="4" w:space="0" w:color="auto"/>
            </w:tcBorders>
          </w:tcPr>
          <w:p w14:paraId="1922DA49" w14:textId="5BCE0147" w:rsidR="00911B0B" w:rsidRPr="00911B0B" w:rsidRDefault="00911B0B" w:rsidP="000518A6">
            <w:pPr>
              <w:pStyle w:val="NoSpacing"/>
              <w:rPr>
                <w:rFonts w:ascii="Arial" w:hAnsi="Arial" w:cs="Arial"/>
                <w:sz w:val="20"/>
                <w:szCs w:val="20"/>
              </w:rPr>
            </w:pPr>
            <w:r w:rsidRPr="00911B0B">
              <w:rPr>
                <w:rFonts w:ascii="Arial" w:hAnsi="Arial" w:cs="Arial"/>
                <w:sz w:val="20"/>
                <w:szCs w:val="20"/>
              </w:rPr>
              <w:t>1.</w:t>
            </w:r>
          </w:p>
        </w:tc>
        <w:tc>
          <w:tcPr>
            <w:tcW w:w="4089" w:type="dxa"/>
            <w:tcBorders>
              <w:top w:val="single" w:sz="4" w:space="0" w:color="auto"/>
            </w:tcBorders>
          </w:tcPr>
          <w:p w14:paraId="159A6329" w14:textId="3084B6CD" w:rsidR="00911B0B" w:rsidRPr="00911B0B" w:rsidRDefault="00911B0B" w:rsidP="000518A6">
            <w:pPr>
              <w:jc w:val="both"/>
              <w:rPr>
                <w:rFonts w:ascii="Arial" w:hAnsi="Arial" w:cs="Arial"/>
              </w:rPr>
            </w:pPr>
            <w:r w:rsidRPr="00911B0B">
              <w:rPr>
                <w:rFonts w:ascii="Arial" w:hAnsi="Arial" w:cs="Arial"/>
              </w:rPr>
              <w:t>Curriculum</w:t>
            </w:r>
          </w:p>
        </w:tc>
        <w:tc>
          <w:tcPr>
            <w:tcW w:w="1965" w:type="dxa"/>
            <w:tcBorders>
              <w:top w:val="single" w:sz="4" w:space="0" w:color="auto"/>
            </w:tcBorders>
          </w:tcPr>
          <w:p w14:paraId="0D0A0D66" w14:textId="683AD159" w:rsidR="00911B0B" w:rsidRPr="00911B0B" w:rsidRDefault="00911B0B" w:rsidP="00820DE6">
            <w:pPr>
              <w:jc w:val="center"/>
              <w:rPr>
                <w:rFonts w:ascii="Arial" w:hAnsi="Arial" w:cs="Arial"/>
                <w:bCs/>
              </w:rPr>
            </w:pPr>
            <w:r w:rsidRPr="00911B0B">
              <w:rPr>
                <w:rFonts w:ascii="Arial" w:hAnsi="Arial" w:cs="Arial"/>
                <w:bCs/>
              </w:rPr>
              <w:t>3.53</w:t>
            </w:r>
          </w:p>
        </w:tc>
        <w:tc>
          <w:tcPr>
            <w:tcW w:w="1957" w:type="dxa"/>
            <w:tcBorders>
              <w:top w:val="single" w:sz="4" w:space="0" w:color="auto"/>
            </w:tcBorders>
          </w:tcPr>
          <w:p w14:paraId="7A5E6F7A" w14:textId="4F74B239" w:rsidR="00911B0B" w:rsidRPr="00911B0B" w:rsidRDefault="00911B0B" w:rsidP="00820DE6">
            <w:pPr>
              <w:jc w:val="center"/>
              <w:rPr>
                <w:rFonts w:ascii="Arial" w:hAnsi="Arial" w:cs="Arial"/>
                <w:bCs/>
              </w:rPr>
            </w:pPr>
            <w:r w:rsidRPr="00911B0B">
              <w:rPr>
                <w:rFonts w:ascii="Arial" w:hAnsi="Arial" w:cs="Arial"/>
                <w:bCs/>
              </w:rPr>
              <w:t>High</w:t>
            </w:r>
          </w:p>
        </w:tc>
      </w:tr>
      <w:tr w:rsidR="00911B0B" w:rsidRPr="00911B0B" w14:paraId="6FC832CC" w14:textId="77777777" w:rsidTr="000518A6">
        <w:trPr>
          <w:jc w:val="center"/>
        </w:trPr>
        <w:tc>
          <w:tcPr>
            <w:tcW w:w="498" w:type="dxa"/>
          </w:tcPr>
          <w:p w14:paraId="34E7B0A4" w14:textId="77777777" w:rsidR="00911B0B" w:rsidRPr="00911B0B" w:rsidRDefault="00911B0B" w:rsidP="000518A6">
            <w:pPr>
              <w:pStyle w:val="NoSpacing"/>
              <w:rPr>
                <w:rFonts w:ascii="Arial" w:hAnsi="Arial" w:cs="Arial"/>
                <w:sz w:val="20"/>
                <w:szCs w:val="20"/>
              </w:rPr>
            </w:pPr>
            <w:r w:rsidRPr="00911B0B">
              <w:rPr>
                <w:rFonts w:ascii="Arial" w:hAnsi="Arial" w:cs="Arial"/>
                <w:sz w:val="20"/>
                <w:szCs w:val="20"/>
              </w:rPr>
              <w:t>2.</w:t>
            </w:r>
          </w:p>
        </w:tc>
        <w:tc>
          <w:tcPr>
            <w:tcW w:w="4089" w:type="dxa"/>
          </w:tcPr>
          <w:p w14:paraId="37705028" w14:textId="77777777" w:rsidR="00911B0B" w:rsidRPr="00911B0B" w:rsidRDefault="00911B0B" w:rsidP="000518A6">
            <w:pPr>
              <w:jc w:val="both"/>
              <w:rPr>
                <w:rFonts w:ascii="Arial" w:hAnsi="Arial" w:cs="Arial"/>
              </w:rPr>
            </w:pPr>
            <w:r w:rsidRPr="00911B0B">
              <w:rPr>
                <w:rFonts w:ascii="Arial" w:hAnsi="Arial" w:cs="Arial"/>
              </w:rPr>
              <w:t>staff development</w:t>
            </w:r>
          </w:p>
        </w:tc>
        <w:tc>
          <w:tcPr>
            <w:tcW w:w="1965" w:type="dxa"/>
          </w:tcPr>
          <w:p w14:paraId="6ABFDA6E" w14:textId="77777777" w:rsidR="00911B0B" w:rsidRPr="00911B0B" w:rsidRDefault="00911B0B" w:rsidP="000518A6">
            <w:pPr>
              <w:jc w:val="center"/>
              <w:rPr>
                <w:rFonts w:ascii="Arial" w:hAnsi="Arial" w:cs="Arial"/>
                <w:bCs/>
              </w:rPr>
            </w:pPr>
            <w:r w:rsidRPr="00911B0B">
              <w:rPr>
                <w:rFonts w:ascii="Arial" w:hAnsi="Arial" w:cs="Arial"/>
                <w:bCs/>
              </w:rPr>
              <w:t>3.58</w:t>
            </w:r>
          </w:p>
        </w:tc>
        <w:tc>
          <w:tcPr>
            <w:tcW w:w="1957" w:type="dxa"/>
          </w:tcPr>
          <w:p w14:paraId="5D2BAE3D" w14:textId="77777777" w:rsidR="00911B0B" w:rsidRPr="00911B0B" w:rsidRDefault="00911B0B" w:rsidP="000518A6">
            <w:pPr>
              <w:jc w:val="center"/>
            </w:pPr>
            <w:r w:rsidRPr="00911B0B">
              <w:rPr>
                <w:rFonts w:ascii="Arial" w:hAnsi="Arial" w:cs="Arial"/>
                <w:bCs/>
              </w:rPr>
              <w:t>High</w:t>
            </w:r>
          </w:p>
        </w:tc>
      </w:tr>
      <w:tr w:rsidR="00911B0B" w:rsidRPr="00911B0B" w14:paraId="265EF4CD" w14:textId="77777777" w:rsidTr="00820DE6">
        <w:trPr>
          <w:trHeight w:val="68"/>
          <w:jc w:val="center"/>
        </w:trPr>
        <w:tc>
          <w:tcPr>
            <w:tcW w:w="498" w:type="dxa"/>
          </w:tcPr>
          <w:p w14:paraId="6E51B7BD" w14:textId="77777777" w:rsidR="00911B0B" w:rsidRPr="00911B0B" w:rsidRDefault="00911B0B" w:rsidP="000518A6">
            <w:pPr>
              <w:pStyle w:val="NoSpacing"/>
              <w:rPr>
                <w:rFonts w:ascii="Arial" w:hAnsi="Arial" w:cs="Arial"/>
                <w:sz w:val="20"/>
                <w:szCs w:val="20"/>
              </w:rPr>
            </w:pPr>
            <w:r w:rsidRPr="00911B0B">
              <w:rPr>
                <w:rFonts w:ascii="Arial" w:hAnsi="Arial" w:cs="Arial"/>
                <w:sz w:val="20"/>
                <w:szCs w:val="20"/>
              </w:rPr>
              <w:t>3.</w:t>
            </w:r>
          </w:p>
        </w:tc>
        <w:tc>
          <w:tcPr>
            <w:tcW w:w="4089" w:type="dxa"/>
          </w:tcPr>
          <w:p w14:paraId="5002C2C6" w14:textId="205F50DF" w:rsidR="00911B0B" w:rsidRPr="00911B0B" w:rsidRDefault="0047302C" w:rsidP="000518A6">
            <w:pPr>
              <w:jc w:val="both"/>
              <w:rPr>
                <w:rFonts w:ascii="Arial" w:hAnsi="Arial" w:cs="Arial"/>
                <w:bCs/>
              </w:rPr>
            </w:pPr>
            <w:r w:rsidRPr="00911B0B">
              <w:rPr>
                <w:rFonts w:ascii="Arial" w:hAnsi="Arial" w:cs="Arial"/>
              </w:rPr>
              <w:t>M</w:t>
            </w:r>
            <w:r w:rsidR="00911B0B" w:rsidRPr="00911B0B">
              <w:rPr>
                <w:rFonts w:ascii="Arial" w:hAnsi="Arial" w:cs="Arial"/>
              </w:rPr>
              <w:t>aintenance</w:t>
            </w:r>
          </w:p>
        </w:tc>
        <w:tc>
          <w:tcPr>
            <w:tcW w:w="1965" w:type="dxa"/>
          </w:tcPr>
          <w:p w14:paraId="14F6FC2D" w14:textId="77777777" w:rsidR="00911B0B" w:rsidRPr="00911B0B" w:rsidRDefault="00911B0B" w:rsidP="000518A6">
            <w:pPr>
              <w:jc w:val="center"/>
              <w:rPr>
                <w:rFonts w:ascii="Arial" w:hAnsi="Arial" w:cs="Arial"/>
                <w:bCs/>
              </w:rPr>
            </w:pPr>
            <w:r w:rsidRPr="00911B0B">
              <w:rPr>
                <w:rFonts w:ascii="Arial" w:hAnsi="Arial" w:cs="Arial"/>
                <w:bCs/>
              </w:rPr>
              <w:t>3.57</w:t>
            </w:r>
          </w:p>
        </w:tc>
        <w:tc>
          <w:tcPr>
            <w:tcW w:w="1957" w:type="dxa"/>
          </w:tcPr>
          <w:p w14:paraId="62350072" w14:textId="77777777" w:rsidR="00911B0B" w:rsidRPr="00911B0B" w:rsidRDefault="00911B0B" w:rsidP="000518A6">
            <w:pPr>
              <w:jc w:val="center"/>
            </w:pPr>
            <w:r w:rsidRPr="00911B0B">
              <w:rPr>
                <w:rFonts w:ascii="Arial" w:hAnsi="Arial" w:cs="Arial"/>
                <w:bCs/>
              </w:rPr>
              <w:t>High</w:t>
            </w:r>
          </w:p>
        </w:tc>
      </w:tr>
      <w:tr w:rsidR="00911B0B" w:rsidRPr="00911B0B" w14:paraId="27B08755" w14:textId="77777777" w:rsidTr="000518A6">
        <w:trPr>
          <w:jc w:val="center"/>
        </w:trPr>
        <w:tc>
          <w:tcPr>
            <w:tcW w:w="498" w:type="dxa"/>
          </w:tcPr>
          <w:p w14:paraId="23E218B8" w14:textId="77777777" w:rsidR="00911B0B" w:rsidRPr="00911B0B" w:rsidRDefault="00911B0B" w:rsidP="000518A6">
            <w:pPr>
              <w:pStyle w:val="NoSpacing"/>
              <w:rPr>
                <w:rFonts w:ascii="Arial" w:hAnsi="Arial" w:cs="Arial"/>
                <w:sz w:val="20"/>
                <w:szCs w:val="20"/>
              </w:rPr>
            </w:pPr>
            <w:r w:rsidRPr="00911B0B">
              <w:rPr>
                <w:rFonts w:ascii="Arial" w:hAnsi="Arial" w:cs="Arial"/>
                <w:sz w:val="20"/>
                <w:szCs w:val="20"/>
              </w:rPr>
              <w:t>4.</w:t>
            </w:r>
          </w:p>
        </w:tc>
        <w:tc>
          <w:tcPr>
            <w:tcW w:w="4089" w:type="dxa"/>
          </w:tcPr>
          <w:p w14:paraId="33DAFFD2" w14:textId="77777777" w:rsidR="00911B0B" w:rsidRPr="00911B0B" w:rsidRDefault="00911B0B" w:rsidP="000518A6">
            <w:pPr>
              <w:jc w:val="both"/>
              <w:rPr>
                <w:rFonts w:ascii="Arial" w:hAnsi="Arial" w:cs="Arial"/>
              </w:rPr>
            </w:pPr>
            <w:r w:rsidRPr="00911B0B">
              <w:rPr>
                <w:rFonts w:ascii="Arial" w:hAnsi="Arial" w:cs="Arial"/>
              </w:rPr>
              <w:t xml:space="preserve">community building </w:t>
            </w:r>
          </w:p>
        </w:tc>
        <w:tc>
          <w:tcPr>
            <w:tcW w:w="1965" w:type="dxa"/>
          </w:tcPr>
          <w:p w14:paraId="7394DEDF" w14:textId="77777777" w:rsidR="00911B0B" w:rsidRPr="00911B0B" w:rsidRDefault="00911B0B" w:rsidP="000518A6">
            <w:pPr>
              <w:jc w:val="center"/>
              <w:rPr>
                <w:rFonts w:ascii="Arial" w:hAnsi="Arial" w:cs="Arial"/>
                <w:bCs/>
              </w:rPr>
            </w:pPr>
            <w:r w:rsidRPr="00911B0B">
              <w:rPr>
                <w:rFonts w:ascii="Arial" w:hAnsi="Arial" w:cs="Arial"/>
                <w:bCs/>
              </w:rPr>
              <w:t>3.69</w:t>
            </w:r>
          </w:p>
        </w:tc>
        <w:tc>
          <w:tcPr>
            <w:tcW w:w="1957" w:type="dxa"/>
          </w:tcPr>
          <w:p w14:paraId="31370B12" w14:textId="77777777" w:rsidR="00911B0B" w:rsidRPr="00911B0B" w:rsidRDefault="00911B0B" w:rsidP="000518A6">
            <w:pPr>
              <w:jc w:val="center"/>
            </w:pPr>
            <w:r w:rsidRPr="00911B0B">
              <w:rPr>
                <w:rFonts w:ascii="Arial" w:hAnsi="Arial" w:cs="Arial"/>
                <w:bCs/>
              </w:rPr>
              <w:t>High</w:t>
            </w:r>
          </w:p>
        </w:tc>
      </w:tr>
      <w:tr w:rsidR="00911B0B" w:rsidRPr="00911B0B" w14:paraId="5989DC99" w14:textId="77777777" w:rsidTr="000518A6">
        <w:trPr>
          <w:jc w:val="center"/>
        </w:trPr>
        <w:tc>
          <w:tcPr>
            <w:tcW w:w="498" w:type="dxa"/>
          </w:tcPr>
          <w:p w14:paraId="3A44A0E5" w14:textId="77777777" w:rsidR="00911B0B" w:rsidRPr="00911B0B" w:rsidRDefault="00911B0B" w:rsidP="000518A6">
            <w:pPr>
              <w:pStyle w:val="NoSpacing"/>
              <w:rPr>
                <w:rFonts w:ascii="Arial" w:hAnsi="Arial" w:cs="Arial"/>
                <w:sz w:val="20"/>
                <w:szCs w:val="20"/>
              </w:rPr>
            </w:pPr>
            <w:r w:rsidRPr="00911B0B">
              <w:rPr>
                <w:rFonts w:ascii="Arial" w:hAnsi="Arial" w:cs="Arial"/>
                <w:sz w:val="20"/>
                <w:szCs w:val="20"/>
              </w:rPr>
              <w:t>5.</w:t>
            </w:r>
          </w:p>
        </w:tc>
        <w:tc>
          <w:tcPr>
            <w:tcW w:w="4089" w:type="dxa"/>
          </w:tcPr>
          <w:p w14:paraId="75DD42EF" w14:textId="4F36E0AE" w:rsidR="00911B0B" w:rsidRPr="00911B0B" w:rsidRDefault="0047302C" w:rsidP="000518A6">
            <w:pPr>
              <w:rPr>
                <w:rFonts w:ascii="Arial" w:hAnsi="Arial" w:cs="Arial"/>
              </w:rPr>
            </w:pPr>
            <w:r w:rsidRPr="00911B0B">
              <w:rPr>
                <w:rFonts w:ascii="Arial" w:hAnsi="Arial" w:cs="Arial"/>
              </w:rPr>
              <w:t>E</w:t>
            </w:r>
            <w:r w:rsidR="00911B0B" w:rsidRPr="00911B0B">
              <w:rPr>
                <w:rFonts w:ascii="Arial" w:hAnsi="Arial" w:cs="Arial"/>
              </w:rPr>
              <w:t>nvironment</w:t>
            </w:r>
          </w:p>
        </w:tc>
        <w:tc>
          <w:tcPr>
            <w:tcW w:w="1965" w:type="dxa"/>
          </w:tcPr>
          <w:p w14:paraId="445DD18C" w14:textId="77777777" w:rsidR="00911B0B" w:rsidRPr="00911B0B" w:rsidRDefault="00911B0B" w:rsidP="000518A6">
            <w:pPr>
              <w:jc w:val="center"/>
              <w:rPr>
                <w:rFonts w:ascii="Arial" w:hAnsi="Arial" w:cs="Arial"/>
                <w:bCs/>
              </w:rPr>
            </w:pPr>
            <w:r w:rsidRPr="00911B0B">
              <w:rPr>
                <w:rFonts w:ascii="Arial" w:hAnsi="Arial" w:cs="Arial"/>
                <w:bCs/>
              </w:rPr>
              <w:t>3.65</w:t>
            </w:r>
          </w:p>
        </w:tc>
        <w:tc>
          <w:tcPr>
            <w:tcW w:w="1957" w:type="dxa"/>
          </w:tcPr>
          <w:p w14:paraId="5E3CB21D" w14:textId="77777777" w:rsidR="00911B0B" w:rsidRPr="00911B0B" w:rsidRDefault="00911B0B" w:rsidP="000518A6">
            <w:pPr>
              <w:jc w:val="center"/>
            </w:pPr>
            <w:r w:rsidRPr="00911B0B">
              <w:rPr>
                <w:rFonts w:ascii="Arial" w:hAnsi="Arial" w:cs="Arial"/>
                <w:bCs/>
              </w:rPr>
              <w:t>High</w:t>
            </w:r>
          </w:p>
        </w:tc>
      </w:tr>
      <w:tr w:rsidR="00911B0B" w:rsidRPr="00911B0B" w14:paraId="02464E24" w14:textId="77777777" w:rsidTr="000518A6">
        <w:trPr>
          <w:jc w:val="center"/>
        </w:trPr>
        <w:tc>
          <w:tcPr>
            <w:tcW w:w="4587" w:type="dxa"/>
            <w:gridSpan w:val="2"/>
            <w:tcBorders>
              <w:bottom w:val="single" w:sz="4" w:space="0" w:color="auto"/>
            </w:tcBorders>
          </w:tcPr>
          <w:p w14:paraId="18E0C029" w14:textId="77777777" w:rsidR="00911B0B" w:rsidRPr="00911B0B" w:rsidRDefault="00911B0B" w:rsidP="000518A6">
            <w:pPr>
              <w:pStyle w:val="NoSpacing"/>
              <w:jc w:val="center"/>
              <w:rPr>
                <w:rFonts w:ascii="Arial" w:hAnsi="Arial" w:cs="Arial"/>
                <w:b/>
                <w:sz w:val="20"/>
                <w:szCs w:val="20"/>
              </w:rPr>
            </w:pPr>
            <w:r w:rsidRPr="00911B0B">
              <w:rPr>
                <w:rFonts w:ascii="Arial" w:hAnsi="Arial" w:cs="Arial"/>
                <w:b/>
                <w:sz w:val="20"/>
                <w:szCs w:val="20"/>
              </w:rPr>
              <w:t>Overall</w:t>
            </w:r>
          </w:p>
        </w:tc>
        <w:tc>
          <w:tcPr>
            <w:tcW w:w="1965" w:type="dxa"/>
            <w:tcBorders>
              <w:bottom w:val="single" w:sz="4" w:space="0" w:color="auto"/>
            </w:tcBorders>
          </w:tcPr>
          <w:p w14:paraId="0138B1ED" w14:textId="77777777" w:rsidR="00911B0B" w:rsidRPr="00B05F60" w:rsidRDefault="00911B0B" w:rsidP="000518A6">
            <w:pPr>
              <w:jc w:val="center"/>
              <w:rPr>
                <w:rFonts w:ascii="Arial" w:hAnsi="Arial" w:cs="Arial"/>
                <w:bCs/>
              </w:rPr>
            </w:pPr>
            <w:r w:rsidRPr="00B05F60">
              <w:rPr>
                <w:rFonts w:ascii="Arial" w:hAnsi="Arial" w:cs="Arial"/>
                <w:bCs/>
              </w:rPr>
              <w:t>3.60</w:t>
            </w:r>
          </w:p>
        </w:tc>
        <w:tc>
          <w:tcPr>
            <w:tcW w:w="1957" w:type="dxa"/>
            <w:tcBorders>
              <w:bottom w:val="single" w:sz="4" w:space="0" w:color="auto"/>
            </w:tcBorders>
          </w:tcPr>
          <w:p w14:paraId="016E5F2F" w14:textId="3A3FDA3F" w:rsidR="00911B0B" w:rsidRPr="00B05F60" w:rsidRDefault="00911B0B" w:rsidP="00911B0B">
            <w:pPr>
              <w:jc w:val="center"/>
              <w:rPr>
                <w:rFonts w:ascii="Arial" w:hAnsi="Arial" w:cs="Arial"/>
                <w:bCs/>
              </w:rPr>
            </w:pPr>
            <w:r w:rsidRPr="00B05F60">
              <w:rPr>
                <w:rFonts w:ascii="Arial" w:hAnsi="Arial" w:cs="Arial"/>
                <w:bCs/>
              </w:rPr>
              <w:t>High</w:t>
            </w:r>
          </w:p>
        </w:tc>
      </w:tr>
    </w:tbl>
    <w:p w14:paraId="20CF6BE0" w14:textId="77777777" w:rsidR="00D453B9" w:rsidRDefault="00D453B9" w:rsidP="003248E3">
      <w:pPr>
        <w:jc w:val="both"/>
        <w:rPr>
          <w:rFonts w:ascii="Arial" w:hAnsi="Arial" w:cs="Arial"/>
        </w:rPr>
      </w:pPr>
    </w:p>
    <w:p w14:paraId="3ED52CA3" w14:textId="0D1D5502" w:rsidR="00D566F8" w:rsidRPr="00D566F8" w:rsidRDefault="00D566F8" w:rsidP="00D566F8">
      <w:pPr>
        <w:jc w:val="both"/>
        <w:rPr>
          <w:rFonts w:ascii="Arial" w:hAnsi="Arial" w:cs="Arial"/>
        </w:rPr>
      </w:pPr>
      <w:r w:rsidRPr="00D566F8">
        <w:rPr>
          <w:rFonts w:ascii="Arial" w:hAnsi="Arial" w:cs="Arial"/>
        </w:rPr>
        <w:t>Presented in Table 1 is the level of resource distribution as perceived by teachers, based on the mean scores across five domains: curriculum, staff development, maintenance, community building, and environment. Among these, the domain community building recorded the highest mean of 3.69, described as "high," indicating that schools actively promote collaboration and engagement with stakeholders, which enhances access to and sharing of educational resources.</w:t>
      </w:r>
      <w:r>
        <w:rPr>
          <w:rFonts w:ascii="Arial" w:hAnsi="Arial" w:cs="Arial"/>
        </w:rPr>
        <w:t xml:space="preserve"> </w:t>
      </w:r>
      <w:r w:rsidRPr="00D566F8">
        <w:rPr>
          <w:rFonts w:ascii="Arial" w:hAnsi="Arial" w:cs="Arial"/>
        </w:rPr>
        <w:t>This was followed by the domain of environment with a mean of 3.65, also described as "high," suggesting that teachers generally find the physical and learning environment to be conducive and adequately resourced. The domain of staff development obtained a mean of 3.58, described as "high," reflecting the availability of professional growth opportunities such as training, workshops, and in-service programs.</w:t>
      </w:r>
    </w:p>
    <w:p w14:paraId="131E4455" w14:textId="77777777" w:rsidR="00D566F8" w:rsidRPr="00D566F8" w:rsidRDefault="00D566F8" w:rsidP="00D566F8">
      <w:pPr>
        <w:jc w:val="both"/>
        <w:rPr>
          <w:rFonts w:ascii="Arial" w:hAnsi="Arial" w:cs="Arial"/>
        </w:rPr>
      </w:pPr>
    </w:p>
    <w:p w14:paraId="7EC2CE51" w14:textId="46777842" w:rsidR="00D566F8" w:rsidRPr="00D566F8" w:rsidRDefault="00D566F8" w:rsidP="00D566F8">
      <w:pPr>
        <w:jc w:val="both"/>
        <w:rPr>
          <w:rFonts w:ascii="Arial" w:hAnsi="Arial" w:cs="Arial"/>
        </w:rPr>
      </w:pPr>
      <w:r w:rsidRPr="00D566F8">
        <w:rPr>
          <w:rFonts w:ascii="Arial" w:hAnsi="Arial" w:cs="Arial"/>
        </w:rPr>
        <w:t>Similarly, the maintenance domain yielded a mean of 3.57, described as "high," indicating that the upkeep and functionality of school facilities and instructional materials are sufficiently addressed. Lastly, the domain curriculum received the lowest mean of 3.53, yet still interpreted as "high," signifying that teaching and learning materials are adequately provided, though slightly less than other domains.</w:t>
      </w:r>
      <w:r>
        <w:rPr>
          <w:rFonts w:ascii="Arial" w:hAnsi="Arial" w:cs="Arial"/>
        </w:rPr>
        <w:t xml:space="preserve"> </w:t>
      </w:r>
      <w:r w:rsidRPr="00D566F8">
        <w:rPr>
          <w:rFonts w:ascii="Arial" w:hAnsi="Arial" w:cs="Arial"/>
        </w:rPr>
        <w:t>The overall mean of 3.60, likewise described as "high," suggests that public elementary school teachers perceive the distribution of resources to be generally effective and supportive of instructional and operational needs. These findings highlight the consistent allocation of essential educational resources across various domains, which is vital in ensuring quality teaching and learning outcomes.</w:t>
      </w:r>
    </w:p>
    <w:p w14:paraId="7FB60340" w14:textId="77777777" w:rsidR="00774193" w:rsidRDefault="00774193" w:rsidP="00774193">
      <w:pPr>
        <w:jc w:val="both"/>
        <w:rPr>
          <w:rFonts w:ascii="Arial" w:hAnsi="Arial" w:cs="Arial"/>
        </w:rPr>
      </w:pPr>
    </w:p>
    <w:p w14:paraId="1848DD24" w14:textId="328564BA" w:rsidR="00A83B02" w:rsidRPr="003B319D" w:rsidRDefault="003B319D" w:rsidP="003B319D">
      <w:pPr>
        <w:jc w:val="both"/>
        <w:rPr>
          <w:rFonts w:ascii="Arial" w:hAnsi="Arial" w:cs="Arial"/>
        </w:rPr>
      </w:pPr>
      <w:r w:rsidRPr="003B319D">
        <w:rPr>
          <w:rFonts w:ascii="Arial" w:hAnsi="Arial" w:cs="Arial"/>
        </w:rPr>
        <w:t xml:space="preserve">This finding aligns with the study of </w:t>
      </w:r>
      <w:proofErr w:type="spellStart"/>
      <w:r w:rsidR="0047302C" w:rsidRPr="0047302C">
        <w:rPr>
          <w:rFonts w:ascii="Arial" w:hAnsi="Arial" w:cs="Arial"/>
        </w:rPr>
        <w:t>Nwuke</w:t>
      </w:r>
      <w:proofErr w:type="spellEnd"/>
      <w:r w:rsidR="0047302C">
        <w:rPr>
          <w:rFonts w:ascii="Arial" w:hAnsi="Arial" w:cs="Arial"/>
        </w:rPr>
        <w:t xml:space="preserve"> and </w:t>
      </w:r>
      <w:proofErr w:type="spellStart"/>
      <w:r w:rsidR="0047302C" w:rsidRPr="0047302C">
        <w:rPr>
          <w:rFonts w:ascii="Arial" w:hAnsi="Arial" w:cs="Arial"/>
        </w:rPr>
        <w:t>Nwanguma</w:t>
      </w:r>
      <w:proofErr w:type="spellEnd"/>
      <w:r w:rsidR="0047302C">
        <w:rPr>
          <w:rFonts w:ascii="Arial" w:hAnsi="Arial" w:cs="Arial"/>
        </w:rPr>
        <w:t xml:space="preserve"> (2024</w:t>
      </w:r>
      <w:r w:rsidRPr="003B319D">
        <w:rPr>
          <w:rFonts w:ascii="Arial" w:hAnsi="Arial" w:cs="Arial"/>
        </w:rPr>
        <w:t xml:space="preserve">), which revealed that a high level of resource distribution in schools significantly enhances teachers’ ability to deliver effective instruction and manage classrooms efficiently. Adequate provision of curriculum materials, staff development opportunities, and a supportive environment equips teachers with </w:t>
      </w:r>
      <w:r w:rsidRPr="003B319D">
        <w:rPr>
          <w:rFonts w:ascii="Arial" w:hAnsi="Arial" w:cs="Arial"/>
        </w:rPr>
        <w:lastRenderedPageBreak/>
        <w:t xml:space="preserve">the necessary tools to foster a productive learning atmosphere. Similarly, </w:t>
      </w:r>
      <w:proofErr w:type="spellStart"/>
      <w:r w:rsidR="008644A3">
        <w:rPr>
          <w:rFonts w:ascii="Arial" w:hAnsi="Arial" w:cs="Arial"/>
        </w:rPr>
        <w:t>Katel</w:t>
      </w:r>
      <w:proofErr w:type="spellEnd"/>
      <w:r w:rsidRPr="003B319D">
        <w:rPr>
          <w:rFonts w:ascii="Arial" w:hAnsi="Arial" w:cs="Arial"/>
        </w:rPr>
        <w:t xml:space="preserve"> (2023) emphasized that consistent and well-organized distribution of resources promotes teacher motivation and professional growth, which in turn positively impacts student outcomes. Their research highlighted the crucial role of maintenance and community involvement in sustaining resource availability and creating an enabling environment for teaching and learning. Furthermore, the work of </w:t>
      </w:r>
      <w:r w:rsidR="00176290" w:rsidRPr="00176290">
        <w:rPr>
          <w:rFonts w:ascii="Arial" w:hAnsi="Arial" w:cs="Arial"/>
        </w:rPr>
        <w:t>Okafor</w:t>
      </w:r>
      <w:r w:rsidR="00176290">
        <w:rPr>
          <w:rFonts w:ascii="Arial" w:hAnsi="Arial" w:cs="Arial"/>
        </w:rPr>
        <w:t xml:space="preserve"> et al. (2024</w:t>
      </w:r>
      <w:r w:rsidRPr="003B319D">
        <w:rPr>
          <w:rFonts w:ascii="Arial" w:hAnsi="Arial" w:cs="Arial"/>
        </w:rPr>
        <w:t>) found that schools with a strong focus on equitable resource allocation enable teachers to implement monitoring mechanisms more effectively, ensuring better supervision and support of student learning.</w:t>
      </w:r>
    </w:p>
    <w:p w14:paraId="02153ADC" w14:textId="77777777" w:rsidR="003B319D" w:rsidRDefault="003B319D" w:rsidP="00B05F60">
      <w:pPr>
        <w:jc w:val="both"/>
        <w:rPr>
          <w:rFonts w:ascii="Arial" w:hAnsi="Arial" w:cs="Arial"/>
          <w:b/>
        </w:rPr>
      </w:pPr>
    </w:p>
    <w:p w14:paraId="49153FC3" w14:textId="35D68767" w:rsidR="00E16D4E" w:rsidRPr="00B05F60" w:rsidRDefault="00180859" w:rsidP="00B05F60">
      <w:pPr>
        <w:jc w:val="both"/>
        <w:rPr>
          <w:rFonts w:ascii="Arial" w:hAnsi="Arial" w:cs="Arial"/>
          <w:b/>
        </w:rPr>
      </w:pPr>
      <w:r>
        <w:rPr>
          <w:rFonts w:ascii="Arial" w:hAnsi="Arial" w:cs="Arial"/>
          <w:b/>
        </w:rPr>
        <w:t xml:space="preserve">3.2 </w:t>
      </w:r>
      <w:r w:rsidR="00B05F60" w:rsidRPr="00B05F60">
        <w:rPr>
          <w:rFonts w:ascii="Arial" w:hAnsi="Arial" w:cs="Arial"/>
          <w:b/>
        </w:rPr>
        <w:t>Level of Monitoring Mechanism</w:t>
      </w:r>
      <w:r w:rsidR="00B05F60">
        <w:rPr>
          <w:rFonts w:ascii="Arial" w:hAnsi="Arial" w:cs="Arial"/>
          <w:b/>
        </w:rPr>
        <w:t xml:space="preserve"> of Teachers</w:t>
      </w:r>
    </w:p>
    <w:p w14:paraId="5B335AF5" w14:textId="77777777" w:rsidR="00D532E8" w:rsidRDefault="00D532E8">
      <w:pPr>
        <w:jc w:val="both"/>
        <w:rPr>
          <w:rFonts w:ascii="Arial" w:hAnsi="Arial" w:cs="Arial"/>
          <w:b/>
        </w:rPr>
      </w:pPr>
    </w:p>
    <w:p w14:paraId="2745F126" w14:textId="6E9D2A51" w:rsidR="00781D5E" w:rsidRPr="00416728" w:rsidRDefault="00180859" w:rsidP="00416728">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D566F8" w:rsidRPr="00D566F8">
        <w:rPr>
          <w:rFonts w:ascii="Arial" w:hAnsi="Arial" w:cs="Arial"/>
          <w:i/>
        </w:rPr>
        <w:t>Level of Monitoring Mechanism of Teachers</w:t>
      </w:r>
    </w:p>
    <w:p w14:paraId="0470EF4F" w14:textId="43A90FD0" w:rsidR="00D532E8" w:rsidRDefault="00D532E8">
      <w:pPr>
        <w:jc w:val="both"/>
        <w:rPr>
          <w:rFonts w:ascii="Arial" w:hAnsi="Arial" w:cs="Arial"/>
          <w:i/>
        </w:rPr>
      </w:pPr>
    </w:p>
    <w:tbl>
      <w:tblPr>
        <w:tblW w:w="8454" w:type="dxa"/>
        <w:jc w:val="center"/>
        <w:tblLook w:val="04A0" w:firstRow="1" w:lastRow="0" w:firstColumn="1" w:lastColumn="0" w:noHBand="0" w:noVBand="1"/>
      </w:tblPr>
      <w:tblGrid>
        <w:gridCol w:w="498"/>
        <w:gridCol w:w="4958"/>
        <w:gridCol w:w="1494"/>
        <w:gridCol w:w="1504"/>
      </w:tblGrid>
      <w:tr w:rsidR="00B05F60" w:rsidRPr="00B05F60" w14:paraId="13DE598D" w14:textId="77777777" w:rsidTr="000518A6">
        <w:trPr>
          <w:jc w:val="center"/>
        </w:trPr>
        <w:tc>
          <w:tcPr>
            <w:tcW w:w="498" w:type="dxa"/>
            <w:tcBorders>
              <w:top w:val="single" w:sz="4" w:space="0" w:color="auto"/>
              <w:bottom w:val="single" w:sz="4" w:space="0" w:color="auto"/>
            </w:tcBorders>
          </w:tcPr>
          <w:p w14:paraId="2DE63BEA" w14:textId="77777777" w:rsidR="00B05F60" w:rsidRPr="00B05F60" w:rsidRDefault="00B05F60" w:rsidP="000518A6">
            <w:pPr>
              <w:pStyle w:val="NoSpacing"/>
              <w:jc w:val="center"/>
              <w:rPr>
                <w:rFonts w:ascii="Arial" w:hAnsi="Arial" w:cs="Arial"/>
                <w:b/>
                <w:sz w:val="20"/>
                <w:szCs w:val="20"/>
              </w:rPr>
            </w:pPr>
          </w:p>
          <w:p w14:paraId="74954803" w14:textId="77777777" w:rsidR="00B05F60" w:rsidRPr="00B05F60" w:rsidRDefault="00B05F60" w:rsidP="000518A6">
            <w:pPr>
              <w:pStyle w:val="NoSpacing"/>
              <w:jc w:val="center"/>
              <w:rPr>
                <w:rFonts w:ascii="Arial" w:hAnsi="Arial" w:cs="Arial"/>
                <w:b/>
                <w:sz w:val="20"/>
                <w:szCs w:val="20"/>
              </w:rPr>
            </w:pPr>
            <w:r w:rsidRPr="00B05F60">
              <w:rPr>
                <w:rFonts w:ascii="Arial" w:hAnsi="Arial" w:cs="Arial"/>
                <w:b/>
                <w:sz w:val="20"/>
                <w:szCs w:val="20"/>
              </w:rPr>
              <w:t>No</w:t>
            </w:r>
          </w:p>
        </w:tc>
        <w:tc>
          <w:tcPr>
            <w:tcW w:w="4958" w:type="dxa"/>
            <w:tcBorders>
              <w:top w:val="single" w:sz="4" w:space="0" w:color="auto"/>
              <w:bottom w:val="single" w:sz="4" w:space="0" w:color="auto"/>
            </w:tcBorders>
          </w:tcPr>
          <w:p w14:paraId="1DF88A49" w14:textId="77777777" w:rsidR="00B05F60" w:rsidRPr="00B05F60" w:rsidRDefault="00B05F60" w:rsidP="000518A6">
            <w:pPr>
              <w:pStyle w:val="NoSpacing"/>
              <w:jc w:val="center"/>
              <w:rPr>
                <w:rFonts w:ascii="Arial" w:hAnsi="Arial" w:cs="Arial"/>
                <w:b/>
                <w:sz w:val="20"/>
                <w:szCs w:val="20"/>
              </w:rPr>
            </w:pPr>
          </w:p>
          <w:p w14:paraId="62DDDB46" w14:textId="58107B7D" w:rsidR="00B05F60" w:rsidRPr="00B05F60" w:rsidRDefault="00B05F60" w:rsidP="000518A6">
            <w:pPr>
              <w:pStyle w:val="NoSpacing"/>
              <w:jc w:val="center"/>
              <w:rPr>
                <w:rFonts w:ascii="Arial" w:hAnsi="Arial" w:cs="Arial"/>
                <w:b/>
                <w:sz w:val="20"/>
                <w:szCs w:val="20"/>
              </w:rPr>
            </w:pPr>
            <w:r w:rsidRPr="00B05F60">
              <w:rPr>
                <w:rFonts w:ascii="Arial" w:hAnsi="Arial" w:cs="Arial"/>
                <w:b/>
                <w:sz w:val="20"/>
                <w:szCs w:val="20"/>
              </w:rPr>
              <w:t>Domains</w:t>
            </w:r>
          </w:p>
        </w:tc>
        <w:tc>
          <w:tcPr>
            <w:tcW w:w="1494" w:type="dxa"/>
            <w:tcBorders>
              <w:top w:val="single" w:sz="4" w:space="0" w:color="auto"/>
              <w:bottom w:val="single" w:sz="4" w:space="0" w:color="auto"/>
            </w:tcBorders>
          </w:tcPr>
          <w:p w14:paraId="7431F494" w14:textId="77777777" w:rsidR="00B05F60" w:rsidRPr="00B05F60" w:rsidRDefault="00B05F60" w:rsidP="000518A6">
            <w:pPr>
              <w:pStyle w:val="NoSpacing"/>
              <w:jc w:val="center"/>
              <w:rPr>
                <w:rFonts w:ascii="Arial" w:hAnsi="Arial" w:cs="Arial"/>
                <w:b/>
                <w:sz w:val="20"/>
                <w:szCs w:val="20"/>
              </w:rPr>
            </w:pPr>
            <w:r w:rsidRPr="00B05F60">
              <w:rPr>
                <w:rFonts w:ascii="Arial" w:hAnsi="Arial" w:cs="Arial"/>
                <w:b/>
                <w:sz w:val="20"/>
                <w:szCs w:val="20"/>
              </w:rPr>
              <w:t xml:space="preserve">Mean </w:t>
            </w:r>
          </w:p>
          <w:p w14:paraId="3B80BE0A" w14:textId="77777777" w:rsidR="00B05F60" w:rsidRPr="00B05F60" w:rsidRDefault="00B05F60" w:rsidP="000518A6">
            <w:pPr>
              <w:pStyle w:val="NoSpacing"/>
              <w:jc w:val="center"/>
              <w:rPr>
                <w:rFonts w:ascii="Arial" w:hAnsi="Arial" w:cs="Arial"/>
                <w:b/>
                <w:sz w:val="20"/>
                <w:szCs w:val="20"/>
              </w:rPr>
            </w:pPr>
            <w:r w:rsidRPr="00B05F60">
              <w:rPr>
                <w:rFonts w:ascii="Arial" w:hAnsi="Arial" w:cs="Arial"/>
                <w:b/>
                <w:sz w:val="20"/>
                <w:szCs w:val="20"/>
              </w:rPr>
              <w:t>(x)</w:t>
            </w:r>
          </w:p>
        </w:tc>
        <w:tc>
          <w:tcPr>
            <w:tcW w:w="1504" w:type="dxa"/>
            <w:tcBorders>
              <w:top w:val="single" w:sz="4" w:space="0" w:color="auto"/>
              <w:bottom w:val="single" w:sz="4" w:space="0" w:color="auto"/>
            </w:tcBorders>
          </w:tcPr>
          <w:p w14:paraId="55074B3E" w14:textId="77777777" w:rsidR="00B05F60" w:rsidRPr="00B05F60" w:rsidRDefault="00B05F60" w:rsidP="000518A6">
            <w:pPr>
              <w:pStyle w:val="NoSpacing"/>
              <w:jc w:val="center"/>
              <w:rPr>
                <w:rFonts w:ascii="Arial" w:hAnsi="Arial" w:cs="Arial"/>
                <w:b/>
                <w:sz w:val="20"/>
                <w:szCs w:val="20"/>
              </w:rPr>
            </w:pPr>
            <w:r w:rsidRPr="00B05F60">
              <w:rPr>
                <w:rFonts w:ascii="Arial" w:hAnsi="Arial" w:cs="Arial"/>
                <w:b/>
                <w:sz w:val="20"/>
                <w:szCs w:val="20"/>
              </w:rPr>
              <w:t>Descriptive Level</w:t>
            </w:r>
          </w:p>
        </w:tc>
      </w:tr>
      <w:tr w:rsidR="00B05F60" w:rsidRPr="00B05F60" w14:paraId="12F96ECF" w14:textId="77777777" w:rsidTr="000518A6">
        <w:trPr>
          <w:jc w:val="center"/>
        </w:trPr>
        <w:tc>
          <w:tcPr>
            <w:tcW w:w="498" w:type="dxa"/>
            <w:tcBorders>
              <w:top w:val="single" w:sz="4" w:space="0" w:color="auto"/>
            </w:tcBorders>
          </w:tcPr>
          <w:p w14:paraId="24270A38" w14:textId="0E66FD19" w:rsidR="00B05F60" w:rsidRPr="00B05F60" w:rsidRDefault="00B05F60" w:rsidP="00B05F60">
            <w:pPr>
              <w:pStyle w:val="NoSpacing"/>
              <w:rPr>
                <w:rFonts w:ascii="Arial" w:hAnsi="Arial" w:cs="Arial"/>
                <w:sz w:val="20"/>
                <w:szCs w:val="20"/>
              </w:rPr>
            </w:pPr>
            <w:r w:rsidRPr="00B05F60">
              <w:rPr>
                <w:rFonts w:ascii="Arial" w:hAnsi="Arial" w:cs="Arial"/>
                <w:sz w:val="20"/>
                <w:szCs w:val="20"/>
              </w:rPr>
              <w:t>1</w:t>
            </w:r>
          </w:p>
        </w:tc>
        <w:tc>
          <w:tcPr>
            <w:tcW w:w="4958" w:type="dxa"/>
            <w:tcBorders>
              <w:top w:val="single" w:sz="4" w:space="0" w:color="auto"/>
            </w:tcBorders>
          </w:tcPr>
          <w:p w14:paraId="40AFA349" w14:textId="63FC1117" w:rsidR="00B05F60" w:rsidRPr="00B05F60" w:rsidRDefault="00B05F60" w:rsidP="000518A6">
            <w:pPr>
              <w:rPr>
                <w:rFonts w:ascii="Arial" w:hAnsi="Arial" w:cs="Arial"/>
              </w:rPr>
            </w:pPr>
            <w:r w:rsidRPr="00B05F60">
              <w:rPr>
                <w:rFonts w:ascii="Arial" w:hAnsi="Arial" w:cs="Arial"/>
              </w:rPr>
              <w:t>Guidelines</w:t>
            </w:r>
          </w:p>
        </w:tc>
        <w:tc>
          <w:tcPr>
            <w:tcW w:w="1494" w:type="dxa"/>
            <w:tcBorders>
              <w:top w:val="single" w:sz="4" w:space="0" w:color="auto"/>
            </w:tcBorders>
          </w:tcPr>
          <w:p w14:paraId="0CF8F819" w14:textId="66653EFA"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3.54</w:t>
            </w:r>
          </w:p>
        </w:tc>
        <w:tc>
          <w:tcPr>
            <w:tcW w:w="1504" w:type="dxa"/>
            <w:tcBorders>
              <w:top w:val="single" w:sz="4" w:space="0" w:color="auto"/>
            </w:tcBorders>
          </w:tcPr>
          <w:p w14:paraId="67892265" w14:textId="6996BE36"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High</w:t>
            </w:r>
          </w:p>
        </w:tc>
      </w:tr>
      <w:tr w:rsidR="00B05F60" w:rsidRPr="00B05F60" w14:paraId="03999E9A" w14:textId="77777777" w:rsidTr="000518A6">
        <w:trPr>
          <w:jc w:val="center"/>
        </w:trPr>
        <w:tc>
          <w:tcPr>
            <w:tcW w:w="498" w:type="dxa"/>
          </w:tcPr>
          <w:p w14:paraId="061CC72E" w14:textId="77777777"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2</w:t>
            </w:r>
          </w:p>
        </w:tc>
        <w:tc>
          <w:tcPr>
            <w:tcW w:w="4958" w:type="dxa"/>
          </w:tcPr>
          <w:p w14:paraId="1911EA3C" w14:textId="77777777" w:rsidR="00B05F60" w:rsidRPr="00B05F60" w:rsidRDefault="00B05F60" w:rsidP="000518A6">
            <w:pPr>
              <w:rPr>
                <w:rFonts w:ascii="Arial" w:hAnsi="Arial" w:cs="Arial"/>
              </w:rPr>
            </w:pPr>
            <w:r w:rsidRPr="00B05F60">
              <w:rPr>
                <w:rFonts w:ascii="Arial" w:hAnsi="Arial" w:cs="Arial"/>
              </w:rPr>
              <w:t xml:space="preserve">exploring </w:t>
            </w:r>
          </w:p>
        </w:tc>
        <w:tc>
          <w:tcPr>
            <w:tcW w:w="1494" w:type="dxa"/>
          </w:tcPr>
          <w:p w14:paraId="5F53ADF3" w14:textId="77777777" w:rsidR="00B05F60" w:rsidRPr="00B05F60" w:rsidRDefault="00B05F60" w:rsidP="000518A6">
            <w:pPr>
              <w:pStyle w:val="NoSpacing"/>
              <w:jc w:val="center"/>
              <w:rPr>
                <w:rFonts w:ascii="Arial" w:hAnsi="Arial" w:cs="Arial"/>
                <w:sz w:val="20"/>
                <w:szCs w:val="20"/>
              </w:rPr>
            </w:pPr>
            <w:r w:rsidRPr="00B05F60">
              <w:rPr>
                <w:rFonts w:ascii="Arial" w:hAnsi="Arial" w:cs="Arial"/>
                <w:sz w:val="20"/>
                <w:szCs w:val="20"/>
              </w:rPr>
              <w:t>3.48</w:t>
            </w:r>
          </w:p>
        </w:tc>
        <w:tc>
          <w:tcPr>
            <w:tcW w:w="1504" w:type="dxa"/>
          </w:tcPr>
          <w:p w14:paraId="28453F49" w14:textId="0B5E53FD"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High</w:t>
            </w:r>
          </w:p>
        </w:tc>
      </w:tr>
      <w:tr w:rsidR="00B05F60" w:rsidRPr="00B05F60" w14:paraId="07C7869D" w14:textId="77777777" w:rsidTr="000518A6">
        <w:trPr>
          <w:jc w:val="center"/>
        </w:trPr>
        <w:tc>
          <w:tcPr>
            <w:tcW w:w="498" w:type="dxa"/>
          </w:tcPr>
          <w:p w14:paraId="37662D92" w14:textId="77777777"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3</w:t>
            </w:r>
          </w:p>
        </w:tc>
        <w:tc>
          <w:tcPr>
            <w:tcW w:w="4958" w:type="dxa"/>
          </w:tcPr>
          <w:p w14:paraId="65EF19A5" w14:textId="77777777" w:rsidR="00B05F60" w:rsidRPr="00B05F60" w:rsidRDefault="00B05F60" w:rsidP="000518A6">
            <w:pPr>
              <w:rPr>
                <w:rFonts w:ascii="Arial" w:hAnsi="Arial" w:cs="Arial"/>
              </w:rPr>
            </w:pPr>
            <w:r w:rsidRPr="00B05F60">
              <w:rPr>
                <w:rFonts w:ascii="Arial" w:hAnsi="Arial" w:cs="Arial"/>
              </w:rPr>
              <w:t xml:space="preserve">relevance </w:t>
            </w:r>
          </w:p>
        </w:tc>
        <w:tc>
          <w:tcPr>
            <w:tcW w:w="1494" w:type="dxa"/>
          </w:tcPr>
          <w:p w14:paraId="20B7C674" w14:textId="77777777" w:rsidR="00B05F60" w:rsidRPr="00B05F60" w:rsidRDefault="00B05F60" w:rsidP="000518A6">
            <w:pPr>
              <w:jc w:val="center"/>
              <w:rPr>
                <w:rFonts w:ascii="Arial" w:hAnsi="Arial" w:cs="Arial"/>
              </w:rPr>
            </w:pPr>
            <w:r w:rsidRPr="00B05F60">
              <w:rPr>
                <w:rFonts w:ascii="Arial" w:hAnsi="Arial" w:cs="Arial"/>
              </w:rPr>
              <w:t>3.27</w:t>
            </w:r>
          </w:p>
        </w:tc>
        <w:tc>
          <w:tcPr>
            <w:tcW w:w="1504" w:type="dxa"/>
          </w:tcPr>
          <w:p w14:paraId="45451F1D" w14:textId="3CC8C1C4" w:rsidR="00B05F60" w:rsidRPr="00B05F60" w:rsidRDefault="00B05F60" w:rsidP="00B05F60">
            <w:pPr>
              <w:jc w:val="center"/>
              <w:rPr>
                <w:rFonts w:ascii="Arial" w:hAnsi="Arial" w:cs="Arial"/>
              </w:rPr>
            </w:pPr>
            <w:r w:rsidRPr="00B05F60">
              <w:rPr>
                <w:rFonts w:ascii="Arial" w:hAnsi="Arial" w:cs="Arial"/>
              </w:rPr>
              <w:t>Moderate</w:t>
            </w:r>
          </w:p>
        </w:tc>
      </w:tr>
      <w:tr w:rsidR="00B05F60" w:rsidRPr="00B05F60" w14:paraId="3E563B5D" w14:textId="77777777" w:rsidTr="000518A6">
        <w:trPr>
          <w:jc w:val="center"/>
        </w:trPr>
        <w:tc>
          <w:tcPr>
            <w:tcW w:w="498" w:type="dxa"/>
          </w:tcPr>
          <w:p w14:paraId="0C83D7CE" w14:textId="77777777"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4</w:t>
            </w:r>
          </w:p>
        </w:tc>
        <w:tc>
          <w:tcPr>
            <w:tcW w:w="4958" w:type="dxa"/>
          </w:tcPr>
          <w:p w14:paraId="38FAB81A" w14:textId="77777777" w:rsidR="00B05F60" w:rsidRPr="00B05F60" w:rsidRDefault="00B05F60" w:rsidP="000518A6">
            <w:pPr>
              <w:rPr>
                <w:rFonts w:ascii="Arial" w:hAnsi="Arial" w:cs="Arial"/>
              </w:rPr>
            </w:pPr>
            <w:r w:rsidRPr="00B05F60">
              <w:rPr>
                <w:rFonts w:ascii="Arial" w:hAnsi="Arial" w:cs="Arial"/>
              </w:rPr>
              <w:t xml:space="preserve">delivery </w:t>
            </w:r>
          </w:p>
        </w:tc>
        <w:tc>
          <w:tcPr>
            <w:tcW w:w="1494" w:type="dxa"/>
          </w:tcPr>
          <w:p w14:paraId="0575951E" w14:textId="77777777" w:rsidR="00B05F60" w:rsidRPr="00B05F60" w:rsidRDefault="00B05F60" w:rsidP="000518A6">
            <w:pPr>
              <w:pStyle w:val="NoSpacing"/>
              <w:jc w:val="center"/>
              <w:rPr>
                <w:rFonts w:ascii="Arial" w:hAnsi="Arial" w:cs="Arial"/>
                <w:sz w:val="20"/>
                <w:szCs w:val="20"/>
              </w:rPr>
            </w:pPr>
            <w:r w:rsidRPr="00B05F60">
              <w:rPr>
                <w:rFonts w:ascii="Arial" w:hAnsi="Arial" w:cs="Arial"/>
                <w:sz w:val="20"/>
                <w:szCs w:val="20"/>
              </w:rPr>
              <w:t>3.44</w:t>
            </w:r>
          </w:p>
        </w:tc>
        <w:tc>
          <w:tcPr>
            <w:tcW w:w="1504" w:type="dxa"/>
          </w:tcPr>
          <w:p w14:paraId="0AE640F2" w14:textId="7CBE4029"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High</w:t>
            </w:r>
          </w:p>
        </w:tc>
      </w:tr>
      <w:tr w:rsidR="00B05F60" w:rsidRPr="00B05F60" w14:paraId="6AFE869F" w14:textId="77777777" w:rsidTr="000518A6">
        <w:trPr>
          <w:jc w:val="center"/>
        </w:trPr>
        <w:tc>
          <w:tcPr>
            <w:tcW w:w="498" w:type="dxa"/>
          </w:tcPr>
          <w:p w14:paraId="0D302226" w14:textId="77777777"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5</w:t>
            </w:r>
          </w:p>
        </w:tc>
        <w:tc>
          <w:tcPr>
            <w:tcW w:w="4958" w:type="dxa"/>
          </w:tcPr>
          <w:p w14:paraId="0A9ACA99" w14:textId="77777777" w:rsidR="00B05F60" w:rsidRPr="00B05F60" w:rsidRDefault="00B05F60" w:rsidP="000518A6">
            <w:pPr>
              <w:rPr>
                <w:rFonts w:ascii="Arial" w:hAnsi="Arial" w:cs="Arial"/>
              </w:rPr>
            </w:pPr>
            <w:r w:rsidRPr="00B05F60">
              <w:rPr>
                <w:rFonts w:ascii="Arial" w:hAnsi="Arial" w:cs="Arial"/>
              </w:rPr>
              <w:t xml:space="preserve">Learning </w:t>
            </w:r>
          </w:p>
        </w:tc>
        <w:tc>
          <w:tcPr>
            <w:tcW w:w="1494" w:type="dxa"/>
          </w:tcPr>
          <w:p w14:paraId="6F5B0B4C" w14:textId="77777777" w:rsidR="00B05F60" w:rsidRPr="00B05F60" w:rsidRDefault="00B05F60" w:rsidP="000518A6">
            <w:pPr>
              <w:pStyle w:val="NoSpacing"/>
              <w:jc w:val="center"/>
              <w:rPr>
                <w:rFonts w:ascii="Arial" w:hAnsi="Arial" w:cs="Arial"/>
                <w:sz w:val="20"/>
                <w:szCs w:val="20"/>
              </w:rPr>
            </w:pPr>
            <w:r w:rsidRPr="00B05F60">
              <w:rPr>
                <w:rFonts w:ascii="Arial" w:hAnsi="Arial" w:cs="Arial"/>
                <w:sz w:val="20"/>
                <w:szCs w:val="20"/>
              </w:rPr>
              <w:t>3.32</w:t>
            </w:r>
          </w:p>
        </w:tc>
        <w:tc>
          <w:tcPr>
            <w:tcW w:w="1504" w:type="dxa"/>
          </w:tcPr>
          <w:p w14:paraId="12CD59E6" w14:textId="77777777"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Moderate</w:t>
            </w:r>
          </w:p>
        </w:tc>
      </w:tr>
      <w:tr w:rsidR="00B05F60" w:rsidRPr="00B05F60" w14:paraId="482DFC95" w14:textId="77777777" w:rsidTr="00B05F60">
        <w:trPr>
          <w:trHeight w:val="135"/>
          <w:jc w:val="center"/>
        </w:trPr>
        <w:tc>
          <w:tcPr>
            <w:tcW w:w="5456" w:type="dxa"/>
            <w:gridSpan w:val="2"/>
            <w:tcBorders>
              <w:bottom w:val="single" w:sz="4" w:space="0" w:color="auto"/>
            </w:tcBorders>
          </w:tcPr>
          <w:p w14:paraId="417F7933" w14:textId="77777777" w:rsidR="00B05F60" w:rsidRPr="00B05F60" w:rsidRDefault="00B05F60" w:rsidP="000518A6">
            <w:pPr>
              <w:pStyle w:val="NoSpacing"/>
              <w:jc w:val="center"/>
              <w:rPr>
                <w:rFonts w:ascii="Arial" w:hAnsi="Arial" w:cs="Arial"/>
                <w:b/>
                <w:sz w:val="20"/>
                <w:szCs w:val="20"/>
              </w:rPr>
            </w:pPr>
            <w:r w:rsidRPr="00B05F60">
              <w:rPr>
                <w:rFonts w:ascii="Arial" w:hAnsi="Arial" w:cs="Arial"/>
                <w:b/>
                <w:sz w:val="20"/>
                <w:szCs w:val="20"/>
              </w:rPr>
              <w:t>Overall</w:t>
            </w:r>
          </w:p>
        </w:tc>
        <w:tc>
          <w:tcPr>
            <w:tcW w:w="1494" w:type="dxa"/>
            <w:tcBorders>
              <w:bottom w:val="single" w:sz="4" w:space="0" w:color="auto"/>
            </w:tcBorders>
          </w:tcPr>
          <w:p w14:paraId="525961AF" w14:textId="77777777" w:rsidR="00B05F60" w:rsidRPr="00B05F60" w:rsidRDefault="00B05F60" w:rsidP="000518A6">
            <w:pPr>
              <w:jc w:val="center"/>
              <w:rPr>
                <w:rFonts w:ascii="Arial" w:hAnsi="Arial" w:cs="Arial"/>
                <w:b/>
                <w:bCs/>
              </w:rPr>
            </w:pPr>
            <w:r w:rsidRPr="00B05F60">
              <w:rPr>
                <w:rFonts w:ascii="Arial" w:hAnsi="Arial" w:cs="Arial"/>
                <w:b/>
                <w:bCs/>
              </w:rPr>
              <w:t>3.41</w:t>
            </w:r>
          </w:p>
        </w:tc>
        <w:tc>
          <w:tcPr>
            <w:tcW w:w="1504" w:type="dxa"/>
            <w:tcBorders>
              <w:bottom w:val="single" w:sz="4" w:space="0" w:color="auto"/>
            </w:tcBorders>
          </w:tcPr>
          <w:p w14:paraId="4874E97B" w14:textId="2F6F3EBE" w:rsidR="00B05F60" w:rsidRPr="00B05F60" w:rsidRDefault="00B05F60" w:rsidP="00B05F60">
            <w:pPr>
              <w:jc w:val="center"/>
              <w:rPr>
                <w:rFonts w:ascii="Arial" w:hAnsi="Arial" w:cs="Arial"/>
                <w:b/>
              </w:rPr>
            </w:pPr>
            <w:r w:rsidRPr="00B05F60">
              <w:rPr>
                <w:rFonts w:ascii="Arial" w:hAnsi="Arial" w:cs="Arial"/>
                <w:b/>
              </w:rPr>
              <w:t>High</w:t>
            </w:r>
          </w:p>
        </w:tc>
      </w:tr>
    </w:tbl>
    <w:p w14:paraId="21ED3F61" w14:textId="34DBD861" w:rsidR="0073677C" w:rsidRDefault="0073677C" w:rsidP="0073677C">
      <w:pPr>
        <w:jc w:val="both"/>
        <w:rPr>
          <w:rFonts w:ascii="Arial" w:hAnsi="Arial" w:cs="Arial"/>
        </w:rPr>
      </w:pPr>
    </w:p>
    <w:p w14:paraId="112E1DCE" w14:textId="766BFE2A" w:rsidR="00D566F8" w:rsidRPr="00D566F8" w:rsidRDefault="00D566F8" w:rsidP="00D566F8">
      <w:pPr>
        <w:jc w:val="both"/>
        <w:rPr>
          <w:rFonts w:ascii="Arial" w:hAnsi="Arial" w:cs="Arial"/>
        </w:rPr>
      </w:pPr>
      <w:r w:rsidRPr="00D566F8">
        <w:rPr>
          <w:rFonts w:ascii="Arial" w:hAnsi="Arial" w:cs="Arial"/>
        </w:rPr>
        <w:t>Presented in Table 2 is the level of the monitoring mechanism of teachers based on the mean scores across five domains: guidelines, exploring, relevance, delivery, and learning. Among these, the domain guidelines recorded the highest mean of 3.54, described as "high," indicating that clear policies and procedures for monitoring teacher performance are well-established and consistently followed.</w:t>
      </w:r>
      <w:r>
        <w:rPr>
          <w:rFonts w:ascii="Arial" w:hAnsi="Arial" w:cs="Arial"/>
        </w:rPr>
        <w:t xml:space="preserve"> </w:t>
      </w:r>
      <w:r w:rsidRPr="00D566F8">
        <w:rPr>
          <w:rFonts w:ascii="Arial" w:hAnsi="Arial" w:cs="Arial"/>
        </w:rPr>
        <w:t>This was followed by the domain of exploring with a mean of 3.48, also described as "high," suggesting that administrators actively explore and assess various aspects of teacher performance and resource utilization.</w:t>
      </w:r>
    </w:p>
    <w:p w14:paraId="313A28F3" w14:textId="77777777" w:rsidR="00D566F8" w:rsidRPr="00D566F8" w:rsidRDefault="00D566F8" w:rsidP="00D566F8">
      <w:pPr>
        <w:jc w:val="both"/>
        <w:rPr>
          <w:rFonts w:ascii="Arial" w:hAnsi="Arial" w:cs="Arial"/>
        </w:rPr>
      </w:pPr>
    </w:p>
    <w:p w14:paraId="4CD74911" w14:textId="76DAB6A0" w:rsidR="00D566F8" w:rsidRPr="00D566F8" w:rsidRDefault="00D566F8" w:rsidP="00D566F8">
      <w:pPr>
        <w:jc w:val="both"/>
        <w:rPr>
          <w:rFonts w:ascii="Arial" w:hAnsi="Arial" w:cs="Arial"/>
        </w:rPr>
      </w:pPr>
      <w:r w:rsidRPr="00D566F8">
        <w:rPr>
          <w:rFonts w:ascii="Arial" w:hAnsi="Arial" w:cs="Arial"/>
        </w:rPr>
        <w:t>The domain of delivery obtained a mean of 3.44, described as "high," reflecting the effective implementation and communication of monitoring practices to teachers.</w:t>
      </w:r>
      <w:r>
        <w:rPr>
          <w:rFonts w:ascii="Arial" w:hAnsi="Arial" w:cs="Arial"/>
        </w:rPr>
        <w:t xml:space="preserve"> </w:t>
      </w:r>
      <w:r w:rsidRPr="00D566F8">
        <w:rPr>
          <w:rFonts w:ascii="Arial" w:hAnsi="Arial" w:cs="Arial"/>
        </w:rPr>
        <w:t>The domains of learning and relevance received means of 3.32 and 3.27, respectively, both described as "moderate." This implies that while there is some focus on using monitoring data to support teacher learning and ensure relevance to instructional goals, these areas have room for improvement.</w:t>
      </w:r>
    </w:p>
    <w:p w14:paraId="7A1AE82A" w14:textId="77777777" w:rsidR="00D566F8" w:rsidRPr="00D566F8" w:rsidRDefault="00D566F8" w:rsidP="00D566F8">
      <w:pPr>
        <w:jc w:val="both"/>
        <w:rPr>
          <w:rFonts w:ascii="Arial" w:hAnsi="Arial" w:cs="Arial"/>
        </w:rPr>
      </w:pPr>
    </w:p>
    <w:p w14:paraId="75498F09" w14:textId="77777777" w:rsidR="00D566F8" w:rsidRPr="00D566F8" w:rsidRDefault="00D566F8" w:rsidP="00D566F8">
      <w:pPr>
        <w:jc w:val="both"/>
        <w:rPr>
          <w:rFonts w:ascii="Arial" w:hAnsi="Arial" w:cs="Arial"/>
        </w:rPr>
      </w:pPr>
      <w:r w:rsidRPr="00D566F8">
        <w:rPr>
          <w:rFonts w:ascii="Arial" w:hAnsi="Arial" w:cs="Arial"/>
        </w:rPr>
        <w:t>The overall mean of 3.41, described as "high," indicates that the monitoring mechanisms in place for teachers in public elementary schools are generally perceived as effective, though with moderate challenges in aligning monitoring activities closely with teacher development and instructional relevance.</w:t>
      </w:r>
    </w:p>
    <w:p w14:paraId="5FC8F97E" w14:textId="77777777" w:rsidR="00AF5705" w:rsidRDefault="00AF5705" w:rsidP="00AF5705">
      <w:pPr>
        <w:jc w:val="both"/>
        <w:rPr>
          <w:rFonts w:ascii="Arial" w:hAnsi="Arial" w:cs="Arial"/>
        </w:rPr>
      </w:pPr>
    </w:p>
    <w:p w14:paraId="72D64E3D" w14:textId="20174B71" w:rsidR="002F2B4A" w:rsidRDefault="003B319D" w:rsidP="00F600DB">
      <w:pPr>
        <w:jc w:val="both"/>
        <w:rPr>
          <w:rFonts w:ascii="Arial" w:hAnsi="Arial" w:cs="Arial"/>
        </w:rPr>
      </w:pPr>
      <w:r w:rsidRPr="003B319D">
        <w:rPr>
          <w:rFonts w:ascii="Arial" w:hAnsi="Arial" w:cs="Arial"/>
        </w:rPr>
        <w:t xml:space="preserve">This finding is consistent with the study of </w:t>
      </w:r>
      <w:proofErr w:type="spellStart"/>
      <w:r w:rsidR="008D4D09" w:rsidRPr="008D4D09">
        <w:rPr>
          <w:rFonts w:ascii="Arial" w:hAnsi="Arial" w:cs="Arial"/>
        </w:rPr>
        <w:t>Díez</w:t>
      </w:r>
      <w:proofErr w:type="spellEnd"/>
      <w:r w:rsidR="008D4D09">
        <w:rPr>
          <w:rFonts w:ascii="Arial" w:hAnsi="Arial" w:cs="Arial"/>
        </w:rPr>
        <w:t xml:space="preserve"> et al.</w:t>
      </w:r>
      <w:r w:rsidRPr="003B319D">
        <w:rPr>
          <w:rFonts w:ascii="Arial" w:hAnsi="Arial" w:cs="Arial"/>
        </w:rPr>
        <w:t xml:space="preserve"> (2023), which demonstrated that a high level of monitoring mechanisms among teachers contributes significantly to improved instructional quality and student performance. Effective monitoring practices, such as regular classroom observations, feedback sessions, and progress tracking, enable teachers to identify student needs and adjust teaching strategies accordingly. In line with this, </w:t>
      </w:r>
      <w:r w:rsidR="008D4D09" w:rsidRPr="008D4D09">
        <w:rPr>
          <w:rFonts w:ascii="Arial" w:hAnsi="Arial" w:cs="Arial"/>
        </w:rPr>
        <w:t>Okafor</w:t>
      </w:r>
      <w:r w:rsidR="008D4D09">
        <w:rPr>
          <w:rFonts w:ascii="Arial" w:hAnsi="Arial" w:cs="Arial"/>
        </w:rPr>
        <w:t xml:space="preserve"> et al. (2024</w:t>
      </w:r>
      <w:r w:rsidRPr="003B319D">
        <w:rPr>
          <w:rFonts w:ascii="Arial" w:hAnsi="Arial" w:cs="Arial"/>
        </w:rPr>
        <w:t xml:space="preserve">) emphasized that well-structured teacher monitoring fosters accountability and professional development, creating a more responsive and supportive learning environment. Their research highlighted that active supervision combined with constructive feedback helps maintain classroom discipline and encourages continuous improvement. Additionally, the research of </w:t>
      </w:r>
      <w:r w:rsidR="005D1F2A" w:rsidRPr="005D1F2A">
        <w:rPr>
          <w:rFonts w:ascii="Arial" w:hAnsi="Arial" w:cs="Arial"/>
        </w:rPr>
        <w:t>Sharma</w:t>
      </w:r>
      <w:r w:rsidR="005D1F2A">
        <w:rPr>
          <w:rFonts w:ascii="Arial" w:hAnsi="Arial" w:cs="Arial"/>
        </w:rPr>
        <w:t xml:space="preserve"> and </w:t>
      </w:r>
      <w:r w:rsidR="005D1F2A" w:rsidRPr="005D1F2A">
        <w:rPr>
          <w:rFonts w:ascii="Arial" w:hAnsi="Arial" w:cs="Arial"/>
        </w:rPr>
        <w:t>Sarkar</w:t>
      </w:r>
      <w:r w:rsidR="005D1F2A">
        <w:rPr>
          <w:rFonts w:ascii="Arial" w:hAnsi="Arial" w:cs="Arial"/>
        </w:rPr>
        <w:t xml:space="preserve"> (2024</w:t>
      </w:r>
      <w:r w:rsidRPr="003B319D">
        <w:rPr>
          <w:rFonts w:ascii="Arial" w:hAnsi="Arial" w:cs="Arial"/>
        </w:rPr>
        <w:t xml:space="preserve">) found that teachers who engage in comprehensive </w:t>
      </w:r>
      <w:r w:rsidRPr="003B319D">
        <w:rPr>
          <w:rFonts w:ascii="Arial" w:hAnsi="Arial" w:cs="Arial"/>
        </w:rPr>
        <w:lastRenderedPageBreak/>
        <w:t>monitoring activities promote greater student engagement and motivation by promptly addressing learning gaps and behavioral concerns.</w:t>
      </w:r>
    </w:p>
    <w:p w14:paraId="25DDDEE0" w14:textId="77777777" w:rsidR="003B319D" w:rsidRDefault="003B319D" w:rsidP="00F600DB">
      <w:pPr>
        <w:jc w:val="both"/>
        <w:rPr>
          <w:rFonts w:ascii="Arial" w:hAnsi="Arial" w:cs="Arial"/>
        </w:rPr>
      </w:pPr>
    </w:p>
    <w:p w14:paraId="30567870" w14:textId="1CB31B62" w:rsidR="00D815DA" w:rsidRPr="00E5104A" w:rsidRDefault="00781D5E" w:rsidP="00E5104A">
      <w:pPr>
        <w:jc w:val="both"/>
        <w:rPr>
          <w:rFonts w:ascii="Arial" w:hAnsi="Arial" w:cs="Arial"/>
          <w:b/>
          <w:bCs/>
          <w:iCs/>
        </w:rPr>
      </w:pPr>
      <w:r>
        <w:rPr>
          <w:rFonts w:ascii="Arial" w:hAnsi="Arial" w:cs="Arial"/>
          <w:b/>
          <w:bCs/>
          <w:iCs/>
        </w:rPr>
        <w:t xml:space="preserve">3.3 </w:t>
      </w:r>
      <w:r w:rsidR="00E5104A" w:rsidRPr="00E5104A">
        <w:rPr>
          <w:rFonts w:ascii="Arial" w:hAnsi="Arial" w:cs="Arial"/>
          <w:b/>
          <w:bCs/>
          <w:iCs/>
        </w:rPr>
        <w:t>Significant Relationship between Resources Distribution and Monitoring Mechanism</w:t>
      </w:r>
      <w:r w:rsidR="00E5104A">
        <w:rPr>
          <w:rFonts w:ascii="Arial" w:hAnsi="Arial" w:cs="Arial"/>
          <w:b/>
          <w:bCs/>
          <w:iCs/>
        </w:rPr>
        <w:t xml:space="preserve"> of Teachers</w:t>
      </w:r>
    </w:p>
    <w:p w14:paraId="732D374F" w14:textId="77777777" w:rsidR="004A10D5" w:rsidRDefault="004A10D5" w:rsidP="00F600DB">
      <w:pPr>
        <w:jc w:val="both"/>
        <w:rPr>
          <w:rFonts w:ascii="Arial" w:hAnsi="Arial" w:cs="Arial"/>
          <w:iCs/>
        </w:rPr>
      </w:pPr>
    </w:p>
    <w:p w14:paraId="3580D37C" w14:textId="3385FCCC" w:rsidR="00017E5D"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E5104A" w:rsidRPr="00E5104A">
        <w:rPr>
          <w:rFonts w:ascii="Arial" w:hAnsi="Arial" w:cs="Arial"/>
          <w:i/>
        </w:rPr>
        <w:t>Significant Relationship between Resources Distribution and Monitoring Mechanism of Teachers</w:t>
      </w:r>
    </w:p>
    <w:p w14:paraId="363FF8A0" w14:textId="77777777" w:rsidR="00E5104A" w:rsidRDefault="00E5104A"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2006EA">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2006EA">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2006EA">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2006EA">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2006EA">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2006EA">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27F8586A" w14:textId="77777777" w:rsidR="00E5104A" w:rsidRDefault="00E5104A" w:rsidP="002006EA">
            <w:pPr>
              <w:jc w:val="center"/>
              <w:rPr>
                <w:rFonts w:ascii="Arial" w:hAnsi="Arial" w:cs="Arial"/>
              </w:rPr>
            </w:pPr>
            <w:r w:rsidRPr="00E5104A">
              <w:rPr>
                <w:rFonts w:ascii="Arial" w:hAnsi="Arial" w:cs="Arial"/>
              </w:rPr>
              <w:t xml:space="preserve">Resources Distribution </w:t>
            </w:r>
          </w:p>
          <w:p w14:paraId="3337DFE3" w14:textId="514D9274" w:rsidR="004A10D5" w:rsidRPr="004A10D5" w:rsidRDefault="004A10D5" w:rsidP="002006EA">
            <w:pPr>
              <w:jc w:val="center"/>
              <w:rPr>
                <w:rFonts w:ascii="Arial" w:hAnsi="Arial" w:cs="Arial"/>
                <w:b/>
              </w:rPr>
            </w:pPr>
            <w:r w:rsidRPr="004A10D5">
              <w:rPr>
                <w:rFonts w:ascii="Arial" w:hAnsi="Arial" w:cs="Arial"/>
                <w:b/>
              </w:rPr>
              <w:t>(X)</w:t>
            </w:r>
          </w:p>
        </w:tc>
        <w:tc>
          <w:tcPr>
            <w:tcW w:w="1674" w:type="dxa"/>
            <w:tcBorders>
              <w:top w:val="single" w:sz="4" w:space="0" w:color="auto"/>
            </w:tcBorders>
          </w:tcPr>
          <w:p w14:paraId="437DEE15" w14:textId="3C56E1AD" w:rsidR="004A10D5" w:rsidRPr="004A10D5" w:rsidRDefault="00E5104A" w:rsidP="004A10D5">
            <w:pPr>
              <w:jc w:val="center"/>
              <w:rPr>
                <w:rFonts w:ascii="Arial" w:hAnsi="Arial" w:cs="Arial"/>
                <w:b/>
              </w:rPr>
            </w:pPr>
            <w:r w:rsidRPr="00E5104A">
              <w:rPr>
                <w:rFonts w:ascii="Arial" w:hAnsi="Arial" w:cs="Arial"/>
              </w:rPr>
              <w:t>Monitoring Mechanism</w:t>
            </w:r>
            <w:r w:rsidR="004A10D5" w:rsidRPr="004A10D5">
              <w:rPr>
                <w:rFonts w:ascii="Arial" w:hAnsi="Arial" w:cs="Arial"/>
                <w:b/>
              </w:rPr>
              <w:t xml:space="preserve"> (Y)</w:t>
            </w:r>
          </w:p>
        </w:tc>
        <w:tc>
          <w:tcPr>
            <w:tcW w:w="1233" w:type="dxa"/>
            <w:tcBorders>
              <w:top w:val="single" w:sz="4" w:space="0" w:color="auto"/>
            </w:tcBorders>
          </w:tcPr>
          <w:p w14:paraId="512378EA" w14:textId="77777777" w:rsidR="004A10D5" w:rsidRPr="004A10D5" w:rsidRDefault="004A10D5" w:rsidP="002006EA">
            <w:pPr>
              <w:jc w:val="center"/>
              <w:rPr>
                <w:rFonts w:ascii="Arial" w:hAnsi="Arial" w:cs="Arial"/>
              </w:rPr>
            </w:pPr>
          </w:p>
          <w:p w14:paraId="58E293C8" w14:textId="77777777" w:rsidR="004A10D5" w:rsidRPr="004A10D5" w:rsidRDefault="004A10D5" w:rsidP="002006EA">
            <w:pPr>
              <w:jc w:val="center"/>
              <w:rPr>
                <w:rFonts w:ascii="Arial" w:hAnsi="Arial" w:cs="Arial"/>
              </w:rPr>
            </w:pPr>
          </w:p>
          <w:p w14:paraId="074C3348" w14:textId="5447B50B" w:rsidR="004A10D5" w:rsidRPr="004A10D5" w:rsidRDefault="00E5104A" w:rsidP="002006EA">
            <w:pPr>
              <w:jc w:val="center"/>
              <w:rPr>
                <w:rFonts w:ascii="Arial" w:hAnsi="Arial" w:cs="Arial"/>
              </w:rPr>
            </w:pPr>
            <w:r>
              <w:rPr>
                <w:rFonts w:ascii="Arial" w:hAnsi="Arial" w:cs="Arial"/>
              </w:rPr>
              <w:t>.8</w:t>
            </w:r>
            <w:r w:rsidR="004A10D5" w:rsidRPr="004A10D5">
              <w:rPr>
                <w:rFonts w:ascii="Arial" w:hAnsi="Arial" w:cs="Arial"/>
              </w:rPr>
              <w:t>63</w:t>
            </w:r>
          </w:p>
        </w:tc>
        <w:tc>
          <w:tcPr>
            <w:tcW w:w="1409" w:type="dxa"/>
            <w:tcBorders>
              <w:top w:val="single" w:sz="4" w:space="0" w:color="auto"/>
            </w:tcBorders>
          </w:tcPr>
          <w:p w14:paraId="1157F98C" w14:textId="77777777" w:rsidR="004A10D5" w:rsidRPr="004A10D5" w:rsidRDefault="004A10D5" w:rsidP="002006EA">
            <w:pPr>
              <w:jc w:val="center"/>
              <w:rPr>
                <w:rFonts w:ascii="Arial" w:hAnsi="Arial" w:cs="Arial"/>
              </w:rPr>
            </w:pPr>
          </w:p>
          <w:p w14:paraId="770D1FA9" w14:textId="77777777" w:rsidR="004A10D5" w:rsidRPr="004A10D5" w:rsidRDefault="004A10D5" w:rsidP="002006EA">
            <w:pPr>
              <w:jc w:val="center"/>
              <w:rPr>
                <w:rFonts w:ascii="Arial" w:hAnsi="Arial" w:cs="Arial"/>
              </w:rPr>
            </w:pPr>
          </w:p>
          <w:p w14:paraId="4D849240" w14:textId="77777777" w:rsidR="004A10D5" w:rsidRPr="004A10D5" w:rsidRDefault="004A10D5" w:rsidP="002006EA">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2006EA">
            <w:pPr>
              <w:jc w:val="center"/>
              <w:rPr>
                <w:rFonts w:ascii="Arial" w:hAnsi="Arial" w:cs="Arial"/>
              </w:rPr>
            </w:pPr>
          </w:p>
          <w:p w14:paraId="7353A236" w14:textId="77777777" w:rsidR="004A10D5" w:rsidRPr="004A10D5" w:rsidRDefault="004A10D5" w:rsidP="002006EA">
            <w:pPr>
              <w:jc w:val="center"/>
              <w:rPr>
                <w:rFonts w:ascii="Arial" w:hAnsi="Arial" w:cs="Arial"/>
              </w:rPr>
            </w:pPr>
          </w:p>
          <w:p w14:paraId="6A82F2B7" w14:textId="5DF943E8" w:rsidR="004A10D5" w:rsidRPr="004A10D5" w:rsidRDefault="004A10D5" w:rsidP="002006EA">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2006EA">
            <w:pPr>
              <w:rPr>
                <w:rFonts w:ascii="Arial" w:hAnsi="Arial" w:cs="Arial"/>
              </w:rPr>
            </w:pPr>
          </w:p>
          <w:p w14:paraId="542A4B50" w14:textId="77777777" w:rsidR="004A10D5" w:rsidRPr="004A10D5" w:rsidRDefault="004A10D5" w:rsidP="002006EA">
            <w:pPr>
              <w:rPr>
                <w:rFonts w:ascii="Arial" w:hAnsi="Arial" w:cs="Arial"/>
              </w:rPr>
            </w:pPr>
          </w:p>
          <w:p w14:paraId="75983106" w14:textId="77777777" w:rsidR="004A10D5" w:rsidRPr="004A10D5" w:rsidRDefault="004A10D5" w:rsidP="002006EA">
            <w:pPr>
              <w:rPr>
                <w:rFonts w:ascii="Arial" w:hAnsi="Arial" w:cs="Arial"/>
              </w:rPr>
            </w:pPr>
            <w:r w:rsidRPr="004A10D5">
              <w:rPr>
                <w:rFonts w:ascii="Arial" w:hAnsi="Arial" w:cs="Arial"/>
              </w:rPr>
              <w:t>Reject</w:t>
            </w:r>
          </w:p>
          <w:p w14:paraId="6A9DA1C6" w14:textId="77777777" w:rsidR="004A10D5" w:rsidRPr="004A10D5" w:rsidRDefault="004A10D5" w:rsidP="002006EA">
            <w:pPr>
              <w:rPr>
                <w:rFonts w:ascii="Arial" w:hAnsi="Arial" w:cs="Arial"/>
              </w:rPr>
            </w:pPr>
          </w:p>
          <w:p w14:paraId="3C5406AA" w14:textId="77777777" w:rsidR="004A10D5" w:rsidRPr="004A10D5" w:rsidRDefault="004A10D5" w:rsidP="002006EA">
            <w:pPr>
              <w:rPr>
                <w:rFonts w:ascii="Arial" w:hAnsi="Arial" w:cs="Arial"/>
              </w:rPr>
            </w:pPr>
          </w:p>
          <w:p w14:paraId="7E908A83" w14:textId="77777777" w:rsidR="004A10D5" w:rsidRPr="004A10D5" w:rsidRDefault="004A10D5" w:rsidP="002006EA">
            <w:pPr>
              <w:rPr>
                <w:rFonts w:ascii="Arial" w:hAnsi="Arial" w:cs="Arial"/>
              </w:rPr>
            </w:pPr>
          </w:p>
        </w:tc>
      </w:tr>
    </w:tbl>
    <w:p w14:paraId="1BDBE2B2" w14:textId="77777777" w:rsidR="00717F2E" w:rsidRDefault="00717F2E">
      <w:pPr>
        <w:jc w:val="both"/>
        <w:rPr>
          <w:rFonts w:ascii="Arial" w:hAnsi="Arial" w:cs="Arial"/>
        </w:rPr>
      </w:pPr>
    </w:p>
    <w:p w14:paraId="1ED0AF3D" w14:textId="77777777" w:rsidR="00A41A08" w:rsidRPr="00A41A08" w:rsidRDefault="00A41A08" w:rsidP="00A41A08">
      <w:pPr>
        <w:jc w:val="both"/>
        <w:rPr>
          <w:rFonts w:ascii="Arial" w:hAnsi="Arial" w:cs="Arial"/>
        </w:rPr>
      </w:pPr>
      <w:r w:rsidRPr="00A41A08">
        <w:rPr>
          <w:rFonts w:ascii="Arial" w:hAnsi="Arial" w:cs="Arial"/>
        </w:rPr>
        <w:t>Presented in Table 3 is the correlation analysis between resources distribution and the monitoring mechanism of teachers in public elementary schools. The computed correlation coefficient (</w:t>
      </w:r>
      <w:proofErr w:type="spellStart"/>
      <w:r w:rsidRPr="00A41A08">
        <w:rPr>
          <w:rFonts w:ascii="Arial" w:hAnsi="Arial" w:cs="Arial"/>
        </w:rPr>
        <w:t>r-value</w:t>
      </w:r>
      <w:proofErr w:type="spellEnd"/>
      <w:r w:rsidRPr="00A41A08">
        <w:rPr>
          <w:rFonts w:ascii="Arial" w:hAnsi="Arial" w:cs="Arial"/>
        </w:rPr>
        <w:t>) is 0.863, which indicates a high degree of correlation. The corresponding p-value is 0.000, which is below the 0.05 level of significance. Given this, the null hypothesis is rejected, confirming that a statistically significant relationship exists between the two variables.</w:t>
      </w:r>
    </w:p>
    <w:p w14:paraId="46DF780C" w14:textId="77777777" w:rsidR="00A41A08" w:rsidRPr="00A41A08" w:rsidRDefault="00A41A08" w:rsidP="00A41A08">
      <w:pPr>
        <w:jc w:val="both"/>
        <w:rPr>
          <w:rFonts w:ascii="Arial" w:hAnsi="Arial" w:cs="Arial"/>
        </w:rPr>
      </w:pPr>
    </w:p>
    <w:p w14:paraId="060D49BE" w14:textId="77777777" w:rsidR="00A41A08" w:rsidRPr="00A41A08" w:rsidRDefault="00A41A08" w:rsidP="00A41A08">
      <w:pPr>
        <w:jc w:val="both"/>
        <w:rPr>
          <w:rFonts w:ascii="Arial" w:hAnsi="Arial" w:cs="Arial"/>
        </w:rPr>
      </w:pPr>
      <w:r w:rsidRPr="00A41A08">
        <w:rPr>
          <w:rFonts w:ascii="Arial" w:hAnsi="Arial" w:cs="Arial"/>
        </w:rPr>
        <w:t>This finding suggests that the manner in which resources are distributed in schools is strongly associated with the effectiveness of the monitoring mechanism of teachers. Specifically, adequate and equitable distribution of resources such as curriculum materials, staff development opportunities, facility maintenance, community support, and learning environments likely enhances the ability of school administrators to monitor and support teacher performance effectively.</w:t>
      </w:r>
    </w:p>
    <w:p w14:paraId="46D2A848" w14:textId="77777777" w:rsidR="00A41A08" w:rsidRPr="00A41A08" w:rsidRDefault="00A41A08" w:rsidP="00A41A08">
      <w:pPr>
        <w:jc w:val="both"/>
        <w:rPr>
          <w:rFonts w:ascii="Arial" w:hAnsi="Arial" w:cs="Arial"/>
        </w:rPr>
      </w:pPr>
    </w:p>
    <w:p w14:paraId="36E8701F" w14:textId="0ADEFB6B" w:rsidR="00AF5705" w:rsidRDefault="00A41A08" w:rsidP="00A41A08">
      <w:pPr>
        <w:jc w:val="both"/>
        <w:rPr>
          <w:rFonts w:ascii="Arial" w:hAnsi="Arial" w:cs="Arial"/>
        </w:rPr>
      </w:pPr>
      <w:r w:rsidRPr="00A41A08">
        <w:rPr>
          <w:rFonts w:ascii="Arial" w:hAnsi="Arial" w:cs="Arial"/>
        </w:rPr>
        <w:t>The high correlation implies that improvements in resources distribution are closely linked to more systematic, frequent, and quality monitoring practices. Consequently, this relationship underscores the importance of ensuring sufficient resources as a foundation for implementing robust monitoring mechanisms, which together contribute to better teacher support and, ultimately, improved educational outcomes.</w:t>
      </w:r>
    </w:p>
    <w:p w14:paraId="275FFE15" w14:textId="77777777" w:rsidR="00A41A08" w:rsidRDefault="00A41A08" w:rsidP="00A41A08">
      <w:pPr>
        <w:jc w:val="both"/>
        <w:rPr>
          <w:rFonts w:ascii="Arial" w:hAnsi="Arial" w:cs="Arial"/>
          <w:b/>
          <w:bCs/>
          <w:iCs/>
        </w:rPr>
      </w:pPr>
    </w:p>
    <w:p w14:paraId="6FE05560" w14:textId="7650360E" w:rsidR="002F2B4A" w:rsidRDefault="008762D3" w:rsidP="00151F8F">
      <w:pPr>
        <w:jc w:val="both"/>
        <w:rPr>
          <w:rFonts w:ascii="Arial" w:hAnsi="Arial" w:cs="Arial"/>
          <w:bCs/>
          <w:iCs/>
        </w:rPr>
      </w:pPr>
      <w:r w:rsidRPr="008762D3">
        <w:rPr>
          <w:rFonts w:ascii="Arial" w:hAnsi="Arial" w:cs="Arial"/>
          <w:bCs/>
          <w:iCs/>
        </w:rPr>
        <w:t xml:space="preserve">This finding is supported by the study of </w:t>
      </w:r>
      <w:r w:rsidR="00733336" w:rsidRPr="00733336">
        <w:rPr>
          <w:rFonts w:ascii="Arial" w:hAnsi="Arial" w:cs="Arial"/>
          <w:bCs/>
          <w:iCs/>
        </w:rPr>
        <w:t xml:space="preserve">Salas-Velasco </w:t>
      </w:r>
      <w:r w:rsidR="00733336">
        <w:rPr>
          <w:rFonts w:ascii="Arial" w:hAnsi="Arial" w:cs="Arial"/>
          <w:bCs/>
          <w:iCs/>
        </w:rPr>
        <w:t>(2020</w:t>
      </w:r>
      <w:r w:rsidRPr="008762D3">
        <w:rPr>
          <w:rFonts w:ascii="Arial" w:hAnsi="Arial" w:cs="Arial"/>
          <w:bCs/>
          <w:iCs/>
        </w:rPr>
        <w:t xml:space="preserve">), who emphasized that effective distribution of resources is closely linked to the efficiency of teachers’ monitoring mechanisms in schools. Adequate allocation of materials, staff development, and environmental support enables teachers to carry out consistent and thorough monitoring of student progress and behavior. Similarly, the research of </w:t>
      </w:r>
      <w:r w:rsidR="002E57B6">
        <w:rPr>
          <w:rFonts w:ascii="Arial" w:hAnsi="Arial" w:cs="Arial"/>
          <w:bCs/>
          <w:iCs/>
        </w:rPr>
        <w:t>Meng</w:t>
      </w:r>
      <w:r w:rsidRPr="008762D3">
        <w:rPr>
          <w:rFonts w:ascii="Arial" w:hAnsi="Arial" w:cs="Arial"/>
          <w:bCs/>
          <w:iCs/>
        </w:rPr>
        <w:t xml:space="preserve"> (2023) highlighted that when schools ensure equitable and timely distribution of resources, teachers are better equipped to implement systematic monitoring practices, which enhance instructional quality and student engagement. This aligns with the work of </w:t>
      </w:r>
      <w:proofErr w:type="spellStart"/>
      <w:r w:rsidR="00BD25FD">
        <w:rPr>
          <w:rFonts w:ascii="Arial" w:hAnsi="Arial" w:cs="Arial"/>
          <w:bCs/>
          <w:iCs/>
        </w:rPr>
        <w:t>Fitas</w:t>
      </w:r>
      <w:proofErr w:type="spellEnd"/>
      <w:r w:rsidR="00BD25FD">
        <w:rPr>
          <w:rFonts w:ascii="Arial" w:hAnsi="Arial" w:cs="Arial"/>
          <w:bCs/>
          <w:iCs/>
        </w:rPr>
        <w:t xml:space="preserve"> (2025</w:t>
      </w:r>
      <w:r w:rsidRPr="008762D3">
        <w:rPr>
          <w:rFonts w:ascii="Arial" w:hAnsi="Arial" w:cs="Arial"/>
          <w:bCs/>
          <w:iCs/>
        </w:rPr>
        <w:t xml:space="preserve">), who found that well-resourced educational settings facilitate more accurate tracking and responsive interventions by teachers, thereby improving overall classroom management. The significant relationship found in this study underscores the vital role of resource distribution as a foundation for effective monitoring mechanisms, </w:t>
      </w:r>
      <w:r w:rsidRPr="008762D3">
        <w:rPr>
          <w:rFonts w:ascii="Arial" w:hAnsi="Arial" w:cs="Arial"/>
          <w:bCs/>
          <w:iCs/>
        </w:rPr>
        <w:lastRenderedPageBreak/>
        <w:t>stressing the need for school administrators to prioritize resource management to support teacher supervision and student success.</w:t>
      </w:r>
    </w:p>
    <w:p w14:paraId="399CD9F0" w14:textId="77777777" w:rsidR="008762D3" w:rsidRDefault="008762D3" w:rsidP="00151F8F">
      <w:pPr>
        <w:jc w:val="both"/>
        <w:rPr>
          <w:rFonts w:ascii="Arial" w:hAnsi="Arial" w:cs="Arial"/>
          <w:bCs/>
          <w:iCs/>
        </w:rPr>
      </w:pPr>
    </w:p>
    <w:p w14:paraId="7568132A" w14:textId="45F7C4F4" w:rsidR="00914755" w:rsidRPr="006335EF" w:rsidRDefault="00665D1C" w:rsidP="006335E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6335EF" w:rsidRPr="006335EF">
        <w:rPr>
          <w:rFonts w:ascii="Arial" w:hAnsi="Arial" w:cs="Arial"/>
          <w:b/>
          <w:bCs/>
          <w:iCs/>
        </w:rPr>
        <w:t xml:space="preserve">The Domains of Resources </w:t>
      </w:r>
      <w:proofErr w:type="gramStart"/>
      <w:r w:rsidR="006335EF" w:rsidRPr="006335EF">
        <w:rPr>
          <w:rFonts w:ascii="Arial" w:hAnsi="Arial" w:cs="Arial"/>
          <w:b/>
          <w:bCs/>
          <w:iCs/>
        </w:rPr>
        <w:t>Distribution  that</w:t>
      </w:r>
      <w:proofErr w:type="gramEnd"/>
      <w:r w:rsidR="006335EF" w:rsidRPr="006335EF">
        <w:rPr>
          <w:rFonts w:ascii="Arial" w:hAnsi="Arial" w:cs="Arial"/>
          <w:b/>
          <w:bCs/>
          <w:iCs/>
        </w:rPr>
        <w:t xml:space="preserve"> Significantly Influence Monitoring Mechanism</w:t>
      </w:r>
      <w:r w:rsidR="001F6352">
        <w:rPr>
          <w:rFonts w:ascii="Arial" w:hAnsi="Arial" w:cs="Arial"/>
          <w:b/>
          <w:bCs/>
          <w:iCs/>
        </w:rPr>
        <w:t xml:space="preserve"> of Teachers</w:t>
      </w:r>
    </w:p>
    <w:p w14:paraId="3E2A0203" w14:textId="77777777" w:rsidR="00465ADA" w:rsidRDefault="00465ADA" w:rsidP="00B364F1">
      <w:pPr>
        <w:jc w:val="both"/>
        <w:rPr>
          <w:rFonts w:ascii="Arial" w:eastAsia="Arial" w:hAnsi="Arial"/>
          <w:b/>
        </w:rPr>
      </w:pPr>
    </w:p>
    <w:p w14:paraId="42F31227" w14:textId="53B6CB4C" w:rsidR="00187916" w:rsidRPr="006335EF" w:rsidRDefault="00B364F1" w:rsidP="006335EF">
      <w:pPr>
        <w:jc w:val="both"/>
        <w:rPr>
          <w:rFonts w:ascii="Arial" w:eastAsia="Arial" w:hAnsi="Arial"/>
          <w:i/>
        </w:rPr>
      </w:pPr>
      <w:r w:rsidRPr="00B364F1">
        <w:rPr>
          <w:rFonts w:ascii="Arial" w:eastAsia="Arial" w:hAnsi="Arial"/>
          <w:b/>
        </w:rPr>
        <w:t xml:space="preserve">Table 4. </w:t>
      </w:r>
      <w:r w:rsidR="006335EF" w:rsidRPr="006335EF">
        <w:rPr>
          <w:rFonts w:ascii="Arial" w:eastAsia="Arial" w:hAnsi="Arial"/>
          <w:i/>
        </w:rPr>
        <w:t xml:space="preserve">The Domains of Resources </w:t>
      </w:r>
      <w:proofErr w:type="gramStart"/>
      <w:r w:rsidR="006335EF" w:rsidRPr="006335EF">
        <w:rPr>
          <w:rFonts w:ascii="Arial" w:eastAsia="Arial" w:hAnsi="Arial"/>
          <w:i/>
        </w:rPr>
        <w:t>Distribution  that</w:t>
      </w:r>
      <w:proofErr w:type="gramEnd"/>
      <w:r w:rsidR="006335EF" w:rsidRPr="006335EF">
        <w:rPr>
          <w:rFonts w:ascii="Arial" w:eastAsia="Arial" w:hAnsi="Arial"/>
          <w:i/>
        </w:rPr>
        <w:t xml:space="preserve"> Significantly Influence Monitoring Mechanism</w:t>
      </w:r>
      <w:r w:rsidR="001F6352">
        <w:rPr>
          <w:rFonts w:ascii="Arial" w:eastAsia="Arial" w:hAnsi="Arial"/>
          <w:i/>
        </w:rPr>
        <w:t xml:space="preserve">  </w:t>
      </w:r>
      <w:r w:rsidR="001F6352" w:rsidRPr="001F6352">
        <w:rPr>
          <w:rFonts w:ascii="Arial" w:eastAsia="Arial" w:hAnsi="Arial"/>
          <w:i/>
        </w:rPr>
        <w:t>of Teachers</w:t>
      </w:r>
    </w:p>
    <w:p w14:paraId="74866D9E" w14:textId="77777777" w:rsidR="006335EF" w:rsidRPr="00465ADA" w:rsidRDefault="006335EF" w:rsidP="00465ADA">
      <w:pPr>
        <w:jc w:val="both"/>
        <w:rPr>
          <w:rFonts w:ascii="Arial" w:eastAsia="Arial" w:hAnsi="Arial"/>
          <w:i/>
        </w:rPr>
      </w:pPr>
    </w:p>
    <w:p w14:paraId="763F8747" w14:textId="77777777" w:rsidR="00886C27" w:rsidRPr="00B364F1" w:rsidRDefault="00886C27" w:rsidP="00B364F1">
      <w:pPr>
        <w:jc w:val="both"/>
        <w:rPr>
          <w:rFonts w:ascii="Arial" w:eastAsia="Arial" w:hAnsi="Arial"/>
          <w:i/>
        </w:rPr>
      </w:pPr>
    </w:p>
    <w:tbl>
      <w:tblPr>
        <w:tblW w:w="8137" w:type="dxa"/>
        <w:tblInd w:w="108" w:type="dxa"/>
        <w:tblLayout w:type="fixed"/>
        <w:tblLook w:val="04A0" w:firstRow="1" w:lastRow="0" w:firstColumn="1" w:lastColumn="0" w:noHBand="0" w:noVBand="1"/>
      </w:tblPr>
      <w:tblGrid>
        <w:gridCol w:w="1585"/>
        <w:gridCol w:w="1087"/>
        <w:gridCol w:w="1390"/>
        <w:gridCol w:w="1027"/>
        <w:gridCol w:w="1373"/>
        <w:gridCol w:w="1675"/>
      </w:tblGrid>
      <w:tr w:rsidR="00E71FEE" w14:paraId="199DEFC9" w14:textId="77777777" w:rsidTr="00E71FEE">
        <w:trPr>
          <w:trHeight w:val="452"/>
        </w:trPr>
        <w:tc>
          <w:tcPr>
            <w:tcW w:w="1585" w:type="dxa"/>
            <w:tcBorders>
              <w:top w:val="double" w:sz="4" w:space="0" w:color="auto"/>
              <w:bottom w:val="single" w:sz="4" w:space="0" w:color="auto"/>
            </w:tcBorders>
            <w:shd w:val="clear" w:color="auto" w:fill="auto"/>
            <w:vAlign w:val="center"/>
          </w:tcPr>
          <w:p w14:paraId="35479A88" w14:textId="77777777" w:rsidR="00E71FEE" w:rsidRDefault="00E71FEE" w:rsidP="00E71FEE">
            <w:pPr>
              <w:snapToGrid w:val="0"/>
              <w:jc w:val="center"/>
              <w:rPr>
                <w:rFonts w:ascii="Arial" w:hAnsi="Arial" w:cs="Arial"/>
              </w:rPr>
            </w:pPr>
            <w:r>
              <w:rPr>
                <w:rFonts w:ascii="Arial" w:hAnsi="Arial" w:cs="Arial"/>
              </w:rPr>
              <w:t>Model</w:t>
            </w:r>
          </w:p>
        </w:tc>
        <w:tc>
          <w:tcPr>
            <w:tcW w:w="1087" w:type="dxa"/>
            <w:tcBorders>
              <w:top w:val="double" w:sz="4" w:space="0" w:color="auto"/>
              <w:bottom w:val="single" w:sz="4" w:space="0" w:color="auto"/>
            </w:tcBorders>
            <w:shd w:val="clear" w:color="auto" w:fill="auto"/>
            <w:vAlign w:val="center"/>
          </w:tcPr>
          <w:p w14:paraId="17001592" w14:textId="77777777" w:rsidR="00E71FEE" w:rsidRDefault="00E71FEE" w:rsidP="00E71FEE">
            <w:pPr>
              <w:snapToGrid w:val="0"/>
              <w:jc w:val="center"/>
              <w:rPr>
                <w:rFonts w:ascii="Arial" w:hAnsi="Arial" w:cs="Arial"/>
              </w:rPr>
            </w:pPr>
            <w:r>
              <w:rPr>
                <w:rFonts w:ascii="Arial" w:hAnsi="Arial" w:cs="Arial"/>
              </w:rPr>
              <w:t>Sum of Squares</w:t>
            </w:r>
          </w:p>
        </w:tc>
        <w:tc>
          <w:tcPr>
            <w:tcW w:w="1390" w:type="dxa"/>
            <w:tcBorders>
              <w:top w:val="double" w:sz="4" w:space="0" w:color="auto"/>
              <w:bottom w:val="single" w:sz="4" w:space="0" w:color="auto"/>
            </w:tcBorders>
            <w:shd w:val="clear" w:color="auto" w:fill="auto"/>
            <w:vAlign w:val="center"/>
          </w:tcPr>
          <w:p w14:paraId="7948446C" w14:textId="77777777" w:rsidR="00E71FEE" w:rsidRDefault="00E71FEE" w:rsidP="00E71FEE">
            <w:pPr>
              <w:snapToGrid w:val="0"/>
              <w:jc w:val="center"/>
              <w:rPr>
                <w:rFonts w:ascii="Arial" w:hAnsi="Arial" w:cs="Arial"/>
              </w:rPr>
            </w:pPr>
            <w:r>
              <w:rPr>
                <w:rFonts w:ascii="Arial" w:hAnsi="Arial" w:cs="Arial"/>
              </w:rPr>
              <w:t>Degrees of Freedom</w:t>
            </w:r>
          </w:p>
        </w:tc>
        <w:tc>
          <w:tcPr>
            <w:tcW w:w="1027" w:type="dxa"/>
            <w:tcBorders>
              <w:top w:val="double" w:sz="4" w:space="0" w:color="auto"/>
              <w:bottom w:val="single" w:sz="4" w:space="0" w:color="auto"/>
            </w:tcBorders>
            <w:shd w:val="clear" w:color="auto" w:fill="auto"/>
            <w:vAlign w:val="center"/>
          </w:tcPr>
          <w:p w14:paraId="6475E0E3" w14:textId="77777777" w:rsidR="00E71FEE" w:rsidRDefault="00E71FEE" w:rsidP="00E71FEE">
            <w:pPr>
              <w:snapToGrid w:val="0"/>
              <w:jc w:val="center"/>
              <w:rPr>
                <w:rFonts w:ascii="Arial" w:hAnsi="Arial" w:cs="Arial"/>
              </w:rPr>
            </w:pPr>
            <w:r>
              <w:rPr>
                <w:rFonts w:ascii="Arial" w:hAnsi="Arial" w:cs="Arial"/>
              </w:rPr>
              <w:t>Mean Square</w:t>
            </w:r>
          </w:p>
        </w:tc>
        <w:tc>
          <w:tcPr>
            <w:tcW w:w="1373" w:type="dxa"/>
            <w:tcBorders>
              <w:top w:val="double" w:sz="4" w:space="0" w:color="auto"/>
              <w:bottom w:val="single" w:sz="4" w:space="0" w:color="auto"/>
            </w:tcBorders>
            <w:shd w:val="clear" w:color="auto" w:fill="auto"/>
            <w:vAlign w:val="center"/>
          </w:tcPr>
          <w:p w14:paraId="194155D6" w14:textId="77777777" w:rsidR="00E71FEE" w:rsidRDefault="00E71FEE" w:rsidP="00E71FEE">
            <w:pPr>
              <w:snapToGrid w:val="0"/>
              <w:jc w:val="center"/>
              <w:rPr>
                <w:rFonts w:ascii="Arial" w:hAnsi="Arial" w:cs="Arial"/>
              </w:rPr>
            </w:pPr>
            <w:r>
              <w:rPr>
                <w:rFonts w:ascii="Arial" w:hAnsi="Arial" w:cs="Arial"/>
              </w:rPr>
              <w:t>p-value</w:t>
            </w:r>
          </w:p>
        </w:tc>
        <w:tc>
          <w:tcPr>
            <w:tcW w:w="1675" w:type="dxa"/>
            <w:tcBorders>
              <w:top w:val="double" w:sz="4" w:space="0" w:color="auto"/>
              <w:bottom w:val="single" w:sz="4" w:space="0" w:color="auto"/>
            </w:tcBorders>
            <w:shd w:val="clear" w:color="auto" w:fill="auto"/>
            <w:vAlign w:val="center"/>
          </w:tcPr>
          <w:p w14:paraId="7A869F65" w14:textId="0AC4612B" w:rsidR="00E71FEE" w:rsidRDefault="00E71FEE" w:rsidP="00E71FEE">
            <w:pPr>
              <w:snapToGrid w:val="0"/>
              <w:jc w:val="center"/>
              <w:rPr>
                <w:rFonts w:ascii="Arial" w:hAnsi="Arial" w:cs="Arial"/>
              </w:rPr>
            </w:pPr>
            <w:r>
              <w:rPr>
                <w:rFonts w:ascii="Arial" w:hAnsi="Arial" w:cs="Arial"/>
              </w:rPr>
              <w:t>Decision</w:t>
            </w:r>
          </w:p>
        </w:tc>
      </w:tr>
      <w:tr w:rsidR="00E71FEE" w14:paraId="28CCF06E" w14:textId="77777777" w:rsidTr="00E71FEE">
        <w:trPr>
          <w:trHeight w:val="678"/>
        </w:trPr>
        <w:tc>
          <w:tcPr>
            <w:tcW w:w="1585" w:type="dxa"/>
            <w:tcBorders>
              <w:top w:val="single" w:sz="4" w:space="0" w:color="auto"/>
            </w:tcBorders>
            <w:shd w:val="clear" w:color="auto" w:fill="auto"/>
            <w:vAlign w:val="center"/>
          </w:tcPr>
          <w:p w14:paraId="5B04C2DE" w14:textId="77777777" w:rsidR="00E71FEE" w:rsidRDefault="00E71FEE" w:rsidP="000518A6">
            <w:pPr>
              <w:snapToGrid w:val="0"/>
              <w:jc w:val="center"/>
              <w:rPr>
                <w:rFonts w:ascii="Arial" w:hAnsi="Arial" w:cs="Arial"/>
              </w:rPr>
            </w:pPr>
          </w:p>
          <w:p w14:paraId="60B4981C" w14:textId="77777777" w:rsidR="00E71FEE" w:rsidRDefault="00E71FEE" w:rsidP="000518A6">
            <w:pPr>
              <w:snapToGrid w:val="0"/>
              <w:jc w:val="center"/>
              <w:rPr>
                <w:rFonts w:ascii="Arial" w:hAnsi="Arial" w:cs="Arial"/>
              </w:rPr>
            </w:pPr>
            <w:r>
              <w:rPr>
                <w:rFonts w:ascii="Arial" w:hAnsi="Arial" w:cs="Arial"/>
              </w:rPr>
              <w:t>Regression Residual Total</w:t>
            </w:r>
          </w:p>
        </w:tc>
        <w:tc>
          <w:tcPr>
            <w:tcW w:w="1087" w:type="dxa"/>
            <w:tcBorders>
              <w:top w:val="single" w:sz="4" w:space="0" w:color="auto"/>
            </w:tcBorders>
            <w:shd w:val="clear" w:color="auto" w:fill="auto"/>
            <w:vAlign w:val="center"/>
          </w:tcPr>
          <w:p w14:paraId="0B3C65BB" w14:textId="77777777" w:rsidR="00E71FEE" w:rsidRDefault="00E71FEE" w:rsidP="000518A6">
            <w:pPr>
              <w:snapToGrid w:val="0"/>
              <w:jc w:val="center"/>
              <w:rPr>
                <w:rFonts w:ascii="Arial" w:hAnsi="Arial" w:cs="Arial"/>
              </w:rPr>
            </w:pPr>
          </w:p>
          <w:p w14:paraId="27177E91" w14:textId="77777777" w:rsidR="00E71FEE" w:rsidRDefault="00E71FEE" w:rsidP="000518A6">
            <w:pPr>
              <w:snapToGrid w:val="0"/>
              <w:jc w:val="center"/>
              <w:rPr>
                <w:rFonts w:ascii="Arial" w:hAnsi="Arial" w:cs="Arial"/>
              </w:rPr>
            </w:pPr>
            <w:r>
              <w:rPr>
                <w:rFonts w:ascii="Arial" w:hAnsi="Arial" w:cs="Arial"/>
              </w:rPr>
              <w:t>54.3899</w:t>
            </w:r>
          </w:p>
          <w:p w14:paraId="4B5F4D07" w14:textId="77777777" w:rsidR="00E71FEE" w:rsidRDefault="00E71FEE" w:rsidP="000518A6">
            <w:pPr>
              <w:jc w:val="center"/>
              <w:rPr>
                <w:rFonts w:ascii="Arial" w:hAnsi="Arial" w:cs="Arial"/>
              </w:rPr>
            </w:pPr>
            <w:r>
              <w:rPr>
                <w:rFonts w:ascii="Arial" w:hAnsi="Arial" w:cs="Arial"/>
              </w:rPr>
              <w:t>502.304</w:t>
            </w:r>
          </w:p>
          <w:p w14:paraId="221AE2E8" w14:textId="77777777" w:rsidR="00E71FEE" w:rsidRDefault="00E71FEE" w:rsidP="000518A6">
            <w:pPr>
              <w:jc w:val="center"/>
              <w:rPr>
                <w:rFonts w:ascii="Arial" w:hAnsi="Arial" w:cs="Arial"/>
              </w:rPr>
            </w:pPr>
            <w:r>
              <w:rPr>
                <w:rFonts w:ascii="Arial" w:hAnsi="Arial" w:cs="Arial"/>
              </w:rPr>
              <w:t>545.102</w:t>
            </w:r>
          </w:p>
        </w:tc>
        <w:tc>
          <w:tcPr>
            <w:tcW w:w="1390" w:type="dxa"/>
            <w:tcBorders>
              <w:top w:val="single" w:sz="4" w:space="0" w:color="auto"/>
            </w:tcBorders>
            <w:shd w:val="clear" w:color="auto" w:fill="auto"/>
            <w:vAlign w:val="center"/>
          </w:tcPr>
          <w:p w14:paraId="7C7F9E31" w14:textId="77777777" w:rsidR="00E71FEE" w:rsidRDefault="00E71FEE" w:rsidP="000518A6">
            <w:pPr>
              <w:snapToGrid w:val="0"/>
              <w:jc w:val="right"/>
              <w:rPr>
                <w:rFonts w:ascii="Arial" w:hAnsi="Arial" w:cs="Arial"/>
              </w:rPr>
            </w:pPr>
          </w:p>
          <w:p w14:paraId="46E4BBAE" w14:textId="77777777" w:rsidR="00E71FEE" w:rsidRDefault="00E71FEE" w:rsidP="000518A6">
            <w:pPr>
              <w:snapToGrid w:val="0"/>
              <w:jc w:val="center"/>
              <w:rPr>
                <w:rFonts w:ascii="Arial" w:hAnsi="Arial" w:cs="Arial"/>
              </w:rPr>
            </w:pPr>
            <w:r>
              <w:rPr>
                <w:rFonts w:ascii="Arial" w:hAnsi="Arial" w:cs="Arial"/>
              </w:rPr>
              <w:t>1</w:t>
            </w:r>
          </w:p>
          <w:p w14:paraId="5000E20B" w14:textId="77777777" w:rsidR="00E71FEE" w:rsidRDefault="00E71FEE" w:rsidP="000518A6">
            <w:pPr>
              <w:jc w:val="center"/>
              <w:rPr>
                <w:rFonts w:ascii="Arial" w:hAnsi="Arial" w:cs="Arial"/>
              </w:rPr>
            </w:pPr>
            <w:r>
              <w:rPr>
                <w:rFonts w:ascii="Arial" w:hAnsi="Arial" w:cs="Arial"/>
              </w:rPr>
              <w:t>130</w:t>
            </w:r>
          </w:p>
          <w:p w14:paraId="4CECA60C" w14:textId="77777777" w:rsidR="00E71FEE" w:rsidRDefault="00E71FEE" w:rsidP="000518A6">
            <w:pPr>
              <w:jc w:val="center"/>
              <w:rPr>
                <w:rFonts w:ascii="Arial" w:hAnsi="Arial" w:cs="Arial"/>
              </w:rPr>
            </w:pPr>
            <w:r>
              <w:rPr>
                <w:rFonts w:ascii="Arial" w:hAnsi="Arial" w:cs="Arial"/>
              </w:rPr>
              <w:t>133</w:t>
            </w:r>
          </w:p>
        </w:tc>
        <w:tc>
          <w:tcPr>
            <w:tcW w:w="1027" w:type="dxa"/>
            <w:tcBorders>
              <w:top w:val="single" w:sz="4" w:space="0" w:color="auto"/>
            </w:tcBorders>
            <w:shd w:val="clear" w:color="auto" w:fill="auto"/>
            <w:vAlign w:val="center"/>
          </w:tcPr>
          <w:p w14:paraId="2DAB0356" w14:textId="77777777" w:rsidR="00E71FEE" w:rsidRDefault="00E71FEE" w:rsidP="000518A6">
            <w:pPr>
              <w:snapToGrid w:val="0"/>
              <w:jc w:val="center"/>
              <w:rPr>
                <w:rFonts w:ascii="Arial" w:hAnsi="Arial" w:cs="Arial"/>
              </w:rPr>
            </w:pPr>
          </w:p>
          <w:p w14:paraId="14ABC014" w14:textId="77777777" w:rsidR="00E71FEE" w:rsidRDefault="00E71FEE" w:rsidP="000518A6">
            <w:pPr>
              <w:snapToGrid w:val="0"/>
              <w:rPr>
                <w:rFonts w:ascii="Arial" w:hAnsi="Arial" w:cs="Arial"/>
              </w:rPr>
            </w:pPr>
            <w:r>
              <w:rPr>
                <w:rFonts w:ascii="Arial" w:hAnsi="Arial" w:cs="Arial"/>
              </w:rPr>
              <w:t>56.018</w:t>
            </w:r>
          </w:p>
          <w:p w14:paraId="1BF47DD5" w14:textId="77777777" w:rsidR="00E71FEE" w:rsidRDefault="00E71FEE" w:rsidP="000518A6">
            <w:pPr>
              <w:rPr>
                <w:rFonts w:ascii="Arial" w:hAnsi="Arial" w:cs="Arial"/>
              </w:rPr>
            </w:pPr>
            <w:r>
              <w:rPr>
                <w:rFonts w:ascii="Arial" w:hAnsi="Arial" w:cs="Arial"/>
              </w:rPr>
              <w:t>11.5949</w:t>
            </w:r>
          </w:p>
          <w:p w14:paraId="0D8C218F" w14:textId="77777777" w:rsidR="00E71FEE" w:rsidRDefault="00E71FEE" w:rsidP="000518A6">
            <w:pPr>
              <w:jc w:val="center"/>
              <w:rPr>
                <w:rFonts w:ascii="Arial" w:hAnsi="Arial" w:cs="Arial"/>
              </w:rPr>
            </w:pPr>
          </w:p>
        </w:tc>
        <w:tc>
          <w:tcPr>
            <w:tcW w:w="1373" w:type="dxa"/>
            <w:tcBorders>
              <w:top w:val="single" w:sz="4" w:space="0" w:color="auto"/>
            </w:tcBorders>
            <w:shd w:val="clear" w:color="auto" w:fill="auto"/>
            <w:vAlign w:val="center"/>
          </w:tcPr>
          <w:p w14:paraId="53F021DF" w14:textId="4C215755" w:rsidR="00E71FEE" w:rsidRDefault="00E71FEE" w:rsidP="00E71FEE">
            <w:pPr>
              <w:snapToGrid w:val="0"/>
              <w:jc w:val="center"/>
              <w:rPr>
                <w:rFonts w:ascii="Arial" w:hAnsi="Arial" w:cs="Arial"/>
              </w:rPr>
            </w:pPr>
            <w:r>
              <w:rPr>
                <w:rFonts w:ascii="Arial" w:hAnsi="Arial" w:cs="Arial"/>
              </w:rPr>
              <w:t>.000</w:t>
            </w:r>
          </w:p>
        </w:tc>
        <w:tc>
          <w:tcPr>
            <w:tcW w:w="1675" w:type="dxa"/>
            <w:tcBorders>
              <w:top w:val="single" w:sz="4" w:space="0" w:color="auto"/>
            </w:tcBorders>
            <w:shd w:val="clear" w:color="auto" w:fill="auto"/>
            <w:vAlign w:val="center"/>
          </w:tcPr>
          <w:p w14:paraId="3E504752" w14:textId="362028A7" w:rsidR="00E71FEE" w:rsidRDefault="00E71FEE" w:rsidP="00E71FEE">
            <w:pPr>
              <w:snapToGrid w:val="0"/>
              <w:jc w:val="center"/>
              <w:rPr>
                <w:rFonts w:ascii="Arial" w:hAnsi="Arial" w:cs="Arial"/>
              </w:rPr>
            </w:pPr>
            <w:r>
              <w:rPr>
                <w:rFonts w:ascii="Arial" w:hAnsi="Arial" w:cs="Arial"/>
              </w:rPr>
              <w:t>Rejected</w:t>
            </w:r>
          </w:p>
        </w:tc>
      </w:tr>
      <w:tr w:rsidR="00E71FEE" w14:paraId="30A1B3A9" w14:textId="77777777" w:rsidTr="00E71FEE">
        <w:tblPrEx>
          <w:tblBorders>
            <w:top w:val="double" w:sz="4" w:space="0" w:color="auto"/>
          </w:tblBorders>
        </w:tblPrEx>
        <w:trPr>
          <w:trHeight w:val="84"/>
        </w:trPr>
        <w:tc>
          <w:tcPr>
            <w:tcW w:w="8137" w:type="dxa"/>
            <w:gridSpan w:val="6"/>
            <w:tcBorders>
              <w:bottom w:val="double" w:sz="4" w:space="0" w:color="auto"/>
            </w:tcBorders>
          </w:tcPr>
          <w:p w14:paraId="5930650E" w14:textId="77777777" w:rsidR="00E71FEE" w:rsidRDefault="00E71FEE" w:rsidP="000518A6">
            <w:pPr>
              <w:overflowPunct w:val="0"/>
              <w:autoSpaceDE w:val="0"/>
              <w:textAlignment w:val="baseline"/>
              <w:rPr>
                <w:rFonts w:ascii="Arial" w:hAnsi="Arial" w:cs="Arial"/>
                <w:kern w:val="1"/>
              </w:rPr>
            </w:pP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34642B1D" w14:textId="77777777" w:rsidR="003D3D9B" w:rsidRPr="003D3D9B" w:rsidRDefault="003D3D9B" w:rsidP="003D3D9B">
      <w:pPr>
        <w:pStyle w:val="Body"/>
        <w:rPr>
          <w:rFonts w:ascii="Arial" w:hAnsi="Arial" w:cs="Arial"/>
        </w:rPr>
      </w:pPr>
      <w:r w:rsidRPr="003D3D9B">
        <w:rPr>
          <w:rFonts w:ascii="Arial" w:hAnsi="Arial" w:cs="Arial"/>
        </w:rPr>
        <w:t>Presented in Table 4 is the regression analysis examining how the domains of resources distribution significantly influence the monitoring mechanism of teachers in public elementary schools. The regression model yielded a statistically significant result with a p-value of 0.000, which is below the 0.05 level of significance. Given this result, the null hypothesis is rejected, confirming that the domains of resources distribution significantly influence the monitoring mechanism of teachers.</w:t>
      </w:r>
    </w:p>
    <w:p w14:paraId="3454EF95" w14:textId="7F87C206" w:rsidR="003D3D9B" w:rsidRPr="003D3D9B" w:rsidRDefault="003D3D9B" w:rsidP="003D3D9B">
      <w:pPr>
        <w:pStyle w:val="Body"/>
        <w:rPr>
          <w:rFonts w:ascii="Arial" w:hAnsi="Arial" w:cs="Arial"/>
        </w:rPr>
      </w:pPr>
      <w:r w:rsidRPr="003D3D9B">
        <w:rPr>
          <w:rFonts w:ascii="Arial" w:hAnsi="Arial" w:cs="Arial"/>
        </w:rPr>
        <w:t>The sum of squares for regression is 54.3899 with 1 degree of freedom, while the residual sum of squares is 502.304 with 130 degrees of freedom, indicating that the model explains a meaningful portion of the variance in the monitoring mechanism. Although the exact R² value is not provided here, the significant p-value suggests that the distribution of resources such as curriculum, staff development, maintenance, community building, and environment plays a critical role in shaping how teachers are monitored and supported in their instructional roles.</w:t>
      </w:r>
    </w:p>
    <w:p w14:paraId="397809CF" w14:textId="77777777" w:rsidR="003D3D9B" w:rsidRPr="003D3D9B" w:rsidRDefault="003D3D9B" w:rsidP="003D3D9B">
      <w:pPr>
        <w:pStyle w:val="Body"/>
        <w:rPr>
          <w:rFonts w:ascii="Arial" w:hAnsi="Arial" w:cs="Arial"/>
        </w:rPr>
      </w:pPr>
      <w:r w:rsidRPr="003D3D9B">
        <w:rPr>
          <w:rFonts w:ascii="Arial" w:hAnsi="Arial" w:cs="Arial"/>
        </w:rPr>
        <w:t>This finding underscores the importance of ensuring that adequate and equitable resources are allocated within schools to strengthen the monitoring processes. Effective resource distribution enables school administrators to implement more systematic and supportive monitoring mechanisms that contribute to improved teacher performance and school outcomes.</w:t>
      </w:r>
    </w:p>
    <w:p w14:paraId="30BA0B1B" w14:textId="184DFD75" w:rsidR="003D3D9B" w:rsidRDefault="003D3D9B" w:rsidP="003D3D9B">
      <w:pPr>
        <w:pStyle w:val="Body"/>
        <w:rPr>
          <w:rFonts w:ascii="Arial" w:hAnsi="Arial" w:cs="Arial"/>
        </w:rPr>
      </w:pPr>
      <w:r w:rsidRPr="003D3D9B">
        <w:rPr>
          <w:rFonts w:ascii="Arial" w:hAnsi="Arial" w:cs="Arial"/>
        </w:rPr>
        <w:t>In conclusion, the results recommend that educational leaders prioritize resource allocation as a key strategy to enhance the monitoring mechanism of teachers, thereby promoting accountability, professional growth, and overall instructional quality in public elementary schools.</w:t>
      </w:r>
    </w:p>
    <w:p w14:paraId="378BB2CA" w14:textId="2845FDD8" w:rsidR="001F6352" w:rsidRPr="001F6352" w:rsidRDefault="001F6352" w:rsidP="001F6352">
      <w:pPr>
        <w:pStyle w:val="Body"/>
        <w:rPr>
          <w:rFonts w:ascii="Arial" w:hAnsi="Arial" w:cs="Arial"/>
        </w:rPr>
      </w:pPr>
      <w:r w:rsidRPr="001F6352">
        <w:rPr>
          <w:rFonts w:ascii="Arial" w:hAnsi="Arial" w:cs="Arial"/>
        </w:rPr>
        <w:t xml:space="preserve">This finding aligns with the study of </w:t>
      </w:r>
      <w:r w:rsidR="0077423D">
        <w:rPr>
          <w:rFonts w:ascii="Arial" w:hAnsi="Arial" w:cs="Arial"/>
        </w:rPr>
        <w:t>Pak et al. (2020</w:t>
      </w:r>
      <w:r w:rsidRPr="001F6352">
        <w:rPr>
          <w:rFonts w:ascii="Arial" w:hAnsi="Arial" w:cs="Arial"/>
        </w:rPr>
        <w:t>), who emphasized that specific domains of r</w:t>
      </w:r>
      <w:r>
        <w:rPr>
          <w:rFonts w:ascii="Arial" w:hAnsi="Arial" w:cs="Arial"/>
        </w:rPr>
        <w:t xml:space="preserve">esource distribution, </w:t>
      </w:r>
      <w:r w:rsidRPr="001F6352">
        <w:rPr>
          <w:rFonts w:ascii="Arial" w:hAnsi="Arial" w:cs="Arial"/>
        </w:rPr>
        <w:t>such as curriculum provision, staff develo</w:t>
      </w:r>
      <w:r>
        <w:rPr>
          <w:rFonts w:ascii="Arial" w:hAnsi="Arial" w:cs="Arial"/>
        </w:rPr>
        <w:t xml:space="preserve">pment, and community engagement, </w:t>
      </w:r>
      <w:r w:rsidRPr="001F6352">
        <w:rPr>
          <w:rFonts w:ascii="Arial" w:hAnsi="Arial" w:cs="Arial"/>
        </w:rPr>
        <w:t xml:space="preserve">play a critical role in strengthening teachers’ monitoring mechanisms. Their research highlights that when resources are strategically allocated across these domains, teachers are better equipped to supervise student progress and implement effective instructional adjustments. Similarly, </w:t>
      </w:r>
      <w:proofErr w:type="spellStart"/>
      <w:r w:rsidR="006B1E54" w:rsidRPr="006B1E54">
        <w:rPr>
          <w:rFonts w:ascii="Arial" w:hAnsi="Arial" w:cs="Arial"/>
        </w:rPr>
        <w:t>Olaifa</w:t>
      </w:r>
      <w:proofErr w:type="spellEnd"/>
      <w:r w:rsidR="006B1E54" w:rsidRPr="006B1E54">
        <w:rPr>
          <w:rFonts w:ascii="Arial" w:hAnsi="Arial" w:cs="Arial"/>
        </w:rPr>
        <w:t xml:space="preserve"> </w:t>
      </w:r>
      <w:r w:rsidR="006B1E54">
        <w:rPr>
          <w:rFonts w:ascii="Arial" w:hAnsi="Arial" w:cs="Arial"/>
        </w:rPr>
        <w:t xml:space="preserve">et al. </w:t>
      </w:r>
      <w:r w:rsidRPr="001F6352">
        <w:rPr>
          <w:rFonts w:ascii="Arial" w:hAnsi="Arial" w:cs="Arial"/>
        </w:rPr>
        <w:t xml:space="preserve">(2024) found that well-maintained facilities and a supportive environment contribute significantly to the consistency and effectiveness of teacher monitoring practices. The integration of community-building efforts further enhances collaborative monitoring and shared responsibility for student outcomes. These domains </w:t>
      </w:r>
      <w:r w:rsidRPr="001F6352">
        <w:rPr>
          <w:rFonts w:ascii="Arial" w:hAnsi="Arial" w:cs="Arial"/>
        </w:rPr>
        <w:lastRenderedPageBreak/>
        <w:t xml:space="preserve">collectively empower teachers to maintain a structured and responsive classroom atmosphere, as supported by the work of </w:t>
      </w:r>
      <w:r w:rsidR="005B4664" w:rsidRPr="005B4664">
        <w:rPr>
          <w:rFonts w:ascii="Arial" w:hAnsi="Arial" w:cs="Arial"/>
        </w:rPr>
        <w:t xml:space="preserve">Todorova </w:t>
      </w:r>
      <w:r w:rsidR="005B4664">
        <w:rPr>
          <w:rFonts w:ascii="Arial" w:hAnsi="Arial" w:cs="Arial"/>
        </w:rPr>
        <w:t>(2024</w:t>
      </w:r>
      <w:r w:rsidRPr="001F6352">
        <w:rPr>
          <w:rFonts w:ascii="Arial" w:hAnsi="Arial" w:cs="Arial"/>
        </w:rPr>
        <w:t>), who revealed that comprehensive resource distribution fosters more accurate tracking, timely feedback, and improved student engagement.</w:t>
      </w:r>
    </w:p>
    <w:p w14:paraId="08FEB9C6" w14:textId="0556CE79" w:rsidR="002039CD" w:rsidRPr="005C1005" w:rsidRDefault="001F6352" w:rsidP="001F6352">
      <w:pPr>
        <w:pStyle w:val="Body"/>
        <w:rPr>
          <w:rFonts w:ascii="Arial" w:hAnsi="Arial" w:cs="Arial"/>
        </w:rPr>
      </w:pPr>
      <w:r w:rsidRPr="001F6352">
        <w:rPr>
          <w:rFonts w:ascii="Arial" w:hAnsi="Arial" w:cs="Arial"/>
          <w:b/>
          <w:bCs/>
        </w:rPr>
        <w:t xml:space="preserve"> </w:t>
      </w:r>
      <w:r w:rsidR="00180859">
        <w:rPr>
          <w:rFonts w:ascii="Arial" w:hAnsi="Arial" w:cs="Arial"/>
          <w:b/>
          <w:bCs/>
        </w:rPr>
        <w:t xml:space="preserve">5. </w:t>
      </w:r>
      <w:r w:rsidR="00B364F1">
        <w:rPr>
          <w:rFonts w:ascii="Arial" w:hAnsi="Arial" w:cs="Arial"/>
          <w:b/>
          <w:bCs/>
        </w:rPr>
        <w:t>CONCLUSIONS</w:t>
      </w:r>
    </w:p>
    <w:p w14:paraId="26D9DE64" w14:textId="6D4156D5" w:rsidR="00DA76AB" w:rsidRPr="00DA76AB" w:rsidRDefault="00DA76AB" w:rsidP="00DA76AB">
      <w:pPr>
        <w:pStyle w:val="Body"/>
        <w:rPr>
          <w:rFonts w:ascii="Arial" w:hAnsi="Arial" w:cs="Arial"/>
        </w:rPr>
      </w:pPr>
      <w:r w:rsidRPr="00DA76AB">
        <w:rPr>
          <w:rFonts w:ascii="Arial" w:hAnsi="Arial" w:cs="Arial"/>
        </w:rPr>
        <w:t>Based on the findings of the study, the following concl</w:t>
      </w:r>
      <w:r>
        <w:rPr>
          <w:rFonts w:ascii="Arial" w:hAnsi="Arial" w:cs="Arial"/>
        </w:rPr>
        <w:t>usions were drawn:</w:t>
      </w:r>
    </w:p>
    <w:p w14:paraId="104B61EB" w14:textId="28F1FDE9" w:rsidR="00DA76AB" w:rsidRPr="00DA76AB" w:rsidRDefault="00DA76AB" w:rsidP="00DA76AB">
      <w:pPr>
        <w:pStyle w:val="Body"/>
        <w:rPr>
          <w:rFonts w:ascii="Arial" w:hAnsi="Arial" w:cs="Arial"/>
        </w:rPr>
      </w:pPr>
      <w:r w:rsidRPr="00DA76AB">
        <w:rPr>
          <w:rFonts w:ascii="Arial" w:hAnsi="Arial" w:cs="Arial"/>
        </w:rPr>
        <w:t>Firstly, the level of resources distribution in public elementary schools is high, indicating that essential educational resources such as curriculum materials, staff development opportunities, maintenance, community building initiatives, and conducive environments are adequately provided to support teaching and learning processes.</w:t>
      </w:r>
    </w:p>
    <w:p w14:paraId="6BBE233D" w14:textId="0E1B1CF7" w:rsidR="00DA76AB" w:rsidRPr="00DA76AB" w:rsidRDefault="00DA76AB" w:rsidP="00DA76AB">
      <w:pPr>
        <w:pStyle w:val="Body"/>
        <w:rPr>
          <w:rFonts w:ascii="Arial" w:hAnsi="Arial" w:cs="Arial"/>
        </w:rPr>
      </w:pPr>
      <w:r w:rsidRPr="00DA76AB">
        <w:rPr>
          <w:rFonts w:ascii="Arial" w:hAnsi="Arial" w:cs="Arial"/>
        </w:rPr>
        <w:t>Secondly, the level of monitoring mechanism among teachers is also high, which suggests that schools have established effective systems and procedures to regularly assess and support teacher performance, although some areas such as learning and relevance show moderate levels that may be</w:t>
      </w:r>
      <w:r>
        <w:rPr>
          <w:rFonts w:ascii="Arial" w:hAnsi="Arial" w:cs="Arial"/>
        </w:rPr>
        <w:t>nefit from further enhancement.</w:t>
      </w:r>
    </w:p>
    <w:p w14:paraId="4FC3DA5C" w14:textId="35221C23" w:rsidR="00DA76AB" w:rsidRPr="00DA76AB" w:rsidRDefault="00DA76AB" w:rsidP="00DA76AB">
      <w:pPr>
        <w:pStyle w:val="Body"/>
        <w:rPr>
          <w:rFonts w:ascii="Arial" w:hAnsi="Arial" w:cs="Arial"/>
        </w:rPr>
      </w:pPr>
      <w:r w:rsidRPr="00DA76AB">
        <w:rPr>
          <w:rFonts w:ascii="Arial" w:hAnsi="Arial" w:cs="Arial"/>
        </w:rPr>
        <w:t>Thirdly, a significant positive relationship was found between resources distribution and the monitoring mechanism of teachers. This indicates that the more effectively resources are allocated and managed, the stronger and more efficient the monitoring practices become within schools.</w:t>
      </w:r>
    </w:p>
    <w:p w14:paraId="096B1297" w14:textId="77777777" w:rsidR="00DA76AB" w:rsidRDefault="00DA76AB" w:rsidP="00DA76AB">
      <w:pPr>
        <w:pStyle w:val="Body"/>
        <w:rPr>
          <w:rFonts w:ascii="Arial" w:hAnsi="Arial" w:cs="Arial"/>
        </w:rPr>
      </w:pPr>
      <w:r w:rsidRPr="00DA76AB">
        <w:rPr>
          <w:rFonts w:ascii="Arial" w:hAnsi="Arial" w:cs="Arial"/>
        </w:rPr>
        <w:t>Lastly, the domains of resources distribution significantly influence the monitoring mechanism of teachers. This implies that improving resource allocation in areas such as curriculum, staff development, and community support can enhance the quality and effectiveness of monitoring systems, which in turn promotes better teacher performance and student outcomes.</w:t>
      </w:r>
    </w:p>
    <w:p w14:paraId="295DD41E" w14:textId="4ACF2FD6" w:rsidR="006A0F34" w:rsidRDefault="006A0F34" w:rsidP="00DA76AB">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2D3E9837" w14:textId="09D469B8" w:rsidR="00DA76AB" w:rsidRPr="00DA76AB" w:rsidRDefault="00DA76AB" w:rsidP="00DA76AB">
      <w:pPr>
        <w:pStyle w:val="ReferHead"/>
        <w:jc w:val="both"/>
        <w:rPr>
          <w:rFonts w:ascii="Arial" w:hAnsi="Arial" w:cs="Arial"/>
          <w:b w:val="0"/>
          <w:caps w:val="0"/>
          <w:sz w:val="20"/>
        </w:rPr>
      </w:pPr>
      <w:r w:rsidRPr="00DA76AB">
        <w:rPr>
          <w:rFonts w:ascii="Arial" w:hAnsi="Arial" w:cs="Arial"/>
          <w:b w:val="0"/>
          <w:caps w:val="0"/>
          <w:sz w:val="20"/>
        </w:rPr>
        <w:t>Based on the findings and conclusions of the study, the following recommendations are proposed:</w:t>
      </w:r>
    </w:p>
    <w:p w14:paraId="368BE93F" w14:textId="6969E900" w:rsidR="00DA76AB" w:rsidRPr="00DA76AB" w:rsidRDefault="00DA76AB" w:rsidP="00DA76AB">
      <w:pPr>
        <w:pStyle w:val="ReferHead"/>
        <w:jc w:val="both"/>
        <w:rPr>
          <w:rFonts w:ascii="Arial" w:hAnsi="Arial" w:cs="Arial"/>
          <w:b w:val="0"/>
          <w:caps w:val="0"/>
          <w:sz w:val="20"/>
        </w:rPr>
      </w:pPr>
      <w:r w:rsidRPr="00DA76AB">
        <w:rPr>
          <w:rFonts w:ascii="Arial" w:hAnsi="Arial" w:cs="Arial"/>
          <w:b w:val="0"/>
          <w:caps w:val="0"/>
          <w:sz w:val="20"/>
        </w:rPr>
        <w:t>Firstly, given the high level of resources distribution observed in public elementary schools, school administrators should continue to ensure the equitable and sufficient provision of educational materials, staff development programs, facility maintenance, and community-building activities. Regular assessments of resource needs and allocation processes are recommended to maintain and improve support for teaching and learning.</w:t>
      </w:r>
    </w:p>
    <w:p w14:paraId="38391771" w14:textId="66FBCF58" w:rsidR="00DA76AB" w:rsidRPr="00DA76AB" w:rsidRDefault="00DA76AB" w:rsidP="00DA76AB">
      <w:pPr>
        <w:pStyle w:val="ReferHead"/>
        <w:jc w:val="both"/>
        <w:rPr>
          <w:rFonts w:ascii="Arial" w:hAnsi="Arial" w:cs="Arial"/>
          <w:b w:val="0"/>
          <w:caps w:val="0"/>
          <w:sz w:val="20"/>
        </w:rPr>
      </w:pPr>
      <w:r w:rsidRPr="00DA76AB">
        <w:rPr>
          <w:rFonts w:ascii="Arial" w:hAnsi="Arial" w:cs="Arial"/>
          <w:b w:val="0"/>
          <w:caps w:val="0"/>
          <w:sz w:val="20"/>
        </w:rPr>
        <w:t>Secondly, since the monitoring mechanism of teachers was found to be generally high but with some moderate areas, school leaders and supervisors are encouraged to enhance monitoring practices by focusing more on teacher learning and the relevance of feedback to instructional improvement. Providing targeted professional development and constructive coaching can help strengthen these domains.</w:t>
      </w:r>
    </w:p>
    <w:p w14:paraId="50C73E4E" w14:textId="1276B843" w:rsidR="00DA76AB" w:rsidRPr="00DA76AB" w:rsidRDefault="00DA76AB" w:rsidP="00DA76AB">
      <w:pPr>
        <w:pStyle w:val="ReferHead"/>
        <w:jc w:val="both"/>
        <w:rPr>
          <w:rFonts w:ascii="Arial" w:hAnsi="Arial" w:cs="Arial"/>
          <w:b w:val="0"/>
          <w:caps w:val="0"/>
          <w:sz w:val="20"/>
        </w:rPr>
      </w:pPr>
      <w:r w:rsidRPr="00DA76AB">
        <w:rPr>
          <w:rFonts w:ascii="Arial" w:hAnsi="Arial" w:cs="Arial"/>
          <w:b w:val="0"/>
          <w:caps w:val="0"/>
          <w:sz w:val="20"/>
        </w:rPr>
        <w:t xml:space="preserve">Thirdly, in light of the significant positive relationship between resources distribution and monitoring mechanisms, educational stakeholders should recognize the critical role of </w:t>
      </w:r>
      <w:r w:rsidRPr="00DA76AB">
        <w:rPr>
          <w:rFonts w:ascii="Arial" w:hAnsi="Arial" w:cs="Arial"/>
          <w:b w:val="0"/>
          <w:caps w:val="0"/>
          <w:sz w:val="20"/>
        </w:rPr>
        <w:lastRenderedPageBreak/>
        <w:t>resource availability in enabling effective teacher supervision and support. Prioritizing budget allocation and resource management can enhance the overall monitoring system.</w:t>
      </w:r>
    </w:p>
    <w:p w14:paraId="61D16766" w14:textId="18757B5E" w:rsidR="00DA76AB" w:rsidRPr="00DA76AB" w:rsidRDefault="00DA76AB" w:rsidP="00DA76AB">
      <w:pPr>
        <w:pStyle w:val="ReferHead"/>
        <w:jc w:val="both"/>
        <w:rPr>
          <w:rFonts w:ascii="Arial" w:hAnsi="Arial" w:cs="Arial"/>
          <w:b w:val="0"/>
          <w:caps w:val="0"/>
          <w:sz w:val="20"/>
        </w:rPr>
      </w:pPr>
      <w:r w:rsidRPr="00DA76AB">
        <w:rPr>
          <w:rFonts w:ascii="Arial" w:hAnsi="Arial" w:cs="Arial"/>
          <w:b w:val="0"/>
          <w:caps w:val="0"/>
          <w:sz w:val="20"/>
        </w:rPr>
        <w:t>Fourthly, given that resources distribution significantly influences the monitoring mechanism of teachers, school administrators and policy makers should integrate resource planning with teacher evaluation frameworks. This holistic approach will ensure that monitoring practices are adequately supported by the necessary materials, infrastructure, and professional development opportunities.</w:t>
      </w:r>
    </w:p>
    <w:p w14:paraId="3978ACEA" w14:textId="77777777" w:rsidR="00DA76AB" w:rsidRPr="00DA76AB" w:rsidRDefault="00DA76AB" w:rsidP="00DA76AB">
      <w:pPr>
        <w:pStyle w:val="ReferHead"/>
        <w:jc w:val="both"/>
        <w:rPr>
          <w:rFonts w:ascii="Arial" w:hAnsi="Arial" w:cs="Arial"/>
          <w:b w:val="0"/>
          <w:caps w:val="0"/>
          <w:sz w:val="20"/>
        </w:rPr>
      </w:pPr>
      <w:r w:rsidRPr="00DA76AB">
        <w:rPr>
          <w:rFonts w:ascii="Arial" w:hAnsi="Arial" w:cs="Arial"/>
          <w:b w:val="0"/>
          <w:caps w:val="0"/>
          <w:sz w:val="20"/>
        </w:rPr>
        <w:t>Lastly, future researchers may explore additional factors that affect the interplay between resources and teacher monitoring, such as leadership styles, teacher motivation, or school culture. Longitudinal studies could also be conducted to examine how improvements in resource distribution and monitoring mechanisms impact teacher performance and student learning outcomes over time.</w:t>
      </w:r>
    </w:p>
    <w:p w14:paraId="623C416A" w14:textId="77777777" w:rsidR="00465ADA" w:rsidRDefault="00465ADA" w:rsidP="00465ADA">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3ADE35DB" w14:textId="7B025B5E" w:rsidR="00465ADA" w:rsidRDefault="0068411E" w:rsidP="00465ADA">
      <w:pPr>
        <w:pStyle w:val="ReferHead"/>
        <w:spacing w:after="0"/>
        <w:jc w:val="both"/>
        <w:rPr>
          <w:rFonts w:ascii="Arial" w:hAnsi="Arial" w:cs="Arial"/>
          <w:b w:val="0"/>
          <w:caps w:val="0"/>
          <w:sz w:val="20"/>
        </w:rPr>
      </w:pPr>
      <w:r w:rsidRPr="0068411E">
        <w:rPr>
          <w:rFonts w:ascii="Arial" w:hAnsi="Arial" w:cs="Arial"/>
          <w:b w:val="0"/>
          <w:caps w:val="0"/>
          <w:sz w:val="20"/>
        </w:rPr>
        <w:t xml:space="preserve">This study was conducted in full compliance with established ethical standards to protect the rights, dignity, and well-being of all participants. Before beginning data collection, the researcher secured all necessary approvals, including an endorsement from the Dean of the Graduate School of Rizal Memorial Colleges and clearance from the institution’s Ethics Review Committee. The ethical procedures adhered to the framework of </w:t>
      </w:r>
      <w:proofErr w:type="spellStart"/>
      <w:r w:rsidRPr="0068411E">
        <w:rPr>
          <w:rFonts w:ascii="Arial" w:hAnsi="Arial" w:cs="Arial"/>
          <w:b w:val="0"/>
          <w:caps w:val="0"/>
          <w:sz w:val="20"/>
        </w:rPr>
        <w:t>Pregoner</w:t>
      </w:r>
      <w:proofErr w:type="spellEnd"/>
      <w:r w:rsidRPr="0068411E">
        <w:rPr>
          <w:rFonts w:ascii="Arial" w:hAnsi="Arial" w:cs="Arial"/>
          <w:b w:val="0"/>
          <w:caps w:val="0"/>
          <w:sz w:val="20"/>
        </w:rPr>
        <w:t xml:space="preserve"> et al. (2025), which represents best practices in conducting research involving human participants in educational contexts. Participation in the study was entirely voluntary. The respondents—pu</w:t>
      </w:r>
      <w:r w:rsidR="00DA6A85">
        <w:rPr>
          <w:rFonts w:ascii="Arial" w:hAnsi="Arial" w:cs="Arial"/>
          <w:b w:val="0"/>
          <w:caps w:val="0"/>
          <w:sz w:val="20"/>
        </w:rPr>
        <w:t xml:space="preserve">blic elementary school teachers, </w:t>
      </w:r>
      <w:r w:rsidRPr="0068411E">
        <w:rPr>
          <w:rFonts w:ascii="Arial" w:hAnsi="Arial" w:cs="Arial"/>
          <w:b w:val="0"/>
          <w:caps w:val="0"/>
          <w:sz w:val="20"/>
        </w:rPr>
        <w:t>were thoroughly informed about the study’s purpose, objectives, and scope related to chastisement stratagems and social glitches. They were also advised of their right to refuse participation or withdraw at any time without penalty. Informed consent was obtained prior to their involvement. To ensure confidentiality and privacy, no personally identifiable information was requested or recorded. All data collected through the survey instruments were treated with strict confidentiality and used exclusively for academic and research purposes. These ethical safeguards ensured that the study was conducted with integrity, transparency, and a firm commitment to protecting the rights and welfare of all participants.</w:t>
      </w:r>
    </w:p>
    <w:p w14:paraId="22353CBB" w14:textId="77777777" w:rsidR="0068411E" w:rsidRDefault="0068411E" w:rsidP="00465ADA">
      <w:pPr>
        <w:pStyle w:val="ReferHead"/>
        <w:spacing w:after="0"/>
        <w:jc w:val="both"/>
        <w:rPr>
          <w:rFonts w:ascii="Arial" w:hAnsi="Arial" w:cs="Arial"/>
          <w:b w:val="0"/>
          <w:caps w:val="0"/>
          <w:sz w:val="20"/>
        </w:rPr>
      </w:pPr>
    </w:p>
    <w:p w14:paraId="2BC90047" w14:textId="7585ABEF" w:rsidR="00CD4D57" w:rsidRPr="00743213" w:rsidRDefault="00CD4D57" w:rsidP="00CD4D57">
      <w:pPr>
        <w:pStyle w:val="ReferHead"/>
        <w:spacing w:after="0"/>
        <w:jc w:val="both"/>
        <w:rPr>
          <w:rFonts w:ascii="Arial" w:hAnsi="Arial" w:cs="Arial"/>
          <w:b w:val="0"/>
          <w:caps w:val="0"/>
          <w:sz w:val="20"/>
        </w:rPr>
      </w:pPr>
      <w:r w:rsidRPr="00743213">
        <w:rPr>
          <w:rFonts w:ascii="Arial" w:hAnsi="Arial" w:cs="Arial"/>
          <w:b w:val="0"/>
          <w:caps w:val="0"/>
          <w:sz w:val="20"/>
        </w:rPr>
        <w:t>Disclaimer (Artificial Intelligence)</w:t>
      </w:r>
    </w:p>
    <w:p w14:paraId="591C5FF6" w14:textId="77777777" w:rsidR="00CD4D57" w:rsidRPr="00743213" w:rsidRDefault="00CD4D57" w:rsidP="00CD4D57">
      <w:pPr>
        <w:pStyle w:val="ReferHead"/>
        <w:spacing w:after="0"/>
        <w:jc w:val="both"/>
        <w:rPr>
          <w:rFonts w:ascii="Arial" w:hAnsi="Arial" w:cs="Arial"/>
          <w:b w:val="0"/>
          <w:caps w:val="0"/>
          <w:sz w:val="20"/>
        </w:rPr>
      </w:pPr>
    </w:p>
    <w:p w14:paraId="309A34BD" w14:textId="77777777" w:rsidR="00CD4D57" w:rsidRPr="00743213" w:rsidRDefault="00CD4D57" w:rsidP="00CD4D57">
      <w:pPr>
        <w:pStyle w:val="ReferHead"/>
        <w:spacing w:after="0"/>
        <w:jc w:val="both"/>
        <w:rPr>
          <w:rFonts w:ascii="Arial" w:hAnsi="Arial" w:cs="Arial"/>
          <w:b w:val="0"/>
          <w:caps w:val="0"/>
          <w:sz w:val="20"/>
        </w:rPr>
      </w:pPr>
    </w:p>
    <w:p w14:paraId="26E5FE5E" w14:textId="77777777" w:rsidR="00CD4D57" w:rsidRPr="00743213" w:rsidRDefault="00CD4D57" w:rsidP="00CD4D57">
      <w:pPr>
        <w:jc w:val="both"/>
        <w:rPr>
          <w:rFonts w:ascii="Arial" w:eastAsia="Calibri" w:hAnsi="Arial" w:cs="Arial"/>
          <w:kern w:val="2"/>
        </w:rPr>
      </w:pPr>
      <w:r w:rsidRPr="00743213">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743213" w:rsidRDefault="00CD4D57" w:rsidP="00CD4D57">
      <w:pPr>
        <w:jc w:val="both"/>
        <w:rPr>
          <w:rFonts w:ascii="Arial" w:eastAsia="Calibri" w:hAnsi="Arial" w:cs="Arial"/>
          <w:kern w:val="2"/>
        </w:rPr>
      </w:pPr>
    </w:p>
    <w:p w14:paraId="4B95E7D5" w14:textId="77777777" w:rsidR="00CD4D57" w:rsidRPr="00743213" w:rsidRDefault="00CD4D57" w:rsidP="00CD4D57">
      <w:pPr>
        <w:numPr>
          <w:ilvl w:val="0"/>
          <w:numId w:val="4"/>
        </w:numPr>
        <w:ind w:left="540"/>
        <w:jc w:val="both"/>
        <w:rPr>
          <w:rFonts w:ascii="Arial" w:eastAsia="Calibri" w:hAnsi="Arial" w:cs="Arial"/>
          <w:kern w:val="2"/>
        </w:rPr>
      </w:pPr>
      <w:r w:rsidRPr="00743213">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743213" w:rsidRDefault="00CD4D57" w:rsidP="00CD4D57">
      <w:pPr>
        <w:numPr>
          <w:ilvl w:val="0"/>
          <w:numId w:val="4"/>
        </w:numPr>
        <w:ind w:left="540"/>
        <w:jc w:val="both"/>
        <w:rPr>
          <w:rFonts w:ascii="Arial" w:hAnsi="Arial" w:cs="Arial"/>
        </w:rPr>
      </w:pPr>
      <w:proofErr w:type="spellStart"/>
      <w:r w:rsidRPr="00743213">
        <w:rPr>
          <w:rFonts w:ascii="Arial" w:eastAsia="Calibri" w:hAnsi="Arial" w:cs="Arial"/>
          <w:kern w:val="2"/>
        </w:rPr>
        <w:t>Quillbot</w:t>
      </w:r>
      <w:proofErr w:type="spellEnd"/>
      <w:r w:rsidRPr="00743213">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6301322E" w14:textId="77777777" w:rsidR="004648A3" w:rsidRDefault="004648A3" w:rsidP="004648A3">
      <w:pPr>
        <w:ind w:left="720" w:hanging="720"/>
      </w:pPr>
    </w:p>
    <w:p w14:paraId="510893D8" w14:textId="4225BC1B" w:rsidR="004648A3" w:rsidRDefault="004648A3" w:rsidP="00465ADA">
      <w:pPr>
        <w:ind w:left="720" w:hanging="720"/>
        <w:rPr>
          <w:rFonts w:ascii="Arial" w:hAnsi="Arial" w:cs="Arial"/>
          <w:color w:val="222222"/>
          <w:shd w:val="clear" w:color="auto" w:fill="FFFFFF"/>
        </w:rPr>
      </w:pPr>
    </w:p>
    <w:p w14:paraId="068A2674" w14:textId="77777777" w:rsidR="006F4A78" w:rsidRPr="00A10D58" w:rsidRDefault="006F4A78" w:rsidP="006F4A78">
      <w:pPr>
        <w:ind w:left="720" w:hanging="720"/>
        <w:rPr>
          <w:color w:val="000000" w:themeColor="text1"/>
        </w:rPr>
      </w:pPr>
    </w:p>
    <w:p w14:paraId="7CF1D381"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lastRenderedPageBreak/>
        <w:t xml:space="preserve">Adeleke, A. A., </w:t>
      </w:r>
      <w:proofErr w:type="spellStart"/>
      <w:r w:rsidRPr="00A10D58">
        <w:rPr>
          <w:rFonts w:ascii="Arial" w:hAnsi="Arial" w:cs="Arial"/>
          <w:color w:val="000000" w:themeColor="text1"/>
          <w:shd w:val="clear" w:color="auto" w:fill="FFFFFF"/>
        </w:rPr>
        <w:t>Orunbon</w:t>
      </w:r>
      <w:proofErr w:type="spellEnd"/>
      <w:r w:rsidRPr="00A10D58">
        <w:rPr>
          <w:rFonts w:ascii="Arial" w:hAnsi="Arial" w:cs="Arial"/>
          <w:color w:val="000000" w:themeColor="text1"/>
          <w:shd w:val="clear" w:color="auto" w:fill="FFFFFF"/>
        </w:rPr>
        <w:t xml:space="preserve">, N. O., Shahid, A., </w:t>
      </w:r>
      <w:proofErr w:type="spellStart"/>
      <w:r w:rsidRPr="00A10D58">
        <w:rPr>
          <w:rFonts w:ascii="Arial" w:hAnsi="Arial" w:cs="Arial"/>
          <w:color w:val="000000" w:themeColor="text1"/>
          <w:shd w:val="clear" w:color="auto" w:fill="FFFFFF"/>
        </w:rPr>
        <w:t>Mowafaq</w:t>
      </w:r>
      <w:proofErr w:type="spellEnd"/>
      <w:r w:rsidRPr="00A10D58">
        <w:rPr>
          <w:rFonts w:ascii="Arial" w:hAnsi="Arial" w:cs="Arial"/>
          <w:color w:val="000000" w:themeColor="text1"/>
          <w:shd w:val="clear" w:color="auto" w:fill="FFFFFF"/>
        </w:rPr>
        <w:t xml:space="preserve">, F., &amp; Majid, A. (2024). Revolutionizing Education Harnessing Technology </w:t>
      </w:r>
      <w:proofErr w:type="gramStart"/>
      <w:r w:rsidRPr="00A10D58">
        <w:rPr>
          <w:rFonts w:ascii="Arial" w:hAnsi="Arial" w:cs="Arial"/>
          <w:color w:val="000000" w:themeColor="text1"/>
          <w:shd w:val="clear" w:color="auto" w:fill="FFFFFF"/>
        </w:rPr>
        <w:t>For</w:t>
      </w:r>
      <w:proofErr w:type="gramEnd"/>
      <w:r w:rsidRPr="00A10D58">
        <w:rPr>
          <w:rFonts w:ascii="Arial" w:hAnsi="Arial" w:cs="Arial"/>
          <w:color w:val="000000" w:themeColor="text1"/>
          <w:shd w:val="clear" w:color="auto" w:fill="FFFFFF"/>
        </w:rPr>
        <w:t xml:space="preserve"> Efficient School Management. </w:t>
      </w:r>
      <w:r w:rsidRPr="00A10D58">
        <w:rPr>
          <w:rFonts w:ascii="Arial" w:hAnsi="Arial" w:cs="Arial"/>
          <w:i/>
          <w:iCs/>
          <w:color w:val="000000" w:themeColor="text1"/>
          <w:shd w:val="clear" w:color="auto" w:fill="FFFFFF"/>
        </w:rPr>
        <w:t>Library of Progress-Library Science, Information Technology &amp; Computer</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44</w:t>
      </w:r>
      <w:r w:rsidRPr="00A10D58">
        <w:rPr>
          <w:rFonts w:ascii="Arial" w:hAnsi="Arial" w:cs="Arial"/>
          <w:color w:val="000000" w:themeColor="text1"/>
          <w:shd w:val="clear" w:color="auto" w:fill="FFFFFF"/>
        </w:rPr>
        <w:t xml:space="preserve">(3). </w:t>
      </w:r>
      <w:hyperlink r:id="rId14" w:history="1">
        <w:r w:rsidRPr="00A10D58">
          <w:rPr>
            <w:rStyle w:val="Hyperlink"/>
            <w:rFonts w:ascii="Arial" w:hAnsi="Arial" w:cs="Arial"/>
            <w:color w:val="000000" w:themeColor="text1"/>
            <w:u w:val="none"/>
            <w:shd w:val="clear" w:color="auto" w:fill="FFFFFF"/>
          </w:rPr>
          <w:t>https://search.ebscohost.com/login.aspx?direct=true&amp;profile=ehost&amp;scope=site&amp;authtype=crawler&amp;jrnl=09701052&amp;AN=180919184&amp;h=nnZWZLkf4SLeLQqsE%2B%2FNLsz97aEoay%2FTDe1h%2F%2Fq8m1%2FVqz%2BOpMlUTXxevcUT3SciO5QBhBclvkfWIESO2LwmmA%3D%3D&amp;crl=c</w:t>
        </w:r>
      </w:hyperlink>
    </w:p>
    <w:p w14:paraId="644BF1E0"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Alam</w:t>
      </w:r>
      <w:proofErr w:type="spellEnd"/>
      <w:r w:rsidRPr="00A10D58">
        <w:rPr>
          <w:rFonts w:ascii="Arial" w:hAnsi="Arial" w:cs="Arial"/>
          <w:color w:val="000000" w:themeColor="text1"/>
          <w:shd w:val="clear" w:color="auto" w:fill="FFFFFF"/>
        </w:rPr>
        <w:t>, A. (2021, November). Possibilities and apprehensions in the landscape of artificial intelligence in education. In </w:t>
      </w:r>
      <w:r w:rsidRPr="00A10D58">
        <w:rPr>
          <w:rFonts w:ascii="Arial" w:hAnsi="Arial" w:cs="Arial"/>
          <w:i/>
          <w:iCs/>
          <w:color w:val="000000" w:themeColor="text1"/>
          <w:shd w:val="clear" w:color="auto" w:fill="FFFFFF"/>
        </w:rPr>
        <w:t>2021 International conference on computational intelligence and computing applications (ICCICA)</w:t>
      </w:r>
      <w:r w:rsidRPr="00A10D58">
        <w:rPr>
          <w:rFonts w:ascii="Arial" w:hAnsi="Arial" w:cs="Arial"/>
          <w:color w:val="000000" w:themeColor="text1"/>
          <w:shd w:val="clear" w:color="auto" w:fill="FFFFFF"/>
        </w:rPr>
        <w:t xml:space="preserve"> (pp. 1-8). IEEE. </w:t>
      </w:r>
      <w:hyperlink r:id="rId15" w:history="1">
        <w:r w:rsidRPr="00A10D58">
          <w:rPr>
            <w:rStyle w:val="Hyperlink"/>
            <w:rFonts w:ascii="Arial" w:hAnsi="Arial" w:cs="Arial"/>
            <w:color w:val="000000" w:themeColor="text1"/>
            <w:u w:val="none"/>
            <w:shd w:val="clear" w:color="auto" w:fill="FFFFFF"/>
          </w:rPr>
          <w:t>https://ieeexplore.ieee.org/abstract/document/9697272/</w:t>
        </w:r>
      </w:hyperlink>
    </w:p>
    <w:p w14:paraId="508AFB83"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Almatroushi</w:t>
      </w:r>
      <w:proofErr w:type="spellEnd"/>
      <w:r w:rsidRPr="00A10D58">
        <w:rPr>
          <w:rFonts w:ascii="Arial" w:hAnsi="Arial" w:cs="Arial"/>
          <w:color w:val="000000" w:themeColor="text1"/>
          <w:shd w:val="clear" w:color="auto" w:fill="FFFFFF"/>
        </w:rPr>
        <w:t xml:space="preserve">, H., </w:t>
      </w:r>
      <w:proofErr w:type="spellStart"/>
      <w:r w:rsidRPr="00A10D58">
        <w:rPr>
          <w:rFonts w:ascii="Arial" w:hAnsi="Arial" w:cs="Arial"/>
          <w:color w:val="000000" w:themeColor="text1"/>
          <w:shd w:val="clear" w:color="auto" w:fill="FFFFFF"/>
        </w:rPr>
        <w:t>Hariga</w:t>
      </w:r>
      <w:proofErr w:type="spellEnd"/>
      <w:r w:rsidRPr="00A10D58">
        <w:rPr>
          <w:rFonts w:ascii="Arial" w:hAnsi="Arial" w:cs="Arial"/>
          <w:color w:val="000000" w:themeColor="text1"/>
          <w:shd w:val="clear" w:color="auto" w:fill="FFFFFF"/>
        </w:rPr>
        <w:t>, M., As' ad, R., &amp; Al-Bar, A. (2020). The multi resource leveling and materials procurement problem: an integrated approach. </w:t>
      </w:r>
      <w:r w:rsidRPr="00A10D58">
        <w:rPr>
          <w:rFonts w:ascii="Arial" w:hAnsi="Arial" w:cs="Arial"/>
          <w:i/>
          <w:iCs/>
          <w:color w:val="000000" w:themeColor="text1"/>
          <w:shd w:val="clear" w:color="auto" w:fill="FFFFFF"/>
        </w:rPr>
        <w:t>Engineering, Construction and Architectural Management</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27</w:t>
      </w:r>
      <w:r w:rsidRPr="00A10D58">
        <w:rPr>
          <w:rFonts w:ascii="Arial" w:hAnsi="Arial" w:cs="Arial"/>
          <w:color w:val="000000" w:themeColor="text1"/>
          <w:shd w:val="clear" w:color="auto" w:fill="FFFFFF"/>
        </w:rPr>
        <w:t xml:space="preserve">(9), 2135-2161. </w:t>
      </w:r>
      <w:hyperlink r:id="rId16" w:history="1">
        <w:r w:rsidRPr="00A10D58">
          <w:rPr>
            <w:rStyle w:val="Hyperlink"/>
            <w:rFonts w:ascii="Arial" w:hAnsi="Arial" w:cs="Arial"/>
            <w:color w:val="000000" w:themeColor="text1"/>
            <w:u w:val="none"/>
            <w:shd w:val="clear" w:color="auto" w:fill="FFFFFF"/>
          </w:rPr>
          <w:t>https://www.emerald.com/insight/content/doi/10.1108/ECAM-10-2019-0563/full/html</w:t>
        </w:r>
      </w:hyperlink>
    </w:p>
    <w:p w14:paraId="7EDFA1F5"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Atieh</w:t>
      </w:r>
      <w:proofErr w:type="spellEnd"/>
      <w:r w:rsidRPr="00A10D58">
        <w:rPr>
          <w:rFonts w:ascii="Arial" w:hAnsi="Arial" w:cs="Arial"/>
          <w:color w:val="000000" w:themeColor="text1"/>
          <w:shd w:val="clear" w:color="auto" w:fill="FFFFFF"/>
        </w:rPr>
        <w:t>, A. T. (2021). Establishing Efficient IT Operations Management through Efficient Monitoring, Process Optimization, and Effective IT Policies. </w:t>
      </w:r>
      <w:r w:rsidRPr="00A10D58">
        <w:rPr>
          <w:rFonts w:ascii="Arial" w:hAnsi="Arial" w:cs="Arial"/>
          <w:i/>
          <w:iCs/>
          <w:color w:val="000000" w:themeColor="text1"/>
          <w:shd w:val="clear" w:color="auto" w:fill="FFFFFF"/>
        </w:rPr>
        <w:t>Empirical Quests for Management Essences</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1</w:t>
      </w:r>
      <w:r w:rsidRPr="00A10D58">
        <w:rPr>
          <w:rFonts w:ascii="Arial" w:hAnsi="Arial" w:cs="Arial"/>
          <w:color w:val="000000" w:themeColor="text1"/>
          <w:shd w:val="clear" w:color="auto" w:fill="FFFFFF"/>
        </w:rPr>
        <w:t xml:space="preserve">(1), 1-12. </w:t>
      </w:r>
      <w:hyperlink r:id="rId17" w:history="1">
        <w:r w:rsidRPr="00A10D58">
          <w:rPr>
            <w:rStyle w:val="Hyperlink"/>
            <w:rFonts w:ascii="Arial" w:hAnsi="Arial" w:cs="Arial"/>
            <w:color w:val="000000" w:themeColor="text1"/>
            <w:u w:val="none"/>
            <w:shd w:val="clear" w:color="auto" w:fill="FFFFFF"/>
          </w:rPr>
          <w:t>https://core.ac.uk/download/pdf/560380615.pdf</w:t>
        </w:r>
      </w:hyperlink>
    </w:p>
    <w:p w14:paraId="64553E3F"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 xml:space="preserve">Cress, C. M., Collier, P. J., &amp; </w:t>
      </w:r>
      <w:proofErr w:type="spellStart"/>
      <w:r w:rsidRPr="00A10D58">
        <w:rPr>
          <w:rFonts w:ascii="Arial" w:hAnsi="Arial" w:cs="Arial"/>
          <w:color w:val="000000" w:themeColor="text1"/>
          <w:shd w:val="clear" w:color="auto" w:fill="FFFFFF"/>
        </w:rPr>
        <w:t>Reitenauer</w:t>
      </w:r>
      <w:proofErr w:type="spellEnd"/>
      <w:r w:rsidRPr="00A10D58">
        <w:rPr>
          <w:rFonts w:ascii="Arial" w:hAnsi="Arial" w:cs="Arial"/>
          <w:color w:val="000000" w:themeColor="text1"/>
          <w:shd w:val="clear" w:color="auto" w:fill="FFFFFF"/>
        </w:rPr>
        <w:t>, V. L. (2023). </w:t>
      </w:r>
      <w:r w:rsidRPr="00A10D58">
        <w:rPr>
          <w:rFonts w:ascii="Arial" w:hAnsi="Arial" w:cs="Arial"/>
          <w:i/>
          <w:iCs/>
          <w:color w:val="000000" w:themeColor="text1"/>
          <w:shd w:val="clear" w:color="auto" w:fill="FFFFFF"/>
        </w:rPr>
        <w:t>Learning through serving: A student guidebook for service-learning and civic engagement across academic disciplines and cultural communities</w:t>
      </w:r>
      <w:r w:rsidRPr="00A10D58">
        <w:rPr>
          <w:rFonts w:ascii="Arial" w:hAnsi="Arial" w:cs="Arial"/>
          <w:color w:val="000000" w:themeColor="text1"/>
          <w:shd w:val="clear" w:color="auto" w:fill="FFFFFF"/>
        </w:rPr>
        <w:t xml:space="preserve">. Taylor &amp; Francis. </w:t>
      </w:r>
      <w:hyperlink r:id="rId18" w:history="1">
        <w:r w:rsidRPr="00A10D58">
          <w:rPr>
            <w:rStyle w:val="Hyperlink"/>
            <w:rFonts w:ascii="Arial" w:hAnsi="Arial" w:cs="Arial"/>
            <w:color w:val="000000" w:themeColor="text1"/>
            <w:u w:val="none"/>
            <w:shd w:val="clear" w:color="auto" w:fill="FFFFFF"/>
          </w:rPr>
          <w:t>https://books.google.com/books?hl=en&amp;lr=&amp;id=Ng_JEAAAQBAJ&amp;oi=fnd&amp;pg=PT17&amp;dq=Effective+distribution+of+teaching+and+learning+resources+is+essential+to+ensure+that+educational+programs+are+challenging+and+engaging+for+students,+while+also+respecting+the+values+and+sensitivities+of+the+wider+school+community.&amp;ots=B7z_EB-qEV&amp;sig=-CIWg7bcxdCiX-CQwVbx9AfTXm8</w:t>
        </w:r>
      </w:hyperlink>
    </w:p>
    <w:p w14:paraId="3541D5AC"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Díez</w:t>
      </w:r>
      <w:proofErr w:type="spellEnd"/>
      <w:r w:rsidRPr="00A10D58">
        <w:rPr>
          <w:rFonts w:ascii="Arial" w:hAnsi="Arial" w:cs="Arial"/>
          <w:color w:val="000000" w:themeColor="text1"/>
          <w:shd w:val="clear" w:color="auto" w:fill="FFFFFF"/>
        </w:rPr>
        <w:t xml:space="preserve">, F., Villa, A., López, A. L., &amp; </w:t>
      </w:r>
      <w:proofErr w:type="spellStart"/>
      <w:r w:rsidRPr="00A10D58">
        <w:rPr>
          <w:rFonts w:ascii="Arial" w:hAnsi="Arial" w:cs="Arial"/>
          <w:color w:val="000000" w:themeColor="text1"/>
          <w:shd w:val="clear" w:color="auto" w:fill="FFFFFF"/>
        </w:rPr>
        <w:t>Iraurgi</w:t>
      </w:r>
      <w:proofErr w:type="spellEnd"/>
      <w:r w:rsidRPr="00A10D58">
        <w:rPr>
          <w:rFonts w:ascii="Arial" w:hAnsi="Arial" w:cs="Arial"/>
          <w:color w:val="000000" w:themeColor="text1"/>
          <w:shd w:val="clear" w:color="auto" w:fill="FFFFFF"/>
        </w:rPr>
        <w:t>, I. (2020). Impact of quality management systems in the performance of educational centers: educational policies and management processes. </w:t>
      </w:r>
      <w:proofErr w:type="spellStart"/>
      <w:r w:rsidRPr="00A10D58">
        <w:rPr>
          <w:rFonts w:ascii="Arial" w:hAnsi="Arial" w:cs="Arial"/>
          <w:i/>
          <w:iCs/>
          <w:color w:val="000000" w:themeColor="text1"/>
          <w:shd w:val="clear" w:color="auto" w:fill="FFFFFF"/>
        </w:rPr>
        <w:t>Heliyon</w:t>
      </w:r>
      <w:proofErr w:type="spellEnd"/>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6</w:t>
      </w:r>
      <w:r w:rsidRPr="00A10D58">
        <w:rPr>
          <w:rFonts w:ascii="Arial" w:hAnsi="Arial" w:cs="Arial"/>
          <w:color w:val="000000" w:themeColor="text1"/>
          <w:shd w:val="clear" w:color="auto" w:fill="FFFFFF"/>
        </w:rPr>
        <w:t xml:space="preserve">(4). </w:t>
      </w:r>
      <w:hyperlink r:id="rId19" w:history="1">
        <w:r w:rsidRPr="00A10D58">
          <w:rPr>
            <w:rStyle w:val="Hyperlink"/>
            <w:rFonts w:ascii="Arial" w:hAnsi="Arial" w:cs="Arial"/>
            <w:color w:val="000000" w:themeColor="text1"/>
            <w:u w:val="none"/>
            <w:shd w:val="clear" w:color="auto" w:fill="FFFFFF"/>
          </w:rPr>
          <w:t>https://www.cell.com/heliyon/fulltext/S2405-8440(20)30669-1</w:t>
        </w:r>
      </w:hyperlink>
    </w:p>
    <w:p w14:paraId="39AEF8B5"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Fitas</w:t>
      </w:r>
      <w:proofErr w:type="spellEnd"/>
      <w:r w:rsidRPr="00A10D58">
        <w:rPr>
          <w:rFonts w:ascii="Arial" w:hAnsi="Arial" w:cs="Arial"/>
          <w:color w:val="000000" w:themeColor="text1"/>
          <w:shd w:val="clear" w:color="auto" w:fill="FFFFFF"/>
        </w:rPr>
        <w:t>, R. (2025). Inclusive Education with AI: Supporting Special Needs and Tackling Language Barriers. </w:t>
      </w:r>
      <w:proofErr w:type="spellStart"/>
      <w:r w:rsidRPr="00A10D58">
        <w:rPr>
          <w:rFonts w:ascii="Arial" w:hAnsi="Arial" w:cs="Arial"/>
          <w:i/>
          <w:iCs/>
          <w:color w:val="000000" w:themeColor="text1"/>
          <w:shd w:val="clear" w:color="auto" w:fill="FFFFFF"/>
        </w:rPr>
        <w:t>arXiv</w:t>
      </w:r>
      <w:proofErr w:type="spellEnd"/>
      <w:r w:rsidRPr="00A10D58">
        <w:rPr>
          <w:rFonts w:ascii="Arial" w:hAnsi="Arial" w:cs="Arial"/>
          <w:i/>
          <w:iCs/>
          <w:color w:val="000000" w:themeColor="text1"/>
          <w:shd w:val="clear" w:color="auto" w:fill="FFFFFF"/>
        </w:rPr>
        <w:t xml:space="preserve"> preprint arXiv:2504.14120</w:t>
      </w:r>
      <w:r w:rsidRPr="00A10D58">
        <w:rPr>
          <w:rFonts w:ascii="Arial" w:hAnsi="Arial" w:cs="Arial"/>
          <w:color w:val="000000" w:themeColor="text1"/>
          <w:shd w:val="clear" w:color="auto" w:fill="FFFFFF"/>
        </w:rPr>
        <w:t xml:space="preserve">. </w:t>
      </w:r>
      <w:hyperlink r:id="rId20" w:history="1">
        <w:r w:rsidRPr="00A10D58">
          <w:rPr>
            <w:rStyle w:val="Hyperlink"/>
            <w:rFonts w:ascii="Arial" w:hAnsi="Arial" w:cs="Arial"/>
            <w:color w:val="000000" w:themeColor="text1"/>
            <w:u w:val="none"/>
            <w:shd w:val="clear" w:color="auto" w:fill="FFFFFF"/>
          </w:rPr>
          <w:t>https://arxiv.org/abs/2504.14120</w:t>
        </w:r>
      </w:hyperlink>
    </w:p>
    <w:p w14:paraId="08880DB3"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Girardin, R. (2022). Making Hazelwood Age-Appropriate: How Viewpoint Neutrality and Recontextualizing the Age-Appropriate Standard Might Save School-Sponsored LGBT Speech. </w:t>
      </w:r>
      <w:r w:rsidRPr="00A10D58">
        <w:rPr>
          <w:rFonts w:ascii="Arial" w:hAnsi="Arial" w:cs="Arial"/>
          <w:i/>
          <w:iCs/>
          <w:color w:val="000000" w:themeColor="text1"/>
          <w:shd w:val="clear" w:color="auto" w:fill="FFFFFF"/>
        </w:rPr>
        <w:t xml:space="preserve">Wm. &amp; Mary Bill </w:t>
      </w:r>
      <w:proofErr w:type="spellStart"/>
      <w:r w:rsidRPr="00A10D58">
        <w:rPr>
          <w:rFonts w:ascii="Arial" w:hAnsi="Arial" w:cs="Arial"/>
          <w:i/>
          <w:iCs/>
          <w:color w:val="000000" w:themeColor="text1"/>
          <w:shd w:val="clear" w:color="auto" w:fill="FFFFFF"/>
        </w:rPr>
        <w:t>Rts</w:t>
      </w:r>
      <w:proofErr w:type="spellEnd"/>
      <w:r w:rsidRPr="00A10D58">
        <w:rPr>
          <w:rFonts w:ascii="Arial" w:hAnsi="Arial" w:cs="Arial"/>
          <w:i/>
          <w:iCs/>
          <w:color w:val="000000" w:themeColor="text1"/>
          <w:shd w:val="clear" w:color="auto" w:fill="FFFFFF"/>
        </w:rPr>
        <w:t>. J.</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31</w:t>
      </w:r>
      <w:r w:rsidRPr="00A10D58">
        <w:rPr>
          <w:rFonts w:ascii="Arial" w:hAnsi="Arial" w:cs="Arial"/>
          <w:color w:val="000000" w:themeColor="text1"/>
          <w:shd w:val="clear" w:color="auto" w:fill="FFFFFF"/>
        </w:rPr>
        <w:t xml:space="preserve">, 209. </w:t>
      </w:r>
      <w:hyperlink r:id="rId21" w:history="1">
        <w:r w:rsidRPr="00A10D58">
          <w:rPr>
            <w:rStyle w:val="Hyperlink"/>
            <w:rFonts w:ascii="Arial" w:hAnsi="Arial" w:cs="Arial"/>
            <w:color w:val="000000" w:themeColor="text1"/>
            <w:u w:val="none"/>
            <w:shd w:val="clear" w:color="auto" w:fill="FFFFFF"/>
          </w:rPr>
          <w:t>https://heinonline.org/hol-cgi-bin/get_pdf.cgi?handle=hein.journals/wmbrts31&amp;section=8</w:t>
        </w:r>
      </w:hyperlink>
    </w:p>
    <w:p w14:paraId="66824C9D"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Katel</w:t>
      </w:r>
      <w:proofErr w:type="spellEnd"/>
      <w:r w:rsidRPr="00A10D58">
        <w:rPr>
          <w:rFonts w:ascii="Arial" w:hAnsi="Arial" w:cs="Arial"/>
          <w:color w:val="000000" w:themeColor="text1"/>
          <w:shd w:val="clear" w:color="auto" w:fill="FFFFFF"/>
        </w:rPr>
        <w:t>, K. P. (2023). Teachers’ Motivational Factors and Student Learning Achievements. </w:t>
      </w:r>
      <w:proofErr w:type="spellStart"/>
      <w:r w:rsidRPr="00A10D58">
        <w:rPr>
          <w:rFonts w:ascii="Arial" w:hAnsi="Arial" w:cs="Arial"/>
          <w:i/>
          <w:iCs/>
          <w:color w:val="000000" w:themeColor="text1"/>
          <w:shd w:val="clear" w:color="auto" w:fill="FFFFFF"/>
        </w:rPr>
        <w:t>Solukhumbu</w:t>
      </w:r>
      <w:proofErr w:type="spellEnd"/>
      <w:r w:rsidRPr="00A10D58">
        <w:rPr>
          <w:rFonts w:ascii="Arial" w:hAnsi="Arial" w:cs="Arial"/>
          <w:i/>
          <w:iCs/>
          <w:color w:val="000000" w:themeColor="text1"/>
          <w:shd w:val="clear" w:color="auto" w:fill="FFFFFF"/>
        </w:rPr>
        <w:t xml:space="preserve"> Multiple Campus Research Journal</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5</w:t>
      </w:r>
      <w:r w:rsidRPr="00A10D58">
        <w:rPr>
          <w:rFonts w:ascii="Arial" w:hAnsi="Arial" w:cs="Arial"/>
          <w:color w:val="000000" w:themeColor="text1"/>
          <w:shd w:val="clear" w:color="auto" w:fill="FFFFFF"/>
        </w:rPr>
        <w:t xml:space="preserve">(1), 1-14. </w:t>
      </w:r>
      <w:hyperlink r:id="rId22" w:history="1">
        <w:r w:rsidRPr="00A10D58">
          <w:rPr>
            <w:rStyle w:val="Hyperlink"/>
            <w:rFonts w:ascii="Arial" w:hAnsi="Arial" w:cs="Arial"/>
            <w:color w:val="000000" w:themeColor="text1"/>
            <w:u w:val="none"/>
            <w:shd w:val="clear" w:color="auto" w:fill="FFFFFF"/>
          </w:rPr>
          <w:t>https://nepjol.info/index.php/smcrj/article/view/64887</w:t>
        </w:r>
      </w:hyperlink>
    </w:p>
    <w:p w14:paraId="2FC212E8"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 xml:space="preserve">Liu, B. (2024). </w:t>
      </w:r>
      <w:proofErr w:type="spellStart"/>
      <w:r w:rsidRPr="00A10D58">
        <w:rPr>
          <w:rFonts w:ascii="Arial" w:hAnsi="Arial" w:cs="Arial"/>
          <w:color w:val="000000" w:themeColor="text1"/>
          <w:shd w:val="clear" w:color="auto" w:fill="FFFFFF"/>
        </w:rPr>
        <w:t>Strategie</w:t>
      </w:r>
      <w:proofErr w:type="spellEnd"/>
      <w:r w:rsidRPr="00A10D58">
        <w:rPr>
          <w:rFonts w:ascii="Arial" w:hAnsi="Arial" w:cs="Arial"/>
          <w:color w:val="000000" w:themeColor="text1"/>
          <w:shd w:val="clear" w:color="auto" w:fill="FFFFFF"/>
        </w:rPr>
        <w:t xml:space="preserve"> Planning and Resource Allocation in Higher Education Institutions. </w:t>
      </w:r>
      <w:r w:rsidRPr="00A10D58">
        <w:rPr>
          <w:rFonts w:ascii="Arial" w:hAnsi="Arial" w:cs="Arial"/>
          <w:i/>
          <w:iCs/>
          <w:color w:val="000000" w:themeColor="text1"/>
          <w:shd w:val="clear" w:color="auto" w:fill="FFFFFF"/>
        </w:rPr>
        <w:t>The Educational Review, USA</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8</w:t>
      </w:r>
      <w:r w:rsidRPr="00A10D58">
        <w:rPr>
          <w:rFonts w:ascii="Arial" w:hAnsi="Arial" w:cs="Arial"/>
          <w:color w:val="000000" w:themeColor="text1"/>
          <w:shd w:val="clear" w:color="auto" w:fill="FFFFFF"/>
        </w:rPr>
        <w:t xml:space="preserve">(11), 1359-1364. </w:t>
      </w:r>
      <w:hyperlink r:id="rId23" w:history="1">
        <w:r w:rsidRPr="00A10D58">
          <w:rPr>
            <w:rStyle w:val="Hyperlink"/>
            <w:rFonts w:ascii="Arial" w:hAnsi="Arial" w:cs="Arial"/>
            <w:color w:val="000000" w:themeColor="text1"/>
            <w:u w:val="none"/>
            <w:shd w:val="clear" w:color="auto" w:fill="FFFFFF"/>
          </w:rPr>
          <w:t>https://search.proquest.com/openview/64844d3eaab63816b102688d310cefbb/1?pq-origsite=gscholar&amp;cbl=2050634</w:t>
        </w:r>
      </w:hyperlink>
    </w:p>
    <w:p w14:paraId="435C0906"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Meng, S. (2023). Enhancing teaching and learning: Aligning instructional practices with education quality standards. </w:t>
      </w:r>
      <w:r w:rsidRPr="00A10D58">
        <w:rPr>
          <w:rFonts w:ascii="Arial" w:hAnsi="Arial" w:cs="Arial"/>
          <w:i/>
          <w:iCs/>
          <w:color w:val="000000" w:themeColor="text1"/>
          <w:shd w:val="clear" w:color="auto" w:fill="FFFFFF"/>
        </w:rPr>
        <w:t>Research and Advances in Education</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2</w:t>
      </w:r>
      <w:r w:rsidRPr="00A10D58">
        <w:rPr>
          <w:rFonts w:ascii="Arial" w:hAnsi="Arial" w:cs="Arial"/>
          <w:color w:val="000000" w:themeColor="text1"/>
          <w:shd w:val="clear" w:color="auto" w:fill="FFFFFF"/>
        </w:rPr>
        <w:t xml:space="preserve">(7), 17-31. </w:t>
      </w:r>
      <w:hyperlink r:id="rId24" w:history="1">
        <w:r w:rsidRPr="00A10D58">
          <w:rPr>
            <w:rStyle w:val="Hyperlink"/>
            <w:rFonts w:ascii="Arial" w:hAnsi="Arial" w:cs="Arial"/>
            <w:color w:val="000000" w:themeColor="text1"/>
            <w:u w:val="none"/>
            <w:shd w:val="clear" w:color="auto" w:fill="FFFFFF"/>
          </w:rPr>
          <w:t>https://www.paradigmpress.org/rae/article/view/703</w:t>
        </w:r>
      </w:hyperlink>
    </w:p>
    <w:p w14:paraId="3CD3149B"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Mohajan</w:t>
      </w:r>
      <w:proofErr w:type="spellEnd"/>
      <w:r w:rsidRPr="00A10D58">
        <w:rPr>
          <w:rFonts w:ascii="Arial" w:hAnsi="Arial" w:cs="Arial"/>
          <w:color w:val="000000" w:themeColor="text1"/>
          <w:shd w:val="clear" w:color="auto" w:fill="FFFFFF"/>
        </w:rPr>
        <w:t>, H. K. (2020). Quantitative research: A successful investigation in natural and social sciences. </w:t>
      </w:r>
      <w:r w:rsidRPr="00A10D58">
        <w:rPr>
          <w:rFonts w:ascii="Arial" w:hAnsi="Arial" w:cs="Arial"/>
          <w:i/>
          <w:iCs/>
          <w:color w:val="000000" w:themeColor="text1"/>
          <w:shd w:val="clear" w:color="auto" w:fill="FFFFFF"/>
        </w:rPr>
        <w:t>Journal of economic development, environment and people</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9</w:t>
      </w:r>
      <w:r w:rsidRPr="00A10D58">
        <w:rPr>
          <w:rFonts w:ascii="Arial" w:hAnsi="Arial" w:cs="Arial"/>
          <w:color w:val="000000" w:themeColor="text1"/>
          <w:shd w:val="clear" w:color="auto" w:fill="FFFFFF"/>
        </w:rPr>
        <w:t xml:space="preserve">(4), 50-79. </w:t>
      </w:r>
      <w:hyperlink r:id="rId25" w:history="1">
        <w:r w:rsidRPr="00A10D58">
          <w:rPr>
            <w:rStyle w:val="Hyperlink"/>
            <w:rFonts w:ascii="Arial" w:hAnsi="Arial" w:cs="Arial"/>
            <w:color w:val="000000" w:themeColor="text1"/>
            <w:u w:val="none"/>
            <w:shd w:val="clear" w:color="auto" w:fill="FFFFFF"/>
          </w:rPr>
          <w:t>https://www.ceeol.com/search/article-detail?id=939590</w:t>
        </w:r>
      </w:hyperlink>
    </w:p>
    <w:p w14:paraId="08CA4798"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Nadeem, M. (2024). Distributed leadership in educational contexts: A catalyst for school improvement. </w:t>
      </w:r>
      <w:r w:rsidRPr="00A10D58">
        <w:rPr>
          <w:rFonts w:ascii="Arial" w:hAnsi="Arial" w:cs="Arial"/>
          <w:i/>
          <w:iCs/>
          <w:color w:val="000000" w:themeColor="text1"/>
          <w:shd w:val="clear" w:color="auto" w:fill="FFFFFF"/>
        </w:rPr>
        <w:t>Social Sciences &amp; Humanities Open</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9</w:t>
      </w:r>
      <w:r w:rsidRPr="00A10D58">
        <w:rPr>
          <w:rFonts w:ascii="Arial" w:hAnsi="Arial" w:cs="Arial"/>
          <w:color w:val="000000" w:themeColor="text1"/>
          <w:shd w:val="clear" w:color="auto" w:fill="FFFFFF"/>
        </w:rPr>
        <w:t xml:space="preserve">, 100835. </w:t>
      </w:r>
      <w:hyperlink r:id="rId26" w:history="1">
        <w:r w:rsidRPr="00A10D58">
          <w:rPr>
            <w:rStyle w:val="Hyperlink"/>
            <w:rFonts w:ascii="Arial" w:hAnsi="Arial" w:cs="Arial"/>
            <w:color w:val="000000" w:themeColor="text1"/>
            <w:u w:val="none"/>
            <w:shd w:val="clear" w:color="auto" w:fill="FFFFFF"/>
          </w:rPr>
          <w:t>https://www.sciencedirect.com/science/article/pii/S2590291124000329</w:t>
        </w:r>
      </w:hyperlink>
    </w:p>
    <w:p w14:paraId="5329380F"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lastRenderedPageBreak/>
        <w:t>Nwuke</w:t>
      </w:r>
      <w:proofErr w:type="spellEnd"/>
      <w:r w:rsidRPr="00A10D58">
        <w:rPr>
          <w:rFonts w:ascii="Arial" w:hAnsi="Arial" w:cs="Arial"/>
          <w:color w:val="000000" w:themeColor="text1"/>
          <w:shd w:val="clear" w:color="auto" w:fill="FFFFFF"/>
        </w:rPr>
        <w:t xml:space="preserve">, T. J., &amp; </w:t>
      </w:r>
      <w:proofErr w:type="spellStart"/>
      <w:r w:rsidRPr="00A10D58">
        <w:rPr>
          <w:rFonts w:ascii="Arial" w:hAnsi="Arial" w:cs="Arial"/>
          <w:color w:val="000000" w:themeColor="text1"/>
          <w:shd w:val="clear" w:color="auto" w:fill="FFFFFF"/>
        </w:rPr>
        <w:t>Nwanguma</w:t>
      </w:r>
      <w:proofErr w:type="spellEnd"/>
      <w:r w:rsidRPr="00A10D58">
        <w:rPr>
          <w:rFonts w:ascii="Arial" w:hAnsi="Arial" w:cs="Arial"/>
          <w:color w:val="000000" w:themeColor="text1"/>
          <w:shd w:val="clear" w:color="auto" w:fill="FFFFFF"/>
        </w:rPr>
        <w:t>, T. K. (2024). Provision and utilization of physical resources for effective teaching and learning effectiveness in public universities in Rivers State. </w:t>
      </w:r>
      <w:r w:rsidRPr="00A10D58">
        <w:rPr>
          <w:rFonts w:ascii="Arial" w:hAnsi="Arial" w:cs="Arial"/>
          <w:i/>
          <w:iCs/>
          <w:color w:val="000000" w:themeColor="text1"/>
          <w:shd w:val="clear" w:color="auto" w:fill="FFFFFF"/>
        </w:rPr>
        <w:t>International Journal of Applied and Scientific Research</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2</w:t>
      </w:r>
      <w:r w:rsidRPr="00A10D58">
        <w:rPr>
          <w:rFonts w:ascii="Arial" w:hAnsi="Arial" w:cs="Arial"/>
          <w:color w:val="000000" w:themeColor="text1"/>
          <w:shd w:val="clear" w:color="auto" w:fill="FFFFFF"/>
        </w:rPr>
        <w:t xml:space="preserve">(2), 227-244. </w:t>
      </w:r>
      <w:hyperlink r:id="rId27" w:history="1">
        <w:r w:rsidRPr="00A10D58">
          <w:rPr>
            <w:rStyle w:val="Hyperlink"/>
            <w:rFonts w:ascii="Arial" w:hAnsi="Arial" w:cs="Arial"/>
            <w:color w:val="000000" w:themeColor="text1"/>
            <w:u w:val="none"/>
            <w:shd w:val="clear" w:color="auto" w:fill="FFFFFF"/>
          </w:rPr>
          <w:t>https://www.researchgate.net/profile/Thankgod-James-Nwuke/publication/378736003_Provision_and_Utilization_of_Physical_Resources_for_Effective_Teaching_and_Learning_Effectiveness_in_Public_Universities_in_Rivers_State/links/65e7209fc3b52a117016277d/Provision-and-Utilization-of-Physical-Resources-for-Effective-Teaching-and-Learning-Effectiveness-in-Public-Universities-in-Rivers-State.pdf</w:t>
        </w:r>
      </w:hyperlink>
    </w:p>
    <w:p w14:paraId="2D6F6788" w14:textId="77777777" w:rsidR="006F4A78" w:rsidRPr="00A10D58" w:rsidRDefault="006F4A78" w:rsidP="006F4A78">
      <w:pPr>
        <w:ind w:left="720" w:hanging="720"/>
        <w:rPr>
          <w:rFonts w:ascii="Arial" w:hAnsi="Arial" w:cs="Arial"/>
          <w:color w:val="000000" w:themeColor="text1"/>
          <w:shd w:val="clear" w:color="auto" w:fill="FFFFFF"/>
        </w:rPr>
      </w:pPr>
      <w:r w:rsidRPr="00870C19">
        <w:rPr>
          <w:rFonts w:ascii="Arial" w:hAnsi="Arial" w:cs="Arial"/>
          <w:color w:val="000000" w:themeColor="text1"/>
          <w:highlight w:val="yellow"/>
          <w:shd w:val="clear" w:color="auto" w:fill="FFFFFF"/>
        </w:rPr>
        <w:t xml:space="preserve">Okafor, R. N., </w:t>
      </w:r>
      <w:proofErr w:type="spellStart"/>
      <w:r w:rsidRPr="00870C19">
        <w:rPr>
          <w:rFonts w:ascii="Arial" w:hAnsi="Arial" w:cs="Arial"/>
          <w:color w:val="000000" w:themeColor="text1"/>
          <w:highlight w:val="yellow"/>
          <w:shd w:val="clear" w:color="auto" w:fill="FFFFFF"/>
        </w:rPr>
        <w:t>Obona</w:t>
      </w:r>
      <w:proofErr w:type="spellEnd"/>
      <w:r w:rsidRPr="00870C19">
        <w:rPr>
          <w:rFonts w:ascii="Arial" w:hAnsi="Arial" w:cs="Arial"/>
          <w:color w:val="000000" w:themeColor="text1"/>
          <w:highlight w:val="yellow"/>
          <w:shd w:val="clear" w:color="auto" w:fill="FFFFFF"/>
        </w:rPr>
        <w:t xml:space="preserve">, E. E., </w:t>
      </w:r>
      <w:proofErr w:type="spellStart"/>
      <w:r w:rsidRPr="00870C19">
        <w:rPr>
          <w:rFonts w:ascii="Arial" w:hAnsi="Arial" w:cs="Arial"/>
          <w:color w:val="000000" w:themeColor="text1"/>
          <w:highlight w:val="yellow"/>
          <w:shd w:val="clear" w:color="auto" w:fill="FFFFFF"/>
        </w:rPr>
        <w:t>Ngene</w:t>
      </w:r>
      <w:proofErr w:type="spellEnd"/>
      <w:r w:rsidRPr="00870C19">
        <w:rPr>
          <w:rFonts w:ascii="Arial" w:hAnsi="Arial" w:cs="Arial"/>
          <w:color w:val="000000" w:themeColor="text1"/>
          <w:highlight w:val="yellow"/>
          <w:shd w:val="clear" w:color="auto" w:fill="FFFFFF"/>
        </w:rPr>
        <w:t xml:space="preserve">, A. N., &amp; </w:t>
      </w:r>
      <w:proofErr w:type="spellStart"/>
      <w:r w:rsidRPr="00870C19">
        <w:rPr>
          <w:rFonts w:ascii="Arial" w:hAnsi="Arial" w:cs="Arial"/>
          <w:color w:val="000000" w:themeColor="text1"/>
          <w:highlight w:val="yellow"/>
          <w:shd w:val="clear" w:color="auto" w:fill="FFFFFF"/>
        </w:rPr>
        <w:t>Eji</w:t>
      </w:r>
      <w:proofErr w:type="spellEnd"/>
      <w:r w:rsidRPr="00870C19">
        <w:rPr>
          <w:rFonts w:ascii="Arial" w:hAnsi="Arial" w:cs="Arial"/>
          <w:color w:val="000000" w:themeColor="text1"/>
          <w:highlight w:val="yellow"/>
          <w:shd w:val="clear" w:color="auto" w:fill="FFFFFF"/>
        </w:rPr>
        <w:t>, E. E. (2024). School supervision and inspection: Enhancing educational quality, accountability, and student social welfare in Nigerian secondary schools. </w:t>
      </w:r>
      <w:proofErr w:type="spellStart"/>
      <w:r w:rsidRPr="00870C19">
        <w:rPr>
          <w:rFonts w:ascii="Arial" w:hAnsi="Arial" w:cs="Arial"/>
          <w:i/>
          <w:iCs/>
          <w:color w:val="000000" w:themeColor="text1"/>
          <w:highlight w:val="yellow"/>
          <w:shd w:val="clear" w:color="auto" w:fill="FFFFFF"/>
        </w:rPr>
        <w:t>Unizik</w:t>
      </w:r>
      <w:proofErr w:type="spellEnd"/>
      <w:r w:rsidRPr="00870C19">
        <w:rPr>
          <w:rFonts w:ascii="Arial" w:hAnsi="Arial" w:cs="Arial"/>
          <w:i/>
          <w:iCs/>
          <w:color w:val="000000" w:themeColor="text1"/>
          <w:highlight w:val="yellow"/>
          <w:shd w:val="clear" w:color="auto" w:fill="FFFFFF"/>
        </w:rPr>
        <w:t xml:space="preserve"> Journal of Educational Research and Policy Studies</w:t>
      </w:r>
      <w:r w:rsidRPr="00870C19">
        <w:rPr>
          <w:rFonts w:ascii="Arial" w:hAnsi="Arial" w:cs="Arial"/>
          <w:color w:val="000000" w:themeColor="text1"/>
          <w:highlight w:val="yellow"/>
          <w:shd w:val="clear" w:color="auto" w:fill="FFFFFF"/>
        </w:rPr>
        <w:t>, </w:t>
      </w:r>
      <w:r w:rsidRPr="00870C19">
        <w:rPr>
          <w:rFonts w:ascii="Arial" w:hAnsi="Arial" w:cs="Arial"/>
          <w:i/>
          <w:iCs/>
          <w:color w:val="000000" w:themeColor="text1"/>
          <w:highlight w:val="yellow"/>
          <w:shd w:val="clear" w:color="auto" w:fill="FFFFFF"/>
        </w:rPr>
        <w:t>18</w:t>
      </w:r>
      <w:r w:rsidRPr="00870C19">
        <w:rPr>
          <w:rFonts w:ascii="Arial" w:hAnsi="Arial" w:cs="Arial"/>
          <w:color w:val="000000" w:themeColor="text1"/>
          <w:highlight w:val="yellow"/>
          <w:shd w:val="clear" w:color="auto" w:fill="FFFFFF"/>
        </w:rPr>
        <w:t xml:space="preserve">(3). </w:t>
      </w:r>
      <w:hyperlink r:id="rId28" w:history="1">
        <w:r w:rsidRPr="00870C19">
          <w:rPr>
            <w:rStyle w:val="Hyperlink"/>
            <w:rFonts w:ascii="Arial" w:hAnsi="Arial" w:cs="Arial"/>
            <w:color w:val="000000" w:themeColor="text1"/>
            <w:highlight w:val="yellow"/>
            <w:u w:val="none"/>
            <w:shd w:val="clear" w:color="auto" w:fill="FFFFFF"/>
          </w:rPr>
          <w:t>https://www.unijerps.org/index.php/unijerps/article/view/834</w:t>
        </w:r>
      </w:hyperlink>
    </w:p>
    <w:p w14:paraId="25E3A340"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Olaifa</w:t>
      </w:r>
      <w:proofErr w:type="spellEnd"/>
      <w:r w:rsidRPr="00A10D58">
        <w:rPr>
          <w:rFonts w:ascii="Arial" w:hAnsi="Arial" w:cs="Arial"/>
          <w:color w:val="000000" w:themeColor="text1"/>
          <w:shd w:val="clear" w:color="auto" w:fill="FFFFFF"/>
        </w:rPr>
        <w:t xml:space="preserve">, A. S., Ali, M. A. A., </w:t>
      </w:r>
      <w:proofErr w:type="spellStart"/>
      <w:r w:rsidRPr="00A10D58">
        <w:rPr>
          <w:rFonts w:ascii="Arial" w:hAnsi="Arial" w:cs="Arial"/>
          <w:color w:val="000000" w:themeColor="text1"/>
          <w:shd w:val="clear" w:color="auto" w:fill="FFFFFF"/>
        </w:rPr>
        <w:t>Olaifa</w:t>
      </w:r>
      <w:proofErr w:type="spellEnd"/>
      <w:r w:rsidRPr="00A10D58">
        <w:rPr>
          <w:rFonts w:ascii="Arial" w:hAnsi="Arial" w:cs="Arial"/>
          <w:color w:val="000000" w:themeColor="text1"/>
          <w:shd w:val="clear" w:color="auto" w:fill="FFFFFF"/>
        </w:rPr>
        <w:t xml:space="preserve">, E. O., </w:t>
      </w:r>
      <w:proofErr w:type="spellStart"/>
      <w:r w:rsidRPr="00A10D58">
        <w:rPr>
          <w:rFonts w:ascii="Arial" w:hAnsi="Arial" w:cs="Arial"/>
          <w:color w:val="000000" w:themeColor="text1"/>
          <w:shd w:val="clear" w:color="auto" w:fill="FFFFFF"/>
        </w:rPr>
        <w:t>Oladimeji</w:t>
      </w:r>
      <w:proofErr w:type="spellEnd"/>
      <w:r w:rsidRPr="00A10D58">
        <w:rPr>
          <w:rFonts w:ascii="Arial" w:hAnsi="Arial" w:cs="Arial"/>
          <w:color w:val="000000" w:themeColor="text1"/>
          <w:shd w:val="clear" w:color="auto" w:fill="FFFFFF"/>
        </w:rPr>
        <w:t xml:space="preserve">, R. M., &amp; </w:t>
      </w:r>
      <w:proofErr w:type="spellStart"/>
      <w:r w:rsidRPr="00A10D58">
        <w:rPr>
          <w:rFonts w:ascii="Arial" w:hAnsi="Arial" w:cs="Arial"/>
          <w:color w:val="000000" w:themeColor="text1"/>
          <w:shd w:val="clear" w:color="auto" w:fill="FFFFFF"/>
        </w:rPr>
        <w:t>Akpala</w:t>
      </w:r>
      <w:proofErr w:type="spellEnd"/>
      <w:r w:rsidRPr="00A10D58">
        <w:rPr>
          <w:rFonts w:ascii="Arial" w:hAnsi="Arial" w:cs="Arial"/>
          <w:color w:val="000000" w:themeColor="text1"/>
          <w:shd w:val="clear" w:color="auto" w:fill="FFFFFF"/>
        </w:rPr>
        <w:t xml:space="preserve">, K. C. (2024). Principals' Facilities Maintenance Measures and Administrative Effectiveness in Private Secondary Schools in </w:t>
      </w:r>
      <w:proofErr w:type="spellStart"/>
      <w:r w:rsidRPr="00A10D58">
        <w:rPr>
          <w:rFonts w:ascii="Arial" w:hAnsi="Arial" w:cs="Arial"/>
          <w:color w:val="000000" w:themeColor="text1"/>
          <w:shd w:val="clear" w:color="auto" w:fill="FFFFFF"/>
        </w:rPr>
        <w:t>Kwara</w:t>
      </w:r>
      <w:proofErr w:type="spellEnd"/>
      <w:r w:rsidRPr="00A10D58">
        <w:rPr>
          <w:rFonts w:ascii="Arial" w:hAnsi="Arial" w:cs="Arial"/>
          <w:color w:val="000000" w:themeColor="text1"/>
          <w:shd w:val="clear" w:color="auto" w:fill="FFFFFF"/>
        </w:rPr>
        <w:t xml:space="preserve"> State, Nigeria. </w:t>
      </w:r>
      <w:proofErr w:type="spellStart"/>
      <w:r w:rsidRPr="00A10D58">
        <w:rPr>
          <w:rFonts w:ascii="Arial" w:hAnsi="Arial" w:cs="Arial"/>
          <w:i/>
          <w:iCs/>
          <w:color w:val="000000" w:themeColor="text1"/>
          <w:shd w:val="clear" w:color="auto" w:fill="FFFFFF"/>
        </w:rPr>
        <w:t>Chalim</w:t>
      </w:r>
      <w:proofErr w:type="spellEnd"/>
      <w:r w:rsidRPr="00A10D58">
        <w:rPr>
          <w:rFonts w:ascii="Arial" w:hAnsi="Arial" w:cs="Arial"/>
          <w:i/>
          <w:iCs/>
          <w:color w:val="000000" w:themeColor="text1"/>
          <w:shd w:val="clear" w:color="auto" w:fill="FFFFFF"/>
        </w:rPr>
        <w:t xml:space="preserve"> Journal of Teaching and Learning</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4</w:t>
      </w:r>
      <w:r w:rsidRPr="00A10D58">
        <w:rPr>
          <w:rFonts w:ascii="Arial" w:hAnsi="Arial" w:cs="Arial"/>
          <w:color w:val="000000" w:themeColor="text1"/>
          <w:shd w:val="clear" w:color="auto" w:fill="FFFFFF"/>
        </w:rPr>
        <w:t xml:space="preserve">(2), 101-118. </w:t>
      </w:r>
      <w:hyperlink r:id="rId29" w:history="1">
        <w:r w:rsidRPr="00A10D58">
          <w:rPr>
            <w:rStyle w:val="Hyperlink"/>
            <w:rFonts w:ascii="Arial" w:hAnsi="Arial" w:cs="Arial"/>
            <w:color w:val="000000" w:themeColor="text1"/>
            <w:u w:val="none"/>
            <w:shd w:val="clear" w:color="auto" w:fill="FFFFFF"/>
          </w:rPr>
          <w:t>https://pasca.jurnalikhac.ac.id/index.php/cjotl/article/view/1745</w:t>
        </w:r>
      </w:hyperlink>
    </w:p>
    <w:p w14:paraId="28FA95BC"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 xml:space="preserve">Pak, K., </w:t>
      </w:r>
      <w:proofErr w:type="spellStart"/>
      <w:r w:rsidRPr="00A10D58">
        <w:rPr>
          <w:rFonts w:ascii="Arial" w:hAnsi="Arial" w:cs="Arial"/>
          <w:color w:val="000000" w:themeColor="text1"/>
          <w:shd w:val="clear" w:color="auto" w:fill="FFFFFF"/>
        </w:rPr>
        <w:t>Polikoff</w:t>
      </w:r>
      <w:proofErr w:type="spellEnd"/>
      <w:r w:rsidRPr="00A10D58">
        <w:rPr>
          <w:rFonts w:ascii="Arial" w:hAnsi="Arial" w:cs="Arial"/>
          <w:color w:val="000000" w:themeColor="text1"/>
          <w:shd w:val="clear" w:color="auto" w:fill="FFFFFF"/>
        </w:rPr>
        <w:t xml:space="preserve">, M. S., Desimone, L. M., &amp; </w:t>
      </w:r>
      <w:proofErr w:type="spellStart"/>
      <w:r w:rsidRPr="00A10D58">
        <w:rPr>
          <w:rFonts w:ascii="Arial" w:hAnsi="Arial" w:cs="Arial"/>
          <w:color w:val="000000" w:themeColor="text1"/>
          <w:shd w:val="clear" w:color="auto" w:fill="FFFFFF"/>
        </w:rPr>
        <w:t>Saldívar</w:t>
      </w:r>
      <w:proofErr w:type="spellEnd"/>
      <w:r w:rsidRPr="00A10D58">
        <w:rPr>
          <w:rFonts w:ascii="Arial" w:hAnsi="Arial" w:cs="Arial"/>
          <w:color w:val="000000" w:themeColor="text1"/>
          <w:shd w:val="clear" w:color="auto" w:fill="FFFFFF"/>
        </w:rPr>
        <w:t xml:space="preserve"> García, E. (2020). The adaptive challenges of curriculum implementation: Insights for educational leaders driving standards-based reform. </w:t>
      </w:r>
      <w:proofErr w:type="spellStart"/>
      <w:r w:rsidRPr="00A10D58">
        <w:rPr>
          <w:rFonts w:ascii="Arial" w:hAnsi="Arial" w:cs="Arial"/>
          <w:i/>
          <w:iCs/>
          <w:color w:val="000000" w:themeColor="text1"/>
          <w:shd w:val="clear" w:color="auto" w:fill="FFFFFF"/>
        </w:rPr>
        <w:t>Aera</w:t>
      </w:r>
      <w:proofErr w:type="spellEnd"/>
      <w:r w:rsidRPr="00A10D58">
        <w:rPr>
          <w:rFonts w:ascii="Arial" w:hAnsi="Arial" w:cs="Arial"/>
          <w:i/>
          <w:iCs/>
          <w:color w:val="000000" w:themeColor="text1"/>
          <w:shd w:val="clear" w:color="auto" w:fill="FFFFFF"/>
        </w:rPr>
        <w:t xml:space="preserve"> Open</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6</w:t>
      </w:r>
      <w:r w:rsidRPr="00A10D58">
        <w:rPr>
          <w:rFonts w:ascii="Arial" w:hAnsi="Arial" w:cs="Arial"/>
          <w:color w:val="000000" w:themeColor="text1"/>
          <w:shd w:val="clear" w:color="auto" w:fill="FFFFFF"/>
        </w:rPr>
        <w:t xml:space="preserve">(2), 2332858420932828. </w:t>
      </w:r>
      <w:hyperlink r:id="rId30" w:history="1">
        <w:r w:rsidRPr="00A10D58">
          <w:rPr>
            <w:rStyle w:val="Hyperlink"/>
            <w:rFonts w:ascii="Arial" w:hAnsi="Arial" w:cs="Arial"/>
            <w:color w:val="000000" w:themeColor="text1"/>
            <w:u w:val="none"/>
            <w:shd w:val="clear" w:color="auto" w:fill="FFFFFF"/>
          </w:rPr>
          <w:t>https://journals.sagepub.com/doi/abs/10.1177/2332858420932828</w:t>
        </w:r>
      </w:hyperlink>
    </w:p>
    <w:p w14:paraId="304F0BB7"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Post, R. (2024). Theorizing student expression: A constitutional account of student free speech rights. </w:t>
      </w:r>
      <w:r w:rsidRPr="00A10D58">
        <w:rPr>
          <w:rFonts w:ascii="Arial" w:hAnsi="Arial" w:cs="Arial"/>
          <w:i/>
          <w:iCs/>
          <w:color w:val="000000" w:themeColor="text1"/>
          <w:shd w:val="clear" w:color="auto" w:fill="FFFFFF"/>
        </w:rPr>
        <w:t>Stan. L. Rev.</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76</w:t>
      </w:r>
      <w:r w:rsidRPr="00A10D58">
        <w:rPr>
          <w:rFonts w:ascii="Arial" w:hAnsi="Arial" w:cs="Arial"/>
          <w:color w:val="000000" w:themeColor="text1"/>
          <w:shd w:val="clear" w:color="auto" w:fill="FFFFFF"/>
        </w:rPr>
        <w:t xml:space="preserve">, 1643. </w:t>
      </w:r>
      <w:hyperlink r:id="rId31" w:history="1">
        <w:r w:rsidRPr="00A10D58">
          <w:rPr>
            <w:rStyle w:val="Hyperlink"/>
            <w:rFonts w:ascii="Arial" w:hAnsi="Arial" w:cs="Arial"/>
            <w:color w:val="000000" w:themeColor="text1"/>
            <w:u w:val="none"/>
            <w:shd w:val="clear" w:color="auto" w:fill="FFFFFF"/>
          </w:rPr>
          <w:t>https://heinonline.org/hol-cgi-bin/get_pdf.cgi?handle=hein.journals/stflr76&amp;section=38</w:t>
        </w:r>
      </w:hyperlink>
    </w:p>
    <w:p w14:paraId="63812AB8"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Pregoner</w:t>
      </w:r>
      <w:proofErr w:type="spellEnd"/>
      <w:r w:rsidRPr="00A10D58">
        <w:rPr>
          <w:rFonts w:ascii="Arial" w:hAnsi="Arial" w:cs="Arial"/>
          <w:color w:val="000000" w:themeColor="text1"/>
          <w:shd w:val="clear" w:color="auto" w:fill="FFFFFF"/>
        </w:rPr>
        <w:t xml:space="preserve">, J. D., </w:t>
      </w:r>
      <w:proofErr w:type="spellStart"/>
      <w:r w:rsidRPr="00A10D58">
        <w:rPr>
          <w:rFonts w:ascii="Arial" w:hAnsi="Arial" w:cs="Arial"/>
          <w:color w:val="000000" w:themeColor="text1"/>
          <w:shd w:val="clear" w:color="auto" w:fill="FFFFFF"/>
        </w:rPr>
        <w:t>Leopardas</w:t>
      </w:r>
      <w:proofErr w:type="spellEnd"/>
      <w:r w:rsidRPr="00A10D58">
        <w:rPr>
          <w:rFonts w:ascii="Arial" w:hAnsi="Arial" w:cs="Arial"/>
          <w:color w:val="000000" w:themeColor="text1"/>
          <w:shd w:val="clear" w:color="auto" w:fill="FFFFFF"/>
        </w:rPr>
        <w:t xml:space="preserve">, R., </w:t>
      </w:r>
      <w:proofErr w:type="spellStart"/>
      <w:r w:rsidRPr="00A10D58">
        <w:rPr>
          <w:rFonts w:ascii="Arial" w:hAnsi="Arial" w:cs="Arial"/>
          <w:color w:val="000000" w:themeColor="text1"/>
          <w:shd w:val="clear" w:color="auto" w:fill="FFFFFF"/>
        </w:rPr>
        <w:t>Ganancial</w:t>
      </w:r>
      <w:proofErr w:type="spellEnd"/>
      <w:r w:rsidRPr="00A10D58">
        <w:rPr>
          <w:rFonts w:ascii="Arial" w:hAnsi="Arial" w:cs="Arial"/>
          <w:color w:val="000000" w:themeColor="text1"/>
          <w:shd w:val="clear" w:color="auto" w:fill="FFFFFF"/>
        </w:rPr>
        <w:t xml:space="preserve">, I. J., </w:t>
      </w:r>
      <w:proofErr w:type="spellStart"/>
      <w:r w:rsidRPr="00A10D58">
        <w:rPr>
          <w:rFonts w:ascii="Arial" w:hAnsi="Arial" w:cs="Arial"/>
          <w:color w:val="000000" w:themeColor="text1"/>
          <w:shd w:val="clear" w:color="auto" w:fill="FFFFFF"/>
        </w:rPr>
        <w:t>Baguhin</w:t>
      </w:r>
      <w:proofErr w:type="spellEnd"/>
      <w:r w:rsidRPr="00A10D58">
        <w:rPr>
          <w:rFonts w:ascii="Arial" w:hAnsi="Arial" w:cs="Arial"/>
          <w:color w:val="000000" w:themeColor="text1"/>
          <w:shd w:val="clear" w:color="auto" w:fill="FFFFFF"/>
        </w:rPr>
        <w:t xml:space="preserve">, M., &amp; </w:t>
      </w:r>
      <w:proofErr w:type="spellStart"/>
      <w:r w:rsidRPr="00A10D58">
        <w:rPr>
          <w:rFonts w:ascii="Arial" w:hAnsi="Arial" w:cs="Arial"/>
          <w:color w:val="000000" w:themeColor="text1"/>
          <w:shd w:val="clear" w:color="auto" w:fill="FFFFFF"/>
        </w:rPr>
        <w:t>Sedo</w:t>
      </w:r>
      <w:proofErr w:type="spellEnd"/>
      <w:r w:rsidRPr="00A10D58">
        <w:rPr>
          <w:rFonts w:ascii="Arial" w:hAnsi="Arial" w:cs="Arial"/>
          <w:color w:val="000000" w:themeColor="text1"/>
          <w:shd w:val="clear" w:color="auto" w:fill="FFFFFF"/>
        </w:rPr>
        <w:t xml:space="preserve">, F. (2025). Ethical Issues in Conducting Research Using Human Participants in the Post-COVID Era. </w:t>
      </w:r>
      <w:r w:rsidRPr="00A10D58">
        <w:rPr>
          <w:rFonts w:ascii="Arial" w:hAnsi="Arial" w:cs="Arial"/>
          <w:i/>
          <w:color w:val="000000" w:themeColor="text1"/>
          <w:shd w:val="clear" w:color="auto" w:fill="FFFFFF"/>
        </w:rPr>
        <w:t>IMCC Journal of Science</w:t>
      </w:r>
      <w:r w:rsidRPr="00A10D58">
        <w:rPr>
          <w:rFonts w:ascii="Arial" w:hAnsi="Arial" w:cs="Arial"/>
          <w:color w:val="000000" w:themeColor="text1"/>
          <w:shd w:val="clear" w:color="auto" w:fill="FFFFFF"/>
        </w:rPr>
        <w:t>, 5(1), 1-9. https://hal.science/hal-05073466/</w:t>
      </w:r>
    </w:p>
    <w:p w14:paraId="6D50BA5F"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 xml:space="preserve">Sagar, K. S. R., Awasthi, A., Dwivedi, S. P., Shrivastava, M., </w:t>
      </w:r>
      <w:proofErr w:type="spellStart"/>
      <w:r w:rsidRPr="00A10D58">
        <w:rPr>
          <w:rFonts w:ascii="Arial" w:hAnsi="Arial" w:cs="Arial"/>
          <w:color w:val="000000" w:themeColor="text1"/>
          <w:shd w:val="clear" w:color="auto" w:fill="FFFFFF"/>
        </w:rPr>
        <w:t>Pahwa</w:t>
      </w:r>
      <w:proofErr w:type="spellEnd"/>
      <w:r w:rsidRPr="00A10D58">
        <w:rPr>
          <w:rFonts w:ascii="Arial" w:hAnsi="Arial" w:cs="Arial"/>
          <w:color w:val="000000" w:themeColor="text1"/>
          <w:shd w:val="clear" w:color="auto" w:fill="FFFFFF"/>
        </w:rPr>
        <w:t xml:space="preserve">, S., Swathi, B., &amp; </w:t>
      </w:r>
      <w:proofErr w:type="spellStart"/>
      <w:r w:rsidRPr="00A10D58">
        <w:rPr>
          <w:rFonts w:ascii="Arial" w:hAnsi="Arial" w:cs="Arial"/>
          <w:color w:val="000000" w:themeColor="text1"/>
          <w:shd w:val="clear" w:color="auto" w:fill="FFFFFF"/>
        </w:rPr>
        <w:t>Hlail</w:t>
      </w:r>
      <w:proofErr w:type="spellEnd"/>
      <w:r w:rsidRPr="00A10D58">
        <w:rPr>
          <w:rFonts w:ascii="Arial" w:hAnsi="Arial" w:cs="Arial"/>
          <w:color w:val="000000" w:themeColor="text1"/>
          <w:shd w:val="clear" w:color="auto" w:fill="FFFFFF"/>
        </w:rPr>
        <w:t>, S. H. (2023). Smart Resource Management: An Innovative Way of Balancing Materials, Energy, and Waste for a Green Future. In </w:t>
      </w:r>
      <w:r w:rsidRPr="00A10D58">
        <w:rPr>
          <w:rFonts w:ascii="Arial" w:hAnsi="Arial" w:cs="Arial"/>
          <w:i/>
          <w:iCs/>
          <w:color w:val="000000" w:themeColor="text1"/>
          <w:shd w:val="clear" w:color="auto" w:fill="FFFFFF"/>
        </w:rPr>
        <w:t>E3S Web of Conferences</w:t>
      </w:r>
      <w:r w:rsidRPr="00A10D58">
        <w:rPr>
          <w:rFonts w:ascii="Arial" w:hAnsi="Arial" w:cs="Arial"/>
          <w:color w:val="000000" w:themeColor="text1"/>
          <w:shd w:val="clear" w:color="auto" w:fill="FFFFFF"/>
        </w:rPr>
        <w:t xml:space="preserve"> (Vol. 453, p. 01037). EDP Sciences. </w:t>
      </w:r>
      <w:hyperlink r:id="rId32" w:history="1">
        <w:r w:rsidRPr="00A10D58">
          <w:rPr>
            <w:rStyle w:val="Hyperlink"/>
            <w:rFonts w:ascii="Arial" w:hAnsi="Arial" w:cs="Arial"/>
            <w:color w:val="000000" w:themeColor="text1"/>
            <w:u w:val="none"/>
            <w:shd w:val="clear" w:color="auto" w:fill="FFFFFF"/>
          </w:rPr>
          <w:t>https://www.e3s-conferences.org/articles/e3sconf/abs/2023/90/e3sconf_icsdg2023_01037/e3sconf_icsdg2023_01037.html</w:t>
        </w:r>
      </w:hyperlink>
    </w:p>
    <w:p w14:paraId="4D0AAD12"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Salas-Velasco, M. (2020). Does greater school resource allocation improve efficiency in education production? Performance assessment of Spanish public sector-funded schools. </w:t>
      </w:r>
      <w:r w:rsidRPr="00A10D58">
        <w:rPr>
          <w:rFonts w:ascii="Arial" w:hAnsi="Arial" w:cs="Arial"/>
          <w:i/>
          <w:iCs/>
          <w:color w:val="000000" w:themeColor="text1"/>
          <w:shd w:val="clear" w:color="auto" w:fill="FFFFFF"/>
        </w:rPr>
        <w:t>International Journal of Educational Management</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34</w:t>
      </w:r>
      <w:r w:rsidRPr="00A10D58">
        <w:rPr>
          <w:rFonts w:ascii="Arial" w:hAnsi="Arial" w:cs="Arial"/>
          <w:color w:val="000000" w:themeColor="text1"/>
          <w:shd w:val="clear" w:color="auto" w:fill="FFFFFF"/>
        </w:rPr>
        <w:t xml:space="preserve">(5), 903-915. </w:t>
      </w:r>
      <w:hyperlink r:id="rId33" w:history="1">
        <w:r w:rsidRPr="00A10D58">
          <w:rPr>
            <w:rStyle w:val="Hyperlink"/>
            <w:rFonts w:ascii="Arial" w:hAnsi="Arial" w:cs="Arial"/>
            <w:color w:val="000000" w:themeColor="text1"/>
            <w:u w:val="none"/>
            <w:shd w:val="clear" w:color="auto" w:fill="FFFFFF"/>
          </w:rPr>
          <w:t>https://www.emerald.com/insight/content/doi/10.1108/ijem-08-2019-0305/full/html</w:t>
        </w:r>
      </w:hyperlink>
    </w:p>
    <w:p w14:paraId="2D9E6E5F"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Sharma, S., &amp; Sarkar, P. (2024). Bridging Gaps in Special Education: A Comprehensive Review of Student Motivation and Engagement for Inclusive Classrooms. </w:t>
      </w:r>
      <w:r w:rsidRPr="00A10D58">
        <w:rPr>
          <w:rFonts w:ascii="Arial" w:hAnsi="Arial" w:cs="Arial"/>
          <w:i/>
          <w:iCs/>
          <w:color w:val="000000" w:themeColor="text1"/>
          <w:shd w:val="clear" w:color="auto" w:fill="FFFFFF"/>
        </w:rPr>
        <w:t>Diversity, Equity &amp; Inclusion</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145</w:t>
      </w:r>
      <w:r w:rsidRPr="00A10D58">
        <w:rPr>
          <w:rFonts w:ascii="Arial" w:hAnsi="Arial" w:cs="Arial"/>
          <w:color w:val="000000" w:themeColor="text1"/>
          <w:shd w:val="clear" w:color="auto" w:fill="FFFFFF"/>
        </w:rPr>
        <w:t xml:space="preserve">. </w:t>
      </w:r>
      <w:hyperlink r:id="rId34" w:history="1">
        <w:r w:rsidRPr="00A10D58">
          <w:rPr>
            <w:rStyle w:val="Hyperlink"/>
            <w:rFonts w:ascii="Arial" w:hAnsi="Arial" w:cs="Arial"/>
            <w:color w:val="000000" w:themeColor="text1"/>
            <w:u w:val="none"/>
            <w:shd w:val="clear" w:color="auto" w:fill="FFFFFF"/>
          </w:rPr>
          <w:t>https://books.google.com/books?hl=en&amp;lr=&amp;id=W44hEQAAQBAJ&amp;oi=fnd&amp;pg=PA145&amp;dq=teachers+who+engage+in+comprehensive+monitoring+activities+promote+greater+student+engagement+and+motivation+by+promptly+addressing+learning+gaps+and+behavioral+concerns.&amp;ots=bCYcpA3thU&amp;sig=uKCugR8gCVmNdFTQnXbyHu0cdDE</w:t>
        </w:r>
      </w:hyperlink>
    </w:p>
    <w:p w14:paraId="31FCFC64"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Todorova, G. (2024). </w:t>
      </w:r>
      <w:r w:rsidRPr="00A10D58">
        <w:rPr>
          <w:rFonts w:ascii="Arial" w:hAnsi="Arial" w:cs="Arial"/>
          <w:i/>
          <w:iCs/>
          <w:color w:val="000000" w:themeColor="text1"/>
          <w:shd w:val="clear" w:color="auto" w:fill="FFFFFF"/>
        </w:rPr>
        <w:t>Optimizing Feedback in Learning Management Systems to Increase Student Engagement</w:t>
      </w:r>
      <w:r w:rsidRPr="00A10D58">
        <w:rPr>
          <w:rFonts w:ascii="Arial" w:hAnsi="Arial" w:cs="Arial"/>
          <w:color w:val="000000" w:themeColor="text1"/>
          <w:shd w:val="clear" w:color="auto" w:fill="FFFFFF"/>
        </w:rPr>
        <w:t xml:space="preserve"> (Bachelor's thesis, University of Twente). </w:t>
      </w:r>
      <w:hyperlink r:id="rId35" w:history="1">
        <w:r w:rsidRPr="00A10D58">
          <w:rPr>
            <w:rStyle w:val="Hyperlink"/>
            <w:rFonts w:ascii="Arial" w:hAnsi="Arial" w:cs="Arial"/>
            <w:color w:val="000000" w:themeColor="text1"/>
            <w:u w:val="none"/>
            <w:shd w:val="clear" w:color="auto" w:fill="FFFFFF"/>
          </w:rPr>
          <w:t>http://essay.utwente.nl/101448/</w:t>
        </w:r>
      </w:hyperlink>
    </w:p>
    <w:p w14:paraId="4E36766D" w14:textId="77777777" w:rsidR="003C03EE" w:rsidRPr="008C0F37" w:rsidRDefault="003C03EE" w:rsidP="003C03EE">
      <w:pPr>
        <w:ind w:left="720" w:hanging="720"/>
        <w:rPr>
          <w:rFonts w:ascii="Arial" w:hAnsi="Arial" w:cs="Arial"/>
          <w:color w:val="222222"/>
          <w:shd w:val="clear" w:color="auto" w:fill="FFFFFF"/>
        </w:rPr>
      </w:pPr>
    </w:p>
    <w:p w14:paraId="095D7E44" w14:textId="77777777" w:rsidR="00E0166B" w:rsidRPr="00257D6F" w:rsidRDefault="00E0166B" w:rsidP="00E0166B">
      <w:pPr>
        <w:ind w:left="720" w:hanging="720"/>
      </w:pPr>
    </w:p>
    <w:sectPr w:rsidR="00E0166B" w:rsidRPr="00257D6F" w:rsidSect="00BE5216">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7B795" w14:textId="77777777" w:rsidR="00735802" w:rsidRDefault="00735802">
      <w:r>
        <w:separator/>
      </w:r>
    </w:p>
  </w:endnote>
  <w:endnote w:type="continuationSeparator" w:id="0">
    <w:p w14:paraId="2052177B" w14:textId="77777777" w:rsidR="00735802" w:rsidRDefault="0073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1F45" w14:textId="77777777" w:rsidR="00BE5216" w:rsidRDefault="00BE5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FED1" w14:textId="77777777" w:rsidR="00AB23B4" w:rsidRDefault="00AB23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11EA30B3" w:rsidR="00717F2E" w:rsidRPr="00BE5216" w:rsidRDefault="00717F2E" w:rsidP="00BE52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A65A9" w14:textId="77777777" w:rsidR="00735802" w:rsidRDefault="00735802">
      <w:r>
        <w:separator/>
      </w:r>
    </w:p>
  </w:footnote>
  <w:footnote w:type="continuationSeparator" w:id="0">
    <w:p w14:paraId="4B983104" w14:textId="77777777" w:rsidR="00735802" w:rsidRDefault="0073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16E6E" w14:textId="738DED7A" w:rsidR="00BE5216" w:rsidRDefault="00735802">
    <w:pPr>
      <w:pStyle w:val="Header"/>
    </w:pPr>
    <w:r>
      <w:rPr>
        <w:noProof/>
      </w:rPr>
      <w:pict w14:anchorId="43858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2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9A5C" w14:textId="6FC80DB2" w:rsidR="00BE5216" w:rsidRDefault="00735802">
    <w:pPr>
      <w:pStyle w:val="Header"/>
    </w:pPr>
    <w:r>
      <w:rPr>
        <w:noProof/>
      </w:rPr>
      <w:pict w14:anchorId="49EEF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2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4BE5398C" w:rsidR="00717F2E" w:rsidRDefault="00735802">
    <w:pPr>
      <w:ind w:left="2160"/>
      <w:jc w:val="center"/>
      <w:rPr>
        <w:rFonts w:ascii="Times New Roman" w:eastAsia="Calibri" w:hAnsi="Times New Roman"/>
        <w:i/>
        <w:sz w:val="18"/>
        <w:szCs w:val="22"/>
      </w:rPr>
    </w:pPr>
    <w:r>
      <w:rPr>
        <w:noProof/>
      </w:rPr>
      <w:pict w14:anchorId="443F4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2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77EC" w14:textId="03DDB9FD" w:rsidR="00BE5216" w:rsidRDefault="00735802">
    <w:pPr>
      <w:pStyle w:val="Header"/>
    </w:pPr>
    <w:r>
      <w:rPr>
        <w:noProof/>
      </w:rPr>
      <w:pict w14:anchorId="31EA4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2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12EBC" w14:textId="0735CCFA" w:rsidR="00BE5216" w:rsidRDefault="00735802">
    <w:pPr>
      <w:pStyle w:val="Header"/>
    </w:pPr>
    <w:r>
      <w:rPr>
        <w:noProof/>
      </w:rPr>
      <w:pict w14:anchorId="3FA06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2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48B47" w14:textId="5B2AD19C" w:rsidR="00BE5216" w:rsidRDefault="00735802">
    <w:pPr>
      <w:pStyle w:val="Header"/>
    </w:pPr>
    <w:r>
      <w:rPr>
        <w:noProof/>
      </w:rPr>
      <w:pict w14:anchorId="129AE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2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kFAJlvtEQ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0402"/>
    <w:rsid w:val="00073DA5"/>
    <w:rsid w:val="00074086"/>
    <w:rsid w:val="000763D2"/>
    <w:rsid w:val="00077AB7"/>
    <w:rsid w:val="00080794"/>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5DA"/>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290"/>
    <w:rsid w:val="00176FD0"/>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48E6"/>
    <w:rsid w:val="001B785F"/>
    <w:rsid w:val="001B7F30"/>
    <w:rsid w:val="001C12F6"/>
    <w:rsid w:val="001C2FC3"/>
    <w:rsid w:val="001C4AD5"/>
    <w:rsid w:val="001C572B"/>
    <w:rsid w:val="001C71EE"/>
    <w:rsid w:val="001C73EE"/>
    <w:rsid w:val="001D0BDE"/>
    <w:rsid w:val="001D10E2"/>
    <w:rsid w:val="001D3A51"/>
    <w:rsid w:val="001D4380"/>
    <w:rsid w:val="001D6D16"/>
    <w:rsid w:val="001E10D2"/>
    <w:rsid w:val="001E25B4"/>
    <w:rsid w:val="001E44FE"/>
    <w:rsid w:val="001E5B29"/>
    <w:rsid w:val="001E5EAF"/>
    <w:rsid w:val="001E6121"/>
    <w:rsid w:val="001E7EB7"/>
    <w:rsid w:val="001F1D3E"/>
    <w:rsid w:val="001F6352"/>
    <w:rsid w:val="001F72C3"/>
    <w:rsid w:val="001F7F3C"/>
    <w:rsid w:val="00200595"/>
    <w:rsid w:val="00200CF7"/>
    <w:rsid w:val="0020136A"/>
    <w:rsid w:val="002039CD"/>
    <w:rsid w:val="00203AF9"/>
    <w:rsid w:val="00203C6E"/>
    <w:rsid w:val="00204835"/>
    <w:rsid w:val="002074B8"/>
    <w:rsid w:val="00210C28"/>
    <w:rsid w:val="00216EDA"/>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56D24"/>
    <w:rsid w:val="00257D6F"/>
    <w:rsid w:val="002622D4"/>
    <w:rsid w:val="00264A59"/>
    <w:rsid w:val="00266E67"/>
    <w:rsid w:val="00271F07"/>
    <w:rsid w:val="002755D7"/>
    <w:rsid w:val="002814B3"/>
    <w:rsid w:val="00281E88"/>
    <w:rsid w:val="00283105"/>
    <w:rsid w:val="00284C4C"/>
    <w:rsid w:val="002855A6"/>
    <w:rsid w:val="002870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50F"/>
    <w:rsid w:val="002C57D2"/>
    <w:rsid w:val="002C6217"/>
    <w:rsid w:val="002D194A"/>
    <w:rsid w:val="002D2A9F"/>
    <w:rsid w:val="002D3AE7"/>
    <w:rsid w:val="002D53D9"/>
    <w:rsid w:val="002D7B25"/>
    <w:rsid w:val="002E0D56"/>
    <w:rsid w:val="002E3D6C"/>
    <w:rsid w:val="002E4205"/>
    <w:rsid w:val="002E57B6"/>
    <w:rsid w:val="002F2031"/>
    <w:rsid w:val="002F2B4A"/>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3D1"/>
    <w:rsid w:val="00326909"/>
    <w:rsid w:val="0033343E"/>
    <w:rsid w:val="00333690"/>
    <w:rsid w:val="003340B8"/>
    <w:rsid w:val="00337044"/>
    <w:rsid w:val="003377DA"/>
    <w:rsid w:val="0034085D"/>
    <w:rsid w:val="0034099F"/>
    <w:rsid w:val="00340BF5"/>
    <w:rsid w:val="0034224A"/>
    <w:rsid w:val="00343561"/>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37B4"/>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319D"/>
    <w:rsid w:val="003B6DFE"/>
    <w:rsid w:val="003B71E2"/>
    <w:rsid w:val="003B73F0"/>
    <w:rsid w:val="003C03EE"/>
    <w:rsid w:val="003C4335"/>
    <w:rsid w:val="003C44A6"/>
    <w:rsid w:val="003C4C86"/>
    <w:rsid w:val="003C6258"/>
    <w:rsid w:val="003C6A82"/>
    <w:rsid w:val="003D171B"/>
    <w:rsid w:val="003D2D0A"/>
    <w:rsid w:val="003D3677"/>
    <w:rsid w:val="003D3D9B"/>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728"/>
    <w:rsid w:val="00416A04"/>
    <w:rsid w:val="00416DDE"/>
    <w:rsid w:val="00423789"/>
    <w:rsid w:val="004257C2"/>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3372"/>
    <w:rsid w:val="00483EDC"/>
    <w:rsid w:val="0048547F"/>
    <w:rsid w:val="00490B0B"/>
    <w:rsid w:val="00491EFD"/>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4277"/>
    <w:rsid w:val="004D4879"/>
    <w:rsid w:val="004E1DA9"/>
    <w:rsid w:val="004E21A0"/>
    <w:rsid w:val="004E5345"/>
    <w:rsid w:val="004E5924"/>
    <w:rsid w:val="004E6386"/>
    <w:rsid w:val="004F0467"/>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A463E"/>
    <w:rsid w:val="005A4C3F"/>
    <w:rsid w:val="005A6405"/>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502"/>
    <w:rsid w:val="00617FDD"/>
    <w:rsid w:val="00620108"/>
    <w:rsid w:val="006203C5"/>
    <w:rsid w:val="00621CBF"/>
    <w:rsid w:val="00622252"/>
    <w:rsid w:val="0062246A"/>
    <w:rsid w:val="00624014"/>
    <w:rsid w:val="00624A8B"/>
    <w:rsid w:val="006259A4"/>
    <w:rsid w:val="006273A5"/>
    <w:rsid w:val="006335EF"/>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0C6"/>
    <w:rsid w:val="006706E9"/>
    <w:rsid w:val="00673F9F"/>
    <w:rsid w:val="00681775"/>
    <w:rsid w:val="00681E63"/>
    <w:rsid w:val="00682376"/>
    <w:rsid w:val="00683035"/>
    <w:rsid w:val="0068411E"/>
    <w:rsid w:val="00686953"/>
    <w:rsid w:val="00686A69"/>
    <w:rsid w:val="00687DEA"/>
    <w:rsid w:val="00687E67"/>
    <w:rsid w:val="00687FCD"/>
    <w:rsid w:val="00691641"/>
    <w:rsid w:val="00692074"/>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57D0"/>
    <w:rsid w:val="006B7388"/>
    <w:rsid w:val="006B77F3"/>
    <w:rsid w:val="006C24B2"/>
    <w:rsid w:val="006C294F"/>
    <w:rsid w:val="006C3422"/>
    <w:rsid w:val="006C6977"/>
    <w:rsid w:val="006D0988"/>
    <w:rsid w:val="006D30FF"/>
    <w:rsid w:val="006D6940"/>
    <w:rsid w:val="006E0AD9"/>
    <w:rsid w:val="006E38F4"/>
    <w:rsid w:val="006E3E3B"/>
    <w:rsid w:val="006E4138"/>
    <w:rsid w:val="006E67C9"/>
    <w:rsid w:val="006E6A7D"/>
    <w:rsid w:val="006E79E4"/>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085"/>
    <w:rsid w:val="00722C51"/>
    <w:rsid w:val="00725C58"/>
    <w:rsid w:val="0072610F"/>
    <w:rsid w:val="00727A12"/>
    <w:rsid w:val="00730CFF"/>
    <w:rsid w:val="00730DD1"/>
    <w:rsid w:val="00733336"/>
    <w:rsid w:val="0073519E"/>
    <w:rsid w:val="00735802"/>
    <w:rsid w:val="00736110"/>
    <w:rsid w:val="0073677C"/>
    <w:rsid w:val="007369E6"/>
    <w:rsid w:val="00736D42"/>
    <w:rsid w:val="0073721D"/>
    <w:rsid w:val="00737401"/>
    <w:rsid w:val="00737434"/>
    <w:rsid w:val="00740B58"/>
    <w:rsid w:val="00742E2C"/>
    <w:rsid w:val="00743213"/>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C102A"/>
    <w:rsid w:val="007C21C8"/>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1FEA"/>
    <w:rsid w:val="007E565A"/>
    <w:rsid w:val="007E7A7F"/>
    <w:rsid w:val="007F209D"/>
    <w:rsid w:val="007F2720"/>
    <w:rsid w:val="007F43D3"/>
    <w:rsid w:val="007F6C64"/>
    <w:rsid w:val="007F6D8D"/>
    <w:rsid w:val="007F750C"/>
    <w:rsid w:val="007F7B32"/>
    <w:rsid w:val="007F7FDC"/>
    <w:rsid w:val="008002D4"/>
    <w:rsid w:val="00804067"/>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546E"/>
    <w:rsid w:val="0085657A"/>
    <w:rsid w:val="0085781C"/>
    <w:rsid w:val="00860000"/>
    <w:rsid w:val="00862163"/>
    <w:rsid w:val="00863BD3"/>
    <w:rsid w:val="008644A3"/>
    <w:rsid w:val="00866D66"/>
    <w:rsid w:val="008671C6"/>
    <w:rsid w:val="00870C19"/>
    <w:rsid w:val="00872099"/>
    <w:rsid w:val="00872C97"/>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A9D"/>
    <w:rsid w:val="00897FB9"/>
    <w:rsid w:val="008A09AF"/>
    <w:rsid w:val="008A1FCD"/>
    <w:rsid w:val="008A4165"/>
    <w:rsid w:val="008A7E29"/>
    <w:rsid w:val="008B3509"/>
    <w:rsid w:val="008B459E"/>
    <w:rsid w:val="008B6AE3"/>
    <w:rsid w:val="008B7327"/>
    <w:rsid w:val="008C2330"/>
    <w:rsid w:val="008C3CF9"/>
    <w:rsid w:val="008C65DE"/>
    <w:rsid w:val="008D1544"/>
    <w:rsid w:val="008D4CC6"/>
    <w:rsid w:val="008D4D09"/>
    <w:rsid w:val="008D5531"/>
    <w:rsid w:val="008D6E31"/>
    <w:rsid w:val="008E0AF4"/>
    <w:rsid w:val="008E13AE"/>
    <w:rsid w:val="008E1506"/>
    <w:rsid w:val="008E1D48"/>
    <w:rsid w:val="008E710C"/>
    <w:rsid w:val="008F0221"/>
    <w:rsid w:val="008F2E29"/>
    <w:rsid w:val="008F36EB"/>
    <w:rsid w:val="008F446C"/>
    <w:rsid w:val="008F49DE"/>
    <w:rsid w:val="008F53C3"/>
    <w:rsid w:val="008F5B17"/>
    <w:rsid w:val="008F69D6"/>
    <w:rsid w:val="00902823"/>
    <w:rsid w:val="00907A49"/>
    <w:rsid w:val="00911B0B"/>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0AC"/>
    <w:rsid w:val="0098668C"/>
    <w:rsid w:val="009913C6"/>
    <w:rsid w:val="00991ABC"/>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2F54"/>
    <w:rsid w:val="00A03B96"/>
    <w:rsid w:val="00A03BA8"/>
    <w:rsid w:val="00A04439"/>
    <w:rsid w:val="00A04985"/>
    <w:rsid w:val="00A05387"/>
    <w:rsid w:val="00A05B19"/>
    <w:rsid w:val="00A10A22"/>
    <w:rsid w:val="00A1134E"/>
    <w:rsid w:val="00A12A42"/>
    <w:rsid w:val="00A12E1C"/>
    <w:rsid w:val="00A21D6E"/>
    <w:rsid w:val="00A21F8C"/>
    <w:rsid w:val="00A24E7E"/>
    <w:rsid w:val="00A254E5"/>
    <w:rsid w:val="00A258C3"/>
    <w:rsid w:val="00A313D4"/>
    <w:rsid w:val="00A32872"/>
    <w:rsid w:val="00A34302"/>
    <w:rsid w:val="00A347C0"/>
    <w:rsid w:val="00A40F15"/>
    <w:rsid w:val="00A41A08"/>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3B0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23B4"/>
    <w:rsid w:val="00AB33EF"/>
    <w:rsid w:val="00AB365B"/>
    <w:rsid w:val="00AB3E72"/>
    <w:rsid w:val="00AB45D9"/>
    <w:rsid w:val="00AB4638"/>
    <w:rsid w:val="00AB4BF1"/>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063D"/>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7404"/>
    <w:rsid w:val="00BD7576"/>
    <w:rsid w:val="00BD76E4"/>
    <w:rsid w:val="00BE0A38"/>
    <w:rsid w:val="00BE0E4E"/>
    <w:rsid w:val="00BE1295"/>
    <w:rsid w:val="00BE1DDA"/>
    <w:rsid w:val="00BE230B"/>
    <w:rsid w:val="00BE5216"/>
    <w:rsid w:val="00BE62AD"/>
    <w:rsid w:val="00BF121F"/>
    <w:rsid w:val="00BF1D4D"/>
    <w:rsid w:val="00BF1F80"/>
    <w:rsid w:val="00BF2939"/>
    <w:rsid w:val="00BF2BC3"/>
    <w:rsid w:val="00BF7728"/>
    <w:rsid w:val="00C01D17"/>
    <w:rsid w:val="00C021EA"/>
    <w:rsid w:val="00C03926"/>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2A6B"/>
    <w:rsid w:val="00C362F5"/>
    <w:rsid w:val="00C37E61"/>
    <w:rsid w:val="00C40027"/>
    <w:rsid w:val="00C41063"/>
    <w:rsid w:val="00C4218D"/>
    <w:rsid w:val="00C425E7"/>
    <w:rsid w:val="00C43FC7"/>
    <w:rsid w:val="00C4471A"/>
    <w:rsid w:val="00C455E5"/>
    <w:rsid w:val="00C517B4"/>
    <w:rsid w:val="00C52519"/>
    <w:rsid w:val="00C532EF"/>
    <w:rsid w:val="00C5460A"/>
    <w:rsid w:val="00C555E5"/>
    <w:rsid w:val="00C56639"/>
    <w:rsid w:val="00C631DB"/>
    <w:rsid w:val="00C63EF9"/>
    <w:rsid w:val="00C642BA"/>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0B6A"/>
    <w:rsid w:val="00C944B7"/>
    <w:rsid w:val="00C94706"/>
    <w:rsid w:val="00C972A1"/>
    <w:rsid w:val="00CA1A21"/>
    <w:rsid w:val="00CA30FF"/>
    <w:rsid w:val="00CA5187"/>
    <w:rsid w:val="00CA7890"/>
    <w:rsid w:val="00CA7DAE"/>
    <w:rsid w:val="00CB059F"/>
    <w:rsid w:val="00CB11B3"/>
    <w:rsid w:val="00CB2155"/>
    <w:rsid w:val="00CB37FD"/>
    <w:rsid w:val="00CB6F3A"/>
    <w:rsid w:val="00CB7AC1"/>
    <w:rsid w:val="00CC0ECF"/>
    <w:rsid w:val="00CC5ECD"/>
    <w:rsid w:val="00CC701F"/>
    <w:rsid w:val="00CC7073"/>
    <w:rsid w:val="00CD1124"/>
    <w:rsid w:val="00CD1D7F"/>
    <w:rsid w:val="00CD4D57"/>
    <w:rsid w:val="00CD6339"/>
    <w:rsid w:val="00CD6755"/>
    <w:rsid w:val="00CD6856"/>
    <w:rsid w:val="00CD6F56"/>
    <w:rsid w:val="00CE0089"/>
    <w:rsid w:val="00CE3176"/>
    <w:rsid w:val="00CE5E13"/>
    <w:rsid w:val="00CE60AB"/>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26112"/>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7BB"/>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A6A85"/>
    <w:rsid w:val="00DA76AB"/>
    <w:rsid w:val="00DB03BF"/>
    <w:rsid w:val="00DB0B12"/>
    <w:rsid w:val="00DB0B8E"/>
    <w:rsid w:val="00DB27EE"/>
    <w:rsid w:val="00DB27F9"/>
    <w:rsid w:val="00DB46B2"/>
    <w:rsid w:val="00DB5951"/>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5784"/>
    <w:rsid w:val="00DE7644"/>
    <w:rsid w:val="00DE78AA"/>
    <w:rsid w:val="00DF319F"/>
    <w:rsid w:val="00DF3F64"/>
    <w:rsid w:val="00DF4C95"/>
    <w:rsid w:val="00DF6A2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3BA2"/>
    <w:rsid w:val="00E479C2"/>
    <w:rsid w:val="00E50424"/>
    <w:rsid w:val="00E508C3"/>
    <w:rsid w:val="00E5104A"/>
    <w:rsid w:val="00E55050"/>
    <w:rsid w:val="00E557DA"/>
    <w:rsid w:val="00E61952"/>
    <w:rsid w:val="00E64B1B"/>
    <w:rsid w:val="00E66496"/>
    <w:rsid w:val="00E66A3C"/>
    <w:rsid w:val="00E66B35"/>
    <w:rsid w:val="00E66E10"/>
    <w:rsid w:val="00E70CB4"/>
    <w:rsid w:val="00E71A6B"/>
    <w:rsid w:val="00E71FEE"/>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65F"/>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865AE"/>
    <w:rsid w:val="00F927B2"/>
    <w:rsid w:val="00F92A13"/>
    <w:rsid w:val="00F947E3"/>
    <w:rsid w:val="00F96071"/>
    <w:rsid w:val="00FA0D6E"/>
    <w:rsid w:val="00FA2543"/>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AB2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ooks.google.com/books?hl=en&amp;lr=&amp;id=Ng_JEAAAQBAJ&amp;oi=fnd&amp;pg=PT17&amp;dq=Effective+distribution+of+teaching+and+learning+resources+is+essential+to+ensure+that+educational+programs+are+challenging+and+engaging+for+students,+while+also+respecting+the+values+and+sensitivities+of+the+wider+school+community.&amp;ots=B7z_EB-qEV&amp;sig=-CIWg7bcxdCiX-CQwVbx9AfTXm8" TargetMode="External"/><Relationship Id="rId26" Type="http://schemas.openxmlformats.org/officeDocument/2006/relationships/hyperlink" Target="https://www.sciencedirect.com/science/article/pii/S2590291124000329" TargetMode="External"/><Relationship Id="rId39" Type="http://schemas.openxmlformats.org/officeDocument/2006/relationships/header" Target="header6.xml"/><Relationship Id="rId21" Type="http://schemas.openxmlformats.org/officeDocument/2006/relationships/hyperlink" Target="https://heinonline.org/hol-cgi-bin/get_pdf.cgi?handle=hein.journals/wmbrts31&amp;section=8" TargetMode="External"/><Relationship Id="rId34" Type="http://schemas.openxmlformats.org/officeDocument/2006/relationships/hyperlink" Target="https://books.google.com/books?hl=en&amp;lr=&amp;id=W44hEQAAQBAJ&amp;oi=fnd&amp;pg=PA145&amp;dq=teachers+who+engage+in+comprehensive+monitoring+activities+promote+greater+student+engagement+and+motivation+by+promptly+addressing+learning+gaps+and+behavioral+concerns.&amp;ots=bCYcpA3thU&amp;sig=uKCugR8gCVmNdFTQnXbyHu0cd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erald.com/insight/content/doi/10.1108/ECAM-10-2019-0563/full/html" TargetMode="External"/><Relationship Id="rId20" Type="http://schemas.openxmlformats.org/officeDocument/2006/relationships/hyperlink" Target="https://arxiv.org/abs/2504.14120" TargetMode="External"/><Relationship Id="rId29" Type="http://schemas.openxmlformats.org/officeDocument/2006/relationships/hyperlink" Target="https://pasca.jurnalikhac.ac.id/index.php/cjotl/article/view/174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aradigmpress.org/rae/article/view/703" TargetMode="External"/><Relationship Id="rId32" Type="http://schemas.openxmlformats.org/officeDocument/2006/relationships/hyperlink" Target="https://www.e3s-conferences.org/articles/e3sconf/abs/2023/90/e3sconf_icsdg2023_01037/e3sconf_icsdg2023_01037.html"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eeexplore.ieee.org/abstract/document/9697272/" TargetMode="External"/><Relationship Id="rId23" Type="http://schemas.openxmlformats.org/officeDocument/2006/relationships/hyperlink" Target="https://search.proquest.com/openview/64844d3eaab63816b102688d310cefbb/1?pq-origsite=gscholar&amp;cbl=2050634" TargetMode="External"/><Relationship Id="rId28" Type="http://schemas.openxmlformats.org/officeDocument/2006/relationships/hyperlink" Target="https://www.unijerps.org/index.php/unijerps/article/view/834"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cell.com/heliyon/fulltext/S2405-8440(20)30669-1" TargetMode="External"/><Relationship Id="rId31" Type="http://schemas.openxmlformats.org/officeDocument/2006/relationships/hyperlink" Target="https://heinonline.org/hol-cgi-bin/get_pdf.cgi?handle=hein.journals/stflr76&amp;section=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earch.ebscohost.com/login.aspx?direct=true&amp;profile=ehost&amp;scope=site&amp;authtype=crawler&amp;jrnl=09701052&amp;AN=180919184&amp;h=nnZWZLkf4SLeLQqsE%2B%2FNLsz97aEoay%2FTDe1h%2F%2Fq8m1%2FVqz%2BOpMlUTXxevcUT3SciO5QBhBclvkfWIESO2LwmmA%3D%3D&amp;crl=c" TargetMode="External"/><Relationship Id="rId22" Type="http://schemas.openxmlformats.org/officeDocument/2006/relationships/hyperlink" Target="https://nepjol.info/index.php/smcrj/article/view/64887" TargetMode="External"/><Relationship Id="rId27" Type="http://schemas.openxmlformats.org/officeDocument/2006/relationships/hyperlink" Target="https://www.researchgate.net/profile/Thankgod-James-Nwuke/publication/378736003_Provision_and_Utilization_of_Physical_Resources_for_Effective_Teaching_and_Learning_Effectiveness_in_Public_Universities_in_Rivers_State/links/65e7209fc3b52a117016277d/Provision-and-Utilization-of-Physical-Resources-for-Effective-Teaching-and-Learning-Effectiveness-in-Public-Universities-in-Rivers-State.pdf" TargetMode="External"/><Relationship Id="rId30" Type="http://schemas.openxmlformats.org/officeDocument/2006/relationships/hyperlink" Target="https://journals.sagepub.com/doi/abs/10.1177/2332858420932828" TargetMode="External"/><Relationship Id="rId35" Type="http://schemas.openxmlformats.org/officeDocument/2006/relationships/hyperlink" Target="http://essay.utwente.nl/10144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core.ac.uk/download/pdf/560380615.pdf" TargetMode="External"/><Relationship Id="rId25" Type="http://schemas.openxmlformats.org/officeDocument/2006/relationships/hyperlink" Target="https://www.ceeol.com/search/article-detail?id=939590" TargetMode="External"/><Relationship Id="rId33" Type="http://schemas.openxmlformats.org/officeDocument/2006/relationships/hyperlink" Target="https://www.emerald.com/insight/content/doi/10.1108/ijem-08-2019-0305/full/html"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TotalTime>
  <Pages>12</Pages>
  <Words>5908</Words>
  <Characters>33681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191</cp:revision>
  <cp:lastPrinted>2024-10-20T02:52:00Z</cp:lastPrinted>
  <dcterms:created xsi:type="dcterms:W3CDTF">2025-07-11T00:51:00Z</dcterms:created>
  <dcterms:modified xsi:type="dcterms:W3CDTF">2025-07-15T12:18:00Z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