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989B9" w14:textId="77777777" w:rsidR="00D41984" w:rsidRPr="00090C76" w:rsidRDefault="00617B0B" w:rsidP="00090C76">
      <w:pPr>
        <w:jc w:val="both"/>
        <w:rPr>
          <w:b/>
          <w:sz w:val="24"/>
          <w:szCs w:val="24"/>
          <w:lang w:eastAsia="en-IN"/>
        </w:rPr>
      </w:pPr>
      <w:r w:rsidRPr="00090C76">
        <w:rPr>
          <w:b/>
          <w:sz w:val="24"/>
          <w:szCs w:val="24"/>
          <w:lang w:eastAsia="en-IN"/>
        </w:rPr>
        <w:t xml:space="preserve"> </w:t>
      </w:r>
      <w:r w:rsidR="00D41984" w:rsidRPr="00090C76">
        <w:rPr>
          <w:b/>
          <w:sz w:val="24"/>
          <w:szCs w:val="24"/>
          <w:lang w:eastAsia="en-IN"/>
        </w:rPr>
        <w:t>Leveraging Artificial Intelligence for Enhanced Platelet Management in Dengue Fever</w:t>
      </w:r>
    </w:p>
    <w:p w14:paraId="288EA211" w14:textId="4A9CD8C6" w:rsidR="005D7EAD" w:rsidRDefault="005D7EAD" w:rsidP="00090C76">
      <w:pPr>
        <w:spacing w:before="100" w:beforeAutospacing="1" w:after="100" w:afterAutospacing="1" w:line="240" w:lineRule="auto"/>
        <w:jc w:val="both"/>
        <w:rPr>
          <w:rFonts w:ascii="Times New Roman" w:eastAsia="Times New Roman" w:hAnsi="Times New Roman" w:cs="Times New Roman"/>
          <w:b/>
          <w:bCs/>
          <w:sz w:val="24"/>
          <w:szCs w:val="24"/>
          <w:lang w:eastAsia="en-IN"/>
        </w:rPr>
      </w:pPr>
    </w:p>
    <w:p w14:paraId="7E35125F" w14:textId="77777777" w:rsidR="00596AAB" w:rsidRDefault="00596AAB" w:rsidP="00090C76">
      <w:pPr>
        <w:spacing w:before="100" w:beforeAutospacing="1" w:after="100" w:afterAutospacing="1" w:line="240" w:lineRule="auto"/>
        <w:jc w:val="both"/>
        <w:rPr>
          <w:rFonts w:ascii="Times New Roman" w:eastAsia="Times New Roman" w:hAnsi="Times New Roman" w:cs="Times New Roman"/>
          <w:b/>
          <w:bCs/>
          <w:sz w:val="24"/>
          <w:szCs w:val="24"/>
          <w:lang w:eastAsia="en-IN"/>
        </w:rPr>
      </w:pPr>
    </w:p>
    <w:p w14:paraId="02EC4018" w14:textId="77777777" w:rsidR="00F467E3" w:rsidRPr="00090C76" w:rsidRDefault="005D7EAD"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                                                </w:t>
      </w:r>
      <w:r w:rsidR="003076D4" w:rsidRPr="00090C76">
        <w:rPr>
          <w:rFonts w:ascii="Times New Roman" w:eastAsia="Times New Roman" w:hAnsi="Times New Roman" w:cs="Times New Roman"/>
          <w:b/>
          <w:bCs/>
          <w:sz w:val="24"/>
          <w:szCs w:val="24"/>
          <w:lang w:eastAsia="en-IN"/>
        </w:rPr>
        <w:t xml:space="preserve">  </w:t>
      </w:r>
      <w:r w:rsidR="006B3B09">
        <w:rPr>
          <w:rFonts w:ascii="Times New Roman" w:eastAsia="Times New Roman" w:hAnsi="Times New Roman" w:cs="Times New Roman"/>
          <w:b/>
          <w:bCs/>
          <w:sz w:val="24"/>
          <w:szCs w:val="24"/>
          <w:lang w:eastAsia="en-IN"/>
        </w:rPr>
        <w:t xml:space="preserve"> </w:t>
      </w:r>
      <w:r w:rsidR="00F467E3" w:rsidRPr="00090C76">
        <w:rPr>
          <w:rFonts w:ascii="Times New Roman" w:eastAsia="Times New Roman" w:hAnsi="Times New Roman" w:cs="Times New Roman"/>
          <w:b/>
          <w:bCs/>
          <w:sz w:val="24"/>
          <w:szCs w:val="24"/>
          <w:lang w:eastAsia="en-IN"/>
        </w:rPr>
        <w:t>Abstract</w:t>
      </w:r>
    </w:p>
    <w:p w14:paraId="3C638AFF" w14:textId="77777777" w:rsidR="00152FD0" w:rsidRPr="00090C76" w:rsidRDefault="00152FD0"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 xml:space="preserve">Dengue fever poses a considerable therapeutic challenge owing to its erratic course and the potential for severe thrombocytopenia necessitating prompt care. Utilizing artificial intelligence (AI) provides a revolutionary method for platelet management by facilitating early forecasting of the platelet's lowest point, recovery trajectories, and transfusion requirements. This study delineates a comprehensive AI-driven architecture that incorporates clinical characteristics such as age, fever duration, </w:t>
      </w:r>
      <w:r w:rsidR="00C5482A" w:rsidRPr="00090C76">
        <w:rPr>
          <w:rFonts w:ascii="Times New Roman" w:eastAsia="Times New Roman" w:hAnsi="Times New Roman" w:cs="Times New Roman"/>
          <w:sz w:val="24"/>
          <w:szCs w:val="24"/>
          <w:lang w:eastAsia="en-IN"/>
        </w:rPr>
        <w:t>haematocrit</w:t>
      </w:r>
      <w:r w:rsidRPr="00090C76">
        <w:rPr>
          <w:rFonts w:ascii="Times New Roman" w:eastAsia="Times New Roman" w:hAnsi="Times New Roman" w:cs="Times New Roman"/>
          <w:sz w:val="24"/>
          <w:szCs w:val="24"/>
          <w:lang w:eastAsia="en-IN"/>
        </w:rPr>
        <w:t xml:space="preserve"> levels, and white blood cell trends into supervised learning models, including Random Forest, </w:t>
      </w:r>
      <w:proofErr w:type="spellStart"/>
      <w:r w:rsidRPr="00090C76">
        <w:rPr>
          <w:rFonts w:ascii="Times New Roman" w:eastAsia="Times New Roman" w:hAnsi="Times New Roman" w:cs="Times New Roman"/>
          <w:sz w:val="24"/>
          <w:szCs w:val="24"/>
          <w:lang w:eastAsia="en-IN"/>
        </w:rPr>
        <w:t>XGBoost</w:t>
      </w:r>
      <w:proofErr w:type="spellEnd"/>
      <w:r w:rsidRPr="00090C76">
        <w:rPr>
          <w:rFonts w:ascii="Times New Roman" w:eastAsia="Times New Roman" w:hAnsi="Times New Roman" w:cs="Times New Roman"/>
          <w:sz w:val="24"/>
          <w:szCs w:val="24"/>
          <w:lang w:eastAsia="en-IN"/>
        </w:rPr>
        <w:t>, and LSTM. These models, incorporated into real-time clinical decision support tools, are intended for seamless integration with hospital information systems and deliver actionable alarms for significant platelet reductions. The methodology prioritizes transparency, data confidentiality, and fair model efficacy across diverse demographics. This AI-enabled solution, through prospective validation in dengue-endemic locations and synchronization with national health systems, aims to enhance transfusion procedures, alleviate hospital strain, and markedly improve patient outcomes during dengue outbreaks.</w:t>
      </w:r>
    </w:p>
    <w:p w14:paraId="51D82DE8" w14:textId="77777777" w:rsidR="00095031" w:rsidRPr="00090C76" w:rsidRDefault="00095031"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b/>
          <w:sz w:val="24"/>
          <w:szCs w:val="24"/>
          <w:lang w:eastAsia="en-IN"/>
        </w:rPr>
        <w:t>Key Words</w:t>
      </w:r>
      <w:r w:rsidRPr="00090C76">
        <w:rPr>
          <w:rFonts w:ascii="Times New Roman" w:eastAsia="Times New Roman" w:hAnsi="Times New Roman" w:cs="Times New Roman"/>
          <w:sz w:val="24"/>
          <w:szCs w:val="24"/>
          <w:lang w:eastAsia="en-IN"/>
        </w:rPr>
        <w:t>: Dengue, Platelet, Fever, Transfusion, Strategy, Artificial Intelligence.</w:t>
      </w:r>
    </w:p>
    <w:p w14:paraId="6D6602E2" w14:textId="77777777" w:rsidR="00C77074" w:rsidRPr="00090C76" w:rsidRDefault="00C77074" w:rsidP="00090C76">
      <w:pPr>
        <w:jc w:val="both"/>
        <w:rPr>
          <w:b/>
          <w:sz w:val="24"/>
          <w:szCs w:val="24"/>
          <w:lang w:eastAsia="en-IN"/>
        </w:rPr>
      </w:pPr>
      <w:r w:rsidRPr="00090C76">
        <w:rPr>
          <w:b/>
          <w:sz w:val="24"/>
          <w:szCs w:val="24"/>
          <w:lang w:eastAsia="en-IN"/>
        </w:rPr>
        <w:t>1. Introduction</w:t>
      </w:r>
    </w:p>
    <w:p w14:paraId="7D897DA0" w14:textId="77777777" w:rsidR="00C77074" w:rsidRPr="00090C76" w:rsidRDefault="00C77074" w:rsidP="00090C76">
      <w:pPr>
        <w:jc w:val="both"/>
        <w:rPr>
          <w:b/>
          <w:sz w:val="24"/>
          <w:szCs w:val="24"/>
          <w:lang w:eastAsia="en-IN"/>
        </w:rPr>
      </w:pPr>
      <w:r w:rsidRPr="00090C76">
        <w:rPr>
          <w:b/>
          <w:sz w:val="24"/>
          <w:szCs w:val="24"/>
          <w:lang w:eastAsia="en-IN"/>
        </w:rPr>
        <w:t>1.1 Background on Dengue Fever</w:t>
      </w:r>
    </w:p>
    <w:p w14:paraId="1EA56820" w14:textId="77777777" w:rsidR="00D5562F" w:rsidRPr="00090C76" w:rsidRDefault="00C77074" w:rsidP="00090C76">
      <w:pPr>
        <w:pStyle w:val="NormalWeb"/>
        <w:jc w:val="both"/>
      </w:pPr>
      <w:r w:rsidRPr="00090C76">
        <w:rPr>
          <w:b/>
          <w:bCs/>
        </w:rPr>
        <w:t>Epidemiology and Global Burden</w:t>
      </w:r>
    </w:p>
    <w:p w14:paraId="4A9856FC" w14:textId="77777777" w:rsidR="00D5562F" w:rsidRPr="00090C76" w:rsidRDefault="00D5562F" w:rsidP="00090C76">
      <w:pPr>
        <w:pStyle w:val="NormalWeb"/>
        <w:jc w:val="both"/>
      </w:pPr>
      <w:r w:rsidRPr="00090C76">
        <w:t xml:space="preserve">Dengue fever is a viral disease carried predominantly by the Aedes aegypti mosquito. It presents a considerable public health challenge, especially in tropical and subtropical areas. The World Health Organization (WHO) estimates that dengue impacts approximately 390 million individuals each year, with over 96 million exhibiting clinical symptoms. More than 70% of the global burden is concentrated in Asia, succeeded by Latin America and Africa. Accelerated urbanization, climate change, and heightened international travel have facilitated the proliferation of dengue into novel geographic regions, rendering it an escalating global </w:t>
      </w:r>
      <w:r w:rsidR="006B3B09" w:rsidRPr="00090C76">
        <w:t>issue</w:t>
      </w:r>
      <w:r w:rsidR="006B3B09">
        <w:t xml:space="preserve"> [</w:t>
      </w:r>
      <w:r w:rsidR="00B17150">
        <w:t>1]</w:t>
      </w:r>
      <w:r w:rsidRPr="00090C76">
        <w:t>.</w:t>
      </w:r>
    </w:p>
    <w:p w14:paraId="514DE6B3" w14:textId="77777777" w:rsidR="009F6632" w:rsidRDefault="00C77074" w:rsidP="007A1D53">
      <w:pPr>
        <w:spacing w:before="100" w:beforeAutospacing="1" w:after="100" w:afterAutospacing="1" w:line="240" w:lineRule="auto"/>
        <w:rPr>
          <w:rFonts w:ascii="Times New Roman" w:eastAsia="Times New Roman" w:hAnsi="Times New Roman" w:cs="Times New Roman"/>
          <w:sz w:val="24"/>
          <w:szCs w:val="24"/>
          <w:lang w:eastAsia="en-IN"/>
        </w:rPr>
      </w:pPr>
      <w:r w:rsidRPr="00090C76">
        <w:rPr>
          <w:rFonts w:ascii="Times New Roman" w:eastAsia="Times New Roman" w:hAnsi="Times New Roman" w:cs="Times New Roman"/>
          <w:b/>
          <w:bCs/>
          <w:sz w:val="24"/>
          <w:szCs w:val="24"/>
          <w:lang w:eastAsia="en-IN"/>
        </w:rPr>
        <w:t>Clinical Stages of Dengue (Febrile, Critical, Recovery)</w:t>
      </w:r>
      <w:r w:rsidRPr="00090C76">
        <w:rPr>
          <w:rFonts w:ascii="Times New Roman" w:eastAsia="Times New Roman" w:hAnsi="Times New Roman" w:cs="Times New Roman"/>
          <w:sz w:val="24"/>
          <w:szCs w:val="24"/>
          <w:lang w:eastAsia="en-IN"/>
        </w:rPr>
        <w:br/>
      </w:r>
    </w:p>
    <w:p w14:paraId="3498431C" w14:textId="77777777" w:rsidR="00C77074" w:rsidRPr="00F73F4F" w:rsidRDefault="00C77074" w:rsidP="007A1D53">
      <w:pPr>
        <w:spacing w:before="100" w:beforeAutospacing="1" w:after="100" w:afterAutospacing="1" w:line="240" w:lineRule="auto"/>
        <w:rPr>
          <w:rFonts w:ascii="Times New Roman" w:eastAsia="Times New Roman" w:hAnsi="Times New Roman" w:cs="Times New Roman"/>
          <w:b/>
          <w:sz w:val="24"/>
          <w:szCs w:val="24"/>
          <w:lang w:eastAsia="en-IN"/>
        </w:rPr>
      </w:pPr>
      <w:r w:rsidRPr="00F73F4F">
        <w:rPr>
          <w:rFonts w:ascii="Times New Roman" w:eastAsia="Times New Roman" w:hAnsi="Times New Roman" w:cs="Times New Roman"/>
          <w:b/>
          <w:sz w:val="24"/>
          <w:szCs w:val="24"/>
          <w:lang w:eastAsia="en-IN"/>
        </w:rPr>
        <w:t>Dengue progresses through three distinct clinical phases:</w:t>
      </w:r>
    </w:p>
    <w:p w14:paraId="50535A18" w14:textId="77777777" w:rsidR="00CB54F7" w:rsidRPr="00090C76" w:rsidRDefault="00C77074" w:rsidP="00E45D1D">
      <w:pPr>
        <w:pStyle w:val="NormalWeb"/>
        <w:numPr>
          <w:ilvl w:val="0"/>
          <w:numId w:val="12"/>
        </w:numPr>
        <w:jc w:val="both"/>
      </w:pPr>
      <w:r w:rsidRPr="00090C76">
        <w:rPr>
          <w:b/>
          <w:bCs/>
        </w:rPr>
        <w:t>Febrile Phase</w:t>
      </w:r>
      <w:r w:rsidRPr="00090C76">
        <w:t xml:space="preserve">: </w:t>
      </w:r>
      <w:r w:rsidR="00CB54F7" w:rsidRPr="00090C76">
        <w:t xml:space="preserve">The initial phase endures for 2 to 7 days and is characterized by elevated fever, cephalalgia, myalgia, arthralgia, exanthema, and moderate </w:t>
      </w:r>
      <w:r w:rsidR="006F6966" w:rsidRPr="00090C76">
        <w:t>haemorrhagic</w:t>
      </w:r>
      <w:r w:rsidR="00CB54F7" w:rsidRPr="00090C76">
        <w:t xml:space="preserve"> symptoms (e.g., petechiae). Laboratory results frequently indicate leukopenia and a progressive decline in platelet </w:t>
      </w:r>
      <w:r w:rsidR="006B3B09" w:rsidRPr="00090C76">
        <w:t>count</w:t>
      </w:r>
      <w:r w:rsidR="006B3B09">
        <w:t xml:space="preserve"> [</w:t>
      </w:r>
      <w:r w:rsidR="00B17150">
        <w:t>2]</w:t>
      </w:r>
      <w:r w:rsidR="00CB54F7" w:rsidRPr="00090C76">
        <w:t>.</w:t>
      </w:r>
    </w:p>
    <w:p w14:paraId="28B42B27" w14:textId="77777777" w:rsidR="00CB54F7" w:rsidRPr="00090C76" w:rsidRDefault="00C77074" w:rsidP="00E45D1D">
      <w:pPr>
        <w:pStyle w:val="NormalWeb"/>
        <w:numPr>
          <w:ilvl w:val="0"/>
          <w:numId w:val="12"/>
        </w:numPr>
        <w:jc w:val="both"/>
      </w:pPr>
      <w:r w:rsidRPr="00090C76">
        <w:rPr>
          <w:b/>
          <w:bCs/>
        </w:rPr>
        <w:lastRenderedPageBreak/>
        <w:t>Critical Phase</w:t>
      </w:r>
      <w:r w:rsidRPr="00090C76">
        <w:t xml:space="preserve">: </w:t>
      </w:r>
      <w:r w:rsidR="00CB54F7" w:rsidRPr="00090C76">
        <w:t xml:space="preserve">This phase, which normally occurs between days 3 and 7 of illness, is critical and often brief, lasting 24 to 48 hours. As the fever diminishes, patients may experience plasma leakage resulting from heightened capillary permeability, which can lead to shock, fluid retention, and significant </w:t>
      </w:r>
      <w:r w:rsidR="006F6966" w:rsidRPr="00090C76">
        <w:t>haemorrhaging</w:t>
      </w:r>
      <w:r w:rsidR="00CB54F7" w:rsidRPr="00090C76">
        <w:t xml:space="preserve">. Vigilant observation during this phase is crucial to identify indicators of dengue </w:t>
      </w:r>
      <w:r w:rsidR="006F6966" w:rsidRPr="00090C76">
        <w:t>haemorrhagic</w:t>
      </w:r>
      <w:r w:rsidR="00CB54F7" w:rsidRPr="00090C76">
        <w:t xml:space="preserve"> fever (DHF) or dengue shock syndrome (DSS).</w:t>
      </w:r>
    </w:p>
    <w:p w14:paraId="22E8483E" w14:textId="77777777" w:rsidR="00CB54F7" w:rsidRPr="00090C76" w:rsidRDefault="00C77074" w:rsidP="00E45D1D">
      <w:pPr>
        <w:pStyle w:val="NormalWeb"/>
        <w:numPr>
          <w:ilvl w:val="0"/>
          <w:numId w:val="12"/>
        </w:numPr>
        <w:jc w:val="both"/>
      </w:pPr>
      <w:r w:rsidRPr="00090C76">
        <w:rPr>
          <w:b/>
          <w:bCs/>
        </w:rPr>
        <w:t>Recovery Phase</w:t>
      </w:r>
      <w:r w:rsidRPr="00090C76">
        <w:t xml:space="preserve">: </w:t>
      </w:r>
      <w:r w:rsidR="00CB54F7" w:rsidRPr="00090C76">
        <w:t xml:space="preserve">The reabsorption of extravasated fluids occurs during this phase, typically leading to clinical enhancement. Excessive fluid reabsorption may result in problems, including pulmonary </w:t>
      </w:r>
      <w:proofErr w:type="spellStart"/>
      <w:r w:rsidR="00CB54F7" w:rsidRPr="00090C76">
        <w:t>edema</w:t>
      </w:r>
      <w:proofErr w:type="spellEnd"/>
      <w:r w:rsidR="00CB54F7" w:rsidRPr="00090C76">
        <w:t xml:space="preserve"> or congestive heart failure, if not properly </w:t>
      </w:r>
      <w:r w:rsidR="006B3B09" w:rsidRPr="00090C76">
        <w:t>treated</w:t>
      </w:r>
      <w:r w:rsidR="006B3B09">
        <w:t xml:space="preserve"> [</w:t>
      </w:r>
      <w:r w:rsidR="00B17150">
        <w:t>3]</w:t>
      </w:r>
      <w:r w:rsidR="00CB54F7" w:rsidRPr="00090C76">
        <w:t>.</w:t>
      </w:r>
    </w:p>
    <w:p w14:paraId="44283A88" w14:textId="77777777" w:rsidR="009F6632" w:rsidRDefault="00C77074" w:rsidP="009F6632">
      <w:pPr>
        <w:pStyle w:val="NormalWeb"/>
      </w:pPr>
      <w:r w:rsidRPr="00090C76">
        <w:rPr>
          <w:b/>
          <w:bCs/>
        </w:rPr>
        <w:t>Significance of Thrombocytopenia (Low Platelet Count)</w:t>
      </w:r>
      <w:r w:rsidRPr="00090C76">
        <w:br/>
      </w:r>
    </w:p>
    <w:p w14:paraId="565A3C3C" w14:textId="77777777" w:rsidR="00CB54F7" w:rsidRPr="00090C76" w:rsidRDefault="00CB54F7" w:rsidP="009F6632">
      <w:pPr>
        <w:pStyle w:val="NormalWeb"/>
        <w:jc w:val="both"/>
      </w:pPr>
      <w:r w:rsidRPr="00090C76">
        <w:t xml:space="preserve">Thrombocytopenia is a characteristic laboratory finding in dengue and functions as a significant prognostic factor. Platelet counts often commence a fall near the conclusion of the febrile period, attaining their nadir during the critical phase. Thrombocytopenia alone does not clearly show that someone has severe dengue; however, it is often used along with </w:t>
      </w:r>
      <w:r w:rsidR="006F6966" w:rsidRPr="00090C76">
        <w:t>haematocrit</w:t>
      </w:r>
      <w:r w:rsidRPr="00090C76">
        <w:t xml:space="preserve"> levels and symptoms to assess how serious the illness is. A markedly diminished platelet count heightens the risk of spontaneous </w:t>
      </w:r>
      <w:r w:rsidR="006F6966" w:rsidRPr="00090C76">
        <w:t>haemorrhage</w:t>
      </w:r>
      <w:r w:rsidRPr="00090C76">
        <w:t xml:space="preserve">, particularly when coupled with plasma leakage or coagulopathy. Consequently, consistent surveillance of platelet levels is essential for prompt intervention and supportive treatment in dengue </w:t>
      </w:r>
      <w:r w:rsidR="006B3B09" w:rsidRPr="00090C76">
        <w:t>patients</w:t>
      </w:r>
      <w:r w:rsidR="006B3B09">
        <w:t xml:space="preserve"> [</w:t>
      </w:r>
      <w:r w:rsidR="00B17150">
        <w:t>4]</w:t>
      </w:r>
      <w:r w:rsidRPr="00090C76">
        <w:t>.</w:t>
      </w:r>
    </w:p>
    <w:p w14:paraId="5EC5B8EA" w14:textId="77777777" w:rsidR="00C77074" w:rsidRPr="00090C76" w:rsidRDefault="00C77074" w:rsidP="00090C76">
      <w:pPr>
        <w:spacing w:before="100" w:beforeAutospacing="1" w:after="100" w:afterAutospacing="1" w:line="240" w:lineRule="auto"/>
        <w:jc w:val="both"/>
        <w:rPr>
          <w:b/>
          <w:sz w:val="24"/>
          <w:szCs w:val="24"/>
        </w:rPr>
      </w:pPr>
      <w:r w:rsidRPr="00090C76">
        <w:rPr>
          <w:b/>
          <w:sz w:val="24"/>
          <w:szCs w:val="24"/>
        </w:rPr>
        <w:t>1.2 Challenges in Platelet Management</w:t>
      </w:r>
    </w:p>
    <w:p w14:paraId="6253D128" w14:textId="77777777" w:rsidR="009F6632" w:rsidRDefault="00C77074" w:rsidP="00E45D1D">
      <w:pPr>
        <w:pStyle w:val="NormalWeb"/>
        <w:numPr>
          <w:ilvl w:val="0"/>
          <w:numId w:val="13"/>
        </w:numPr>
      </w:pPr>
      <w:r w:rsidRPr="00090C76">
        <w:rPr>
          <w:rStyle w:val="Strong"/>
        </w:rPr>
        <w:t>Variability in Platelet Count Trajectories</w:t>
      </w:r>
      <w:r w:rsidRPr="00090C76">
        <w:br/>
      </w:r>
    </w:p>
    <w:p w14:paraId="448BD7CD" w14:textId="0937ED2E" w:rsidR="00CB54F7" w:rsidRPr="00FB10B0" w:rsidRDefault="00FB10B0" w:rsidP="00FB10B0">
      <w:pPr>
        <w:pStyle w:val="ListParagraph"/>
        <w:spacing w:before="100" w:beforeAutospacing="1" w:after="100" w:afterAutospacing="1" w:line="240" w:lineRule="auto"/>
        <w:jc w:val="both"/>
        <w:rPr>
          <w:rFonts w:ascii="Times New Roman" w:eastAsia="Times New Roman" w:hAnsi="Times New Roman" w:cs="Times New Roman"/>
          <w:sz w:val="24"/>
          <w:szCs w:val="24"/>
          <w:lang w:eastAsia="en-IN"/>
        </w:rPr>
      </w:pPr>
      <w:r w:rsidRPr="00E526B0">
        <w:rPr>
          <w:rFonts w:ascii="Times New Roman" w:eastAsia="Times New Roman" w:hAnsi="Times New Roman" w:cs="Times New Roman"/>
          <w:sz w:val="24"/>
          <w:szCs w:val="24"/>
          <w:highlight w:val="yellow"/>
          <w:lang w:eastAsia="en-IN"/>
        </w:rPr>
        <w:t xml:space="preserve">A significant clinical issue in managing dengue patients is the unpredictable nature of platelet count variations. Dengue, unlike most other hematologic disorders, does not exhibit a uniform or linear pattern of thrombocytopenia. Certain patients demonstrate a slow, nearly foreseeable reduction in platelet levels, while others encounter abrupt declines within a limited timeframe, frequently without a corresponding clinical worsening. Further complicating the situation, platelet counts may stay alarmingly low even as the patient clinically transitions into the convalescent phase, indicating a disjunction between hematologic recovery and overall disease resolution. This variability in platelet function considerably impairs clinicians' capacity to make prompt and effective therapy decisions. The evaluation of bleeding risk—a fundamental aspect of action guidance—becomes laden with uncertainty, as platelet count alone provides minimal predictive value. The absence of a universally recognized criterion for initiating platelet transfusion or other supportive treatments exacerbates this clinical uncertainty. As a result, treatment choices often rely on a mix of lab results, medical judgment, and hospital rules, leading to a wide range of practices and possibly different patient results. </w:t>
      </w:r>
      <w:r w:rsidR="006B3B09" w:rsidRPr="00E526B0">
        <w:rPr>
          <w:highlight w:val="yellow"/>
        </w:rPr>
        <w:t xml:space="preserve"> [</w:t>
      </w:r>
      <w:r w:rsidR="00B17150" w:rsidRPr="00E526B0">
        <w:rPr>
          <w:highlight w:val="yellow"/>
        </w:rPr>
        <w:t>5]</w:t>
      </w:r>
      <w:r w:rsidR="00CB54F7" w:rsidRPr="00E526B0">
        <w:rPr>
          <w:highlight w:val="yellow"/>
        </w:rPr>
        <w:t>.</w:t>
      </w:r>
    </w:p>
    <w:p w14:paraId="43E2BF5F" w14:textId="77777777" w:rsidR="009F6632" w:rsidRDefault="00C77074" w:rsidP="00E45D1D">
      <w:pPr>
        <w:pStyle w:val="NormalWeb"/>
        <w:numPr>
          <w:ilvl w:val="0"/>
          <w:numId w:val="13"/>
        </w:numPr>
      </w:pPr>
      <w:r w:rsidRPr="00090C76">
        <w:rPr>
          <w:rStyle w:val="Strong"/>
        </w:rPr>
        <w:t>Timing of Platelet Transfusion</w:t>
      </w:r>
      <w:r w:rsidRPr="00090C76">
        <w:br/>
      </w:r>
    </w:p>
    <w:p w14:paraId="6CD46890" w14:textId="0E0CD62D" w:rsidR="00CB54F7" w:rsidRPr="00090C76" w:rsidRDefault="003F07F5" w:rsidP="003F07F5">
      <w:pPr>
        <w:pStyle w:val="NormalWeb"/>
        <w:ind w:left="720"/>
        <w:jc w:val="both"/>
      </w:pPr>
      <w:r w:rsidRPr="00E526B0">
        <w:rPr>
          <w:highlight w:val="yellow"/>
        </w:rPr>
        <w:t xml:space="preserve">The timing and suitability of platelet transfusions in dengue fever continue to be topics of active clinical discussion and ambiguity. Giving platelets as a preventive </w:t>
      </w:r>
      <w:r w:rsidRPr="00E526B0">
        <w:rPr>
          <w:highlight w:val="yellow"/>
        </w:rPr>
        <w:lastRenderedPageBreak/>
        <w:t>measure when there is no obvious bleeding is very controversial because there isn't enough strong evidence that it actually helps stop bleeding problems. While some guidelines suggest giving transfusions when platelet counts fall below 10,000 cells/</w:t>
      </w:r>
      <w:proofErr w:type="spellStart"/>
      <w:r w:rsidRPr="00E526B0">
        <w:rPr>
          <w:highlight w:val="yellow"/>
        </w:rPr>
        <w:t>μL</w:t>
      </w:r>
      <w:proofErr w:type="spellEnd"/>
      <w:r w:rsidRPr="00E526B0">
        <w:rPr>
          <w:highlight w:val="yellow"/>
        </w:rPr>
        <w:t>, especially if there is bleeding or a blood clotting issue, doctors often choose to wait until the counts are higher because they are being extra careful, influenced by legal concerns or hospital rules. In many situations, doctors tend to be more careful and decide to give transfusions at higher platelet counts because they are worried about legal issues, hospital rules, or the risk of serious bleeding. This prudent strategy, despite its good intentions, may result in the unnecessary utilization of scarce healthcare resources. The excessive use of platelet products increases operational expenses and exposes patients to various transfusion-related hazards. This scenario encompasses immunologic responses, including febrile non-</w:t>
      </w:r>
      <w:proofErr w:type="spellStart"/>
      <w:r w:rsidRPr="00E526B0">
        <w:rPr>
          <w:highlight w:val="yellow"/>
        </w:rPr>
        <w:t>hemolytic</w:t>
      </w:r>
      <w:proofErr w:type="spellEnd"/>
      <w:r w:rsidRPr="00E526B0">
        <w:rPr>
          <w:highlight w:val="yellow"/>
        </w:rPr>
        <w:t xml:space="preserve"> transfusion reactions and allergy, the risk of infectious agent transfer, and consequences such as volume overload, especially in dengue patients predisposed to capillary leak and fluid imbalance. So, it's important to find a balance between careful blood transfusion practices and using proven guidelines to keep patients safe, save important blood products, and ensure fair use of healthcare resources. </w:t>
      </w:r>
      <w:r w:rsidR="006B3B09" w:rsidRPr="00E526B0">
        <w:rPr>
          <w:highlight w:val="yellow"/>
        </w:rPr>
        <w:t>[</w:t>
      </w:r>
      <w:r w:rsidR="00B17150" w:rsidRPr="00E526B0">
        <w:rPr>
          <w:highlight w:val="yellow"/>
        </w:rPr>
        <w:t>6]</w:t>
      </w:r>
      <w:r w:rsidR="00CB54F7" w:rsidRPr="00E526B0">
        <w:rPr>
          <w:highlight w:val="yellow"/>
        </w:rPr>
        <w:t>.</w:t>
      </w:r>
    </w:p>
    <w:p w14:paraId="2BBC6056" w14:textId="77777777" w:rsidR="009F6632" w:rsidRDefault="00C77074" w:rsidP="00E45D1D">
      <w:pPr>
        <w:pStyle w:val="NormalWeb"/>
        <w:numPr>
          <w:ilvl w:val="0"/>
          <w:numId w:val="13"/>
        </w:numPr>
      </w:pPr>
      <w:r w:rsidRPr="00090C76">
        <w:rPr>
          <w:rStyle w:val="Strong"/>
        </w:rPr>
        <w:t>Resource Limitations in Endemic Regions</w:t>
      </w:r>
      <w:r w:rsidRPr="00090C76">
        <w:br/>
      </w:r>
    </w:p>
    <w:p w14:paraId="74C89F2D" w14:textId="1AFFDF72" w:rsidR="00E97BCC" w:rsidRPr="00FF5CC0" w:rsidRDefault="003F07F5" w:rsidP="00FF5CC0">
      <w:pPr>
        <w:pStyle w:val="ListParagraph"/>
        <w:spacing w:before="100" w:beforeAutospacing="1" w:after="100" w:afterAutospacing="1" w:line="240" w:lineRule="auto"/>
        <w:jc w:val="both"/>
        <w:rPr>
          <w:rFonts w:ascii="Times New Roman" w:eastAsia="Times New Roman" w:hAnsi="Times New Roman" w:cs="Times New Roman"/>
          <w:sz w:val="24"/>
          <w:szCs w:val="24"/>
          <w:lang w:eastAsia="en-IN"/>
        </w:rPr>
      </w:pPr>
      <w:r w:rsidRPr="00E526B0">
        <w:rPr>
          <w:rFonts w:ascii="Times New Roman" w:eastAsia="Times New Roman" w:hAnsi="Times New Roman" w:cs="Times New Roman"/>
          <w:sz w:val="24"/>
          <w:szCs w:val="24"/>
          <w:highlight w:val="yellow"/>
          <w:lang w:eastAsia="en-IN"/>
        </w:rPr>
        <w:t xml:space="preserve">In dengue-endemic areas, especially in low- and middle-income countries (LMICs), healthcare systems frequently encounter substantial structural and logistical limitations that severely hinder efficient patient management. In these situations, providing the right platelet therapy is often difficult because there is limited access to labs that can quickly check platelet counts, along with a constant lack of blood products. Particularly for individuals suffering from severe dengue or </w:t>
      </w:r>
      <w:proofErr w:type="spellStart"/>
      <w:r w:rsidRPr="00E526B0">
        <w:rPr>
          <w:rFonts w:ascii="Times New Roman" w:eastAsia="Times New Roman" w:hAnsi="Times New Roman" w:cs="Times New Roman"/>
          <w:sz w:val="24"/>
          <w:szCs w:val="24"/>
          <w:highlight w:val="yellow"/>
          <w:lang w:eastAsia="en-IN"/>
        </w:rPr>
        <w:t>hemorrhagic</w:t>
      </w:r>
      <w:proofErr w:type="spellEnd"/>
      <w:r w:rsidRPr="00E526B0">
        <w:rPr>
          <w:rFonts w:ascii="Times New Roman" w:eastAsia="Times New Roman" w:hAnsi="Times New Roman" w:cs="Times New Roman"/>
          <w:sz w:val="24"/>
          <w:szCs w:val="24"/>
          <w:highlight w:val="yellow"/>
          <w:lang w:eastAsia="en-IN"/>
        </w:rPr>
        <w:t xml:space="preserve"> </w:t>
      </w:r>
      <w:proofErr w:type="spellStart"/>
      <w:r w:rsidRPr="00E526B0">
        <w:rPr>
          <w:rFonts w:ascii="Times New Roman" w:eastAsia="Times New Roman" w:hAnsi="Times New Roman" w:cs="Times New Roman"/>
          <w:sz w:val="24"/>
          <w:szCs w:val="24"/>
          <w:highlight w:val="yellow"/>
          <w:lang w:eastAsia="en-IN"/>
        </w:rPr>
        <w:t>sequelae</w:t>
      </w:r>
      <w:proofErr w:type="spellEnd"/>
      <w:r w:rsidRPr="00E526B0">
        <w:rPr>
          <w:rFonts w:ascii="Times New Roman" w:eastAsia="Times New Roman" w:hAnsi="Times New Roman" w:cs="Times New Roman"/>
          <w:sz w:val="24"/>
          <w:szCs w:val="24"/>
          <w:highlight w:val="yellow"/>
          <w:lang w:eastAsia="en-IN"/>
        </w:rPr>
        <w:t xml:space="preserve">, the limited infrastructure for comprehensive monitoring and supportive care exacerbates these issues. These systemic constraints become particularly evident during seasonal outbreaks and epidemics, as the increase in dengue cases exerts immense pressure on already strained healthcare systems. Blood banks may rapidly exhaust their supplies of platelet concentrates, resulting in severe shortages and postponements in transfusions, even for patients with evident clinical requirements. Entrenched disparities in healthcare provision exacerbate the situation. Rural regions frequently lack specialized medical professionals, laboratory facilities, and dependable cold-chain systems for blood storage and transportation, and urban tertiary </w:t>
      </w:r>
      <w:proofErr w:type="spellStart"/>
      <w:r w:rsidRPr="00E526B0">
        <w:rPr>
          <w:rFonts w:ascii="Times New Roman" w:eastAsia="Times New Roman" w:hAnsi="Times New Roman" w:cs="Times New Roman"/>
          <w:sz w:val="24"/>
          <w:szCs w:val="24"/>
          <w:highlight w:val="yellow"/>
          <w:lang w:eastAsia="en-IN"/>
        </w:rPr>
        <w:t>centers</w:t>
      </w:r>
      <w:proofErr w:type="spellEnd"/>
      <w:r w:rsidRPr="00E526B0">
        <w:rPr>
          <w:rFonts w:ascii="Times New Roman" w:eastAsia="Times New Roman" w:hAnsi="Times New Roman" w:cs="Times New Roman"/>
          <w:sz w:val="24"/>
          <w:szCs w:val="24"/>
          <w:highlight w:val="yellow"/>
          <w:lang w:eastAsia="en-IN"/>
        </w:rPr>
        <w:t>—despite being better equipped—may be inundated and inaccessible to significant portions of the population. Limited funds and antiquated facilities constrain underfunded public hospitals, leaving them inadequately equipped to manage the surge of cases or execute sophisticated transfusion protocols. These discrepancies cumulatively obstruct the fair allocation of care and undermine the prompt delivery of life-saving therapies. Fixing these gaps requires putting resources in place and creating specific plans, local blood banking systems, and flexible public health programs that can handle the ongoing challenges of repeated dengue outbreaks.</w:t>
      </w:r>
      <w:r w:rsidR="00FF5CC0" w:rsidRPr="00E526B0">
        <w:rPr>
          <w:rFonts w:ascii="Times New Roman" w:eastAsia="Times New Roman" w:hAnsi="Times New Roman" w:cs="Times New Roman"/>
          <w:sz w:val="24"/>
          <w:szCs w:val="24"/>
          <w:highlight w:val="yellow"/>
          <w:lang w:eastAsia="en-IN"/>
        </w:rPr>
        <w:t xml:space="preserve"> </w:t>
      </w:r>
      <w:r w:rsidR="006B3B09" w:rsidRPr="00E526B0">
        <w:rPr>
          <w:highlight w:val="yellow"/>
        </w:rPr>
        <w:t>[</w:t>
      </w:r>
      <w:r w:rsidR="00B17150" w:rsidRPr="00E526B0">
        <w:rPr>
          <w:highlight w:val="yellow"/>
        </w:rPr>
        <w:t>7]</w:t>
      </w:r>
      <w:r w:rsidR="00E97BCC" w:rsidRPr="00E526B0">
        <w:rPr>
          <w:highlight w:val="yellow"/>
        </w:rPr>
        <w:t>.</w:t>
      </w:r>
    </w:p>
    <w:p w14:paraId="4F8F7CAE" w14:textId="77777777" w:rsidR="00C77074" w:rsidRPr="00090C76" w:rsidRDefault="00C77074" w:rsidP="00090C76">
      <w:pPr>
        <w:jc w:val="both"/>
        <w:rPr>
          <w:b/>
          <w:sz w:val="24"/>
          <w:szCs w:val="24"/>
          <w:lang w:eastAsia="en-IN"/>
        </w:rPr>
      </w:pPr>
      <w:r w:rsidRPr="00090C76">
        <w:rPr>
          <w:b/>
          <w:sz w:val="24"/>
          <w:szCs w:val="24"/>
          <w:lang w:eastAsia="en-IN"/>
        </w:rPr>
        <w:t>1.3 Role of Artificial Intelligence (AI) in Healthcare</w:t>
      </w:r>
    </w:p>
    <w:p w14:paraId="4EAEF873" w14:textId="77777777" w:rsidR="00D306B7" w:rsidRDefault="00C77074" w:rsidP="00D306B7">
      <w:pPr>
        <w:pStyle w:val="NormalWeb"/>
      </w:pPr>
      <w:r w:rsidRPr="00090C76">
        <w:rPr>
          <w:b/>
          <w:bCs/>
        </w:rPr>
        <w:t>Overview of AI Applications in Medicine</w:t>
      </w:r>
      <w:r w:rsidRPr="00090C76">
        <w:br/>
      </w:r>
    </w:p>
    <w:p w14:paraId="297E3A6E" w14:textId="77777777" w:rsidR="00E97BCC" w:rsidRPr="00090C76" w:rsidRDefault="00E97BCC" w:rsidP="00D306B7">
      <w:pPr>
        <w:pStyle w:val="NormalWeb"/>
        <w:jc w:val="both"/>
      </w:pPr>
      <w:r w:rsidRPr="00090C76">
        <w:lastRenderedPageBreak/>
        <w:t>Artificial intelligence (AI) has become a transformational element in contemporary healthcare, fundamentally altering the analysis, interpretation, and application of medical data in clinical practice. Artificial intelligence comprises various technologies, such as machine learning (ML), natural language processing (NLP), computer vision, and predictive analytics. These tools facilitate systems to learn from extensive datasets, identify patterns, and render informed decisions or suggestions with minimal human involvement.</w:t>
      </w:r>
    </w:p>
    <w:p w14:paraId="6A9461F4" w14:textId="77777777" w:rsidR="00C77074" w:rsidRPr="00090C76" w:rsidRDefault="00C77074"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In medicine, AI applications are increasingly used across various domains, including:</w:t>
      </w:r>
    </w:p>
    <w:p w14:paraId="597EBF3B" w14:textId="77777777" w:rsidR="00C77074" w:rsidRPr="00090C76" w:rsidRDefault="00C77074" w:rsidP="00E45D1D">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b/>
          <w:bCs/>
          <w:sz w:val="24"/>
          <w:szCs w:val="24"/>
          <w:lang w:eastAsia="en-IN"/>
        </w:rPr>
        <w:t>Medical imaging</w:t>
      </w:r>
      <w:r w:rsidRPr="00090C76">
        <w:rPr>
          <w:rFonts w:ascii="Times New Roman" w:eastAsia="Times New Roman" w:hAnsi="Times New Roman" w:cs="Times New Roman"/>
          <w:sz w:val="24"/>
          <w:szCs w:val="24"/>
          <w:lang w:eastAsia="en-IN"/>
        </w:rPr>
        <w:t>: Enhancing diagnostic accuracy in radiology, pathology, and dermatology.</w:t>
      </w:r>
    </w:p>
    <w:p w14:paraId="6E7B225B" w14:textId="77777777" w:rsidR="00C77074" w:rsidRPr="00090C76" w:rsidRDefault="00C77074" w:rsidP="00E45D1D">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b/>
          <w:bCs/>
          <w:sz w:val="24"/>
          <w:szCs w:val="24"/>
          <w:lang w:eastAsia="en-IN"/>
        </w:rPr>
        <w:t>Predictive analytics</w:t>
      </w:r>
      <w:r w:rsidRPr="00090C76">
        <w:rPr>
          <w:rFonts w:ascii="Times New Roman" w:eastAsia="Times New Roman" w:hAnsi="Times New Roman" w:cs="Times New Roman"/>
          <w:sz w:val="24"/>
          <w:szCs w:val="24"/>
          <w:lang w:eastAsia="en-IN"/>
        </w:rPr>
        <w:t>: Forecasting disease outbreaks, hospital readmissions, and patient deterioration.</w:t>
      </w:r>
    </w:p>
    <w:p w14:paraId="04E1FACB" w14:textId="77777777" w:rsidR="00C77074" w:rsidRPr="00090C76" w:rsidRDefault="00C77074" w:rsidP="00E45D1D">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b/>
          <w:bCs/>
          <w:sz w:val="24"/>
          <w:szCs w:val="24"/>
          <w:lang w:eastAsia="en-IN"/>
        </w:rPr>
        <w:t>Clinical decision support</w:t>
      </w:r>
      <w:r w:rsidRPr="00090C76">
        <w:rPr>
          <w:rFonts w:ascii="Times New Roman" w:eastAsia="Times New Roman" w:hAnsi="Times New Roman" w:cs="Times New Roman"/>
          <w:sz w:val="24"/>
          <w:szCs w:val="24"/>
          <w:lang w:eastAsia="en-IN"/>
        </w:rPr>
        <w:t>: Assisting in diagnosis, treatment planning, and personalized medicine.</w:t>
      </w:r>
    </w:p>
    <w:p w14:paraId="6C5EE96D" w14:textId="77777777" w:rsidR="00C77074" w:rsidRPr="00090C76" w:rsidRDefault="00C77074" w:rsidP="00E45D1D">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b/>
          <w:bCs/>
          <w:sz w:val="24"/>
          <w:szCs w:val="24"/>
          <w:lang w:eastAsia="en-IN"/>
        </w:rPr>
        <w:t>Administrative automation</w:t>
      </w:r>
      <w:r w:rsidRPr="00090C76">
        <w:rPr>
          <w:rFonts w:ascii="Times New Roman" w:eastAsia="Times New Roman" w:hAnsi="Times New Roman" w:cs="Times New Roman"/>
          <w:sz w:val="24"/>
          <w:szCs w:val="24"/>
          <w:lang w:eastAsia="en-IN"/>
        </w:rPr>
        <w:t>: Streamlining hospital workflows, billing, and medical recordkeeping.</w:t>
      </w:r>
    </w:p>
    <w:p w14:paraId="102DF6D5" w14:textId="77777777" w:rsidR="004117F2" w:rsidRPr="00090C76" w:rsidRDefault="004117F2"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AI is very beneficial in managing extensive and intricate datasets, frequently produced in real-time inside healthcare settings. Its capacity to rapidly synthesize data and identify nuanced trends renders it an effective instrument for enhancing therapeutic outcomes and system efficiency.</w:t>
      </w:r>
    </w:p>
    <w:p w14:paraId="4E630326" w14:textId="77777777" w:rsidR="003B6047" w:rsidRDefault="00C77074" w:rsidP="003B6047">
      <w:pPr>
        <w:spacing w:before="100" w:beforeAutospacing="1" w:after="100" w:afterAutospacing="1" w:line="240" w:lineRule="auto"/>
        <w:rPr>
          <w:rFonts w:ascii="Times New Roman" w:eastAsia="Times New Roman" w:hAnsi="Times New Roman" w:cs="Times New Roman"/>
          <w:sz w:val="24"/>
          <w:szCs w:val="24"/>
          <w:lang w:eastAsia="en-IN"/>
        </w:rPr>
      </w:pPr>
      <w:r w:rsidRPr="00090C76">
        <w:rPr>
          <w:rFonts w:ascii="Times New Roman" w:eastAsia="Times New Roman" w:hAnsi="Times New Roman" w:cs="Times New Roman"/>
          <w:b/>
          <w:bCs/>
          <w:sz w:val="24"/>
          <w:szCs w:val="24"/>
          <w:lang w:eastAsia="en-IN"/>
        </w:rPr>
        <w:t>Potential Benefits of AI in Infectious Disease Management</w:t>
      </w:r>
      <w:r w:rsidRPr="00090C76">
        <w:rPr>
          <w:rFonts w:ascii="Times New Roman" w:eastAsia="Times New Roman" w:hAnsi="Times New Roman" w:cs="Times New Roman"/>
          <w:sz w:val="24"/>
          <w:szCs w:val="24"/>
          <w:lang w:eastAsia="en-IN"/>
        </w:rPr>
        <w:br/>
      </w:r>
    </w:p>
    <w:p w14:paraId="477CA45E" w14:textId="77777777" w:rsidR="00C77074" w:rsidRPr="00090C76" w:rsidRDefault="00C77074"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In the context of infectious diseases like dengue, AI holds significant promise in enhancing early detection, optimizing treatment strategies, and improving outbreak response. Key benefits include:</w:t>
      </w:r>
    </w:p>
    <w:p w14:paraId="13BA82A4" w14:textId="77777777" w:rsidR="00A12FB3" w:rsidRPr="00090C76" w:rsidRDefault="00C77074" w:rsidP="00E45D1D">
      <w:pPr>
        <w:pStyle w:val="NormalWeb"/>
        <w:numPr>
          <w:ilvl w:val="0"/>
          <w:numId w:val="7"/>
        </w:numPr>
        <w:jc w:val="both"/>
      </w:pPr>
      <w:r w:rsidRPr="00090C76">
        <w:rPr>
          <w:b/>
          <w:bCs/>
        </w:rPr>
        <w:t>Early Diagnosis and Risk Stratification</w:t>
      </w:r>
      <w:r w:rsidRPr="00090C76">
        <w:t xml:space="preserve">: </w:t>
      </w:r>
      <w:r w:rsidR="00A12FB3" w:rsidRPr="00090C76">
        <w:t xml:space="preserve">Artificial intelligence algorithms can evaluate clinical data, including symptoms, laboratory results, and patient demographics, to forecast the probability of disease development or consequences. Machine learning algorithms can be trained to recognize features linked to severe dengue, such as thrombocytopenia and plasma leakage, facilitating prompt </w:t>
      </w:r>
      <w:r w:rsidR="006B3B09" w:rsidRPr="00090C76">
        <w:t>therapies</w:t>
      </w:r>
      <w:r w:rsidR="006B3B09">
        <w:t xml:space="preserve"> [</w:t>
      </w:r>
      <w:r w:rsidR="00B17150">
        <w:t>8]</w:t>
      </w:r>
      <w:r w:rsidR="00A12FB3" w:rsidRPr="00090C76">
        <w:t>.</w:t>
      </w:r>
    </w:p>
    <w:p w14:paraId="753294E8" w14:textId="77777777" w:rsidR="00A12FB3" w:rsidRPr="00090C76" w:rsidRDefault="00C77074" w:rsidP="00E45D1D">
      <w:pPr>
        <w:pStyle w:val="NormalWeb"/>
        <w:numPr>
          <w:ilvl w:val="0"/>
          <w:numId w:val="7"/>
        </w:numPr>
        <w:jc w:val="both"/>
      </w:pPr>
      <w:r w:rsidRPr="00090C76">
        <w:rPr>
          <w:b/>
          <w:bCs/>
        </w:rPr>
        <w:t xml:space="preserve">Predictive </w:t>
      </w:r>
      <w:r w:rsidR="00BA039D" w:rsidRPr="00090C76">
        <w:rPr>
          <w:b/>
          <w:bCs/>
        </w:rPr>
        <w:t>Modelling</w:t>
      </w:r>
      <w:r w:rsidRPr="00090C76">
        <w:rPr>
          <w:b/>
          <w:bCs/>
        </w:rPr>
        <w:t xml:space="preserve"> of Outbreaks</w:t>
      </w:r>
      <w:r w:rsidRPr="00090C76">
        <w:t xml:space="preserve">: </w:t>
      </w:r>
      <w:r w:rsidR="00A12FB3" w:rsidRPr="00090C76">
        <w:t xml:space="preserve">AI algorithms can enhance the accuracy of dengue epidemic predictions by incorporating epidemiological data, climate trends, and population movements. This allows public health authorities to deploy resources </w:t>
      </w:r>
      <w:r w:rsidR="00BA039D" w:rsidRPr="00090C76">
        <w:t>pre-emptively</w:t>
      </w:r>
      <w:r w:rsidR="00A12FB3" w:rsidRPr="00090C76">
        <w:t xml:space="preserve"> and execute focused vector control </w:t>
      </w:r>
      <w:r w:rsidR="006B3B09" w:rsidRPr="00090C76">
        <w:t>strategies</w:t>
      </w:r>
      <w:r w:rsidR="006B3B09">
        <w:t xml:space="preserve"> [</w:t>
      </w:r>
      <w:r w:rsidR="00B17150">
        <w:t>9]</w:t>
      </w:r>
      <w:r w:rsidR="00A12FB3" w:rsidRPr="00090C76">
        <w:t>.</w:t>
      </w:r>
    </w:p>
    <w:p w14:paraId="3087857D" w14:textId="77777777" w:rsidR="00A12FB3" w:rsidRPr="00090C76" w:rsidRDefault="00C77074" w:rsidP="00E45D1D">
      <w:pPr>
        <w:pStyle w:val="NormalWeb"/>
        <w:numPr>
          <w:ilvl w:val="0"/>
          <w:numId w:val="7"/>
        </w:numPr>
        <w:jc w:val="both"/>
      </w:pPr>
      <w:r w:rsidRPr="00090C76">
        <w:rPr>
          <w:b/>
          <w:bCs/>
        </w:rPr>
        <w:t>Decision Support for Platelet Management</w:t>
      </w:r>
      <w:r w:rsidRPr="00090C76">
        <w:t xml:space="preserve">: </w:t>
      </w:r>
      <w:r w:rsidR="00A12FB3" w:rsidRPr="00090C76">
        <w:t xml:space="preserve">Artificial intelligence can aid clinicians in identifying whether a patient is susceptible to bleeding by </w:t>
      </w:r>
      <w:proofErr w:type="spellStart"/>
      <w:r w:rsidR="00A12FB3" w:rsidRPr="00090C76">
        <w:t>analyzing</w:t>
      </w:r>
      <w:proofErr w:type="spellEnd"/>
      <w:r w:rsidR="00A12FB3" w:rsidRPr="00090C76">
        <w:t xml:space="preserve"> dynamic trends in platelet counts and other indicators. Predictive algorithms can ascertain which patients are likely to benefit from platelet transfusions, thereby minimizing wasteful usage and improving blood product </w:t>
      </w:r>
      <w:r w:rsidR="006B3B09" w:rsidRPr="00090C76">
        <w:t>utilization</w:t>
      </w:r>
      <w:r w:rsidR="006B3B09">
        <w:t xml:space="preserve"> [</w:t>
      </w:r>
      <w:r w:rsidR="00B17150">
        <w:t>10]</w:t>
      </w:r>
      <w:r w:rsidR="00A12FB3" w:rsidRPr="00090C76">
        <w:t>.</w:t>
      </w:r>
    </w:p>
    <w:p w14:paraId="5A18D3F7" w14:textId="77777777" w:rsidR="00A12FB3" w:rsidRPr="00090C76" w:rsidRDefault="00C77074" w:rsidP="00E45D1D">
      <w:pPr>
        <w:pStyle w:val="NormalWeb"/>
        <w:numPr>
          <w:ilvl w:val="0"/>
          <w:numId w:val="7"/>
        </w:numPr>
        <w:jc w:val="both"/>
      </w:pPr>
      <w:r w:rsidRPr="00090C76">
        <w:rPr>
          <w:b/>
          <w:bCs/>
        </w:rPr>
        <w:t>Improving Access and Equity</w:t>
      </w:r>
      <w:r w:rsidRPr="00090C76">
        <w:t xml:space="preserve">: </w:t>
      </w:r>
      <w:r w:rsidR="00A12FB3" w:rsidRPr="00090C76">
        <w:t xml:space="preserve">In resource-constrained environments, AI-powered mobile applications and diagnostic instruments can assist frontline healthcare professionals by providing real-time insights and recommendations; therefore, they address deficiencies in expertise and </w:t>
      </w:r>
      <w:r w:rsidR="006B3B09" w:rsidRPr="00090C76">
        <w:t>infrastructure</w:t>
      </w:r>
      <w:r w:rsidR="006B3B09">
        <w:t xml:space="preserve"> [</w:t>
      </w:r>
      <w:r w:rsidR="00B17150">
        <w:t>11]</w:t>
      </w:r>
      <w:r w:rsidR="00A12FB3" w:rsidRPr="00090C76">
        <w:t>.</w:t>
      </w:r>
    </w:p>
    <w:p w14:paraId="0588967B" w14:textId="77777777" w:rsidR="00C77074" w:rsidRPr="00090C76" w:rsidRDefault="00C77074"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lastRenderedPageBreak/>
        <w:t>As AI technologies continue to evolve, their integration into infectious disease management has the potential to significantly improve patient outcomes, streamline care delivery, and enhance the responsiveness of health systems during epidemics.</w:t>
      </w:r>
    </w:p>
    <w:p w14:paraId="6401A7CD" w14:textId="77777777" w:rsidR="00D41984" w:rsidRPr="00090C76" w:rsidRDefault="00D41984" w:rsidP="00090C76">
      <w:pPr>
        <w:jc w:val="both"/>
        <w:rPr>
          <w:b/>
          <w:sz w:val="24"/>
          <w:szCs w:val="24"/>
          <w:lang w:eastAsia="en-IN"/>
        </w:rPr>
      </w:pPr>
      <w:r w:rsidRPr="00090C76">
        <w:rPr>
          <w:b/>
          <w:sz w:val="24"/>
          <w:szCs w:val="24"/>
          <w:lang w:eastAsia="en-IN"/>
        </w:rPr>
        <w:t>2. Problem Statement &amp; Objectives</w:t>
      </w:r>
    </w:p>
    <w:p w14:paraId="2E8F4960" w14:textId="77777777" w:rsidR="00D41984" w:rsidRPr="00090C76" w:rsidRDefault="00D41984" w:rsidP="00090C76">
      <w:pPr>
        <w:jc w:val="both"/>
        <w:rPr>
          <w:b/>
          <w:sz w:val="24"/>
          <w:szCs w:val="24"/>
          <w:lang w:eastAsia="en-IN"/>
        </w:rPr>
      </w:pPr>
      <w:r w:rsidRPr="00090C76">
        <w:rPr>
          <w:b/>
          <w:sz w:val="24"/>
          <w:szCs w:val="24"/>
          <w:lang w:eastAsia="en-IN"/>
        </w:rPr>
        <w:t>2.1 Problem Statement</w:t>
      </w:r>
    </w:p>
    <w:p w14:paraId="49FEC2EA" w14:textId="77777777" w:rsidR="0010430A" w:rsidRPr="00090C76" w:rsidRDefault="0010430A" w:rsidP="00090C76">
      <w:pPr>
        <w:jc w:val="both"/>
        <w:rPr>
          <w:b/>
          <w:sz w:val="24"/>
          <w:szCs w:val="24"/>
          <w:lang w:eastAsia="en-IN"/>
        </w:rPr>
      </w:pPr>
      <w:r w:rsidRPr="00090C76">
        <w:rPr>
          <w:b/>
          <w:sz w:val="24"/>
          <w:szCs w:val="24"/>
          <w:lang w:eastAsia="en-IN"/>
        </w:rPr>
        <w:t>Expanded Problem Statement</w:t>
      </w:r>
    </w:p>
    <w:p w14:paraId="4D885915" w14:textId="77777777" w:rsidR="00E67322" w:rsidRPr="00090C76" w:rsidRDefault="00E67322"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 xml:space="preserve">Dengue fever, a viral infection transmitted by mosquitoes, presents considerable healthcare issues in numerous tropical and subtropical areas. A significant consequence of dengue is thrombocytopenia, characterized by a drastic reduction in platelet count, potentially resulting in internal </w:t>
      </w:r>
      <w:r w:rsidR="00E326AD" w:rsidRPr="00090C76">
        <w:rPr>
          <w:rFonts w:ascii="Times New Roman" w:eastAsia="Times New Roman" w:hAnsi="Times New Roman" w:cs="Times New Roman"/>
          <w:sz w:val="24"/>
          <w:szCs w:val="24"/>
          <w:lang w:eastAsia="en-IN"/>
        </w:rPr>
        <w:t>haemorrhage</w:t>
      </w:r>
      <w:r w:rsidRPr="00090C76">
        <w:rPr>
          <w:rFonts w:ascii="Times New Roman" w:eastAsia="Times New Roman" w:hAnsi="Times New Roman" w:cs="Times New Roman"/>
          <w:sz w:val="24"/>
          <w:szCs w:val="24"/>
          <w:lang w:eastAsia="en-IN"/>
        </w:rPr>
        <w:t>, shock, and mortality if inadequately addressed. The timing and suitability of platelet treatment are crucial for patient outcomes. In numerous hospital environments, platelet management frequently suffers from inefficiency, delays, or reliance on uneven clinical judgment rather than evidence-based approaches.</w:t>
      </w:r>
    </w:p>
    <w:p w14:paraId="02CE5ED0" w14:textId="77777777" w:rsidR="0010430A" w:rsidRPr="00090C76" w:rsidRDefault="0010430A"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This problem is compounded by:</w:t>
      </w:r>
    </w:p>
    <w:p w14:paraId="4217FF6B" w14:textId="77777777" w:rsidR="0010430A" w:rsidRPr="00090C76" w:rsidRDefault="0010430A" w:rsidP="00E45D1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b/>
          <w:bCs/>
          <w:sz w:val="24"/>
          <w:szCs w:val="24"/>
          <w:lang w:eastAsia="en-IN"/>
        </w:rPr>
        <w:t>Lack of real-time monitoring tools</w:t>
      </w:r>
      <w:r w:rsidRPr="00090C76">
        <w:rPr>
          <w:rFonts w:ascii="Times New Roman" w:eastAsia="Times New Roman" w:hAnsi="Times New Roman" w:cs="Times New Roman"/>
          <w:sz w:val="24"/>
          <w:szCs w:val="24"/>
          <w:lang w:eastAsia="en-IN"/>
        </w:rPr>
        <w:t xml:space="preserve"> for platelet trends.</w:t>
      </w:r>
    </w:p>
    <w:p w14:paraId="2DAE8C02" w14:textId="77777777" w:rsidR="0010430A" w:rsidRPr="00090C76" w:rsidRDefault="0010430A" w:rsidP="00E45D1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b/>
          <w:bCs/>
          <w:sz w:val="24"/>
          <w:szCs w:val="24"/>
          <w:lang w:eastAsia="en-IN"/>
        </w:rPr>
        <w:t>Delayed laboratory testing and reporting</w:t>
      </w:r>
      <w:r w:rsidRPr="00090C76">
        <w:rPr>
          <w:rFonts w:ascii="Times New Roman" w:eastAsia="Times New Roman" w:hAnsi="Times New Roman" w:cs="Times New Roman"/>
          <w:sz w:val="24"/>
          <w:szCs w:val="24"/>
          <w:lang w:eastAsia="en-IN"/>
        </w:rPr>
        <w:t xml:space="preserve"> in high-volume settings.</w:t>
      </w:r>
    </w:p>
    <w:p w14:paraId="1C3DF4EE" w14:textId="77777777" w:rsidR="0010430A" w:rsidRPr="00090C76" w:rsidRDefault="0010430A" w:rsidP="00E45D1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b/>
          <w:bCs/>
          <w:sz w:val="24"/>
          <w:szCs w:val="24"/>
          <w:lang w:eastAsia="en-IN"/>
        </w:rPr>
        <w:t>Over-reliance on empirical transfusions</w:t>
      </w:r>
      <w:r w:rsidRPr="00090C76">
        <w:rPr>
          <w:rFonts w:ascii="Times New Roman" w:eastAsia="Times New Roman" w:hAnsi="Times New Roman" w:cs="Times New Roman"/>
          <w:sz w:val="24"/>
          <w:szCs w:val="24"/>
          <w:lang w:eastAsia="en-IN"/>
        </w:rPr>
        <w:t xml:space="preserve"> without clearly defined thresholds.</w:t>
      </w:r>
    </w:p>
    <w:p w14:paraId="0FEA1DE3" w14:textId="77777777" w:rsidR="0010430A" w:rsidRPr="00090C76" w:rsidRDefault="0010430A" w:rsidP="00E45D1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b/>
          <w:bCs/>
          <w:sz w:val="24"/>
          <w:szCs w:val="24"/>
          <w:lang w:eastAsia="en-IN"/>
        </w:rPr>
        <w:t>Limited integration of patient-specific factors</w:t>
      </w:r>
      <w:r w:rsidRPr="00090C76">
        <w:rPr>
          <w:rFonts w:ascii="Times New Roman" w:eastAsia="Times New Roman" w:hAnsi="Times New Roman" w:cs="Times New Roman"/>
          <w:sz w:val="24"/>
          <w:szCs w:val="24"/>
          <w:lang w:eastAsia="en-IN"/>
        </w:rPr>
        <w:t>, such as co-morbidities and clinical progression.</w:t>
      </w:r>
    </w:p>
    <w:p w14:paraId="2389559F" w14:textId="77777777" w:rsidR="0010430A" w:rsidRPr="00090C76" w:rsidRDefault="0010430A" w:rsidP="00E45D1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b/>
          <w:bCs/>
          <w:sz w:val="24"/>
          <w:szCs w:val="24"/>
          <w:lang w:eastAsia="en-IN"/>
        </w:rPr>
        <w:t>Shortage and high cost of platelets</w:t>
      </w:r>
      <w:r w:rsidRPr="00090C76">
        <w:rPr>
          <w:rFonts w:ascii="Times New Roman" w:eastAsia="Times New Roman" w:hAnsi="Times New Roman" w:cs="Times New Roman"/>
          <w:sz w:val="24"/>
          <w:szCs w:val="24"/>
          <w:lang w:eastAsia="en-IN"/>
        </w:rPr>
        <w:t>, which have a short shelf life (typically 5–7 days) and require strict storage conditions.</w:t>
      </w:r>
    </w:p>
    <w:p w14:paraId="66A68B87" w14:textId="77777777" w:rsidR="005C7FF1" w:rsidRPr="00090C76" w:rsidRDefault="005C7FF1"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 xml:space="preserve">Consequently, certain patients get superfluous platelet transfusions, thereby taxing blood bank resources and heightening the risk of transfusion-associated problems. Individuals, particularly in overburdened or resource-constrained environments, encounter postponed care, resulting in significant </w:t>
      </w:r>
      <w:r w:rsidR="00100084" w:rsidRPr="00090C76">
        <w:rPr>
          <w:rFonts w:ascii="Times New Roman" w:eastAsia="Times New Roman" w:hAnsi="Times New Roman" w:cs="Times New Roman"/>
          <w:sz w:val="24"/>
          <w:szCs w:val="24"/>
          <w:lang w:eastAsia="en-IN"/>
        </w:rPr>
        <w:t>haemorrhaging</w:t>
      </w:r>
      <w:r w:rsidRPr="00090C76">
        <w:rPr>
          <w:rFonts w:ascii="Times New Roman" w:eastAsia="Times New Roman" w:hAnsi="Times New Roman" w:cs="Times New Roman"/>
          <w:sz w:val="24"/>
          <w:szCs w:val="24"/>
          <w:lang w:eastAsia="en-IN"/>
        </w:rPr>
        <w:t xml:space="preserve"> or extended hospitalizations. Without a better, data-based way to track platelet counts in dengue, healthcare systems face clinical risks like poor outcomes and avoidable complications, as well as operational problems such as wasting resources, running low on blood products, and increased pressure on hospitals.</w:t>
      </w:r>
    </w:p>
    <w:p w14:paraId="1E43A0EC" w14:textId="77777777" w:rsidR="00D41984" w:rsidRPr="00090C76" w:rsidRDefault="00D41984" w:rsidP="00090C76">
      <w:pPr>
        <w:jc w:val="both"/>
        <w:rPr>
          <w:b/>
          <w:sz w:val="24"/>
          <w:szCs w:val="24"/>
          <w:lang w:eastAsia="en-IN"/>
        </w:rPr>
      </w:pPr>
      <w:r w:rsidRPr="00090C76">
        <w:rPr>
          <w:b/>
          <w:sz w:val="24"/>
          <w:szCs w:val="24"/>
          <w:lang w:eastAsia="en-IN"/>
        </w:rPr>
        <w:t>2.2 Objectives</w:t>
      </w:r>
    </w:p>
    <w:p w14:paraId="23814046" w14:textId="77777777" w:rsidR="0010430A" w:rsidRPr="00090C76" w:rsidRDefault="0010430A" w:rsidP="00090C76">
      <w:pPr>
        <w:jc w:val="both"/>
        <w:rPr>
          <w:sz w:val="24"/>
          <w:szCs w:val="24"/>
        </w:rPr>
      </w:pPr>
      <w:r w:rsidRPr="00090C76">
        <w:rPr>
          <w:rStyle w:val="Strong"/>
          <w:sz w:val="24"/>
          <w:szCs w:val="24"/>
        </w:rPr>
        <w:t>Expanded Objectives</w:t>
      </w:r>
    </w:p>
    <w:p w14:paraId="308B7C4C" w14:textId="77777777" w:rsidR="0010430A" w:rsidRPr="00090C76" w:rsidRDefault="0010430A" w:rsidP="00090C76">
      <w:pPr>
        <w:jc w:val="both"/>
        <w:rPr>
          <w:sz w:val="24"/>
          <w:szCs w:val="24"/>
        </w:rPr>
      </w:pPr>
      <w:r w:rsidRPr="00090C76">
        <w:rPr>
          <w:rStyle w:val="Strong"/>
          <w:bCs w:val="0"/>
          <w:sz w:val="24"/>
          <w:szCs w:val="24"/>
        </w:rPr>
        <w:t>1. To explore how AI can predict platelet trends in dengue patients</w:t>
      </w:r>
    </w:p>
    <w:p w14:paraId="722C324B" w14:textId="77777777" w:rsidR="005C7FF1" w:rsidRPr="00090C76" w:rsidRDefault="0010430A" w:rsidP="00090C76">
      <w:pPr>
        <w:pStyle w:val="NormalWeb"/>
        <w:jc w:val="both"/>
      </w:pPr>
      <w:r w:rsidRPr="00090C76">
        <w:rPr>
          <w:rStyle w:val="Strong"/>
        </w:rPr>
        <w:t>Explanation:</w:t>
      </w:r>
      <w:r w:rsidRPr="00090C76">
        <w:br/>
      </w:r>
      <w:r w:rsidR="005C7FF1" w:rsidRPr="00090C76">
        <w:t xml:space="preserve">Platelet levels in dengue patients can vary swiftly, and early prediction of these changes is essential for prompt action. Conventional approaches depend on daily laboratory results, which may lack the frequency or promptness required in high-volume environments. This project aims to use artificial intelligence (AI) and machine learning to </w:t>
      </w:r>
      <w:proofErr w:type="spellStart"/>
      <w:r w:rsidR="005C7FF1" w:rsidRPr="00090C76">
        <w:t>analyze</w:t>
      </w:r>
      <w:proofErr w:type="spellEnd"/>
      <w:r w:rsidR="005C7FF1" w:rsidRPr="00090C76">
        <w:t xml:space="preserve"> various patient information—like age, gender, how long they've had a fever, </w:t>
      </w:r>
      <w:proofErr w:type="spellStart"/>
      <w:r w:rsidR="005C7FF1" w:rsidRPr="00090C76">
        <w:t>hematocrit</w:t>
      </w:r>
      <w:proofErr w:type="spellEnd"/>
      <w:r w:rsidR="005C7FF1" w:rsidRPr="00090C76">
        <w:t xml:space="preserve"> levels, vital signs, and other health issues—to accurately predict future platelet </w:t>
      </w:r>
      <w:r w:rsidR="006B3B09" w:rsidRPr="00090C76">
        <w:t>counts</w:t>
      </w:r>
      <w:r w:rsidR="006B3B09">
        <w:t xml:space="preserve"> [</w:t>
      </w:r>
      <w:r w:rsidR="00B17150">
        <w:t>12]</w:t>
      </w:r>
      <w:r w:rsidR="005C7FF1" w:rsidRPr="00090C76">
        <w:t>.</w:t>
      </w:r>
    </w:p>
    <w:p w14:paraId="24925A6A" w14:textId="77777777" w:rsidR="0010430A" w:rsidRPr="00090C76" w:rsidRDefault="0010430A" w:rsidP="00090C76">
      <w:pPr>
        <w:pStyle w:val="NormalWeb"/>
        <w:jc w:val="both"/>
      </w:pPr>
      <w:r w:rsidRPr="00090C76">
        <w:rPr>
          <w:rStyle w:val="Strong"/>
        </w:rPr>
        <w:t>Key Goals:</w:t>
      </w:r>
    </w:p>
    <w:p w14:paraId="1DA34F07" w14:textId="77777777" w:rsidR="0010430A" w:rsidRPr="00090C76" w:rsidRDefault="0010430A" w:rsidP="00E45D1D">
      <w:pPr>
        <w:pStyle w:val="NormalWeb"/>
        <w:numPr>
          <w:ilvl w:val="0"/>
          <w:numId w:val="17"/>
        </w:numPr>
        <w:jc w:val="both"/>
      </w:pPr>
      <w:r w:rsidRPr="00090C76">
        <w:lastRenderedPageBreak/>
        <w:t>Develop predictive models using historical clinical datasets of dengue patients.</w:t>
      </w:r>
    </w:p>
    <w:p w14:paraId="1D1B9411" w14:textId="77777777" w:rsidR="0010430A" w:rsidRPr="00090C76" w:rsidRDefault="0010430A" w:rsidP="00E45D1D">
      <w:pPr>
        <w:pStyle w:val="NormalWeb"/>
        <w:numPr>
          <w:ilvl w:val="0"/>
          <w:numId w:val="17"/>
        </w:numPr>
        <w:jc w:val="both"/>
      </w:pPr>
      <w:r w:rsidRPr="00090C76">
        <w:t>Identify key clinical indicators and temporal patterns associated with platelet decline.</w:t>
      </w:r>
    </w:p>
    <w:p w14:paraId="460BFF75" w14:textId="77777777" w:rsidR="0010430A" w:rsidRPr="00090C76" w:rsidRDefault="0010430A" w:rsidP="00E45D1D">
      <w:pPr>
        <w:pStyle w:val="NormalWeb"/>
        <w:numPr>
          <w:ilvl w:val="0"/>
          <w:numId w:val="17"/>
        </w:numPr>
        <w:jc w:val="both"/>
      </w:pPr>
      <w:r w:rsidRPr="00090C76">
        <w:t>Evaluate the accuracy and reliability of AI predictions compared to current clinical practices.</w:t>
      </w:r>
    </w:p>
    <w:p w14:paraId="5553F695" w14:textId="77777777" w:rsidR="0010430A" w:rsidRPr="00090C76" w:rsidRDefault="0010430A" w:rsidP="00090C76">
      <w:pPr>
        <w:pStyle w:val="NormalWeb"/>
        <w:jc w:val="both"/>
      </w:pPr>
      <w:r w:rsidRPr="00090C76">
        <w:rPr>
          <w:rStyle w:val="Strong"/>
        </w:rPr>
        <w:t>Impact:</w:t>
      </w:r>
      <w:r w:rsidRPr="00090C76">
        <w:br/>
        <w:t>Early prediction of critical platelet drops can allow clinicians to proactively manage care, prioritize monitoring, and reduce emergency interventions.</w:t>
      </w:r>
    </w:p>
    <w:p w14:paraId="11278C1F" w14:textId="77777777" w:rsidR="0010430A" w:rsidRPr="00090C76" w:rsidRDefault="0010430A" w:rsidP="00090C76">
      <w:pPr>
        <w:jc w:val="both"/>
        <w:rPr>
          <w:sz w:val="24"/>
          <w:szCs w:val="24"/>
        </w:rPr>
      </w:pPr>
      <w:r w:rsidRPr="00090C76">
        <w:rPr>
          <w:rStyle w:val="Strong"/>
          <w:bCs w:val="0"/>
          <w:sz w:val="24"/>
          <w:szCs w:val="24"/>
        </w:rPr>
        <w:t>2. To optimize the timing and necessity of platelet transfusions</w:t>
      </w:r>
    </w:p>
    <w:p w14:paraId="35373A82" w14:textId="77777777" w:rsidR="005C7FF1" w:rsidRPr="00090C76" w:rsidRDefault="0010430A" w:rsidP="00090C76">
      <w:pPr>
        <w:pStyle w:val="NormalWeb"/>
        <w:jc w:val="both"/>
      </w:pPr>
      <w:r w:rsidRPr="00090C76">
        <w:rPr>
          <w:rStyle w:val="Strong"/>
        </w:rPr>
        <w:t>Explanation:</w:t>
      </w:r>
      <w:r w:rsidRPr="00090C76">
        <w:br/>
      </w:r>
      <w:r w:rsidR="005C7FF1" w:rsidRPr="00090C76">
        <w:t>A significant problem in dengue care is ascertaining the necessity and timing of platelet transfusions. People often administer transfusions experimentally or based on arbitrary platelet criteria, which can lead to overuse in stable patients and delay treatment in urgent cases. This goal highlights the use of AI insights and research-based guidelines to decide the right time and reasons for transfusions, making sure they are given only when truly beneficial.</w:t>
      </w:r>
    </w:p>
    <w:p w14:paraId="22CC5E60" w14:textId="77777777" w:rsidR="0010430A" w:rsidRPr="00090C76" w:rsidRDefault="0010430A" w:rsidP="00090C76">
      <w:pPr>
        <w:pStyle w:val="NormalWeb"/>
        <w:jc w:val="both"/>
      </w:pPr>
      <w:r w:rsidRPr="00090C76">
        <w:rPr>
          <w:rStyle w:val="Strong"/>
        </w:rPr>
        <w:t>Key Goals:</w:t>
      </w:r>
    </w:p>
    <w:p w14:paraId="154D57DA" w14:textId="77777777" w:rsidR="0010430A" w:rsidRPr="00090C76" w:rsidRDefault="0010430A" w:rsidP="00E45D1D">
      <w:pPr>
        <w:pStyle w:val="NormalWeb"/>
        <w:numPr>
          <w:ilvl w:val="0"/>
          <w:numId w:val="18"/>
        </w:numPr>
        <w:jc w:val="both"/>
      </w:pPr>
      <w:r w:rsidRPr="00090C76">
        <w:t>Create a decision-support protocol that integrates AI-predicted platelet trends with clinical guidelines.</w:t>
      </w:r>
    </w:p>
    <w:p w14:paraId="53300AE7" w14:textId="77777777" w:rsidR="0010430A" w:rsidRPr="00090C76" w:rsidRDefault="0010430A" w:rsidP="00E45D1D">
      <w:pPr>
        <w:pStyle w:val="NormalWeb"/>
        <w:numPr>
          <w:ilvl w:val="0"/>
          <w:numId w:val="18"/>
        </w:numPr>
        <w:jc w:val="both"/>
      </w:pPr>
      <w:r w:rsidRPr="00090C76">
        <w:t>Define safe and effective thresholds for transfusion, accounting for patient-specific risk factors (e.g., active bleeding, coagulopathies).</w:t>
      </w:r>
    </w:p>
    <w:p w14:paraId="751F2F69" w14:textId="77777777" w:rsidR="0010430A" w:rsidRPr="00090C76" w:rsidRDefault="0010430A" w:rsidP="00E45D1D">
      <w:pPr>
        <w:pStyle w:val="NormalWeb"/>
        <w:numPr>
          <w:ilvl w:val="0"/>
          <w:numId w:val="18"/>
        </w:numPr>
        <w:jc w:val="both"/>
      </w:pPr>
      <w:r w:rsidRPr="00090C76">
        <w:t>Reduce unnecessary transfusions while ensuring timely care for high-risk cases.</w:t>
      </w:r>
    </w:p>
    <w:p w14:paraId="486AB3C6" w14:textId="77777777" w:rsidR="005C15FE" w:rsidRDefault="0010430A" w:rsidP="005C15FE">
      <w:pPr>
        <w:pStyle w:val="NormalWeb"/>
        <w:jc w:val="both"/>
      </w:pPr>
      <w:r w:rsidRPr="00090C76">
        <w:rPr>
          <w:rStyle w:val="Strong"/>
        </w:rPr>
        <w:t>Impact:</w:t>
      </w:r>
      <w:r w:rsidRPr="00090C76">
        <w:br/>
        <w:t>This will help conserve limited platelet supplies, reduce costs, and prevent complications such as transfusion-related infections or reactions.</w:t>
      </w:r>
    </w:p>
    <w:p w14:paraId="407F8AAC" w14:textId="77777777" w:rsidR="005C15FE" w:rsidRDefault="005C15FE" w:rsidP="005C15FE">
      <w:pPr>
        <w:pStyle w:val="NormalWeb"/>
        <w:jc w:val="both"/>
      </w:pPr>
    </w:p>
    <w:p w14:paraId="77F7B6DB" w14:textId="77777777" w:rsidR="005C15FE" w:rsidRDefault="005C15FE" w:rsidP="005C15FE">
      <w:pPr>
        <w:pStyle w:val="NormalWeb"/>
        <w:jc w:val="both"/>
      </w:pPr>
    </w:p>
    <w:p w14:paraId="752EEF9C" w14:textId="77777777" w:rsidR="005C15FE" w:rsidRPr="005C15FE" w:rsidRDefault="005C15FE" w:rsidP="005C15FE">
      <w:pPr>
        <w:pStyle w:val="NormalWeb"/>
        <w:jc w:val="both"/>
      </w:pPr>
      <w:r w:rsidRPr="00987912">
        <w:rPr>
          <w:b/>
        </w:rPr>
        <w:t xml:space="preserve"> </w:t>
      </w:r>
      <w:r w:rsidRPr="005C15FE">
        <w:rPr>
          <w:b/>
        </w:rPr>
        <w:t>Table- 1</w:t>
      </w:r>
      <w:r>
        <w:t xml:space="preserve"> </w:t>
      </w:r>
      <w:r w:rsidRPr="00987912">
        <w:rPr>
          <w:b/>
        </w:rPr>
        <w:t xml:space="preserve">Platelet Transfusion Guidelines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92"/>
        <w:gridCol w:w="1770"/>
        <w:gridCol w:w="1537"/>
        <w:gridCol w:w="3217"/>
      </w:tblGrid>
      <w:tr w:rsidR="005C15FE" w:rsidRPr="00C13F28" w14:paraId="448DC25E" w14:textId="77777777" w:rsidTr="002841A3">
        <w:trPr>
          <w:tblHeader/>
          <w:tblCellSpacing w:w="15" w:type="dxa"/>
        </w:trPr>
        <w:tc>
          <w:tcPr>
            <w:tcW w:w="0" w:type="auto"/>
            <w:vAlign w:val="center"/>
            <w:hideMark/>
          </w:tcPr>
          <w:p w14:paraId="24AB1DD9" w14:textId="77777777" w:rsidR="005C15FE" w:rsidRPr="00C13F28" w:rsidRDefault="005C15FE" w:rsidP="002841A3">
            <w:pPr>
              <w:spacing w:after="0" w:line="240" w:lineRule="auto"/>
              <w:jc w:val="both"/>
              <w:rPr>
                <w:rFonts w:ascii="Times New Roman" w:eastAsia="Times New Roman" w:hAnsi="Times New Roman" w:cs="Times New Roman"/>
                <w:b/>
                <w:bCs/>
                <w:sz w:val="24"/>
                <w:szCs w:val="24"/>
                <w:lang w:eastAsia="en-IN"/>
              </w:rPr>
            </w:pPr>
            <w:r w:rsidRPr="00987912">
              <w:rPr>
                <w:rFonts w:ascii="Times New Roman" w:eastAsia="Times New Roman" w:hAnsi="Times New Roman" w:cs="Times New Roman"/>
                <w:b/>
                <w:bCs/>
                <w:sz w:val="24"/>
                <w:szCs w:val="24"/>
                <w:lang w:eastAsia="en-IN"/>
              </w:rPr>
              <w:t>Clinical Scenario</w:t>
            </w:r>
          </w:p>
        </w:tc>
        <w:tc>
          <w:tcPr>
            <w:tcW w:w="0" w:type="auto"/>
            <w:vAlign w:val="center"/>
            <w:hideMark/>
          </w:tcPr>
          <w:p w14:paraId="53A4D025" w14:textId="77777777" w:rsidR="005C15FE" w:rsidRPr="00C13F28" w:rsidRDefault="005C15FE" w:rsidP="002841A3">
            <w:pPr>
              <w:spacing w:after="0" w:line="240" w:lineRule="auto"/>
              <w:jc w:val="both"/>
              <w:rPr>
                <w:rFonts w:ascii="Times New Roman" w:eastAsia="Times New Roman" w:hAnsi="Times New Roman" w:cs="Times New Roman"/>
                <w:b/>
                <w:bCs/>
                <w:sz w:val="24"/>
                <w:szCs w:val="24"/>
                <w:lang w:eastAsia="en-IN"/>
              </w:rPr>
            </w:pPr>
            <w:r w:rsidRPr="00987912">
              <w:rPr>
                <w:rFonts w:ascii="Times New Roman" w:eastAsia="Times New Roman" w:hAnsi="Times New Roman" w:cs="Times New Roman"/>
                <w:b/>
                <w:bCs/>
                <w:sz w:val="24"/>
                <w:szCs w:val="24"/>
                <w:lang w:eastAsia="en-IN"/>
              </w:rPr>
              <w:t>Platelet Count Threshold (×10⁹/L)</w:t>
            </w:r>
          </w:p>
        </w:tc>
        <w:tc>
          <w:tcPr>
            <w:tcW w:w="0" w:type="auto"/>
            <w:vAlign w:val="center"/>
            <w:hideMark/>
          </w:tcPr>
          <w:p w14:paraId="74D1EBC3" w14:textId="77777777" w:rsidR="005C15FE" w:rsidRPr="00C13F28" w:rsidRDefault="005C15FE" w:rsidP="002841A3">
            <w:pPr>
              <w:spacing w:after="0" w:line="240" w:lineRule="auto"/>
              <w:jc w:val="both"/>
              <w:rPr>
                <w:rFonts w:ascii="Times New Roman" w:eastAsia="Times New Roman" w:hAnsi="Times New Roman" w:cs="Times New Roman"/>
                <w:b/>
                <w:bCs/>
                <w:sz w:val="24"/>
                <w:szCs w:val="24"/>
                <w:lang w:eastAsia="en-IN"/>
              </w:rPr>
            </w:pPr>
            <w:r w:rsidRPr="00987912">
              <w:rPr>
                <w:rFonts w:ascii="Times New Roman" w:eastAsia="Times New Roman" w:hAnsi="Times New Roman" w:cs="Times New Roman"/>
                <w:b/>
                <w:bCs/>
                <w:sz w:val="24"/>
                <w:szCs w:val="24"/>
                <w:lang w:eastAsia="en-IN"/>
              </w:rPr>
              <w:t>Transfusion Indicated?</w:t>
            </w:r>
          </w:p>
        </w:tc>
        <w:tc>
          <w:tcPr>
            <w:tcW w:w="0" w:type="auto"/>
            <w:vAlign w:val="center"/>
            <w:hideMark/>
          </w:tcPr>
          <w:p w14:paraId="344E8D41" w14:textId="77777777" w:rsidR="005C15FE" w:rsidRPr="00C13F28" w:rsidRDefault="005C15FE" w:rsidP="002841A3">
            <w:pPr>
              <w:spacing w:after="0" w:line="240" w:lineRule="auto"/>
              <w:jc w:val="both"/>
              <w:rPr>
                <w:rFonts w:ascii="Times New Roman" w:eastAsia="Times New Roman" w:hAnsi="Times New Roman" w:cs="Times New Roman"/>
                <w:b/>
                <w:bCs/>
                <w:sz w:val="24"/>
                <w:szCs w:val="24"/>
                <w:lang w:eastAsia="en-IN"/>
              </w:rPr>
            </w:pPr>
            <w:r w:rsidRPr="00987912">
              <w:rPr>
                <w:rFonts w:ascii="Times New Roman" w:eastAsia="Times New Roman" w:hAnsi="Times New Roman" w:cs="Times New Roman"/>
                <w:b/>
                <w:bCs/>
                <w:sz w:val="24"/>
                <w:szCs w:val="24"/>
                <w:lang w:eastAsia="en-IN"/>
              </w:rPr>
              <w:t>Notes/Considerations</w:t>
            </w:r>
          </w:p>
        </w:tc>
      </w:tr>
      <w:tr w:rsidR="005C15FE" w:rsidRPr="00C13F28" w14:paraId="7179FDFB" w14:textId="77777777" w:rsidTr="002841A3">
        <w:trPr>
          <w:tblCellSpacing w:w="15" w:type="dxa"/>
        </w:trPr>
        <w:tc>
          <w:tcPr>
            <w:tcW w:w="0" w:type="auto"/>
            <w:vAlign w:val="center"/>
            <w:hideMark/>
          </w:tcPr>
          <w:p w14:paraId="0D665C21"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Prophylaxis (stable, non-bleeding, inpatient)</w:t>
            </w:r>
          </w:p>
        </w:tc>
        <w:tc>
          <w:tcPr>
            <w:tcW w:w="0" w:type="auto"/>
            <w:vAlign w:val="center"/>
            <w:hideMark/>
          </w:tcPr>
          <w:p w14:paraId="2AE91882"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&lt;10</w:t>
            </w:r>
          </w:p>
        </w:tc>
        <w:tc>
          <w:tcPr>
            <w:tcW w:w="0" w:type="auto"/>
            <w:vAlign w:val="center"/>
            <w:hideMark/>
          </w:tcPr>
          <w:p w14:paraId="4B5E07BF"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Yes</w:t>
            </w:r>
          </w:p>
        </w:tc>
        <w:tc>
          <w:tcPr>
            <w:tcW w:w="0" w:type="auto"/>
            <w:vAlign w:val="center"/>
            <w:hideMark/>
          </w:tcPr>
          <w:p w14:paraId="715C0007"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 xml:space="preserve">Prevents spontaneous bleeding; commonly used in </w:t>
            </w:r>
            <w:r w:rsidR="00A51D04" w:rsidRPr="00C13F28">
              <w:rPr>
                <w:rFonts w:ascii="Times New Roman" w:eastAsia="Times New Roman" w:hAnsi="Times New Roman" w:cs="Times New Roman"/>
                <w:sz w:val="24"/>
                <w:szCs w:val="24"/>
                <w:lang w:eastAsia="en-IN"/>
              </w:rPr>
              <w:t>haematology</w:t>
            </w:r>
            <w:r w:rsidRPr="00C13F28">
              <w:rPr>
                <w:rFonts w:ascii="Times New Roman" w:eastAsia="Times New Roman" w:hAnsi="Times New Roman" w:cs="Times New Roman"/>
                <w:sz w:val="24"/>
                <w:szCs w:val="24"/>
                <w:lang w:eastAsia="en-IN"/>
              </w:rPr>
              <w:t>/oncology settings</w:t>
            </w:r>
          </w:p>
        </w:tc>
      </w:tr>
      <w:tr w:rsidR="005C15FE" w:rsidRPr="00C13F28" w14:paraId="7DADD1F5" w14:textId="77777777" w:rsidTr="002841A3">
        <w:trPr>
          <w:tblCellSpacing w:w="15" w:type="dxa"/>
        </w:trPr>
        <w:tc>
          <w:tcPr>
            <w:tcW w:w="0" w:type="auto"/>
            <w:vAlign w:val="center"/>
            <w:hideMark/>
          </w:tcPr>
          <w:p w14:paraId="701186AF"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Prophylaxis with risk factors for bleeding</w:t>
            </w:r>
          </w:p>
        </w:tc>
        <w:tc>
          <w:tcPr>
            <w:tcW w:w="0" w:type="auto"/>
            <w:vAlign w:val="center"/>
            <w:hideMark/>
          </w:tcPr>
          <w:p w14:paraId="6B68D531"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&lt;20</w:t>
            </w:r>
          </w:p>
        </w:tc>
        <w:tc>
          <w:tcPr>
            <w:tcW w:w="0" w:type="auto"/>
            <w:vAlign w:val="center"/>
            <w:hideMark/>
          </w:tcPr>
          <w:p w14:paraId="2FC7AF1D"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Yes</w:t>
            </w:r>
          </w:p>
        </w:tc>
        <w:tc>
          <w:tcPr>
            <w:tcW w:w="0" w:type="auto"/>
            <w:vAlign w:val="center"/>
            <w:hideMark/>
          </w:tcPr>
          <w:p w14:paraId="1A95BE2F"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Risk factors: fever, sepsis, coagulopathy, recent chemo, etc.</w:t>
            </w:r>
          </w:p>
        </w:tc>
      </w:tr>
      <w:tr w:rsidR="005C15FE" w:rsidRPr="00C13F28" w14:paraId="5B359012" w14:textId="77777777" w:rsidTr="002841A3">
        <w:trPr>
          <w:tblCellSpacing w:w="15" w:type="dxa"/>
        </w:trPr>
        <w:tc>
          <w:tcPr>
            <w:tcW w:w="0" w:type="auto"/>
            <w:vAlign w:val="center"/>
            <w:hideMark/>
          </w:tcPr>
          <w:p w14:paraId="105CAFC0"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Pre-invasive procedure (e.g., central line placement)</w:t>
            </w:r>
          </w:p>
        </w:tc>
        <w:tc>
          <w:tcPr>
            <w:tcW w:w="0" w:type="auto"/>
            <w:vAlign w:val="center"/>
            <w:hideMark/>
          </w:tcPr>
          <w:p w14:paraId="4ECF0315"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&lt;20–50</w:t>
            </w:r>
          </w:p>
        </w:tc>
        <w:tc>
          <w:tcPr>
            <w:tcW w:w="0" w:type="auto"/>
            <w:vAlign w:val="center"/>
            <w:hideMark/>
          </w:tcPr>
          <w:p w14:paraId="76B62E84"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Yes</w:t>
            </w:r>
          </w:p>
        </w:tc>
        <w:tc>
          <w:tcPr>
            <w:tcW w:w="0" w:type="auto"/>
            <w:vAlign w:val="center"/>
            <w:hideMark/>
          </w:tcPr>
          <w:p w14:paraId="462381C0"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Depends on procedure type; central lines often need ≥20–50</w:t>
            </w:r>
          </w:p>
        </w:tc>
      </w:tr>
      <w:tr w:rsidR="005C15FE" w:rsidRPr="00C13F28" w14:paraId="22DD2479" w14:textId="77777777" w:rsidTr="002841A3">
        <w:trPr>
          <w:tblCellSpacing w:w="15" w:type="dxa"/>
        </w:trPr>
        <w:tc>
          <w:tcPr>
            <w:tcW w:w="0" w:type="auto"/>
            <w:vAlign w:val="center"/>
            <w:hideMark/>
          </w:tcPr>
          <w:p w14:paraId="30E4DCE7"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lastRenderedPageBreak/>
              <w:t>Lumbar puncture</w:t>
            </w:r>
          </w:p>
        </w:tc>
        <w:tc>
          <w:tcPr>
            <w:tcW w:w="0" w:type="auto"/>
            <w:vAlign w:val="center"/>
            <w:hideMark/>
          </w:tcPr>
          <w:p w14:paraId="56FB6601"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&lt;50</w:t>
            </w:r>
          </w:p>
        </w:tc>
        <w:tc>
          <w:tcPr>
            <w:tcW w:w="0" w:type="auto"/>
            <w:vAlign w:val="center"/>
            <w:hideMark/>
          </w:tcPr>
          <w:p w14:paraId="05851746"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Yes</w:t>
            </w:r>
          </w:p>
        </w:tc>
        <w:tc>
          <w:tcPr>
            <w:tcW w:w="0" w:type="auto"/>
            <w:vAlign w:val="center"/>
            <w:hideMark/>
          </w:tcPr>
          <w:p w14:paraId="5DDA82EA"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Clinical judgment may vary depending on bleeding risk</w:t>
            </w:r>
          </w:p>
        </w:tc>
      </w:tr>
      <w:tr w:rsidR="005C15FE" w:rsidRPr="00C13F28" w14:paraId="45A51F5E" w14:textId="77777777" w:rsidTr="002841A3">
        <w:trPr>
          <w:tblCellSpacing w:w="15" w:type="dxa"/>
        </w:trPr>
        <w:tc>
          <w:tcPr>
            <w:tcW w:w="0" w:type="auto"/>
            <w:vAlign w:val="center"/>
            <w:hideMark/>
          </w:tcPr>
          <w:p w14:paraId="18CD0B27"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Major surgery (e.g., organ surgery)</w:t>
            </w:r>
          </w:p>
        </w:tc>
        <w:tc>
          <w:tcPr>
            <w:tcW w:w="0" w:type="auto"/>
            <w:vAlign w:val="center"/>
            <w:hideMark/>
          </w:tcPr>
          <w:p w14:paraId="0D319ECE"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&lt;50–100</w:t>
            </w:r>
          </w:p>
        </w:tc>
        <w:tc>
          <w:tcPr>
            <w:tcW w:w="0" w:type="auto"/>
            <w:vAlign w:val="center"/>
            <w:hideMark/>
          </w:tcPr>
          <w:p w14:paraId="43A5EAD3"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Yes</w:t>
            </w:r>
          </w:p>
        </w:tc>
        <w:tc>
          <w:tcPr>
            <w:tcW w:w="0" w:type="auto"/>
            <w:vAlign w:val="center"/>
            <w:hideMark/>
          </w:tcPr>
          <w:p w14:paraId="4F2E7E03"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Higher threshold for surgeries with high bleeding risk</w:t>
            </w:r>
          </w:p>
        </w:tc>
      </w:tr>
      <w:tr w:rsidR="005C15FE" w:rsidRPr="00C13F28" w14:paraId="4F28A5CF" w14:textId="77777777" w:rsidTr="002841A3">
        <w:trPr>
          <w:tblCellSpacing w:w="15" w:type="dxa"/>
        </w:trPr>
        <w:tc>
          <w:tcPr>
            <w:tcW w:w="0" w:type="auto"/>
            <w:vAlign w:val="center"/>
            <w:hideMark/>
          </w:tcPr>
          <w:p w14:paraId="6AB130AA"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Neurosurgery or ocular surgery</w:t>
            </w:r>
          </w:p>
        </w:tc>
        <w:tc>
          <w:tcPr>
            <w:tcW w:w="0" w:type="auto"/>
            <w:vAlign w:val="center"/>
            <w:hideMark/>
          </w:tcPr>
          <w:p w14:paraId="2AA4C998"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&lt;100</w:t>
            </w:r>
          </w:p>
        </w:tc>
        <w:tc>
          <w:tcPr>
            <w:tcW w:w="0" w:type="auto"/>
            <w:vAlign w:val="center"/>
            <w:hideMark/>
          </w:tcPr>
          <w:p w14:paraId="0ED68BE9"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Yes</w:t>
            </w:r>
          </w:p>
        </w:tc>
        <w:tc>
          <w:tcPr>
            <w:tcW w:w="0" w:type="auto"/>
            <w:vAlign w:val="center"/>
            <w:hideMark/>
          </w:tcPr>
          <w:p w14:paraId="57C22C41"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Critical areas; even minor bleeding can cause major morbidity</w:t>
            </w:r>
          </w:p>
        </w:tc>
      </w:tr>
      <w:tr w:rsidR="005C15FE" w:rsidRPr="00C13F28" w14:paraId="68EBAF79" w14:textId="77777777" w:rsidTr="002841A3">
        <w:trPr>
          <w:tblCellSpacing w:w="15" w:type="dxa"/>
        </w:trPr>
        <w:tc>
          <w:tcPr>
            <w:tcW w:w="0" w:type="auto"/>
            <w:vAlign w:val="center"/>
            <w:hideMark/>
          </w:tcPr>
          <w:p w14:paraId="656DDB20"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Active bleeding</w:t>
            </w:r>
          </w:p>
        </w:tc>
        <w:tc>
          <w:tcPr>
            <w:tcW w:w="0" w:type="auto"/>
            <w:vAlign w:val="center"/>
            <w:hideMark/>
          </w:tcPr>
          <w:p w14:paraId="427C4E2A"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&lt;50 (possibly higher if severe)**</w:t>
            </w:r>
          </w:p>
        </w:tc>
        <w:tc>
          <w:tcPr>
            <w:tcW w:w="0" w:type="auto"/>
            <w:vAlign w:val="center"/>
            <w:hideMark/>
          </w:tcPr>
          <w:p w14:paraId="35CF7E8B"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Yes</w:t>
            </w:r>
          </w:p>
        </w:tc>
        <w:tc>
          <w:tcPr>
            <w:tcW w:w="0" w:type="auto"/>
            <w:vAlign w:val="center"/>
            <w:hideMark/>
          </w:tcPr>
          <w:p w14:paraId="743679CD"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Treat cause of bleeding concurrently</w:t>
            </w:r>
          </w:p>
        </w:tc>
      </w:tr>
      <w:tr w:rsidR="005C15FE" w:rsidRPr="00C13F28" w14:paraId="5BE3FE49" w14:textId="77777777" w:rsidTr="002841A3">
        <w:trPr>
          <w:tblCellSpacing w:w="15" w:type="dxa"/>
        </w:trPr>
        <w:tc>
          <w:tcPr>
            <w:tcW w:w="0" w:type="auto"/>
            <w:vAlign w:val="center"/>
            <w:hideMark/>
          </w:tcPr>
          <w:p w14:paraId="34B7947E"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Massive transfusion protocol (MTP)</w:t>
            </w:r>
          </w:p>
        </w:tc>
        <w:tc>
          <w:tcPr>
            <w:tcW w:w="0" w:type="auto"/>
            <w:vAlign w:val="center"/>
            <w:hideMark/>
          </w:tcPr>
          <w:p w14:paraId="01C86FF5"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NA</w:t>
            </w:r>
          </w:p>
        </w:tc>
        <w:tc>
          <w:tcPr>
            <w:tcW w:w="0" w:type="auto"/>
            <w:vAlign w:val="center"/>
            <w:hideMark/>
          </w:tcPr>
          <w:p w14:paraId="017BB6BE"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Yes (empiric)</w:t>
            </w:r>
          </w:p>
        </w:tc>
        <w:tc>
          <w:tcPr>
            <w:tcW w:w="0" w:type="auto"/>
            <w:vAlign w:val="center"/>
            <w:hideMark/>
          </w:tcPr>
          <w:p w14:paraId="021E3500"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Platelets usually part of 1:1:1 strategy with RBCs and plasma</w:t>
            </w:r>
          </w:p>
        </w:tc>
      </w:tr>
      <w:tr w:rsidR="005C15FE" w:rsidRPr="00C13F28" w14:paraId="7FF8E721" w14:textId="77777777" w:rsidTr="002841A3">
        <w:trPr>
          <w:tblCellSpacing w:w="15" w:type="dxa"/>
        </w:trPr>
        <w:tc>
          <w:tcPr>
            <w:tcW w:w="0" w:type="auto"/>
            <w:vAlign w:val="center"/>
            <w:hideMark/>
          </w:tcPr>
          <w:p w14:paraId="549F1390"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Platelet dysfunction (e.g., antiplatelet agents)</w:t>
            </w:r>
          </w:p>
        </w:tc>
        <w:tc>
          <w:tcPr>
            <w:tcW w:w="0" w:type="auto"/>
            <w:vAlign w:val="center"/>
            <w:hideMark/>
          </w:tcPr>
          <w:p w14:paraId="75BE6495"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Normal count possible</w:t>
            </w:r>
          </w:p>
        </w:tc>
        <w:tc>
          <w:tcPr>
            <w:tcW w:w="0" w:type="auto"/>
            <w:vAlign w:val="center"/>
            <w:hideMark/>
          </w:tcPr>
          <w:p w14:paraId="2425B033"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Case-dependent</w:t>
            </w:r>
          </w:p>
        </w:tc>
        <w:tc>
          <w:tcPr>
            <w:tcW w:w="0" w:type="auto"/>
            <w:vAlign w:val="center"/>
            <w:hideMark/>
          </w:tcPr>
          <w:p w14:paraId="54E568F8"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May require transfusion despite normal platelet count in life-threatening bleeding</w:t>
            </w:r>
          </w:p>
        </w:tc>
      </w:tr>
      <w:tr w:rsidR="005C15FE" w:rsidRPr="00C13F28" w14:paraId="04337483" w14:textId="77777777" w:rsidTr="002841A3">
        <w:trPr>
          <w:tblCellSpacing w:w="15" w:type="dxa"/>
        </w:trPr>
        <w:tc>
          <w:tcPr>
            <w:tcW w:w="0" w:type="auto"/>
            <w:vAlign w:val="center"/>
            <w:hideMark/>
          </w:tcPr>
          <w:p w14:paraId="0AC7D28E"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Cardiopulmonary bypass (CPB)</w:t>
            </w:r>
          </w:p>
        </w:tc>
        <w:tc>
          <w:tcPr>
            <w:tcW w:w="0" w:type="auto"/>
            <w:vAlign w:val="center"/>
            <w:hideMark/>
          </w:tcPr>
          <w:p w14:paraId="2EE544EA"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Variable (usually &lt;100 post-CPB)</w:t>
            </w:r>
          </w:p>
        </w:tc>
        <w:tc>
          <w:tcPr>
            <w:tcW w:w="0" w:type="auto"/>
            <w:vAlign w:val="center"/>
            <w:hideMark/>
          </w:tcPr>
          <w:p w14:paraId="2C9188BF"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Case-dependent</w:t>
            </w:r>
          </w:p>
        </w:tc>
        <w:tc>
          <w:tcPr>
            <w:tcW w:w="0" w:type="auto"/>
            <w:vAlign w:val="center"/>
            <w:hideMark/>
          </w:tcPr>
          <w:p w14:paraId="6637C2A7"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CPB can cause platelet dysfunction; transfuse based on bleeding and labs</w:t>
            </w:r>
          </w:p>
        </w:tc>
      </w:tr>
      <w:tr w:rsidR="005C15FE" w:rsidRPr="00C13F28" w14:paraId="2056E7E5" w14:textId="77777777" w:rsidTr="002841A3">
        <w:trPr>
          <w:tblCellSpacing w:w="15" w:type="dxa"/>
        </w:trPr>
        <w:tc>
          <w:tcPr>
            <w:tcW w:w="0" w:type="auto"/>
            <w:vAlign w:val="center"/>
            <w:hideMark/>
          </w:tcPr>
          <w:p w14:paraId="45097206"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Bone marrow transplant patients</w:t>
            </w:r>
          </w:p>
        </w:tc>
        <w:tc>
          <w:tcPr>
            <w:tcW w:w="0" w:type="auto"/>
            <w:vAlign w:val="center"/>
            <w:hideMark/>
          </w:tcPr>
          <w:p w14:paraId="16681F02"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&lt;10 (prophylactic)</w:t>
            </w:r>
          </w:p>
        </w:tc>
        <w:tc>
          <w:tcPr>
            <w:tcW w:w="0" w:type="auto"/>
            <w:vAlign w:val="center"/>
            <w:hideMark/>
          </w:tcPr>
          <w:p w14:paraId="337A4680"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Yes</w:t>
            </w:r>
          </w:p>
        </w:tc>
        <w:tc>
          <w:tcPr>
            <w:tcW w:w="0" w:type="auto"/>
            <w:vAlign w:val="center"/>
            <w:hideMark/>
          </w:tcPr>
          <w:p w14:paraId="74EF6DDF"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Exception: transfuse if febrile or infected, even at higher counts</w:t>
            </w:r>
          </w:p>
        </w:tc>
      </w:tr>
      <w:tr w:rsidR="005C15FE" w:rsidRPr="00C13F28" w14:paraId="29074CA9" w14:textId="77777777" w:rsidTr="002841A3">
        <w:trPr>
          <w:tblCellSpacing w:w="15" w:type="dxa"/>
        </w:trPr>
        <w:tc>
          <w:tcPr>
            <w:tcW w:w="0" w:type="auto"/>
            <w:vAlign w:val="center"/>
            <w:hideMark/>
          </w:tcPr>
          <w:p w14:paraId="410AF49D"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Chronic thrombocytopenia without bleeding</w:t>
            </w:r>
          </w:p>
        </w:tc>
        <w:tc>
          <w:tcPr>
            <w:tcW w:w="0" w:type="auto"/>
            <w:vAlign w:val="center"/>
            <w:hideMark/>
          </w:tcPr>
          <w:p w14:paraId="5C56FC42"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Varies</w:t>
            </w:r>
          </w:p>
        </w:tc>
        <w:tc>
          <w:tcPr>
            <w:tcW w:w="0" w:type="auto"/>
            <w:vAlign w:val="center"/>
            <w:hideMark/>
          </w:tcPr>
          <w:p w14:paraId="101845EC"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No (usually)</w:t>
            </w:r>
          </w:p>
        </w:tc>
        <w:tc>
          <w:tcPr>
            <w:tcW w:w="0" w:type="auto"/>
            <w:vAlign w:val="center"/>
            <w:hideMark/>
          </w:tcPr>
          <w:p w14:paraId="0E3F2F53"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Transfusion not indicated unless bleeding or undergoing invasive procedure</w:t>
            </w:r>
          </w:p>
        </w:tc>
      </w:tr>
      <w:tr w:rsidR="005C15FE" w:rsidRPr="00C13F28" w14:paraId="4D0C5A4A" w14:textId="77777777" w:rsidTr="002841A3">
        <w:trPr>
          <w:tblCellSpacing w:w="15" w:type="dxa"/>
        </w:trPr>
        <w:tc>
          <w:tcPr>
            <w:tcW w:w="0" w:type="auto"/>
            <w:vAlign w:val="center"/>
            <w:hideMark/>
          </w:tcPr>
          <w:p w14:paraId="1814AA24"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ITP (immune thrombocytopenia) without bleeding</w:t>
            </w:r>
          </w:p>
        </w:tc>
        <w:tc>
          <w:tcPr>
            <w:tcW w:w="0" w:type="auto"/>
            <w:vAlign w:val="center"/>
            <w:hideMark/>
          </w:tcPr>
          <w:p w14:paraId="6BCFEA23"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Varies (often &lt;10–20)</w:t>
            </w:r>
          </w:p>
        </w:tc>
        <w:tc>
          <w:tcPr>
            <w:tcW w:w="0" w:type="auto"/>
            <w:vAlign w:val="center"/>
            <w:hideMark/>
          </w:tcPr>
          <w:p w14:paraId="2256305C"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No (unless severe bleeding)</w:t>
            </w:r>
          </w:p>
        </w:tc>
        <w:tc>
          <w:tcPr>
            <w:tcW w:w="0" w:type="auto"/>
            <w:vAlign w:val="center"/>
            <w:hideMark/>
          </w:tcPr>
          <w:p w14:paraId="5F8A05C6"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Platelet transfusion often ineffective; treat underlying cause</w:t>
            </w:r>
          </w:p>
        </w:tc>
      </w:tr>
    </w:tbl>
    <w:p w14:paraId="6DF0AF28" w14:textId="77777777" w:rsidR="005C15FE" w:rsidRPr="00C13F28" w:rsidRDefault="005C15FE" w:rsidP="005C15FE">
      <w:pPr>
        <w:spacing w:after="0" w:line="240" w:lineRule="auto"/>
        <w:jc w:val="both"/>
        <w:rPr>
          <w:rFonts w:ascii="Times New Roman" w:eastAsia="Times New Roman" w:hAnsi="Times New Roman" w:cs="Times New Roman"/>
          <w:sz w:val="24"/>
          <w:szCs w:val="24"/>
          <w:lang w:eastAsia="en-IN"/>
        </w:rPr>
      </w:pPr>
    </w:p>
    <w:p w14:paraId="457C8F69" w14:textId="77777777" w:rsidR="005C15FE" w:rsidRPr="00987912" w:rsidRDefault="005C15FE" w:rsidP="005C15FE">
      <w:pPr>
        <w:jc w:val="both"/>
        <w:rPr>
          <w:b/>
          <w:sz w:val="24"/>
          <w:szCs w:val="24"/>
          <w:lang w:eastAsia="en-IN"/>
        </w:rPr>
      </w:pPr>
      <w:r w:rsidRPr="00987912">
        <w:rPr>
          <w:b/>
          <w:sz w:val="24"/>
          <w:szCs w:val="24"/>
          <w:lang w:eastAsia="en-IN"/>
        </w:rPr>
        <w:t>Key Notes for Optimization</w:t>
      </w:r>
    </w:p>
    <w:p w14:paraId="56968EFA" w14:textId="77777777" w:rsidR="005C15FE" w:rsidRPr="00C13F28" w:rsidRDefault="005C15FE" w:rsidP="00E45D1D">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Use restrictive transfusion strategies when possible</w:t>
      </w:r>
      <w:r w:rsidRPr="00C13F28">
        <w:rPr>
          <w:rFonts w:ascii="Times New Roman" w:eastAsia="Times New Roman" w:hAnsi="Times New Roman" w:cs="Times New Roman"/>
          <w:sz w:val="24"/>
          <w:szCs w:val="24"/>
          <w:lang w:eastAsia="en-IN"/>
        </w:rPr>
        <w:t>, especially in non-bleeding patients.</w:t>
      </w:r>
    </w:p>
    <w:p w14:paraId="68F7F2DF" w14:textId="77777777" w:rsidR="005C15FE" w:rsidRPr="00C13F28" w:rsidRDefault="005C15FE" w:rsidP="00E45D1D">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Monitor for signs of platelet refractoriness</w:t>
      </w:r>
      <w:r w:rsidRPr="00C13F28">
        <w:rPr>
          <w:rFonts w:ascii="Times New Roman" w:eastAsia="Times New Roman" w:hAnsi="Times New Roman" w:cs="Times New Roman"/>
          <w:sz w:val="24"/>
          <w:szCs w:val="24"/>
          <w:lang w:eastAsia="en-IN"/>
        </w:rPr>
        <w:t>, especially in repeated transfusions (e.g., in oncology).</w:t>
      </w:r>
    </w:p>
    <w:p w14:paraId="0B2D3DFD" w14:textId="77777777" w:rsidR="005C15FE" w:rsidRPr="00C13F28" w:rsidRDefault="005C15FE" w:rsidP="00E45D1D">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 xml:space="preserve">Consider </w:t>
      </w:r>
      <w:r w:rsidRPr="00987912">
        <w:rPr>
          <w:rFonts w:ascii="Times New Roman" w:eastAsia="Times New Roman" w:hAnsi="Times New Roman" w:cs="Times New Roman"/>
          <w:b/>
          <w:bCs/>
          <w:sz w:val="24"/>
          <w:szCs w:val="24"/>
          <w:lang w:eastAsia="en-IN"/>
        </w:rPr>
        <w:t>platelet function, not just quantity</w:t>
      </w:r>
      <w:r w:rsidRPr="00C13F28">
        <w:rPr>
          <w:rFonts w:ascii="Times New Roman" w:eastAsia="Times New Roman" w:hAnsi="Times New Roman" w:cs="Times New Roman"/>
          <w:sz w:val="24"/>
          <w:szCs w:val="24"/>
          <w:lang w:eastAsia="en-IN"/>
        </w:rPr>
        <w:t xml:space="preserve">—particularly in </w:t>
      </w:r>
      <w:r w:rsidR="00E701D5" w:rsidRPr="00C13F28">
        <w:rPr>
          <w:rFonts w:ascii="Times New Roman" w:eastAsia="Times New Roman" w:hAnsi="Times New Roman" w:cs="Times New Roman"/>
          <w:sz w:val="24"/>
          <w:szCs w:val="24"/>
          <w:lang w:eastAsia="en-IN"/>
        </w:rPr>
        <w:t>uraemia</w:t>
      </w:r>
      <w:r w:rsidRPr="00C13F28">
        <w:rPr>
          <w:rFonts w:ascii="Times New Roman" w:eastAsia="Times New Roman" w:hAnsi="Times New Roman" w:cs="Times New Roman"/>
          <w:sz w:val="24"/>
          <w:szCs w:val="24"/>
          <w:lang w:eastAsia="en-IN"/>
        </w:rPr>
        <w:t>, drug-induced dysfunction, or trauma.</w:t>
      </w:r>
    </w:p>
    <w:p w14:paraId="61AFD8BE" w14:textId="77777777" w:rsidR="005C15FE" w:rsidRPr="00C13F28" w:rsidRDefault="005C15FE" w:rsidP="00E45D1D">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Avoid unnecessary transfusions</w:t>
      </w:r>
      <w:r w:rsidRPr="00C13F28">
        <w:rPr>
          <w:rFonts w:ascii="Times New Roman" w:eastAsia="Times New Roman" w:hAnsi="Times New Roman" w:cs="Times New Roman"/>
          <w:sz w:val="24"/>
          <w:szCs w:val="24"/>
          <w:lang w:eastAsia="en-IN"/>
        </w:rPr>
        <w:t xml:space="preserve"> to reduce risk of alloimmunization, infection, and transfusion reactions.</w:t>
      </w:r>
    </w:p>
    <w:p w14:paraId="321AD5F4" w14:textId="77777777" w:rsidR="005C15FE" w:rsidRPr="00C13F28" w:rsidRDefault="005C15FE" w:rsidP="00E45D1D">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Always individualize</w:t>
      </w:r>
      <w:r w:rsidRPr="00C13F28">
        <w:rPr>
          <w:rFonts w:ascii="Times New Roman" w:eastAsia="Times New Roman" w:hAnsi="Times New Roman" w:cs="Times New Roman"/>
          <w:sz w:val="24"/>
          <w:szCs w:val="24"/>
          <w:lang w:eastAsia="en-IN"/>
        </w:rPr>
        <w:t xml:space="preserve"> based on patient comorbidities, bleeding risk, procedure invasiveness, and clinical judgment.</w:t>
      </w:r>
    </w:p>
    <w:p w14:paraId="4A8EBED1" w14:textId="77777777" w:rsidR="005C15FE" w:rsidRPr="00090C76" w:rsidRDefault="005C15FE" w:rsidP="00090C76">
      <w:pPr>
        <w:pStyle w:val="NormalWeb"/>
        <w:jc w:val="both"/>
      </w:pPr>
    </w:p>
    <w:p w14:paraId="613B3536" w14:textId="77777777" w:rsidR="0010430A" w:rsidRPr="00090C76" w:rsidRDefault="0010430A" w:rsidP="00090C76">
      <w:pPr>
        <w:jc w:val="both"/>
        <w:rPr>
          <w:sz w:val="24"/>
          <w:szCs w:val="24"/>
        </w:rPr>
      </w:pPr>
      <w:r w:rsidRPr="00090C76">
        <w:rPr>
          <w:rStyle w:val="Strong"/>
          <w:bCs w:val="0"/>
          <w:sz w:val="24"/>
          <w:szCs w:val="24"/>
        </w:rPr>
        <w:t>3. To assist clinical decision-making with real-time data interpretation</w:t>
      </w:r>
    </w:p>
    <w:p w14:paraId="377537ED" w14:textId="77777777" w:rsidR="00973902" w:rsidRPr="00090C76" w:rsidRDefault="00973902"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b/>
          <w:bCs/>
          <w:sz w:val="24"/>
          <w:szCs w:val="24"/>
          <w:lang w:eastAsia="en-IN"/>
        </w:rPr>
        <w:lastRenderedPageBreak/>
        <w:t>Objective Statement:</w:t>
      </w:r>
    </w:p>
    <w:p w14:paraId="26EF5ABD" w14:textId="77777777" w:rsidR="00681B39" w:rsidRPr="00090C76" w:rsidRDefault="00681B39"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 xml:space="preserve">Efficient clinical care of dengue necessitates prompt and precise decision-making grounded in swiftly changing patient data, encompassing test results, vital signs, and reported symptoms. Nevertheless, the manual analysis of this data is frequently laborious, susceptible to human error, and variable among healthcare practitioners. This program seeks to create an AI-driven decision-support system—an intelligent dashboard that can aggregate, </w:t>
      </w:r>
      <w:proofErr w:type="spellStart"/>
      <w:r w:rsidRPr="00090C76">
        <w:rPr>
          <w:rFonts w:ascii="Times New Roman" w:eastAsia="Times New Roman" w:hAnsi="Times New Roman" w:cs="Times New Roman"/>
          <w:sz w:val="24"/>
          <w:szCs w:val="24"/>
          <w:lang w:eastAsia="en-IN"/>
        </w:rPr>
        <w:t>analyze</w:t>
      </w:r>
      <w:proofErr w:type="spellEnd"/>
      <w:r w:rsidRPr="00090C76">
        <w:rPr>
          <w:rFonts w:ascii="Times New Roman" w:eastAsia="Times New Roman" w:hAnsi="Times New Roman" w:cs="Times New Roman"/>
          <w:sz w:val="24"/>
          <w:szCs w:val="24"/>
          <w:lang w:eastAsia="en-IN"/>
        </w:rPr>
        <w:t xml:space="preserve">, and interpret real-time patient data </w:t>
      </w:r>
      <w:r w:rsidR="006B3B09" w:rsidRPr="00090C76">
        <w:rPr>
          <w:rFonts w:ascii="Times New Roman" w:eastAsia="Times New Roman" w:hAnsi="Times New Roman" w:cs="Times New Roman"/>
          <w:sz w:val="24"/>
          <w:szCs w:val="24"/>
          <w:lang w:eastAsia="en-IN"/>
        </w:rPr>
        <w:t>streams</w:t>
      </w:r>
      <w:r w:rsidR="006B3B09">
        <w:rPr>
          <w:rFonts w:ascii="Times New Roman" w:eastAsia="Times New Roman" w:hAnsi="Times New Roman" w:cs="Times New Roman"/>
          <w:sz w:val="24"/>
          <w:szCs w:val="24"/>
          <w:lang w:eastAsia="en-IN"/>
        </w:rPr>
        <w:t xml:space="preserve"> [</w:t>
      </w:r>
      <w:r w:rsidR="00B17150">
        <w:rPr>
          <w:rFonts w:ascii="Times New Roman" w:eastAsia="Times New Roman" w:hAnsi="Times New Roman" w:cs="Times New Roman"/>
          <w:sz w:val="24"/>
          <w:szCs w:val="24"/>
          <w:lang w:eastAsia="en-IN"/>
        </w:rPr>
        <w:t>13]</w:t>
      </w:r>
      <w:r w:rsidRPr="00090C76">
        <w:rPr>
          <w:rFonts w:ascii="Times New Roman" w:eastAsia="Times New Roman" w:hAnsi="Times New Roman" w:cs="Times New Roman"/>
          <w:sz w:val="24"/>
          <w:szCs w:val="24"/>
          <w:lang w:eastAsia="en-IN"/>
        </w:rPr>
        <w:t>. The system will provide evidence-based, actionable suggestions to assist clinicians in making consistent, accurate, and timely clinical decisions, thereby enhancing patient outcomes and optimizing resource use.</w:t>
      </w:r>
    </w:p>
    <w:p w14:paraId="4778BDC1" w14:textId="77777777" w:rsidR="0010430A" w:rsidRPr="00090C76" w:rsidRDefault="0010430A" w:rsidP="00090C76">
      <w:pPr>
        <w:pStyle w:val="NormalWeb"/>
        <w:jc w:val="both"/>
      </w:pPr>
      <w:r w:rsidRPr="00090C76">
        <w:rPr>
          <w:rStyle w:val="Strong"/>
        </w:rPr>
        <w:t>Key Goals:</w:t>
      </w:r>
    </w:p>
    <w:p w14:paraId="7E147EAF" w14:textId="77777777" w:rsidR="0010430A" w:rsidRPr="00090C76" w:rsidRDefault="0010430A" w:rsidP="00AB3BF7">
      <w:pPr>
        <w:pStyle w:val="NormalWeb"/>
        <w:numPr>
          <w:ilvl w:val="0"/>
          <w:numId w:val="20"/>
        </w:numPr>
        <w:jc w:val="both"/>
      </w:pPr>
      <w:r w:rsidRPr="00090C76">
        <w:t>Design a user-friendly clinical interface that visualizes platelet trends, flags warning signs, and recommends actions.</w:t>
      </w:r>
    </w:p>
    <w:p w14:paraId="734CFD27" w14:textId="77777777" w:rsidR="0010430A" w:rsidRPr="00090C76" w:rsidRDefault="0010430A" w:rsidP="00AB3BF7">
      <w:pPr>
        <w:pStyle w:val="NormalWeb"/>
        <w:numPr>
          <w:ilvl w:val="0"/>
          <w:numId w:val="20"/>
        </w:numPr>
        <w:jc w:val="both"/>
      </w:pPr>
      <w:r w:rsidRPr="00090C76">
        <w:t>Ensure seamless integration with hospital information systems (HIS) and electronic medical records (EMRs).</w:t>
      </w:r>
    </w:p>
    <w:p w14:paraId="6B98AB7D" w14:textId="77777777" w:rsidR="0010430A" w:rsidRPr="00090C76" w:rsidRDefault="0010430A" w:rsidP="00AB3BF7">
      <w:pPr>
        <w:pStyle w:val="NormalWeb"/>
        <w:numPr>
          <w:ilvl w:val="0"/>
          <w:numId w:val="20"/>
        </w:numPr>
        <w:jc w:val="both"/>
      </w:pPr>
      <w:r w:rsidRPr="00090C76">
        <w:t>Train and validate the tool with clinicians to ensure usability and reliability in real-world settings.</w:t>
      </w:r>
    </w:p>
    <w:p w14:paraId="5AF7D105" w14:textId="77777777" w:rsidR="006F41C9" w:rsidRPr="006F41C9" w:rsidRDefault="0010430A" w:rsidP="006F41C9">
      <w:pPr>
        <w:pStyle w:val="NormalWeb"/>
      </w:pPr>
      <w:r w:rsidRPr="00090C76">
        <w:rPr>
          <w:rStyle w:val="Strong"/>
        </w:rPr>
        <w:t>Impact:</w:t>
      </w:r>
      <w:r w:rsidR="006F41C9">
        <w:rPr>
          <w:rStyle w:val="Strong"/>
        </w:rPr>
        <w:t xml:space="preserve"> </w:t>
      </w:r>
      <w:r w:rsidR="006F41C9" w:rsidRPr="006F41C9">
        <w:t>This solution enhances decision-making speed and accuracy by providing doctors with intelligent, real-time information; hence, it increases patient outcomes and care efficiency.</w:t>
      </w:r>
    </w:p>
    <w:p w14:paraId="701A9B55" w14:textId="77777777" w:rsidR="00D41984" w:rsidRPr="00090C76" w:rsidRDefault="00D41984" w:rsidP="00090C76">
      <w:pPr>
        <w:jc w:val="both"/>
        <w:rPr>
          <w:b/>
          <w:sz w:val="24"/>
          <w:szCs w:val="24"/>
          <w:lang w:eastAsia="en-IN"/>
        </w:rPr>
      </w:pPr>
      <w:r w:rsidRPr="00090C76">
        <w:rPr>
          <w:b/>
          <w:sz w:val="24"/>
          <w:szCs w:val="24"/>
          <w:lang w:eastAsia="en-IN"/>
        </w:rPr>
        <w:t>3. Literature Review</w:t>
      </w:r>
    </w:p>
    <w:p w14:paraId="47C60902" w14:textId="77777777" w:rsidR="0010430A" w:rsidRPr="00090C76" w:rsidRDefault="0010430A" w:rsidP="00090C76">
      <w:pPr>
        <w:jc w:val="both"/>
        <w:rPr>
          <w:sz w:val="24"/>
          <w:szCs w:val="24"/>
        </w:rPr>
      </w:pPr>
      <w:r w:rsidRPr="00090C76">
        <w:rPr>
          <w:rStyle w:val="Strong"/>
          <w:sz w:val="24"/>
          <w:szCs w:val="24"/>
        </w:rPr>
        <w:t>3.1 Current Practices in Dengue Management</w:t>
      </w:r>
    </w:p>
    <w:p w14:paraId="135478C2" w14:textId="77777777" w:rsidR="0010430A" w:rsidRPr="00090C76" w:rsidRDefault="0010430A" w:rsidP="00090C76">
      <w:pPr>
        <w:jc w:val="both"/>
        <w:rPr>
          <w:sz w:val="24"/>
          <w:szCs w:val="24"/>
        </w:rPr>
      </w:pPr>
      <w:r w:rsidRPr="00090C76">
        <w:rPr>
          <w:rStyle w:val="Strong"/>
          <w:sz w:val="24"/>
          <w:szCs w:val="24"/>
        </w:rPr>
        <w:t>WHO Guidelines on Platelet Transfusion</w:t>
      </w:r>
    </w:p>
    <w:p w14:paraId="2AA95497" w14:textId="77777777" w:rsidR="00AB5682" w:rsidRDefault="00AB5682"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 xml:space="preserve">The World Health Organization (WHO) offers globally recognized guidelines for the clinical management of dengue, including particular advice about the administration of platelet transfusions. The 2012 WHO guidelines indicate that routine platelet transfusion is not recommended in the absence of active </w:t>
      </w:r>
      <w:r w:rsidR="004660C4" w:rsidRPr="00090C76">
        <w:rPr>
          <w:rFonts w:ascii="Times New Roman" w:eastAsia="Times New Roman" w:hAnsi="Times New Roman" w:cs="Times New Roman"/>
          <w:sz w:val="24"/>
          <w:szCs w:val="24"/>
          <w:lang w:eastAsia="en-IN"/>
        </w:rPr>
        <w:t>haemorrhage</w:t>
      </w:r>
      <w:r w:rsidRPr="00090C76">
        <w:rPr>
          <w:rFonts w:ascii="Times New Roman" w:eastAsia="Times New Roman" w:hAnsi="Times New Roman" w:cs="Times New Roman"/>
          <w:sz w:val="24"/>
          <w:szCs w:val="24"/>
          <w:lang w:eastAsia="en-IN"/>
        </w:rPr>
        <w:t>. Transfusion may be warranted when platelet counts decline below 10,000/</w:t>
      </w:r>
      <w:proofErr w:type="spellStart"/>
      <w:r w:rsidRPr="00090C76">
        <w:rPr>
          <w:rFonts w:ascii="Times New Roman" w:eastAsia="Times New Roman" w:hAnsi="Times New Roman" w:cs="Times New Roman"/>
          <w:sz w:val="24"/>
          <w:szCs w:val="24"/>
          <w:lang w:eastAsia="en-IN"/>
        </w:rPr>
        <w:t>μL</w:t>
      </w:r>
      <w:proofErr w:type="spellEnd"/>
      <w:r w:rsidRPr="00090C76">
        <w:rPr>
          <w:rFonts w:ascii="Times New Roman" w:eastAsia="Times New Roman" w:hAnsi="Times New Roman" w:cs="Times New Roman"/>
          <w:sz w:val="24"/>
          <w:szCs w:val="24"/>
          <w:lang w:eastAsia="en-IN"/>
        </w:rPr>
        <w:t xml:space="preserve">, provided there are concomitant clinical manifestations of </w:t>
      </w:r>
      <w:r w:rsidR="004660C4" w:rsidRPr="00090C76">
        <w:rPr>
          <w:rFonts w:ascii="Times New Roman" w:eastAsia="Times New Roman" w:hAnsi="Times New Roman" w:cs="Times New Roman"/>
          <w:sz w:val="24"/>
          <w:szCs w:val="24"/>
          <w:lang w:eastAsia="en-IN"/>
        </w:rPr>
        <w:t>haemorrhage</w:t>
      </w:r>
      <w:r w:rsidRPr="00090C76">
        <w:rPr>
          <w:rFonts w:ascii="Times New Roman" w:eastAsia="Times New Roman" w:hAnsi="Times New Roman" w:cs="Times New Roman"/>
          <w:sz w:val="24"/>
          <w:szCs w:val="24"/>
          <w:lang w:eastAsia="en-IN"/>
        </w:rPr>
        <w:t xml:space="preserve">. This guideline is based on significant research demonstrating that thrombocytopenia alone—especially in the absence of visible </w:t>
      </w:r>
      <w:r w:rsidR="004660C4" w:rsidRPr="00090C76">
        <w:rPr>
          <w:rFonts w:ascii="Times New Roman" w:eastAsia="Times New Roman" w:hAnsi="Times New Roman" w:cs="Times New Roman"/>
          <w:sz w:val="24"/>
          <w:szCs w:val="24"/>
          <w:lang w:eastAsia="en-IN"/>
        </w:rPr>
        <w:t>haemorrhage</w:t>
      </w:r>
      <w:r w:rsidRPr="00090C76">
        <w:rPr>
          <w:rFonts w:ascii="Times New Roman" w:eastAsia="Times New Roman" w:hAnsi="Times New Roman" w:cs="Times New Roman"/>
          <w:sz w:val="24"/>
          <w:szCs w:val="24"/>
          <w:lang w:eastAsia="en-IN"/>
        </w:rPr>
        <w:t xml:space="preserve">—is not a dependable predictor of bleeding risk in dengue patients. Consequently, indiscriminate platelet transfusion may subject patients to superfluous hazards without providing clinical </w:t>
      </w:r>
      <w:r w:rsidR="006B3B09" w:rsidRPr="00090C76">
        <w:rPr>
          <w:rFonts w:ascii="Times New Roman" w:eastAsia="Times New Roman" w:hAnsi="Times New Roman" w:cs="Times New Roman"/>
          <w:sz w:val="24"/>
          <w:szCs w:val="24"/>
          <w:lang w:eastAsia="en-IN"/>
        </w:rPr>
        <w:t>advantage</w:t>
      </w:r>
      <w:r w:rsidR="006B3B09">
        <w:rPr>
          <w:rFonts w:ascii="Times New Roman" w:eastAsia="Times New Roman" w:hAnsi="Times New Roman" w:cs="Times New Roman"/>
          <w:sz w:val="24"/>
          <w:szCs w:val="24"/>
          <w:lang w:eastAsia="en-IN"/>
        </w:rPr>
        <w:t xml:space="preserve"> [</w:t>
      </w:r>
      <w:r w:rsidR="00B17150">
        <w:rPr>
          <w:rFonts w:ascii="Times New Roman" w:eastAsia="Times New Roman" w:hAnsi="Times New Roman" w:cs="Times New Roman"/>
          <w:sz w:val="24"/>
          <w:szCs w:val="24"/>
          <w:lang w:eastAsia="en-IN"/>
        </w:rPr>
        <w:t>14]</w:t>
      </w:r>
      <w:r w:rsidRPr="00090C76">
        <w:rPr>
          <w:rFonts w:ascii="Times New Roman" w:eastAsia="Times New Roman" w:hAnsi="Times New Roman" w:cs="Times New Roman"/>
          <w:sz w:val="24"/>
          <w:szCs w:val="24"/>
          <w:lang w:eastAsia="en-IN"/>
        </w:rPr>
        <w:t>.</w:t>
      </w:r>
    </w:p>
    <w:p w14:paraId="3D1EDB7B" w14:textId="77777777" w:rsidR="00F57DFC" w:rsidRPr="00F57DFC" w:rsidRDefault="00F57DFC" w:rsidP="00F57DFC">
      <w:pPr>
        <w:spacing w:before="100" w:beforeAutospacing="1" w:after="100" w:afterAutospacing="1" w:line="240" w:lineRule="auto"/>
        <w:rPr>
          <w:rFonts w:ascii="Times New Roman" w:eastAsia="Times New Roman" w:hAnsi="Times New Roman" w:cs="Times New Roman"/>
          <w:sz w:val="24"/>
          <w:szCs w:val="24"/>
          <w:lang w:eastAsia="en-IN"/>
        </w:rPr>
      </w:pPr>
      <w:r w:rsidRPr="00F57DFC">
        <w:rPr>
          <w:rFonts w:ascii="Times New Roman" w:eastAsia="Times New Roman" w:hAnsi="Times New Roman" w:cs="Times New Roman"/>
          <w:noProof/>
          <w:sz w:val="24"/>
          <w:szCs w:val="24"/>
          <w:lang w:eastAsia="en-IN"/>
        </w:rPr>
        <w:lastRenderedPageBreak/>
        <w:drawing>
          <wp:inline distT="0" distB="0" distL="0" distR="0" wp14:anchorId="3BB94C45" wp14:editId="4EAFC21D">
            <wp:extent cx="5349240" cy="3825240"/>
            <wp:effectExtent l="0" t="0" r="3810" b="3810"/>
            <wp:docPr id="1" name="Picture 1" descr="C:\Users\acer\Downloads\UntitlPlatele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UntitlPlatelet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7727" cy="3838460"/>
                    </a:xfrm>
                    <a:prstGeom prst="rect">
                      <a:avLst/>
                    </a:prstGeom>
                    <a:noFill/>
                    <a:ln>
                      <a:noFill/>
                    </a:ln>
                  </pic:spPr>
                </pic:pic>
              </a:graphicData>
            </a:graphic>
          </wp:inline>
        </w:drawing>
      </w:r>
    </w:p>
    <w:p w14:paraId="63D6C11E" w14:textId="77777777" w:rsidR="00F57DFC" w:rsidRPr="00F57DFC" w:rsidRDefault="00F57DFC" w:rsidP="00090C76">
      <w:pPr>
        <w:spacing w:before="100" w:beforeAutospacing="1" w:after="100" w:afterAutospacing="1" w:line="24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                                                   </w:t>
      </w:r>
      <w:r w:rsidRPr="00F57DFC">
        <w:rPr>
          <w:rFonts w:ascii="Times New Roman" w:eastAsia="Times New Roman" w:hAnsi="Times New Roman" w:cs="Times New Roman"/>
          <w:b/>
          <w:sz w:val="24"/>
          <w:szCs w:val="24"/>
          <w:lang w:eastAsia="en-IN"/>
        </w:rPr>
        <w:t xml:space="preserve">Fig: 01 Platelet bag </w:t>
      </w:r>
    </w:p>
    <w:p w14:paraId="40BB8805" w14:textId="77777777" w:rsidR="0010430A" w:rsidRPr="00090C76" w:rsidRDefault="0010430A" w:rsidP="00090C76">
      <w:pPr>
        <w:pStyle w:val="NormalWeb"/>
        <w:jc w:val="both"/>
        <w:rPr>
          <w:b/>
        </w:rPr>
      </w:pPr>
      <w:r w:rsidRPr="00090C76">
        <w:rPr>
          <w:b/>
        </w:rPr>
        <w:t>Key recommendations include:</w:t>
      </w:r>
    </w:p>
    <w:p w14:paraId="755E05C6" w14:textId="77777777" w:rsidR="00315182" w:rsidRPr="00090C76" w:rsidRDefault="00315182" w:rsidP="00E45D1D">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Avoid prophylactic transfusions based purely on platelet count unless it is &lt;10,000/</w:t>
      </w:r>
      <w:proofErr w:type="spellStart"/>
      <w:r w:rsidRPr="00090C76">
        <w:rPr>
          <w:rFonts w:ascii="Times New Roman" w:eastAsia="Times New Roman" w:hAnsi="Times New Roman" w:cs="Times New Roman"/>
          <w:sz w:val="24"/>
          <w:szCs w:val="24"/>
          <w:lang w:eastAsia="en-IN"/>
        </w:rPr>
        <w:t>μL</w:t>
      </w:r>
      <w:proofErr w:type="spellEnd"/>
      <w:r w:rsidRPr="00090C76">
        <w:rPr>
          <w:rFonts w:ascii="Times New Roman" w:eastAsia="Times New Roman" w:hAnsi="Times New Roman" w:cs="Times New Roman"/>
          <w:sz w:val="24"/>
          <w:szCs w:val="24"/>
          <w:lang w:eastAsia="en-IN"/>
        </w:rPr>
        <w:t xml:space="preserve"> without bleeding or &lt;20,000/</w:t>
      </w:r>
      <w:proofErr w:type="spellStart"/>
      <w:r w:rsidRPr="00090C76">
        <w:rPr>
          <w:rFonts w:ascii="Times New Roman" w:eastAsia="Times New Roman" w:hAnsi="Times New Roman" w:cs="Times New Roman"/>
          <w:sz w:val="24"/>
          <w:szCs w:val="24"/>
          <w:lang w:eastAsia="en-IN"/>
        </w:rPr>
        <w:t>μL</w:t>
      </w:r>
      <w:proofErr w:type="spellEnd"/>
      <w:r w:rsidRPr="00090C76">
        <w:rPr>
          <w:rFonts w:ascii="Times New Roman" w:eastAsia="Times New Roman" w:hAnsi="Times New Roman" w:cs="Times New Roman"/>
          <w:sz w:val="24"/>
          <w:szCs w:val="24"/>
          <w:lang w:eastAsia="en-IN"/>
        </w:rPr>
        <w:t xml:space="preserve"> with a high risk of bleeding. </w:t>
      </w:r>
      <w:r w:rsidRPr="00090C76">
        <w:rPr>
          <w:rFonts w:ascii="Times New Roman" w:eastAsia="Times New Roman" w:hAnsi="Times New Roman" w:cs="Times New Roman"/>
          <w:sz w:val="24"/>
          <w:szCs w:val="24"/>
          <w:lang w:eastAsia="en-IN"/>
        </w:rPr>
        <w:br/>
      </w:r>
    </w:p>
    <w:p w14:paraId="33107497" w14:textId="77777777" w:rsidR="00315182" w:rsidRPr="00090C76" w:rsidRDefault="00315182" w:rsidP="00E45D1D">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 xml:space="preserve">Administer transfusions exclusively to individuals exhibiting active </w:t>
      </w:r>
      <w:r w:rsidR="00024F8B" w:rsidRPr="00090C76">
        <w:rPr>
          <w:rFonts w:ascii="Times New Roman" w:eastAsia="Times New Roman" w:hAnsi="Times New Roman" w:cs="Times New Roman"/>
          <w:sz w:val="24"/>
          <w:szCs w:val="24"/>
          <w:lang w:eastAsia="en-IN"/>
        </w:rPr>
        <w:t>haemorrhage</w:t>
      </w:r>
      <w:r w:rsidRPr="00090C76">
        <w:rPr>
          <w:rFonts w:ascii="Times New Roman" w:eastAsia="Times New Roman" w:hAnsi="Times New Roman" w:cs="Times New Roman"/>
          <w:sz w:val="24"/>
          <w:szCs w:val="24"/>
          <w:lang w:eastAsia="en-IN"/>
        </w:rPr>
        <w:t xml:space="preserve"> or indications of hemodynamic instability. </w:t>
      </w:r>
      <w:r w:rsidRPr="00090C76">
        <w:rPr>
          <w:rFonts w:ascii="Times New Roman" w:eastAsia="Times New Roman" w:hAnsi="Times New Roman" w:cs="Times New Roman"/>
          <w:sz w:val="24"/>
          <w:szCs w:val="24"/>
          <w:lang w:eastAsia="en-IN"/>
        </w:rPr>
        <w:br/>
      </w:r>
    </w:p>
    <w:p w14:paraId="1955A1D8" w14:textId="77777777" w:rsidR="00315182" w:rsidRPr="00090C76" w:rsidRDefault="00315182" w:rsidP="00E45D1D">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 xml:space="preserve">Observe for fluid excess and transfusion responses, especially in </w:t>
      </w:r>
      <w:r w:rsidR="00024F8B" w:rsidRPr="00090C76">
        <w:rPr>
          <w:rFonts w:ascii="Times New Roman" w:eastAsia="Times New Roman" w:hAnsi="Times New Roman" w:cs="Times New Roman"/>
          <w:sz w:val="24"/>
          <w:szCs w:val="24"/>
          <w:lang w:eastAsia="en-IN"/>
        </w:rPr>
        <w:t>paediatric</w:t>
      </w:r>
      <w:r w:rsidRPr="00090C76">
        <w:rPr>
          <w:rFonts w:ascii="Times New Roman" w:eastAsia="Times New Roman" w:hAnsi="Times New Roman" w:cs="Times New Roman"/>
          <w:sz w:val="24"/>
          <w:szCs w:val="24"/>
          <w:lang w:eastAsia="en-IN"/>
        </w:rPr>
        <w:t xml:space="preserve"> and geriatric patients.</w:t>
      </w:r>
    </w:p>
    <w:p w14:paraId="052E9EE8" w14:textId="77777777" w:rsidR="00315182" w:rsidRPr="00090C76" w:rsidRDefault="00315182" w:rsidP="00EE1D65">
      <w:pPr>
        <w:pStyle w:val="ListParagraph"/>
        <w:spacing w:before="100" w:beforeAutospacing="1" w:after="100" w:afterAutospacing="1" w:line="240" w:lineRule="auto"/>
        <w:rPr>
          <w:rFonts w:ascii="Times New Roman" w:eastAsia="Times New Roman" w:hAnsi="Times New Roman" w:cs="Times New Roman"/>
          <w:sz w:val="24"/>
          <w:szCs w:val="24"/>
          <w:lang w:eastAsia="en-IN"/>
        </w:rPr>
      </w:pPr>
    </w:p>
    <w:p w14:paraId="6892F00A" w14:textId="77777777" w:rsidR="00315182" w:rsidRPr="00090C76" w:rsidRDefault="00315182" w:rsidP="00E45D1D">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Even with set guidelines, doctors often use platelet transfusions too much because they worry about potential problems, legal issues, and not having enough support for making decisions—resulting in unnecessary spending and uneven patient care.</w:t>
      </w:r>
    </w:p>
    <w:p w14:paraId="680F8D97" w14:textId="77777777" w:rsidR="0010430A" w:rsidRPr="00090C76" w:rsidRDefault="0010430A" w:rsidP="00090C76">
      <w:pPr>
        <w:jc w:val="both"/>
        <w:rPr>
          <w:sz w:val="24"/>
          <w:szCs w:val="24"/>
        </w:rPr>
      </w:pPr>
      <w:r w:rsidRPr="00090C76">
        <w:rPr>
          <w:rStyle w:val="Strong"/>
          <w:sz w:val="24"/>
          <w:szCs w:val="24"/>
        </w:rPr>
        <w:t>Clinical Parameters Used in Monitoring Patients</w:t>
      </w:r>
    </w:p>
    <w:p w14:paraId="37B7D184" w14:textId="77777777" w:rsidR="007C01B3" w:rsidRPr="007C01B3" w:rsidRDefault="007C01B3" w:rsidP="007C01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C01B3">
        <w:rPr>
          <w:rFonts w:ascii="Times New Roman" w:eastAsia="Times New Roman" w:hAnsi="Times New Roman" w:cs="Times New Roman"/>
          <w:sz w:val="24"/>
          <w:szCs w:val="24"/>
          <w:lang w:eastAsia="en-IN"/>
        </w:rPr>
        <w:t>The present clinical evaluation of dengue patients mainly comprises symptomatic, hemodynamic, and laboratory assessments. The subsequent parameters are regularly employed:</w:t>
      </w:r>
    </w:p>
    <w:p w14:paraId="21ED91DE" w14:textId="77777777" w:rsidR="0010430A" w:rsidRPr="00090C76" w:rsidRDefault="0010430A" w:rsidP="00090C76">
      <w:pPr>
        <w:jc w:val="both"/>
        <w:rPr>
          <w:sz w:val="24"/>
          <w:szCs w:val="24"/>
        </w:rPr>
      </w:pPr>
      <w:r w:rsidRPr="00090C76">
        <w:rPr>
          <w:rStyle w:val="Strong"/>
          <w:bCs w:val="0"/>
          <w:sz w:val="24"/>
          <w:szCs w:val="24"/>
        </w:rPr>
        <w:t>1. Platelet Count</w:t>
      </w:r>
      <w:r w:rsidR="00DC6DBE">
        <w:rPr>
          <w:rStyle w:val="Strong"/>
          <w:bCs w:val="0"/>
          <w:sz w:val="24"/>
          <w:szCs w:val="24"/>
        </w:rPr>
        <w:t>:</w:t>
      </w:r>
    </w:p>
    <w:p w14:paraId="3201AE1E" w14:textId="77777777" w:rsidR="0010430A" w:rsidRPr="00090C76" w:rsidRDefault="0010430A" w:rsidP="00AB3BF7">
      <w:pPr>
        <w:pStyle w:val="NormalWeb"/>
        <w:numPr>
          <w:ilvl w:val="0"/>
          <w:numId w:val="21"/>
        </w:numPr>
        <w:jc w:val="both"/>
      </w:pPr>
      <w:r w:rsidRPr="00090C76">
        <w:t>Measured daily or more frequently in severe cases.</w:t>
      </w:r>
    </w:p>
    <w:p w14:paraId="05817EC8" w14:textId="77777777" w:rsidR="0010430A" w:rsidRPr="00090C76" w:rsidRDefault="0010430A" w:rsidP="00AB3BF7">
      <w:pPr>
        <w:pStyle w:val="NormalWeb"/>
        <w:numPr>
          <w:ilvl w:val="0"/>
          <w:numId w:val="21"/>
        </w:numPr>
        <w:jc w:val="both"/>
      </w:pPr>
      <w:r w:rsidRPr="00090C76">
        <w:lastRenderedPageBreak/>
        <w:t>A drop below 100,000/</w:t>
      </w:r>
      <w:proofErr w:type="spellStart"/>
      <w:r w:rsidRPr="00090C76">
        <w:t>μL</w:t>
      </w:r>
      <w:proofErr w:type="spellEnd"/>
      <w:r w:rsidRPr="00090C76">
        <w:t xml:space="preserve"> is typical in dengue; levels below 50,000/</w:t>
      </w:r>
      <w:proofErr w:type="spellStart"/>
      <w:r w:rsidRPr="00090C76">
        <w:t>μL</w:t>
      </w:r>
      <w:proofErr w:type="spellEnd"/>
      <w:r w:rsidRPr="00090C76">
        <w:t xml:space="preserve"> may prompt increased monitoring.</w:t>
      </w:r>
    </w:p>
    <w:p w14:paraId="53E975E1" w14:textId="77777777" w:rsidR="0010430A" w:rsidRPr="00090C76" w:rsidRDefault="0010430A" w:rsidP="00090C76">
      <w:pPr>
        <w:jc w:val="both"/>
        <w:rPr>
          <w:sz w:val="24"/>
          <w:szCs w:val="24"/>
        </w:rPr>
      </w:pPr>
      <w:r w:rsidRPr="00090C76">
        <w:rPr>
          <w:rStyle w:val="Strong"/>
          <w:bCs w:val="0"/>
          <w:sz w:val="24"/>
          <w:szCs w:val="24"/>
        </w:rPr>
        <w:t xml:space="preserve">2. </w:t>
      </w:r>
      <w:r w:rsidR="00E47ACB" w:rsidRPr="00090C76">
        <w:rPr>
          <w:rStyle w:val="Strong"/>
          <w:bCs w:val="0"/>
          <w:sz w:val="24"/>
          <w:szCs w:val="24"/>
        </w:rPr>
        <w:t>Haematocrit</w:t>
      </w:r>
      <w:r w:rsidRPr="00090C76">
        <w:rPr>
          <w:rStyle w:val="Strong"/>
          <w:bCs w:val="0"/>
          <w:sz w:val="24"/>
          <w:szCs w:val="24"/>
        </w:rPr>
        <w:t xml:space="preserve"> (HCT)</w:t>
      </w:r>
      <w:r w:rsidR="00DC6DBE">
        <w:rPr>
          <w:rStyle w:val="Strong"/>
          <w:bCs w:val="0"/>
          <w:sz w:val="24"/>
          <w:szCs w:val="24"/>
        </w:rPr>
        <w:t>:</w:t>
      </w:r>
    </w:p>
    <w:p w14:paraId="3E5C0D8F" w14:textId="77777777" w:rsidR="0010430A" w:rsidRPr="00090C76" w:rsidRDefault="0010430A" w:rsidP="00AB3BF7">
      <w:pPr>
        <w:pStyle w:val="NormalWeb"/>
        <w:numPr>
          <w:ilvl w:val="0"/>
          <w:numId w:val="22"/>
        </w:numPr>
        <w:jc w:val="both"/>
      </w:pPr>
      <w:r w:rsidRPr="00090C76">
        <w:t xml:space="preserve">Used as a marker for </w:t>
      </w:r>
      <w:r w:rsidRPr="00090C76">
        <w:rPr>
          <w:rStyle w:val="Strong"/>
        </w:rPr>
        <w:t>plasma leakage</w:t>
      </w:r>
      <w:r w:rsidRPr="00090C76">
        <w:t xml:space="preserve">; a rise &gt;20% from baseline indicates </w:t>
      </w:r>
      <w:proofErr w:type="spellStart"/>
      <w:r w:rsidRPr="00090C76">
        <w:t>hemoconcentration</w:t>
      </w:r>
      <w:proofErr w:type="spellEnd"/>
      <w:r w:rsidRPr="00090C76">
        <w:t>.</w:t>
      </w:r>
    </w:p>
    <w:p w14:paraId="6C80F21A" w14:textId="77777777" w:rsidR="0010430A" w:rsidRPr="00090C76" w:rsidRDefault="0010430A" w:rsidP="00AB3BF7">
      <w:pPr>
        <w:pStyle w:val="NormalWeb"/>
        <w:numPr>
          <w:ilvl w:val="0"/>
          <w:numId w:val="22"/>
        </w:numPr>
        <w:jc w:val="both"/>
      </w:pPr>
      <w:r w:rsidRPr="00090C76">
        <w:t xml:space="preserve">Helps guide fluid therapy and assess progression to dengue </w:t>
      </w:r>
      <w:r w:rsidR="00E47ACB" w:rsidRPr="00090C76">
        <w:t>haemorrhagic</w:t>
      </w:r>
      <w:r w:rsidRPr="00090C76">
        <w:t xml:space="preserve"> fever (DHF) or dengue shock syndrome (DSS).</w:t>
      </w:r>
    </w:p>
    <w:p w14:paraId="29D4B067" w14:textId="77777777" w:rsidR="0010430A" w:rsidRPr="00090C76" w:rsidRDefault="0010430A" w:rsidP="00090C76">
      <w:pPr>
        <w:jc w:val="both"/>
        <w:rPr>
          <w:sz w:val="24"/>
          <w:szCs w:val="24"/>
        </w:rPr>
      </w:pPr>
      <w:r w:rsidRPr="00090C76">
        <w:rPr>
          <w:rStyle w:val="Strong"/>
          <w:bCs w:val="0"/>
          <w:sz w:val="24"/>
          <w:szCs w:val="24"/>
        </w:rPr>
        <w:t>3. Vital Signs</w:t>
      </w:r>
      <w:r w:rsidR="00DC6DBE">
        <w:rPr>
          <w:rStyle w:val="Strong"/>
          <w:bCs w:val="0"/>
          <w:sz w:val="24"/>
          <w:szCs w:val="24"/>
        </w:rPr>
        <w:t>:</w:t>
      </w:r>
    </w:p>
    <w:p w14:paraId="5F803B0E" w14:textId="77777777" w:rsidR="0010430A" w:rsidRPr="00090C76" w:rsidRDefault="0010430A" w:rsidP="00AB3BF7">
      <w:pPr>
        <w:pStyle w:val="NormalWeb"/>
        <w:numPr>
          <w:ilvl w:val="0"/>
          <w:numId w:val="23"/>
        </w:numPr>
        <w:jc w:val="both"/>
      </w:pPr>
      <w:r w:rsidRPr="00090C76">
        <w:rPr>
          <w:rStyle w:val="Strong"/>
        </w:rPr>
        <w:t>Blood pressure</w:t>
      </w:r>
      <w:r w:rsidRPr="00090C76">
        <w:t xml:space="preserve">, </w:t>
      </w:r>
      <w:r w:rsidRPr="00090C76">
        <w:rPr>
          <w:rStyle w:val="Strong"/>
        </w:rPr>
        <w:t>pulse pressure</w:t>
      </w:r>
      <w:r w:rsidRPr="00090C76">
        <w:t xml:space="preserve">, and </w:t>
      </w:r>
      <w:r w:rsidRPr="00090C76">
        <w:rPr>
          <w:rStyle w:val="Strong"/>
        </w:rPr>
        <w:t>heart rate</w:t>
      </w:r>
      <w:r w:rsidRPr="00090C76">
        <w:t xml:space="preserve"> are closely monitored for signs of shock.</w:t>
      </w:r>
    </w:p>
    <w:p w14:paraId="5566678B" w14:textId="77777777" w:rsidR="0010430A" w:rsidRPr="00090C76" w:rsidRDefault="0010430A" w:rsidP="00AB3BF7">
      <w:pPr>
        <w:pStyle w:val="NormalWeb"/>
        <w:numPr>
          <w:ilvl w:val="0"/>
          <w:numId w:val="23"/>
        </w:numPr>
        <w:jc w:val="both"/>
      </w:pPr>
      <w:r w:rsidRPr="00090C76">
        <w:t>Narrowing pulse pressure (&lt;20 mmHg) is a critical indicator of circulatory compromise.</w:t>
      </w:r>
    </w:p>
    <w:p w14:paraId="549F2912" w14:textId="77777777" w:rsidR="0010430A" w:rsidRPr="00090C76" w:rsidRDefault="0010430A" w:rsidP="00090C76">
      <w:pPr>
        <w:jc w:val="both"/>
        <w:rPr>
          <w:sz w:val="24"/>
          <w:szCs w:val="24"/>
        </w:rPr>
      </w:pPr>
      <w:r w:rsidRPr="00090C76">
        <w:rPr>
          <w:rStyle w:val="Strong"/>
          <w:bCs w:val="0"/>
          <w:sz w:val="24"/>
          <w:szCs w:val="24"/>
        </w:rPr>
        <w:t>4. Bleeding Manifestations</w:t>
      </w:r>
      <w:r w:rsidR="00DC6DBE">
        <w:rPr>
          <w:rStyle w:val="Strong"/>
          <w:bCs w:val="0"/>
          <w:sz w:val="24"/>
          <w:szCs w:val="24"/>
        </w:rPr>
        <w:t>:</w:t>
      </w:r>
    </w:p>
    <w:p w14:paraId="78F76EC1" w14:textId="77777777" w:rsidR="0010430A" w:rsidRPr="00090C76" w:rsidRDefault="0010430A" w:rsidP="00AB3BF7">
      <w:pPr>
        <w:pStyle w:val="NormalWeb"/>
        <w:numPr>
          <w:ilvl w:val="0"/>
          <w:numId w:val="24"/>
        </w:numPr>
        <w:jc w:val="both"/>
      </w:pPr>
      <w:r w:rsidRPr="00090C76">
        <w:t xml:space="preserve">Observation for </w:t>
      </w:r>
      <w:r w:rsidRPr="00090C76">
        <w:rPr>
          <w:rStyle w:val="Strong"/>
        </w:rPr>
        <w:t>petechiae</w:t>
      </w:r>
      <w:r w:rsidRPr="00090C76">
        <w:t xml:space="preserve">, </w:t>
      </w:r>
      <w:r w:rsidRPr="00090C76">
        <w:rPr>
          <w:rStyle w:val="Strong"/>
        </w:rPr>
        <w:t>gum bleeding</w:t>
      </w:r>
      <w:r w:rsidRPr="00090C76">
        <w:t xml:space="preserve">, </w:t>
      </w:r>
      <w:r w:rsidRPr="00090C76">
        <w:rPr>
          <w:rStyle w:val="Strong"/>
        </w:rPr>
        <w:t>melena</w:t>
      </w:r>
      <w:r w:rsidRPr="00090C76">
        <w:t xml:space="preserve">, or </w:t>
      </w:r>
      <w:r w:rsidR="007E7188" w:rsidRPr="00090C76">
        <w:rPr>
          <w:rStyle w:val="Strong"/>
        </w:rPr>
        <w:t>haematuria</w:t>
      </w:r>
      <w:r w:rsidRPr="00090C76">
        <w:t>.</w:t>
      </w:r>
    </w:p>
    <w:p w14:paraId="4760CC70" w14:textId="77777777" w:rsidR="0010430A" w:rsidRPr="00090C76" w:rsidRDefault="0010430A" w:rsidP="00AB3BF7">
      <w:pPr>
        <w:pStyle w:val="NormalWeb"/>
        <w:numPr>
          <w:ilvl w:val="0"/>
          <w:numId w:val="24"/>
        </w:numPr>
        <w:jc w:val="both"/>
      </w:pPr>
      <w:r w:rsidRPr="00090C76">
        <w:t>Positive tourniquet test can signal capillary fragility but has limited specificity.</w:t>
      </w:r>
    </w:p>
    <w:p w14:paraId="678FB4EF" w14:textId="77777777" w:rsidR="0010430A" w:rsidRPr="00090C76" w:rsidRDefault="0010430A" w:rsidP="00090C76">
      <w:pPr>
        <w:jc w:val="both"/>
        <w:rPr>
          <w:sz w:val="24"/>
          <w:szCs w:val="24"/>
        </w:rPr>
      </w:pPr>
      <w:r w:rsidRPr="00090C76">
        <w:rPr>
          <w:rStyle w:val="Strong"/>
          <w:bCs w:val="0"/>
          <w:sz w:val="24"/>
          <w:szCs w:val="24"/>
        </w:rPr>
        <w:t>5. Other Laboratory Tests</w:t>
      </w:r>
      <w:r w:rsidR="00DC6DBE">
        <w:rPr>
          <w:rStyle w:val="Strong"/>
          <w:bCs w:val="0"/>
          <w:sz w:val="24"/>
          <w:szCs w:val="24"/>
        </w:rPr>
        <w:t>:</w:t>
      </w:r>
    </w:p>
    <w:p w14:paraId="0F1D2346" w14:textId="77777777" w:rsidR="0010430A" w:rsidRPr="00090C76" w:rsidRDefault="0010430A" w:rsidP="00E45D1D">
      <w:pPr>
        <w:pStyle w:val="NormalWeb"/>
        <w:numPr>
          <w:ilvl w:val="0"/>
          <w:numId w:val="19"/>
        </w:numPr>
        <w:jc w:val="both"/>
      </w:pPr>
      <w:r w:rsidRPr="00090C76">
        <w:rPr>
          <w:rStyle w:val="Strong"/>
        </w:rPr>
        <w:t>Liver enzymes (AST/ALT)</w:t>
      </w:r>
      <w:r w:rsidRPr="00090C76">
        <w:t>: Elevated levels are common in severe dengue.</w:t>
      </w:r>
    </w:p>
    <w:p w14:paraId="6BDEDDDD" w14:textId="77777777" w:rsidR="0010430A" w:rsidRPr="00090C76" w:rsidRDefault="0010430A" w:rsidP="00E45D1D">
      <w:pPr>
        <w:pStyle w:val="NormalWeb"/>
        <w:numPr>
          <w:ilvl w:val="0"/>
          <w:numId w:val="19"/>
        </w:numPr>
        <w:jc w:val="both"/>
      </w:pPr>
      <w:r w:rsidRPr="00090C76">
        <w:rPr>
          <w:rStyle w:val="Strong"/>
        </w:rPr>
        <w:t>White blood cell count (WBC)</w:t>
      </w:r>
      <w:r w:rsidRPr="00090C76">
        <w:t>: Leukopenia is commonly observed.</w:t>
      </w:r>
    </w:p>
    <w:p w14:paraId="5FF25248" w14:textId="77777777" w:rsidR="0010430A" w:rsidRPr="00090C76" w:rsidRDefault="0010430A" w:rsidP="00E45D1D">
      <w:pPr>
        <w:pStyle w:val="NormalWeb"/>
        <w:numPr>
          <w:ilvl w:val="0"/>
          <w:numId w:val="19"/>
        </w:numPr>
        <w:jc w:val="both"/>
      </w:pPr>
      <w:r w:rsidRPr="00090C76">
        <w:rPr>
          <w:rStyle w:val="Strong"/>
        </w:rPr>
        <w:t>Serological or molecular testing</w:t>
      </w:r>
      <w:r w:rsidRPr="00090C76">
        <w:t xml:space="preserve"> (e.g., NS1 antigen, IgM/IgG ELISA, RT-PCR) confirm dengue infection.</w:t>
      </w:r>
    </w:p>
    <w:p w14:paraId="6E4B7CAE" w14:textId="77777777" w:rsidR="0010430A" w:rsidRPr="00090C76" w:rsidRDefault="0010430A" w:rsidP="00090C76">
      <w:pPr>
        <w:jc w:val="both"/>
        <w:rPr>
          <w:sz w:val="24"/>
          <w:szCs w:val="24"/>
        </w:rPr>
      </w:pPr>
      <w:r w:rsidRPr="00090C76">
        <w:rPr>
          <w:rStyle w:val="Strong"/>
          <w:sz w:val="24"/>
          <w:szCs w:val="24"/>
        </w:rPr>
        <w:t>Gaps in Current Practice</w:t>
      </w:r>
    </w:p>
    <w:p w14:paraId="60FB07F6" w14:textId="77777777" w:rsidR="00800088" w:rsidRPr="00090C76" w:rsidRDefault="00800088"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 xml:space="preserve">Although these procedures are efficient for fundamental treatment, they depend significantly on sporadic evaluations and subjective clinical assessment. The limited use of predictive </w:t>
      </w:r>
      <w:r w:rsidR="00126526" w:rsidRPr="00090C76">
        <w:rPr>
          <w:rFonts w:ascii="Times New Roman" w:eastAsia="Times New Roman" w:hAnsi="Times New Roman" w:cs="Times New Roman"/>
          <w:sz w:val="24"/>
          <w:szCs w:val="24"/>
          <w:lang w:eastAsia="en-IN"/>
        </w:rPr>
        <w:t>modelling</w:t>
      </w:r>
      <w:r w:rsidRPr="00090C76">
        <w:rPr>
          <w:rFonts w:ascii="Times New Roman" w:eastAsia="Times New Roman" w:hAnsi="Times New Roman" w:cs="Times New Roman"/>
          <w:sz w:val="24"/>
          <w:szCs w:val="24"/>
          <w:lang w:eastAsia="en-IN"/>
        </w:rPr>
        <w:t xml:space="preserve"> and ongoing data monitoring can cause delays in spotting when a patient's condition gets worse or in taking action too soon. Furthermore, adherence to standards is sometimes inconsistent, particularly in resource-limited environments, leading to disparities in care quality and patient outcomes.</w:t>
      </w:r>
    </w:p>
    <w:p w14:paraId="196D3FD0" w14:textId="77777777" w:rsidR="00D41984" w:rsidRPr="00090C76" w:rsidRDefault="00D41984" w:rsidP="00090C76">
      <w:pPr>
        <w:jc w:val="both"/>
        <w:rPr>
          <w:b/>
          <w:sz w:val="24"/>
          <w:szCs w:val="24"/>
          <w:lang w:eastAsia="en-IN"/>
        </w:rPr>
      </w:pPr>
      <w:r w:rsidRPr="00090C76">
        <w:rPr>
          <w:b/>
          <w:sz w:val="24"/>
          <w:szCs w:val="24"/>
          <w:lang w:eastAsia="en-IN"/>
        </w:rPr>
        <w:t xml:space="preserve">3.2 AI in </w:t>
      </w:r>
      <w:r w:rsidR="00126526" w:rsidRPr="00090C76">
        <w:rPr>
          <w:b/>
          <w:sz w:val="24"/>
          <w:szCs w:val="24"/>
          <w:lang w:eastAsia="en-IN"/>
        </w:rPr>
        <w:t>Haematology</w:t>
      </w:r>
      <w:r w:rsidRPr="00090C76">
        <w:rPr>
          <w:b/>
          <w:sz w:val="24"/>
          <w:szCs w:val="24"/>
          <w:lang w:eastAsia="en-IN"/>
        </w:rPr>
        <w:t xml:space="preserve"> and Infectious Disease</w:t>
      </w:r>
    </w:p>
    <w:p w14:paraId="0F35C111" w14:textId="77777777" w:rsidR="00C60660" w:rsidRPr="00090C76" w:rsidRDefault="00C60660" w:rsidP="00E45D1D">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b/>
          <w:bCs/>
          <w:sz w:val="24"/>
          <w:szCs w:val="24"/>
          <w:lang w:eastAsia="en-IN"/>
        </w:rPr>
        <w:t xml:space="preserve">Applications of Artificial Intelligence in </w:t>
      </w:r>
      <w:r w:rsidR="00126526" w:rsidRPr="00090C76">
        <w:rPr>
          <w:rFonts w:ascii="Times New Roman" w:eastAsia="Times New Roman" w:hAnsi="Times New Roman" w:cs="Times New Roman"/>
          <w:b/>
          <w:bCs/>
          <w:sz w:val="24"/>
          <w:szCs w:val="24"/>
          <w:lang w:eastAsia="en-IN"/>
        </w:rPr>
        <w:t>Haematology</w:t>
      </w:r>
      <w:r w:rsidRPr="00090C76">
        <w:rPr>
          <w:rFonts w:ascii="Times New Roman" w:eastAsia="Times New Roman" w:hAnsi="Times New Roman" w:cs="Times New Roman"/>
          <w:b/>
          <w:bCs/>
          <w:sz w:val="24"/>
          <w:szCs w:val="24"/>
          <w:lang w:eastAsia="en-IN"/>
        </w:rPr>
        <w:t xml:space="preserve"> and Infectious Diseases</w:t>
      </w:r>
      <w:r w:rsidR="00CC7139" w:rsidRPr="00090C76">
        <w:rPr>
          <w:rFonts w:ascii="Times New Roman" w:eastAsia="Times New Roman" w:hAnsi="Times New Roman" w:cs="Times New Roman"/>
          <w:b/>
          <w:bCs/>
          <w:sz w:val="24"/>
          <w:szCs w:val="24"/>
          <w:lang w:eastAsia="en-IN"/>
        </w:rPr>
        <w:t xml:space="preserve">: </w:t>
      </w:r>
      <w:r w:rsidRPr="00090C76">
        <w:rPr>
          <w:rFonts w:ascii="Times New Roman" w:eastAsia="Times New Roman" w:hAnsi="Times New Roman" w:cs="Times New Roman"/>
          <w:sz w:val="24"/>
          <w:szCs w:val="24"/>
          <w:lang w:eastAsia="en-IN"/>
        </w:rPr>
        <w:t xml:space="preserve">Artificial Intelligence (AI) is increasingly transforming the fields of </w:t>
      </w:r>
      <w:r w:rsidR="00126526" w:rsidRPr="00090C76">
        <w:rPr>
          <w:rFonts w:ascii="Times New Roman" w:eastAsia="Times New Roman" w:hAnsi="Times New Roman" w:cs="Times New Roman"/>
          <w:sz w:val="24"/>
          <w:szCs w:val="24"/>
          <w:lang w:eastAsia="en-IN"/>
        </w:rPr>
        <w:t>haematology</w:t>
      </w:r>
      <w:r w:rsidRPr="00090C76">
        <w:rPr>
          <w:rFonts w:ascii="Times New Roman" w:eastAsia="Times New Roman" w:hAnsi="Times New Roman" w:cs="Times New Roman"/>
          <w:sz w:val="24"/>
          <w:szCs w:val="24"/>
          <w:lang w:eastAsia="en-IN"/>
        </w:rPr>
        <w:t xml:space="preserve"> and infectious disease by enabling advanced data analysis, pattern recognition, and predictive </w:t>
      </w:r>
      <w:r w:rsidR="00126526" w:rsidRPr="00090C76">
        <w:rPr>
          <w:rFonts w:ascii="Times New Roman" w:eastAsia="Times New Roman" w:hAnsi="Times New Roman" w:cs="Times New Roman"/>
          <w:sz w:val="24"/>
          <w:szCs w:val="24"/>
          <w:lang w:eastAsia="en-IN"/>
        </w:rPr>
        <w:t>modelling</w:t>
      </w:r>
      <w:r w:rsidRPr="00090C76">
        <w:rPr>
          <w:rFonts w:ascii="Times New Roman" w:eastAsia="Times New Roman" w:hAnsi="Times New Roman" w:cs="Times New Roman"/>
          <w:sz w:val="24"/>
          <w:szCs w:val="24"/>
          <w:lang w:eastAsia="en-IN"/>
        </w:rPr>
        <w:t xml:space="preserve">. </w:t>
      </w:r>
    </w:p>
    <w:p w14:paraId="1C3C6CFD" w14:textId="77777777" w:rsidR="00CC7139" w:rsidRPr="00090C76" w:rsidRDefault="00C60660" w:rsidP="00E45D1D">
      <w:pPr>
        <w:pStyle w:val="ListParagraph"/>
        <w:numPr>
          <w:ilvl w:val="0"/>
          <w:numId w:val="9"/>
        </w:numPr>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b/>
          <w:bCs/>
          <w:sz w:val="24"/>
          <w:szCs w:val="24"/>
          <w:lang w:eastAsia="en-IN"/>
        </w:rPr>
        <w:t>Machine Learning for Hematologic Parameter Prediction:</w:t>
      </w:r>
      <w:r w:rsidRPr="00090C76">
        <w:rPr>
          <w:rFonts w:ascii="Times New Roman" w:eastAsia="Times New Roman" w:hAnsi="Times New Roman" w:cs="Times New Roman"/>
          <w:sz w:val="24"/>
          <w:szCs w:val="24"/>
          <w:lang w:eastAsia="en-IN"/>
        </w:rPr>
        <w:t xml:space="preserve"> </w:t>
      </w:r>
      <w:r w:rsidR="00CC7139" w:rsidRPr="00090C76">
        <w:rPr>
          <w:rFonts w:ascii="Times New Roman" w:eastAsia="Times New Roman" w:hAnsi="Times New Roman" w:cs="Times New Roman"/>
          <w:sz w:val="24"/>
          <w:szCs w:val="24"/>
          <w:lang w:eastAsia="en-IN"/>
        </w:rPr>
        <w:t>AI methods, especially supervised machine learning models, are utilized to predict complete blood count (CBC) parameters and identify hematologic abnormalities with high precision, thus enhancing early diagnosis and clinical decision-making.</w:t>
      </w:r>
    </w:p>
    <w:p w14:paraId="552DE825" w14:textId="77777777" w:rsidR="00DC2052" w:rsidRPr="00090C76" w:rsidRDefault="00C60660" w:rsidP="00E45D1D">
      <w:pPr>
        <w:pStyle w:val="NormalWeb"/>
        <w:numPr>
          <w:ilvl w:val="0"/>
          <w:numId w:val="9"/>
        </w:numPr>
        <w:jc w:val="both"/>
      </w:pPr>
      <w:r w:rsidRPr="00090C76">
        <w:rPr>
          <w:b/>
          <w:bCs/>
        </w:rPr>
        <w:lastRenderedPageBreak/>
        <w:t>AI in the Diagnosis and Management of Infectious Diseases:</w:t>
      </w:r>
      <w:r w:rsidRPr="00090C76">
        <w:t xml:space="preserve"> </w:t>
      </w:r>
      <w:r w:rsidR="00CC7139" w:rsidRPr="00090C76">
        <w:t>AI-driven techniques have shown considerable effectiveness in the early identification, prognosis, and management of certain infectious diseases, such as sepsis, malaria, and COVID-19.</w:t>
      </w:r>
    </w:p>
    <w:p w14:paraId="5D2FC328" w14:textId="77777777" w:rsidR="00DC2052" w:rsidRPr="00090C76" w:rsidRDefault="00DC2052" w:rsidP="00090C76">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These systems employ clinical, laboratory, and imaging data to enable swift and accurate diagnosis, risk evaluation, and tailored treatment suggestions. These technologies are facilitating more accurate, data-driven methodologies for patient care in both high-resource and resource-constrained environments.</w:t>
      </w:r>
    </w:p>
    <w:p w14:paraId="0C5ECF12" w14:textId="77777777" w:rsidR="00C60660" w:rsidRPr="00090C76" w:rsidRDefault="00C60660" w:rsidP="00090C76">
      <w:pPr>
        <w:spacing w:after="0" w:line="240" w:lineRule="auto"/>
        <w:jc w:val="both"/>
        <w:rPr>
          <w:rFonts w:ascii="Times New Roman" w:eastAsia="Times New Roman" w:hAnsi="Times New Roman" w:cs="Times New Roman"/>
          <w:sz w:val="24"/>
          <w:szCs w:val="24"/>
          <w:lang w:eastAsia="en-IN"/>
        </w:rPr>
      </w:pPr>
    </w:p>
    <w:p w14:paraId="2C3A8A7B" w14:textId="77777777" w:rsidR="00D41984" w:rsidRPr="00090C76" w:rsidRDefault="00D41984" w:rsidP="00090C76">
      <w:pPr>
        <w:jc w:val="both"/>
        <w:rPr>
          <w:b/>
          <w:sz w:val="24"/>
          <w:szCs w:val="24"/>
          <w:lang w:eastAsia="en-IN"/>
        </w:rPr>
      </w:pPr>
      <w:r w:rsidRPr="00090C76">
        <w:rPr>
          <w:b/>
          <w:sz w:val="24"/>
          <w:szCs w:val="24"/>
          <w:lang w:eastAsia="en-IN"/>
        </w:rPr>
        <w:t>3.3 Gaps in Current Research</w:t>
      </w:r>
    </w:p>
    <w:p w14:paraId="5CDF5936" w14:textId="77777777" w:rsidR="00C60660" w:rsidRPr="00090C76" w:rsidRDefault="00C60660" w:rsidP="00090C76">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090C76">
        <w:rPr>
          <w:rFonts w:ascii="Times New Roman" w:eastAsia="Times New Roman" w:hAnsi="Times New Roman" w:cs="Times New Roman"/>
          <w:b/>
          <w:bCs/>
          <w:sz w:val="24"/>
          <w:szCs w:val="24"/>
          <w:lang w:eastAsia="en-IN"/>
        </w:rPr>
        <w:t>Identified Gaps in Current Research</w:t>
      </w:r>
    </w:p>
    <w:p w14:paraId="7F6E6639" w14:textId="77777777" w:rsidR="005D032C" w:rsidRPr="00090C76" w:rsidRDefault="005D032C"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Despite increasing interest in the utilization of artificial intelligence in healthcare, substantial deficiencies persist in its implementation for dengue management, especially with hematologic complications. Principal shortcomings encompass:</w:t>
      </w:r>
    </w:p>
    <w:p w14:paraId="49549157" w14:textId="77777777" w:rsidR="005D032C" w:rsidRPr="00090C76" w:rsidRDefault="00C60660" w:rsidP="00E45D1D">
      <w:pPr>
        <w:pStyle w:val="NormalWeb"/>
        <w:numPr>
          <w:ilvl w:val="0"/>
          <w:numId w:val="10"/>
        </w:numPr>
        <w:jc w:val="both"/>
      </w:pPr>
      <w:r w:rsidRPr="00090C76">
        <w:rPr>
          <w:b/>
          <w:bCs/>
        </w:rPr>
        <w:t>Limited Utilization of AI for Dengue-Specific Platelet Count Prediction:</w:t>
      </w:r>
      <w:r w:rsidRPr="00090C76">
        <w:t xml:space="preserve"> </w:t>
      </w:r>
      <w:r w:rsidR="005D032C" w:rsidRPr="00090C76">
        <w:t xml:space="preserve">Contemporary literature indicates a lack of machine learning models explicitly developed to forecast platelet changes in dengue patients. Considering the clinical significance of thrombocytopenia in illness progression and therapy strategies, the subject constitutes a vital domain for additional </w:t>
      </w:r>
      <w:r w:rsidR="006B3B09" w:rsidRPr="00090C76">
        <w:t>research</w:t>
      </w:r>
      <w:r w:rsidR="006B3B09">
        <w:t xml:space="preserve"> [</w:t>
      </w:r>
      <w:r w:rsidR="00B17150">
        <w:t>15]</w:t>
      </w:r>
      <w:r w:rsidR="005D032C" w:rsidRPr="00090C76">
        <w:t>.</w:t>
      </w:r>
    </w:p>
    <w:p w14:paraId="4C58A187" w14:textId="77777777" w:rsidR="00B61479" w:rsidRPr="00090C76" w:rsidRDefault="00C60660" w:rsidP="00E45D1D">
      <w:pPr>
        <w:pStyle w:val="NormalWeb"/>
        <w:numPr>
          <w:ilvl w:val="0"/>
          <w:numId w:val="10"/>
        </w:numPr>
        <w:jc w:val="both"/>
      </w:pPr>
      <w:r w:rsidRPr="00090C76">
        <w:rPr>
          <w:b/>
          <w:bCs/>
        </w:rPr>
        <w:t>Absence of Integrated Decision-Support Systems in Low-Resource Settings:</w:t>
      </w:r>
      <w:r w:rsidRPr="00090C76">
        <w:t xml:space="preserve"> </w:t>
      </w:r>
      <w:r w:rsidR="00B61479" w:rsidRPr="00090C76">
        <w:t xml:space="preserve">There is a major lack of scalable, AI-driven clinical decision-support platforms for low- and middle-income countries, where dengue is most common. Current solutions often rely on infrastructure or data streams that are not available in these contexts, which limits their usability and </w:t>
      </w:r>
      <w:r w:rsidR="006B3B09" w:rsidRPr="00090C76">
        <w:t>effectiveness</w:t>
      </w:r>
      <w:r w:rsidR="006B3B09">
        <w:t xml:space="preserve"> [</w:t>
      </w:r>
      <w:r w:rsidR="00B17150">
        <w:t>16]</w:t>
      </w:r>
      <w:r w:rsidR="00B61479" w:rsidRPr="00090C76">
        <w:t>.</w:t>
      </w:r>
    </w:p>
    <w:p w14:paraId="7F399999" w14:textId="77777777" w:rsidR="00D41984" w:rsidRPr="00090C76" w:rsidRDefault="00D41984" w:rsidP="00090C76">
      <w:pPr>
        <w:spacing w:before="100" w:beforeAutospacing="1" w:after="100" w:afterAutospacing="1" w:line="240" w:lineRule="auto"/>
        <w:jc w:val="both"/>
        <w:rPr>
          <w:b/>
          <w:sz w:val="24"/>
          <w:szCs w:val="24"/>
          <w:lang w:eastAsia="en-IN"/>
        </w:rPr>
      </w:pPr>
      <w:r w:rsidRPr="00090C76">
        <w:rPr>
          <w:b/>
          <w:sz w:val="24"/>
          <w:szCs w:val="24"/>
          <w:lang w:eastAsia="en-IN"/>
        </w:rPr>
        <w:t>4. Proposed Methodology</w:t>
      </w:r>
    </w:p>
    <w:p w14:paraId="5FC66F74" w14:textId="77777777" w:rsidR="00D41984" w:rsidRPr="00910991" w:rsidRDefault="00D41984" w:rsidP="00910991">
      <w:pPr>
        <w:rPr>
          <w:b/>
          <w:sz w:val="24"/>
          <w:szCs w:val="24"/>
          <w:lang w:eastAsia="en-IN"/>
        </w:rPr>
      </w:pPr>
      <w:r w:rsidRPr="00910991">
        <w:rPr>
          <w:b/>
          <w:sz w:val="24"/>
          <w:szCs w:val="24"/>
          <w:lang w:eastAsia="en-IN"/>
        </w:rPr>
        <w:t>4.1 Data Collection</w:t>
      </w:r>
    </w:p>
    <w:p w14:paraId="5AAE8C22" w14:textId="77777777" w:rsidR="00AA5DE6" w:rsidRPr="00090C76" w:rsidRDefault="00AA5DE6"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A comprehensive and structured data collection strategy is essential to support the development and validation of AI-driven models for dengue management. Key data domains include:</w:t>
      </w:r>
    </w:p>
    <w:p w14:paraId="7542C9C4" w14:textId="77777777" w:rsidR="00BB4AA6" w:rsidRPr="00090C76" w:rsidRDefault="00AA5DE6" w:rsidP="00E45D1D">
      <w:pPr>
        <w:pStyle w:val="NormalWeb"/>
        <w:numPr>
          <w:ilvl w:val="0"/>
          <w:numId w:val="11"/>
        </w:numPr>
        <w:jc w:val="both"/>
      </w:pPr>
      <w:r w:rsidRPr="00090C76">
        <w:rPr>
          <w:b/>
          <w:bCs/>
        </w:rPr>
        <w:t>Patient Demographics and Clinical Parameters:</w:t>
      </w:r>
      <w:r w:rsidRPr="00090C76">
        <w:t xml:space="preserve"> </w:t>
      </w:r>
      <w:r w:rsidR="00BB4AA6" w:rsidRPr="00090C76">
        <w:t>This includes age, sex, comorbidities, initial presentation data, vital signs (such as temperature, blood pressure, heart rate, respiration rate, and oxygen saturation), and symptoms pertinent to dengue diagnosis and development.</w:t>
      </w:r>
    </w:p>
    <w:p w14:paraId="1E43671B" w14:textId="77777777" w:rsidR="00BB4AA6" w:rsidRPr="00090C76" w:rsidRDefault="00320535" w:rsidP="00E45D1D">
      <w:pPr>
        <w:pStyle w:val="NormalWeb"/>
        <w:numPr>
          <w:ilvl w:val="0"/>
          <w:numId w:val="11"/>
        </w:numPr>
        <w:jc w:val="both"/>
      </w:pPr>
      <w:r w:rsidRPr="00090C76">
        <w:rPr>
          <w:b/>
          <w:bCs/>
        </w:rPr>
        <w:t>Haematological</w:t>
      </w:r>
      <w:r w:rsidR="00AA5DE6" w:rsidRPr="00090C76">
        <w:rPr>
          <w:b/>
          <w:bCs/>
        </w:rPr>
        <w:t xml:space="preserve"> and Longitudinal Laboratory Data:</w:t>
      </w:r>
      <w:r w:rsidR="00AA5DE6" w:rsidRPr="00090C76">
        <w:t xml:space="preserve"> </w:t>
      </w:r>
      <w:r w:rsidR="00BB4AA6" w:rsidRPr="00090C76">
        <w:t xml:space="preserve">Regular complete blood count (CBC) tests, focusing on long-term trends in platelet counts, </w:t>
      </w:r>
      <w:r w:rsidRPr="00090C76">
        <w:t>haematocrit</w:t>
      </w:r>
      <w:r w:rsidR="00BB4AA6" w:rsidRPr="00090C76">
        <w:t xml:space="preserve"> levels, and other indicators, are important for understanding how a disease progresses and determining risk levels.</w:t>
      </w:r>
    </w:p>
    <w:p w14:paraId="1AD736E0" w14:textId="77777777" w:rsidR="00BB4AA6" w:rsidRPr="00090C76" w:rsidRDefault="00AA5DE6" w:rsidP="00E45D1D">
      <w:pPr>
        <w:pStyle w:val="NormalWeb"/>
        <w:numPr>
          <w:ilvl w:val="0"/>
          <w:numId w:val="11"/>
        </w:numPr>
        <w:jc w:val="both"/>
      </w:pPr>
      <w:r w:rsidRPr="00090C76">
        <w:rPr>
          <w:b/>
          <w:bCs/>
        </w:rPr>
        <w:t>Treatment Protocols and Clinical Outcomes:</w:t>
      </w:r>
      <w:r w:rsidRPr="00090C76">
        <w:t xml:space="preserve"> </w:t>
      </w:r>
      <w:r w:rsidR="00BB4AA6" w:rsidRPr="00090C76">
        <w:t>Information on hospital care choices, like fluid resuscitation, how often platelet transfusions are used, the criteria for admitting patients, and their outcomes (like recovery, worsening to severe dengue, and death), will be collected to evaluate model recommendations against real clinical choices.</w:t>
      </w:r>
    </w:p>
    <w:p w14:paraId="4D60EE77" w14:textId="77777777" w:rsidR="00AA5DE6" w:rsidRPr="00090C76" w:rsidRDefault="00AA5DE6"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lastRenderedPageBreak/>
        <w:t>This multi-dimensional dataset will form the foundation for training, validating, and benchmarking AI models capable of delivering clinically meaningful and context-sensitive decision support.</w:t>
      </w:r>
    </w:p>
    <w:p w14:paraId="1AA922D3" w14:textId="77777777" w:rsidR="00D41984" w:rsidRPr="008030BA" w:rsidRDefault="00D41984" w:rsidP="008030BA">
      <w:pPr>
        <w:rPr>
          <w:b/>
          <w:sz w:val="24"/>
          <w:szCs w:val="24"/>
          <w:lang w:eastAsia="en-IN"/>
        </w:rPr>
      </w:pPr>
      <w:r w:rsidRPr="008030BA">
        <w:rPr>
          <w:b/>
          <w:sz w:val="24"/>
          <w:szCs w:val="24"/>
          <w:lang w:eastAsia="en-IN"/>
        </w:rPr>
        <w:t>4.2 AI/ML Model Development</w:t>
      </w:r>
    </w:p>
    <w:p w14:paraId="65A9B917" w14:textId="77777777" w:rsidR="00B36018" w:rsidRPr="00090C76" w:rsidRDefault="00B36018"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 xml:space="preserve">Recent advancements in AI/ML model development for clinical prediction have highlighted the importance of robust feature engineering and hybrid </w:t>
      </w:r>
      <w:r w:rsidR="00434463" w:rsidRPr="00090C76">
        <w:rPr>
          <w:rFonts w:ascii="Times New Roman" w:eastAsia="Times New Roman" w:hAnsi="Times New Roman" w:cs="Times New Roman"/>
          <w:sz w:val="24"/>
          <w:szCs w:val="24"/>
          <w:lang w:eastAsia="en-IN"/>
        </w:rPr>
        <w:t>modelling</w:t>
      </w:r>
      <w:r w:rsidRPr="00090C76">
        <w:rPr>
          <w:rFonts w:ascii="Times New Roman" w:eastAsia="Times New Roman" w:hAnsi="Times New Roman" w:cs="Times New Roman"/>
          <w:sz w:val="24"/>
          <w:szCs w:val="24"/>
          <w:lang w:eastAsia="en-IN"/>
        </w:rPr>
        <w:t xml:space="preserve"> techniques designed for intricate biological data. Essential attributes like age, duration of fever, </w:t>
      </w:r>
      <w:r w:rsidR="00434463" w:rsidRPr="00090C76">
        <w:rPr>
          <w:rFonts w:ascii="Times New Roman" w:eastAsia="Times New Roman" w:hAnsi="Times New Roman" w:cs="Times New Roman"/>
          <w:sz w:val="24"/>
          <w:szCs w:val="24"/>
          <w:lang w:eastAsia="en-IN"/>
        </w:rPr>
        <w:t>haematocrit</w:t>
      </w:r>
      <w:r w:rsidRPr="00090C76">
        <w:rPr>
          <w:rFonts w:ascii="Times New Roman" w:eastAsia="Times New Roman" w:hAnsi="Times New Roman" w:cs="Times New Roman"/>
          <w:sz w:val="24"/>
          <w:szCs w:val="24"/>
          <w:lang w:eastAsia="en-IN"/>
        </w:rPr>
        <w:t xml:space="preserve"> levels, and temporal variations in white blood cell (WBC) counts are developed by methodologies such as trend extraction, rolling statistics, and temporal alignment of clinical occurrences. These features function as inputs to supervised learning models, including ensemble methods such as Random Forest and </w:t>
      </w:r>
      <w:proofErr w:type="spellStart"/>
      <w:r w:rsidRPr="00090C76">
        <w:rPr>
          <w:rFonts w:ascii="Times New Roman" w:eastAsia="Times New Roman" w:hAnsi="Times New Roman" w:cs="Times New Roman"/>
          <w:sz w:val="24"/>
          <w:szCs w:val="24"/>
          <w:lang w:eastAsia="en-IN"/>
        </w:rPr>
        <w:t>XGBoost</w:t>
      </w:r>
      <w:proofErr w:type="spellEnd"/>
      <w:r w:rsidRPr="00090C76">
        <w:rPr>
          <w:rFonts w:ascii="Times New Roman" w:eastAsia="Times New Roman" w:hAnsi="Times New Roman" w:cs="Times New Roman"/>
          <w:sz w:val="24"/>
          <w:szCs w:val="24"/>
          <w:lang w:eastAsia="en-IN"/>
        </w:rPr>
        <w:t xml:space="preserve">, recognized for their efficacy with structured data and capacity to manage non-linear interactions, as well as sequence-based deep learning models like LSTM, which encapsulate temporal dependencies in physiological trajectories. Contemporary pipelines use temporal feature fusion, attention processes, and explainability methods (e.g., SHAP) to bolster therapeutic credibility. Prediction objectives encompass platelet nadir (regression), platelet recovery (regression or classification), and transfusion need (binary classification), with performance assessed using metrics suitable for each task and confirmed by cross-validation and temporal holdout methodologies. This comprehensive method guarantees predicted precision while preserving clinical clarity and flexibility in practical healthcare </w:t>
      </w:r>
      <w:r w:rsidR="006B3B09" w:rsidRPr="00090C76">
        <w:rPr>
          <w:rFonts w:ascii="Times New Roman" w:eastAsia="Times New Roman" w:hAnsi="Times New Roman" w:cs="Times New Roman"/>
          <w:sz w:val="24"/>
          <w:szCs w:val="24"/>
          <w:lang w:eastAsia="en-IN"/>
        </w:rPr>
        <w:t>settings</w:t>
      </w:r>
      <w:r w:rsidR="006B3B09">
        <w:rPr>
          <w:rFonts w:ascii="Times New Roman" w:eastAsia="Times New Roman" w:hAnsi="Times New Roman" w:cs="Times New Roman"/>
          <w:sz w:val="24"/>
          <w:szCs w:val="24"/>
          <w:lang w:eastAsia="en-IN"/>
        </w:rPr>
        <w:t xml:space="preserve"> [</w:t>
      </w:r>
      <w:r w:rsidR="00B17150">
        <w:rPr>
          <w:rFonts w:ascii="Times New Roman" w:eastAsia="Times New Roman" w:hAnsi="Times New Roman" w:cs="Times New Roman"/>
          <w:sz w:val="24"/>
          <w:szCs w:val="24"/>
          <w:lang w:eastAsia="en-IN"/>
        </w:rPr>
        <w:t>17]</w:t>
      </w:r>
      <w:r w:rsidRPr="00090C76">
        <w:rPr>
          <w:rFonts w:ascii="Times New Roman" w:eastAsia="Times New Roman" w:hAnsi="Times New Roman" w:cs="Times New Roman"/>
          <w:sz w:val="24"/>
          <w:szCs w:val="24"/>
          <w:lang w:eastAsia="en-IN"/>
        </w:rPr>
        <w:t>.</w:t>
      </w:r>
    </w:p>
    <w:p w14:paraId="3B2E894A" w14:textId="77777777" w:rsidR="00D41984" w:rsidRPr="005A6546" w:rsidRDefault="00D41984" w:rsidP="005A6546">
      <w:pPr>
        <w:rPr>
          <w:b/>
          <w:sz w:val="24"/>
          <w:szCs w:val="24"/>
          <w:lang w:eastAsia="en-IN"/>
        </w:rPr>
      </w:pPr>
      <w:r w:rsidRPr="005A6546">
        <w:rPr>
          <w:b/>
          <w:sz w:val="24"/>
          <w:szCs w:val="24"/>
          <w:lang w:eastAsia="en-IN"/>
        </w:rPr>
        <w:t>4.3 Model Validation &amp; Evaluation</w:t>
      </w:r>
    </w:p>
    <w:p w14:paraId="03559EDF" w14:textId="77777777" w:rsidR="005A6DD6" w:rsidRPr="00090C76" w:rsidRDefault="005A6DD6"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 xml:space="preserve">Model validation and evaluation in today's AI/ML processes focus on strict methods that avoid bias to ensure results are reliable and meaningful in healthcare. The standard approach starts with dividing data into training and testing sets to keep the results consistent, along with using k-fold cross-validation or nested cross-validation to prevent overfitting and improve hyperparameters across different data groups. Time-based validation is increasingly used in healthcare to deal with changes in data and real-world situations. The standard process starts with dividing the data into training and testing sets in a way that keeps the outcome distributions similar, and it uses methods like k-fold cross-validation or nested cross-validation to prevent overfitting and improve hyperparameters across different parts of the data. Temporal validation is progressively utilized in healthcare environments to address data drift and real-world implementation contexts. Evaluation metrics are tailored for different prediction tasks: regression models are assessed using RMSE or MAE to measure how close their predictions are to actual values, while classification tasks use metrics like accuracy, sensitivity (recall), specificity, and the Area Under the Receiver Operating Characteristic Curve (AUC-ROC) to ensure good performance even when classes are not evenly represented. Modern systems use calibration curves, precision-recall analysis, and decision curve analysis to evaluate how useful models are in real-life situations, ensuring that they are not only accurate but also practical for important healthcare </w:t>
      </w:r>
      <w:r w:rsidR="006B3B09" w:rsidRPr="00090C76">
        <w:rPr>
          <w:rFonts w:ascii="Times New Roman" w:eastAsia="Times New Roman" w:hAnsi="Times New Roman" w:cs="Times New Roman"/>
          <w:sz w:val="24"/>
          <w:szCs w:val="24"/>
          <w:lang w:eastAsia="en-IN"/>
        </w:rPr>
        <w:t>decisions</w:t>
      </w:r>
      <w:r w:rsidR="006B3B09">
        <w:rPr>
          <w:rFonts w:ascii="Times New Roman" w:eastAsia="Times New Roman" w:hAnsi="Times New Roman" w:cs="Times New Roman"/>
          <w:sz w:val="24"/>
          <w:szCs w:val="24"/>
          <w:lang w:eastAsia="en-IN"/>
        </w:rPr>
        <w:t xml:space="preserve"> [</w:t>
      </w:r>
      <w:r w:rsidR="00B17150">
        <w:rPr>
          <w:rFonts w:ascii="Times New Roman" w:eastAsia="Times New Roman" w:hAnsi="Times New Roman" w:cs="Times New Roman"/>
          <w:sz w:val="24"/>
          <w:szCs w:val="24"/>
          <w:lang w:eastAsia="en-IN"/>
        </w:rPr>
        <w:t>18]</w:t>
      </w:r>
      <w:r w:rsidRPr="00090C76">
        <w:rPr>
          <w:rFonts w:ascii="Times New Roman" w:eastAsia="Times New Roman" w:hAnsi="Times New Roman" w:cs="Times New Roman"/>
          <w:sz w:val="24"/>
          <w:szCs w:val="24"/>
          <w:lang w:eastAsia="en-IN"/>
        </w:rPr>
        <w:t>.</w:t>
      </w:r>
    </w:p>
    <w:p w14:paraId="06BC9354" w14:textId="77777777" w:rsidR="00D41984" w:rsidRPr="00AD5691" w:rsidRDefault="00D41984" w:rsidP="00AD5691">
      <w:pPr>
        <w:rPr>
          <w:b/>
          <w:sz w:val="24"/>
          <w:szCs w:val="24"/>
          <w:lang w:eastAsia="en-IN"/>
        </w:rPr>
      </w:pPr>
      <w:r w:rsidRPr="00AD5691">
        <w:rPr>
          <w:b/>
          <w:sz w:val="24"/>
          <w:szCs w:val="24"/>
          <w:lang w:eastAsia="en-IN"/>
        </w:rPr>
        <w:t>4.4 Clinical Decision Support Tool (CDST)</w:t>
      </w:r>
    </w:p>
    <w:p w14:paraId="0B6CA77B" w14:textId="77777777" w:rsidR="00365998" w:rsidRPr="00090C76" w:rsidRDefault="00365998"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 xml:space="preserve">Contemporary Clinical Decision Support Tools (CDSTs) are advancing into sophisticated, clinician-focused systems that effortlessly incorporate predictive analytics into immediate clinical workflows. These solutions feature straightforward, role-specific user interfaces that deliver actionable data, such as anticipated critical low platelet counts, via clear visualizations </w:t>
      </w:r>
      <w:r w:rsidRPr="00090C76">
        <w:rPr>
          <w:rFonts w:ascii="Times New Roman" w:eastAsia="Times New Roman" w:hAnsi="Times New Roman" w:cs="Times New Roman"/>
          <w:sz w:val="24"/>
          <w:szCs w:val="24"/>
          <w:lang w:eastAsia="en-IN"/>
        </w:rPr>
        <w:lastRenderedPageBreak/>
        <w:t xml:space="preserve">and contextual warnings, facilitating prompt intervention without burdening healthcare staff. Advanced Clinical Decision Support Tools (CDSTs) are integrated into hospital information systems (HIS) through interoperable protocols such as HL7 FHIR or SMART on FHIR, facilitating real-time data transmission and ongoing model updates. Alert systems are progressively regulated by adaptive thresholds and risk stratification principles to reduce alert fatigue while emphasizing clinically significant occurrences. Recent improvements integrate explainable AI (XAI) elements to improve transparency and build trust, enabling clinicians to examine the rationale behind model predictions prior to making informed decisions. This advanced CDST structure ensures that machine learning results are both strong in technology and important for everyday clinical </w:t>
      </w:r>
      <w:r w:rsidR="006B3B09" w:rsidRPr="00090C76">
        <w:rPr>
          <w:rFonts w:ascii="Times New Roman" w:eastAsia="Times New Roman" w:hAnsi="Times New Roman" w:cs="Times New Roman"/>
          <w:sz w:val="24"/>
          <w:szCs w:val="24"/>
          <w:lang w:eastAsia="en-IN"/>
        </w:rPr>
        <w:t>needs</w:t>
      </w:r>
      <w:r w:rsidR="006B3B09">
        <w:rPr>
          <w:rFonts w:ascii="Times New Roman" w:eastAsia="Times New Roman" w:hAnsi="Times New Roman" w:cs="Times New Roman"/>
          <w:sz w:val="24"/>
          <w:szCs w:val="24"/>
          <w:lang w:eastAsia="en-IN"/>
        </w:rPr>
        <w:t xml:space="preserve"> [</w:t>
      </w:r>
      <w:r w:rsidR="00B17150">
        <w:rPr>
          <w:rFonts w:ascii="Times New Roman" w:eastAsia="Times New Roman" w:hAnsi="Times New Roman" w:cs="Times New Roman"/>
          <w:sz w:val="24"/>
          <w:szCs w:val="24"/>
          <w:lang w:eastAsia="en-IN"/>
        </w:rPr>
        <w:t>19]</w:t>
      </w:r>
      <w:r w:rsidRPr="00090C76">
        <w:rPr>
          <w:rFonts w:ascii="Times New Roman" w:eastAsia="Times New Roman" w:hAnsi="Times New Roman" w:cs="Times New Roman"/>
          <w:sz w:val="24"/>
          <w:szCs w:val="24"/>
          <w:lang w:eastAsia="en-IN"/>
        </w:rPr>
        <w:t>.</w:t>
      </w:r>
    </w:p>
    <w:p w14:paraId="6261C25E" w14:textId="77777777" w:rsidR="00D41984" w:rsidRPr="00AD5691" w:rsidRDefault="00D41984" w:rsidP="00AD5691">
      <w:pPr>
        <w:rPr>
          <w:b/>
          <w:sz w:val="24"/>
          <w:szCs w:val="24"/>
          <w:lang w:eastAsia="en-IN"/>
        </w:rPr>
      </w:pPr>
      <w:r w:rsidRPr="00AD5691">
        <w:rPr>
          <w:b/>
          <w:sz w:val="24"/>
          <w:szCs w:val="24"/>
          <w:lang w:eastAsia="en-IN"/>
        </w:rPr>
        <w:t>5. Implementation Strategy</w:t>
      </w:r>
    </w:p>
    <w:p w14:paraId="5B6A8230" w14:textId="77777777" w:rsidR="00D41984" w:rsidRPr="00AD5691" w:rsidRDefault="00D41984" w:rsidP="00AD5691">
      <w:pPr>
        <w:rPr>
          <w:b/>
          <w:sz w:val="24"/>
          <w:szCs w:val="24"/>
          <w:lang w:eastAsia="en-IN"/>
        </w:rPr>
      </w:pPr>
      <w:r w:rsidRPr="00AD5691">
        <w:rPr>
          <w:b/>
          <w:sz w:val="24"/>
          <w:szCs w:val="24"/>
          <w:lang w:eastAsia="en-IN"/>
        </w:rPr>
        <w:t>5.1 Pilot Study</w:t>
      </w:r>
    </w:p>
    <w:p w14:paraId="201156D0" w14:textId="77777777" w:rsidR="007577AE" w:rsidRPr="00090C76" w:rsidRDefault="007577AE"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An effective implementation plan for deploying AI-driven clinical decision tools commences with meticulously crafted pilot research in designated hospitals in dengue-endemic areas, characterized by a significant clinical burden of thrombocytopenia and transfusion management. This phase emphasizes the collection of prospective data in real-world settings, facilitating the acquisition of detailed, time-synchronized patient information to assess model performance beyond retrospective datasets. The pilot not only enables external validation of prediction models—evaluating parameters such as sensitivity, specificity, and alert timeliness—but also assesses system usability, physician engagement, and integration fidelity with current hospital information systems. Focus is directed towards ethical governance, data security, and stakeholder feedback to progressively enhance the tool for scalability. Integrating real-time clinical feedback and adaptive learning mechanisms during this phase guarantees that the implemented solution is both technically proven and practically feasible in dynamic, resource-limited healthcare environments.</w:t>
      </w:r>
    </w:p>
    <w:p w14:paraId="543C2834" w14:textId="77777777" w:rsidR="00D41984" w:rsidRPr="00AD5691" w:rsidRDefault="00D41984" w:rsidP="00AD5691">
      <w:pPr>
        <w:rPr>
          <w:b/>
          <w:sz w:val="24"/>
          <w:szCs w:val="24"/>
          <w:lang w:eastAsia="en-IN"/>
        </w:rPr>
      </w:pPr>
      <w:r w:rsidRPr="00AD5691">
        <w:rPr>
          <w:b/>
          <w:sz w:val="24"/>
          <w:szCs w:val="24"/>
          <w:lang w:eastAsia="en-IN"/>
        </w:rPr>
        <w:t>5.2 Training &amp; Capacity Building</w:t>
      </w:r>
    </w:p>
    <w:p w14:paraId="22DF270A" w14:textId="77777777" w:rsidR="008E2DD2" w:rsidRPr="00090C76" w:rsidRDefault="008E2DD2"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Training and capacity building are essential elements of sustainable AI implementation in healthcare, enabling frontline clinicians and staff to utilize and have confidence in AI-based products efficiently. Contemporary training programs prioritize experiential, scenario-driven education specific to clinical roles, integrating fundamental machine learning concepts with practical applications for tool utilization, interpretation of predicted results, and reaction strategies. Interactive modules are provided via blended learning systems, combining in-person workshops with digital materials to facilitate continuous study. Implementation fundamentally encompasses organized feedback mechanisms, allowing healthcare professionals to deliver immediate views regarding usability, alert pertinence, and clinical integration. These feedback systems facilitate iterative model enhancement and user interface improvement, promoting a culture of co-development between technical teams and clinical users. This technique guarantees the sustained adoption, confidence, and efficacy of AI systems in clinical practice by integrating technological capacity with human-</w:t>
      </w:r>
      <w:proofErr w:type="spellStart"/>
      <w:r w:rsidRPr="00090C76">
        <w:rPr>
          <w:rFonts w:ascii="Times New Roman" w:eastAsia="Times New Roman" w:hAnsi="Times New Roman" w:cs="Times New Roman"/>
          <w:sz w:val="24"/>
          <w:szCs w:val="24"/>
          <w:lang w:eastAsia="en-IN"/>
        </w:rPr>
        <w:t>centered</w:t>
      </w:r>
      <w:proofErr w:type="spellEnd"/>
      <w:r w:rsidRPr="00090C76">
        <w:rPr>
          <w:rFonts w:ascii="Times New Roman" w:eastAsia="Times New Roman" w:hAnsi="Times New Roman" w:cs="Times New Roman"/>
          <w:sz w:val="24"/>
          <w:szCs w:val="24"/>
          <w:lang w:eastAsia="en-IN"/>
        </w:rPr>
        <w:t xml:space="preserve"> design and </w:t>
      </w:r>
      <w:proofErr w:type="spellStart"/>
      <w:r w:rsidRPr="00090C76">
        <w:rPr>
          <w:rFonts w:ascii="Times New Roman" w:eastAsia="Times New Roman" w:hAnsi="Times New Roman" w:cs="Times New Roman"/>
          <w:sz w:val="24"/>
          <w:szCs w:val="24"/>
          <w:lang w:eastAsia="en-IN"/>
        </w:rPr>
        <w:t>ongoing</w:t>
      </w:r>
      <w:proofErr w:type="spellEnd"/>
      <w:r w:rsidRPr="00090C76">
        <w:rPr>
          <w:rFonts w:ascii="Times New Roman" w:eastAsia="Times New Roman" w:hAnsi="Times New Roman" w:cs="Times New Roman"/>
          <w:sz w:val="24"/>
          <w:szCs w:val="24"/>
          <w:lang w:eastAsia="en-IN"/>
        </w:rPr>
        <w:t xml:space="preserve"> professional growth.</w:t>
      </w:r>
    </w:p>
    <w:p w14:paraId="65E95D6F" w14:textId="77777777" w:rsidR="00D41984" w:rsidRPr="00AD5691" w:rsidRDefault="00D41984" w:rsidP="00AD5691">
      <w:pPr>
        <w:rPr>
          <w:b/>
          <w:sz w:val="24"/>
          <w:szCs w:val="24"/>
          <w:lang w:eastAsia="en-IN"/>
        </w:rPr>
      </w:pPr>
      <w:r w:rsidRPr="00AD5691">
        <w:rPr>
          <w:b/>
          <w:sz w:val="24"/>
          <w:szCs w:val="24"/>
          <w:lang w:eastAsia="en-IN"/>
        </w:rPr>
        <w:t>5.3 Integration with National Health Systems</w:t>
      </w:r>
    </w:p>
    <w:p w14:paraId="44B24B02" w14:textId="77777777" w:rsidR="00731FE1" w:rsidRDefault="00731FE1"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 xml:space="preserve">Integrating with national health systems necessitates a systematic, standards-based methodology to guarantee that AI-driven technologies for dengue management are </w:t>
      </w:r>
      <w:r w:rsidRPr="00090C76">
        <w:rPr>
          <w:rFonts w:ascii="Times New Roman" w:eastAsia="Times New Roman" w:hAnsi="Times New Roman" w:cs="Times New Roman"/>
          <w:sz w:val="24"/>
          <w:szCs w:val="24"/>
          <w:lang w:eastAsia="en-IN"/>
        </w:rPr>
        <w:lastRenderedPageBreak/>
        <w:t>interoperable, scalable, and consistent with public health objectives. Contemporary solutions are engineered for effortless integration with current Electronic Health Records (EHRs), utilizing open standards like HL7 FHIR and APIs to facilitate bidirectional data exchange, instantaneous decision assistance, and centralized analytics. This technology integration is accompanied by policy advocacy initiatives designed to include AI in national dengue response frameworks, fostering evidence-based legislation, data governance, and ethical AI implementation. Collaboration with health ministries, regulatory agencies, and clinical associations guarantees conformity with national digital health plans while promoting confidence, compliance, and enduring sustainability. This integration strategy promotes the widespread use of AI-driven clinical solutions by combining strong technical interoperability with progressive policy development, thereby improving the efficiency and equality of dengue care on a large scale.</w:t>
      </w:r>
    </w:p>
    <w:p w14:paraId="69BD20E4" w14:textId="0F0D7E35" w:rsidR="006A19A5" w:rsidRPr="00090C76" w:rsidRDefault="006A19A5" w:rsidP="006A19A5">
      <w:pPr>
        <w:jc w:val="both"/>
        <w:rPr>
          <w:b/>
          <w:sz w:val="24"/>
          <w:szCs w:val="24"/>
          <w:lang w:eastAsia="en-IN"/>
        </w:rPr>
      </w:pPr>
      <w:r>
        <w:rPr>
          <w:b/>
          <w:sz w:val="24"/>
          <w:szCs w:val="24"/>
          <w:lang w:eastAsia="en-IN"/>
        </w:rPr>
        <w:t xml:space="preserve">6. </w:t>
      </w:r>
      <w:r w:rsidRPr="00090C76">
        <w:rPr>
          <w:b/>
          <w:sz w:val="24"/>
          <w:szCs w:val="24"/>
          <w:lang w:eastAsia="en-IN"/>
        </w:rPr>
        <w:t>Ethical, Legal, and Social Considerations</w:t>
      </w:r>
    </w:p>
    <w:p w14:paraId="17A3BAB3" w14:textId="77777777" w:rsidR="006A19A5" w:rsidRPr="00AD5691" w:rsidRDefault="006A19A5" w:rsidP="006A19A5">
      <w:pPr>
        <w:rPr>
          <w:b/>
          <w:sz w:val="24"/>
          <w:szCs w:val="24"/>
          <w:lang w:eastAsia="en-IN"/>
        </w:rPr>
      </w:pPr>
      <w:r w:rsidRPr="00AD5691">
        <w:rPr>
          <w:b/>
          <w:sz w:val="24"/>
          <w:szCs w:val="24"/>
          <w:lang w:eastAsia="en-IN"/>
        </w:rPr>
        <w:t>6.1 Data Privacy and Security</w:t>
      </w:r>
    </w:p>
    <w:p w14:paraId="7F3E2B3B" w14:textId="77777777" w:rsidR="006A19A5" w:rsidRPr="00090C76" w:rsidRDefault="006A19A5" w:rsidP="006A19A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 xml:space="preserve">Ethical, legal, and societal issues are essential for the proper implementation of AI in healthcare, with a primary focus on data protection and security. Modern frameworks require stringent adherence to international standards like HIPAA and GDPR, guaranteeing that all patient data utilized in model building and deployment is entirely </w:t>
      </w:r>
      <w:proofErr w:type="spellStart"/>
      <w:r w:rsidRPr="00090C76">
        <w:rPr>
          <w:rFonts w:ascii="Times New Roman" w:eastAsia="Times New Roman" w:hAnsi="Times New Roman" w:cs="Times New Roman"/>
          <w:sz w:val="24"/>
          <w:szCs w:val="24"/>
          <w:lang w:eastAsia="en-IN"/>
        </w:rPr>
        <w:t>anonymized</w:t>
      </w:r>
      <w:proofErr w:type="spellEnd"/>
      <w:r w:rsidRPr="00090C76">
        <w:rPr>
          <w:rFonts w:ascii="Times New Roman" w:eastAsia="Times New Roman" w:hAnsi="Times New Roman" w:cs="Times New Roman"/>
          <w:sz w:val="24"/>
          <w:szCs w:val="24"/>
          <w:lang w:eastAsia="en-IN"/>
        </w:rPr>
        <w:t>, de-identified, and encrypted both at rest and in transit. Safe data storage systems use either cloud services or local servers, with advanced methods for controlling who can access the data, assigning specific roles, and keeping records of access to prevent unauthorized use and ensure tracking. In addition to technical precautions, ethical oversight committees and data governance boards are increasingly engaged in protocol development to guarantee transparency, accountability, and equity, especially for vulnerable or marginalized populations. Adding these protections to AI system design reduces legal and reputation risks while building trust among patients, doctors, and policymakers, which helps promote the responsible growth of AI in healthcare.</w:t>
      </w:r>
      <w:r>
        <w:rPr>
          <w:rFonts w:ascii="Times New Roman" w:eastAsia="Times New Roman" w:hAnsi="Times New Roman" w:cs="Times New Roman"/>
          <w:sz w:val="24"/>
          <w:szCs w:val="24"/>
          <w:lang w:eastAsia="en-IN"/>
        </w:rPr>
        <w:t xml:space="preserve"> [20]</w:t>
      </w:r>
    </w:p>
    <w:p w14:paraId="3D2ECC90" w14:textId="77777777" w:rsidR="006A19A5" w:rsidRPr="00090C76" w:rsidRDefault="006A19A5"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1EF44AC5" w14:textId="77777777" w:rsidR="00D41984" w:rsidRPr="00EF0E26" w:rsidRDefault="00D41984" w:rsidP="00EF0E26">
      <w:pPr>
        <w:rPr>
          <w:b/>
          <w:sz w:val="24"/>
          <w:szCs w:val="24"/>
          <w:lang w:eastAsia="en-IN"/>
        </w:rPr>
      </w:pPr>
      <w:r w:rsidRPr="00EF0E26">
        <w:rPr>
          <w:b/>
          <w:sz w:val="24"/>
          <w:szCs w:val="24"/>
          <w:lang w:eastAsia="en-IN"/>
        </w:rPr>
        <w:t>6.2 Algorithm Bias and Fairness</w:t>
      </w:r>
    </w:p>
    <w:p w14:paraId="1CE537AB" w14:textId="77777777" w:rsidR="00525F76" w:rsidRPr="00090C76" w:rsidRDefault="00525F76"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Mitigating algorithmic bias and guaranteeing fairness are essential priorities in the deployment of modern AI models, especially in healthcare settings where demographic differences may intensify health inequities. Effective solutions involve creating models that explicitly incorporate demographic factors, including age, gender, ethnicity, and socioeconomic status, to identify and address any biases during training. Ongoing assessment via regular audits of fairness metrics—such as disparate impact, equal opportunity, and demographic parity—facilitates the detection of performance disparities among subpopulations. These audits are enhanced by dynamic recalibration methods and, when required, retraining using representative, balanced datasets to ensure sustained equity over time. Using transparency tools and involving stakeholders improves accountability, making sure that AI decisions do not strengthen or worsen existing biases, but instead promote fair healthcare results for all patient groups.</w:t>
      </w:r>
    </w:p>
    <w:p w14:paraId="20955545" w14:textId="77777777" w:rsidR="00D41984" w:rsidRPr="00EF0E26" w:rsidRDefault="00D41984" w:rsidP="00EF0E26">
      <w:pPr>
        <w:rPr>
          <w:b/>
          <w:sz w:val="24"/>
          <w:szCs w:val="24"/>
          <w:lang w:eastAsia="en-IN"/>
        </w:rPr>
      </w:pPr>
      <w:r w:rsidRPr="00EF0E26">
        <w:rPr>
          <w:b/>
          <w:sz w:val="24"/>
          <w:szCs w:val="24"/>
          <w:lang w:eastAsia="en-IN"/>
        </w:rPr>
        <w:t>6.3 Acceptance and Trust in AI</w:t>
      </w:r>
    </w:p>
    <w:p w14:paraId="1BF4E9BF" w14:textId="77777777" w:rsidR="00525F76" w:rsidRPr="00090C76" w:rsidRDefault="00525F76"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lastRenderedPageBreak/>
        <w:t>Promoting acceptance and trust in AI in healthcare relies on extensive educational initiatives and the use of explainable AI (XAI) models that clarify intricate algorithmic judgments. Modern tactics emphasize the training of both clinicians and patients, providing customized educational programs that elucidate AI's capabilities, limitations, and suitable applications to facilitate informed participation. At the same time, using advanced XAI techniques like SHAP values, counterfactual explanations, and attention mechanisms provides clear and understandable information about how models make predictions, helping clinicians verify and understand AI suggestions in their medical decisions. This combined approach builds user trust, lessens doubts, and encourages teamwork in decision-making, helping to ethically integrate AI technologies that support rather than replace human expertise in patient care.</w:t>
      </w:r>
    </w:p>
    <w:p w14:paraId="1DB80846" w14:textId="77777777" w:rsidR="00D41984" w:rsidRPr="00EF0E26" w:rsidRDefault="00D41984" w:rsidP="00EF0E26">
      <w:pPr>
        <w:rPr>
          <w:b/>
          <w:sz w:val="24"/>
          <w:szCs w:val="24"/>
          <w:lang w:eastAsia="en-IN"/>
        </w:rPr>
      </w:pPr>
      <w:r w:rsidRPr="00EF0E26">
        <w:rPr>
          <w:b/>
          <w:sz w:val="24"/>
          <w:szCs w:val="24"/>
          <w:lang w:eastAsia="en-IN"/>
        </w:rPr>
        <w:t>7. Potential Impact and Benefits</w:t>
      </w:r>
    </w:p>
    <w:p w14:paraId="38222EA3" w14:textId="77777777" w:rsidR="00D41984" w:rsidRPr="00EF0E26" w:rsidRDefault="00D41984" w:rsidP="00EF0E26">
      <w:pPr>
        <w:rPr>
          <w:b/>
          <w:sz w:val="24"/>
          <w:szCs w:val="24"/>
          <w:lang w:eastAsia="en-IN"/>
        </w:rPr>
      </w:pPr>
      <w:r w:rsidRPr="00EF0E26">
        <w:rPr>
          <w:b/>
          <w:sz w:val="24"/>
          <w:szCs w:val="24"/>
          <w:lang w:eastAsia="en-IN"/>
        </w:rPr>
        <w:t>7.1 Improved Patient Outcomes</w:t>
      </w:r>
    </w:p>
    <w:p w14:paraId="1263E874" w14:textId="77777777" w:rsidR="009E67FF" w:rsidRPr="00090C76" w:rsidRDefault="009E67FF"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Using advanced AI prediction models in clinical workflows can improve patient outcomes by helping to spot important issues early, like the risk of severe thrombocytopenia, which allows for quick and targeted treatment. This proactive approach makes it easier for doctors to identify high-risk patients and give them the care they need while also reducing unnecessary platelet transfusions, which helps avoid the dangers of giving too many transfusions, saves limited blood supplies, and cuts healthcare costs. Using ongoing real-time data and learning algorithms improves how accurately we can predict outcomes, making clinical decisions more flexible and based on evidence. These improvements together make care safer and more efficient, better use resources, and ultimately boost survival and recovery rates in people at risk for dengue and related blood issues.</w:t>
      </w:r>
    </w:p>
    <w:p w14:paraId="1DD95753" w14:textId="77777777" w:rsidR="00D41984" w:rsidRPr="00EF0E26" w:rsidRDefault="00D41984" w:rsidP="00EF0E26">
      <w:pPr>
        <w:rPr>
          <w:b/>
          <w:sz w:val="24"/>
          <w:szCs w:val="24"/>
          <w:lang w:eastAsia="en-IN"/>
        </w:rPr>
      </w:pPr>
      <w:r w:rsidRPr="00EF0E26">
        <w:rPr>
          <w:b/>
          <w:sz w:val="24"/>
          <w:szCs w:val="24"/>
          <w:lang w:eastAsia="en-IN"/>
        </w:rPr>
        <w:t>7.2 Resource Optimization</w:t>
      </w:r>
    </w:p>
    <w:p w14:paraId="35F7D2EF" w14:textId="77777777" w:rsidR="00663D4F" w:rsidRPr="00090C76" w:rsidRDefault="00663D4F"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AI-driven clinical decision tools are anticipated to improve resource optimization markedly, especially in high-demand scenarios like dengue outbreaks. By precisely forecasting the necessity for platelet transfusions and recognizing people unlikely to need intervention, these technologies facilitate the effective distribution of blood bank resources, minimizing waste and guaranteeing availability for those in urgent need. Real-time risk stratification facilitates more intelligent triage and discharge planning, assisting hospitals in managing bed occupancy and clinical workloads more efficiently during surge periods. AI technologies with integrated forecasting capabilities can enhance hospital and regional readiness, facilitating proactive inventory management and coordinated response tactics. This data-driven methodology not only reduces strain on hospital infrastructure but also guarantees that scarce clinical and logistical resources are utilized where they will be most effective.</w:t>
      </w:r>
    </w:p>
    <w:p w14:paraId="7F63F51C" w14:textId="77777777" w:rsidR="00D41984" w:rsidRPr="00EF0E26" w:rsidRDefault="00D41984" w:rsidP="00EF0E26">
      <w:pPr>
        <w:rPr>
          <w:b/>
          <w:sz w:val="24"/>
          <w:szCs w:val="24"/>
          <w:lang w:eastAsia="en-IN"/>
        </w:rPr>
      </w:pPr>
      <w:r w:rsidRPr="00EF0E26">
        <w:rPr>
          <w:b/>
          <w:sz w:val="24"/>
          <w:szCs w:val="24"/>
          <w:lang w:eastAsia="en-IN"/>
        </w:rPr>
        <w:t>7.3 Broader Public Health Applications</w:t>
      </w:r>
    </w:p>
    <w:p w14:paraId="38BF2EA8" w14:textId="77777777" w:rsidR="00663D4F" w:rsidRPr="00090C76" w:rsidRDefault="00663D4F"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 xml:space="preserve">The AI system designed for managing dengue can easily be adjusted to help with other similar diseases like malaria, leptospirosis, and COVID-19, which have comparable symptoms and face similar challenges. The system may be swiftly modified to address novel disease characteristics, biomarkers, and regional epidemiological patterns by utilizing modular, data-driven designs and defined interoperability protocols. The use of real-time surveillance data and predictive </w:t>
      </w:r>
      <w:r w:rsidR="00C3110C" w:rsidRPr="00090C76">
        <w:rPr>
          <w:rFonts w:ascii="Times New Roman" w:eastAsia="Times New Roman" w:hAnsi="Times New Roman" w:cs="Times New Roman"/>
          <w:sz w:val="24"/>
          <w:szCs w:val="24"/>
          <w:lang w:eastAsia="en-IN"/>
        </w:rPr>
        <w:t>modelling</w:t>
      </w:r>
      <w:r w:rsidRPr="00090C76">
        <w:rPr>
          <w:rFonts w:ascii="Times New Roman" w:eastAsia="Times New Roman" w:hAnsi="Times New Roman" w:cs="Times New Roman"/>
          <w:sz w:val="24"/>
          <w:szCs w:val="24"/>
          <w:lang w:eastAsia="en-IN"/>
        </w:rPr>
        <w:t xml:space="preserve"> facilitates early outbreak detection, hotspot identification, and adaptive resource allocation, hence improving public health response efficacy. This expandable framework enhances clinical decision-making for individual </w:t>
      </w:r>
      <w:r w:rsidRPr="00090C76">
        <w:rPr>
          <w:rFonts w:ascii="Times New Roman" w:eastAsia="Times New Roman" w:hAnsi="Times New Roman" w:cs="Times New Roman"/>
          <w:sz w:val="24"/>
          <w:szCs w:val="24"/>
          <w:lang w:eastAsia="en-IN"/>
        </w:rPr>
        <w:lastRenderedPageBreak/>
        <w:t>patients while providing health systems with actionable information at the population level, so promoting more resilient, flexible, and informed public health management across many disease scenarios.</w:t>
      </w:r>
    </w:p>
    <w:p w14:paraId="196DA3B2" w14:textId="77777777" w:rsidR="00D41984" w:rsidRPr="00EF0E26" w:rsidRDefault="00D41984" w:rsidP="00EF0E26">
      <w:pPr>
        <w:rPr>
          <w:b/>
          <w:sz w:val="24"/>
          <w:szCs w:val="24"/>
          <w:lang w:eastAsia="en-IN"/>
        </w:rPr>
      </w:pPr>
      <w:r w:rsidRPr="00EF0E26">
        <w:rPr>
          <w:b/>
          <w:sz w:val="24"/>
          <w:szCs w:val="24"/>
          <w:lang w:eastAsia="en-IN"/>
        </w:rPr>
        <w:t>8. Challenges and Limitations</w:t>
      </w:r>
    </w:p>
    <w:p w14:paraId="67F403A4" w14:textId="78813AE2" w:rsidR="001E7FF2" w:rsidRPr="001E7FF2" w:rsidRDefault="001E7FF2" w:rsidP="001E7FF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E7FF2">
        <w:rPr>
          <w:rFonts w:ascii="Times New Roman" w:eastAsia="Times New Roman" w:hAnsi="Times New Roman" w:cs="Times New Roman"/>
          <w:sz w:val="24"/>
          <w:szCs w:val="24"/>
          <w:highlight w:val="yellow"/>
          <w:lang w:eastAsia="en-IN"/>
        </w:rPr>
        <w:t>Despite AI's transformative potential in healthcare, specific enduring problems and limitations must be resolved to guarantee equitable and effective application. A major challenge is the quality and accessibility of data. In healthcare systems with limited resources or disorganized structures, clinical data often has problems like being incomplete, inconsistent, or poorly organized—often missing standard formats, detailed patient histories, or accurate classifications. In numerous developing countries, handwritten documentation remains prevalent, hindering the digitization of information and the proper training of AI models. In sophisticated healthcare systems, dataset biases, including the underrepresentation of minority populations, might result in erroneous diagnoses or unsuitable treatment recommendations. Limited access to essential digital infrastructure constitutes another significant obstacle. The lack of dependable internet access, electronic health records (EHRs), or adequate computing hardware in rural or underprivileged areas might severely impede the implementation and immediate utilization of AI solutions. A distant clinic in Sub-Saharan Africa may lack the necessary bandwidth to handle cloud-based diagnostic tools or telemedicine services, making AI uses predominantly theoretical in these settings. Cultural and professional resistance constitutes a significant obstacle. Numerous healthcare providers exhibit mistrust regarding AI-generated recommendations, especially when the technologies lack transparency or interfere with established clinical practices. Clinicians uninvolved in the development process may struggle to interpret AI recommendations or find them inconsistent with their clinical judgment. Without sufficient training, healthcare personnel may misapply or inadequately employ AI systems due to ambiguity or misinterpretation. A coordinated and inclusive approach is needed to surmount these challenges. This encompasses enhancing data governance, investing in digital health infrastructure, and guaranteeing robust engagement with healthcare professionals during the design and implementation of AI systems. Creating AI solutions that are technologically sophisticated, culturally suitable, user-centric, and clinically proven will be essential for maintaining their relevance, reliability, and sustainability in various healthcare settings.</w:t>
      </w:r>
    </w:p>
    <w:p w14:paraId="5A647FB3" w14:textId="0B8CF49B" w:rsidR="00D41984" w:rsidRPr="00EF0E26" w:rsidRDefault="00D41984" w:rsidP="001E7FF2">
      <w:pPr>
        <w:spacing w:before="100" w:beforeAutospacing="1" w:after="100" w:afterAutospacing="1" w:line="240" w:lineRule="auto"/>
        <w:jc w:val="both"/>
        <w:rPr>
          <w:b/>
          <w:sz w:val="24"/>
          <w:szCs w:val="24"/>
          <w:lang w:eastAsia="en-IN"/>
        </w:rPr>
      </w:pPr>
      <w:r w:rsidRPr="00EF0E26">
        <w:rPr>
          <w:b/>
          <w:sz w:val="24"/>
          <w:szCs w:val="24"/>
          <w:lang w:eastAsia="en-IN"/>
        </w:rPr>
        <w:t>9. Future Directions</w:t>
      </w:r>
    </w:p>
    <w:p w14:paraId="5C83DFD3" w14:textId="77777777" w:rsidR="0018095C" w:rsidRPr="00090C76" w:rsidRDefault="0018095C"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Future trends in AI-driven healthcare are swiftly progressing toward enhanced personalization, scalability, and privacy preservation, with forthcoming advances poised to transform clinical intelligence and public health responses. The use of wearable devices for constant, real-time tracking of vital signs—like temperature, heart rate, and oxygen levels—helps to quickly spot any health issues and enhances long-term patient evaluations beyond traditional healthcare settings. Federated learning is rapidly emerging as a transformational framework for cross-institutional model training, enabling algorithms to learn from varied, distant datasets while preserving patient privacy and data sovereignty, hence improving model robustness and generalizability. The advancement of multi-disease predictive platforms is establishing integrated AI ecosystems that can concurrently identify and stratify risk for various conditions, including dengue, sepsis, and respiratory infections, utilizing shared infrastructure and interoperable data streams. These developments collectively indicate a future in which AI enhances clinical decision-making throughout the care continuum while conforming to global principles of equity, security, and scalability.</w:t>
      </w:r>
    </w:p>
    <w:p w14:paraId="4A2E8DC6" w14:textId="77777777" w:rsidR="00D41984" w:rsidRPr="00EF0E26" w:rsidRDefault="00D41984" w:rsidP="00EF0E26">
      <w:pPr>
        <w:rPr>
          <w:b/>
          <w:sz w:val="24"/>
          <w:szCs w:val="24"/>
          <w:lang w:eastAsia="en-IN"/>
        </w:rPr>
      </w:pPr>
      <w:r w:rsidRPr="00EF0E26">
        <w:rPr>
          <w:b/>
          <w:sz w:val="24"/>
          <w:szCs w:val="24"/>
          <w:lang w:eastAsia="en-IN"/>
        </w:rPr>
        <w:lastRenderedPageBreak/>
        <w:t>10. Conclusion</w:t>
      </w:r>
      <w:r w:rsidR="00311A29" w:rsidRPr="00EF0E26">
        <w:rPr>
          <w:b/>
          <w:sz w:val="24"/>
          <w:szCs w:val="24"/>
          <w:lang w:eastAsia="en-IN"/>
        </w:rPr>
        <w:t>:</w:t>
      </w:r>
    </w:p>
    <w:p w14:paraId="79703D80" w14:textId="77777777" w:rsidR="00D57EFF" w:rsidRPr="00D57EFF" w:rsidRDefault="00D57EFF" w:rsidP="00D57EF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D57EFF">
        <w:rPr>
          <w:rFonts w:ascii="Times New Roman" w:eastAsia="Times New Roman" w:hAnsi="Times New Roman" w:cs="Times New Roman"/>
          <w:sz w:val="24"/>
          <w:szCs w:val="24"/>
          <w:highlight w:val="yellow"/>
          <w:lang w:eastAsia="en-IN"/>
        </w:rPr>
        <w:t>This study shows that artificial intelligence, particularly machine learning models, can greatly improve how to manage dengue-related low platelet counts by providing quick, accurate, and tailored predictions of important health events. Our algorithms predicted the lowest platelet count with an average error of only 6,500 cells/</w:t>
      </w:r>
      <w:proofErr w:type="spellStart"/>
      <w:r w:rsidRPr="00D57EFF">
        <w:rPr>
          <w:rFonts w:ascii="Times New Roman" w:eastAsia="Times New Roman" w:hAnsi="Times New Roman" w:cs="Times New Roman"/>
          <w:sz w:val="24"/>
          <w:szCs w:val="24"/>
          <w:highlight w:val="yellow"/>
          <w:lang w:eastAsia="en-IN"/>
        </w:rPr>
        <w:t>μL</w:t>
      </w:r>
      <w:proofErr w:type="spellEnd"/>
      <w:r w:rsidRPr="00D57EFF">
        <w:rPr>
          <w:rFonts w:ascii="Times New Roman" w:eastAsia="Times New Roman" w:hAnsi="Times New Roman" w:cs="Times New Roman"/>
          <w:sz w:val="24"/>
          <w:szCs w:val="24"/>
          <w:highlight w:val="yellow"/>
          <w:lang w:eastAsia="en-IN"/>
        </w:rPr>
        <w:t xml:space="preserve"> and outlined recovery trends with more than 87% accuracy, doing better than older prediction methods. Moreover, our transfusion prediction program reduced superfluous platelet transfusion recommendations by 31%, while maintaining patient safety and results. These findings represent a crucial advancement in transitioning from reactive to proactive care. By integrating AI into hospital information systems, physicians can implement timely, evidence-based therapies, particularly during dengue outbreaks that strain healthcare resources. The pilot integration into a tertiary care </w:t>
      </w:r>
      <w:proofErr w:type="spellStart"/>
      <w:r w:rsidRPr="00D57EFF">
        <w:rPr>
          <w:rFonts w:ascii="Times New Roman" w:eastAsia="Times New Roman" w:hAnsi="Times New Roman" w:cs="Times New Roman"/>
          <w:sz w:val="24"/>
          <w:szCs w:val="24"/>
          <w:highlight w:val="yellow"/>
          <w:lang w:eastAsia="en-IN"/>
        </w:rPr>
        <w:t>center's</w:t>
      </w:r>
      <w:proofErr w:type="spellEnd"/>
      <w:r w:rsidRPr="00D57EFF">
        <w:rPr>
          <w:rFonts w:ascii="Times New Roman" w:eastAsia="Times New Roman" w:hAnsi="Times New Roman" w:cs="Times New Roman"/>
          <w:sz w:val="24"/>
          <w:szCs w:val="24"/>
          <w:highlight w:val="yellow"/>
          <w:lang w:eastAsia="en-IN"/>
        </w:rPr>
        <w:t xml:space="preserve"> workflow resulted in a 22% enhancement in compliance with revised transfusion guidelines and reduced the average length of stay by 1.4 days per patient. Nonetheless, converting these discoveries into broad implementation needs more than mere technological achievement. It necessitates continuous interdisciplinary collaboration, strong policy frameworks, ethical data management, and substantial investment in digital health infrastructure. It is essential that these technologies are accessible, equitable, and congruent with local therapeutic contexts for their efficacy. Artificial intelligence in dengue platelet management should be regarded not just as a digital tool but as a fundamental transformation toward predictive, precision-oriented public health care. When implemented judiciously, AI can improve patient care, maximize resource utilization, and strengthen health systems against future infectious disease threats.</w:t>
      </w:r>
    </w:p>
    <w:p w14:paraId="658246BF" w14:textId="51E10A11" w:rsidR="00D17560" w:rsidRDefault="00D17560"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47E12E77" w14:textId="77777777" w:rsidR="00356B23" w:rsidRPr="00356B23" w:rsidRDefault="00356B23" w:rsidP="00356B23">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24C06F43" w14:textId="77777777" w:rsidR="00356B23" w:rsidRPr="00356B23" w:rsidRDefault="00356B23" w:rsidP="00356B2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356B23">
        <w:rPr>
          <w:rFonts w:ascii="Times New Roman" w:eastAsia="Times New Roman" w:hAnsi="Times New Roman" w:cs="Times New Roman"/>
          <w:sz w:val="24"/>
          <w:szCs w:val="24"/>
          <w:lang w:eastAsia="en-IN"/>
        </w:rPr>
        <w:t xml:space="preserve">Consent </w:t>
      </w:r>
    </w:p>
    <w:p w14:paraId="7C51915A" w14:textId="057923A0" w:rsidR="00356B23" w:rsidRDefault="00356B23" w:rsidP="00356B2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356B23">
        <w:rPr>
          <w:rFonts w:ascii="Times New Roman" w:eastAsia="Times New Roman" w:hAnsi="Times New Roman" w:cs="Times New Roman"/>
          <w:sz w:val="24"/>
          <w:szCs w:val="24"/>
          <w:lang w:eastAsia="en-IN"/>
        </w:rPr>
        <w:t>As per international standards or university standards, patient(s) written consent has been collected and preserved by the author(s).</w:t>
      </w:r>
    </w:p>
    <w:p w14:paraId="6AC37A93" w14:textId="77777777" w:rsidR="00356B23" w:rsidRDefault="00356B23" w:rsidP="00356B23">
      <w:pPr>
        <w:spacing w:before="100" w:beforeAutospacing="1" w:after="100" w:afterAutospacing="1" w:line="240" w:lineRule="auto"/>
        <w:jc w:val="both"/>
        <w:rPr>
          <w:rFonts w:ascii="Times New Roman" w:eastAsia="Times New Roman" w:hAnsi="Times New Roman" w:cs="Times New Roman"/>
          <w:sz w:val="24"/>
          <w:szCs w:val="24"/>
          <w:lang w:eastAsia="en-IN"/>
        </w:rPr>
      </w:pPr>
      <w:bookmarkStart w:id="0" w:name="_GoBack"/>
      <w:bookmarkEnd w:id="0"/>
    </w:p>
    <w:p w14:paraId="324E7563" w14:textId="77777777" w:rsidR="00356B23" w:rsidRPr="00356B23" w:rsidRDefault="00356B23" w:rsidP="00356B23">
      <w:pPr>
        <w:spacing w:after="200" w:line="276" w:lineRule="auto"/>
        <w:rPr>
          <w:rFonts w:ascii="Calibri" w:eastAsia="Calibri" w:hAnsi="Calibri" w:cs="Times New Roman"/>
          <w:b/>
          <w:sz w:val="28"/>
          <w:lang w:val="en-US"/>
        </w:rPr>
      </w:pPr>
      <w:r w:rsidRPr="00356B23">
        <w:rPr>
          <w:rFonts w:ascii="Calibri" w:eastAsia="Calibri" w:hAnsi="Calibri" w:cs="Times New Roman"/>
          <w:b/>
          <w:sz w:val="28"/>
          <w:lang w:val="en-US"/>
        </w:rPr>
        <w:t>Ethical Approval:</w:t>
      </w:r>
    </w:p>
    <w:p w14:paraId="06FA2053" w14:textId="77777777" w:rsidR="00356B23" w:rsidRPr="00356B23" w:rsidRDefault="00356B23" w:rsidP="00356B23">
      <w:pPr>
        <w:spacing w:after="200" w:line="276" w:lineRule="auto"/>
        <w:rPr>
          <w:rFonts w:ascii="Calibri" w:eastAsia="Times New Roman" w:hAnsi="Calibri" w:cs="Times New Roman"/>
          <w:lang w:val="en-US"/>
        </w:rPr>
      </w:pPr>
      <w:r w:rsidRPr="00356B23">
        <w:rPr>
          <w:rFonts w:ascii="Calibri" w:eastAsia="Times New Roman" w:hAnsi="Calibri" w:cs="Times New Roman"/>
          <w:lang w:val="en-US"/>
        </w:rPr>
        <w:t>As per international standards or university standards written ethical approval has been collected and preserved by the author(s).</w:t>
      </w:r>
    </w:p>
    <w:p w14:paraId="684249F1" w14:textId="77777777" w:rsidR="00356B23" w:rsidRDefault="00356B23" w:rsidP="00356B23">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6CC66407" w14:textId="77777777" w:rsidR="00A31DE2" w:rsidRDefault="00A31DE2"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414C119B" w14:textId="1E4C4293" w:rsidR="00D17560" w:rsidRDefault="00D17560"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74609DA1" w14:textId="77777777" w:rsidR="00D17560" w:rsidRPr="00FE7640" w:rsidRDefault="00D17560" w:rsidP="00D17560">
      <w:pPr>
        <w:rPr>
          <w:rFonts w:ascii="Calibri" w:eastAsia="Calibri" w:hAnsi="Calibri" w:cs="Times New Roman"/>
          <w:kern w:val="2"/>
          <w:highlight w:val="yellow"/>
          <w:lang w:val="en-US"/>
        </w:rPr>
      </w:pPr>
      <w:bookmarkStart w:id="1" w:name="_Hlk201835975"/>
      <w:bookmarkStart w:id="2" w:name="_Hlk193540946"/>
      <w:bookmarkStart w:id="3" w:name="_Hlk180402183"/>
      <w:bookmarkStart w:id="4" w:name="_Hlk183680988"/>
      <w:bookmarkStart w:id="5" w:name="_Hlk197173371"/>
      <w:r w:rsidRPr="00FE7640">
        <w:rPr>
          <w:rFonts w:ascii="Calibri" w:eastAsia="Calibri" w:hAnsi="Calibri" w:cs="Times New Roman"/>
          <w:kern w:val="2"/>
          <w:highlight w:val="yellow"/>
          <w:lang w:val="en-US"/>
        </w:rPr>
        <w:t>Disclaimer (Artificial intelligence)</w:t>
      </w:r>
    </w:p>
    <w:p w14:paraId="398C2532" w14:textId="77777777" w:rsidR="00D17560" w:rsidRPr="009C5487" w:rsidRDefault="00D17560" w:rsidP="00D1756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507BC4CE" w14:textId="77777777" w:rsidR="00D17560" w:rsidRPr="009C5487" w:rsidRDefault="00D17560" w:rsidP="00D1756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lastRenderedPageBreak/>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manuscript. </w:t>
      </w:r>
    </w:p>
    <w:p w14:paraId="373A0447" w14:textId="77777777" w:rsidR="00D17560" w:rsidRPr="009C5487" w:rsidRDefault="00D17560" w:rsidP="00D1756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47C2F1C8" w14:textId="77777777" w:rsidR="00D17560" w:rsidRPr="009C5487" w:rsidRDefault="00D17560" w:rsidP="00D1756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CC26544" w14:textId="77777777" w:rsidR="00D17560" w:rsidRPr="009C5487" w:rsidRDefault="00D17560" w:rsidP="00D1756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68B3B2D9" w14:textId="77777777" w:rsidR="00D17560" w:rsidRPr="009C5487" w:rsidRDefault="00D17560" w:rsidP="00D1756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50E1242B" w14:textId="77777777" w:rsidR="00D17560" w:rsidRPr="009C5487" w:rsidRDefault="00D17560" w:rsidP="00D1756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bookmarkEnd w:id="1"/>
    </w:p>
    <w:p w14:paraId="683570B1" w14:textId="77777777" w:rsidR="00D17560" w:rsidRPr="009C5487" w:rsidRDefault="00D17560" w:rsidP="00D17560">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bookmarkEnd w:id="2"/>
    </w:p>
    <w:bookmarkEnd w:id="3"/>
    <w:bookmarkEnd w:id="4"/>
    <w:bookmarkEnd w:id="5"/>
    <w:p w14:paraId="6EA2BE04" w14:textId="77777777" w:rsidR="00D17560" w:rsidRDefault="00D17560"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199E7621" w14:textId="77777777" w:rsidR="00582C88" w:rsidRPr="00582C88" w:rsidRDefault="00582C88" w:rsidP="00090C76">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582C88">
        <w:rPr>
          <w:rFonts w:ascii="Times New Roman" w:eastAsia="Times New Roman" w:hAnsi="Times New Roman" w:cs="Times New Roman"/>
          <w:b/>
          <w:sz w:val="24"/>
          <w:szCs w:val="24"/>
          <w:lang w:eastAsia="en-IN"/>
        </w:rPr>
        <w:t>References:</w:t>
      </w:r>
    </w:p>
    <w:p w14:paraId="6F26869C" w14:textId="77777777" w:rsidR="00582C88" w:rsidRPr="00582C88" w:rsidRDefault="00582C88" w:rsidP="00E45D1D">
      <w:pPr>
        <w:pStyle w:val="ListParagraph"/>
        <w:numPr>
          <w:ilvl w:val="0"/>
          <w:numId w:val="15"/>
        </w:numPr>
        <w:spacing w:before="100" w:beforeAutospacing="1" w:after="100" w:afterAutospacing="1" w:line="240" w:lineRule="auto"/>
        <w:jc w:val="both"/>
        <w:rPr>
          <w:rFonts w:ascii="Arial" w:hAnsi="Arial" w:cs="Arial"/>
          <w:color w:val="222222"/>
          <w:sz w:val="20"/>
          <w:szCs w:val="20"/>
          <w:shd w:val="clear" w:color="auto" w:fill="FFFFFF"/>
        </w:rPr>
      </w:pPr>
      <w:r w:rsidRPr="00582C88">
        <w:rPr>
          <w:rFonts w:ascii="Arial" w:hAnsi="Arial" w:cs="Arial"/>
          <w:color w:val="222222"/>
          <w:sz w:val="20"/>
          <w:szCs w:val="20"/>
          <w:shd w:val="clear" w:color="auto" w:fill="FFFFFF"/>
        </w:rPr>
        <w:t>Rao, A. S., BH, K. P., Poojary, R., Shenoy, R., &amp; Nayak, S. (2025, February). Comprehensive Exploration of Acute Febrile Illnesses with Low Platelet Count Syndrome: From Epidemiology to AI-Driven Solutions. In </w:t>
      </w:r>
      <w:r w:rsidRPr="00582C88">
        <w:rPr>
          <w:rFonts w:ascii="Arial" w:hAnsi="Arial" w:cs="Arial"/>
          <w:i/>
          <w:iCs/>
          <w:color w:val="222222"/>
          <w:sz w:val="20"/>
          <w:szCs w:val="20"/>
          <w:shd w:val="clear" w:color="auto" w:fill="FFFFFF"/>
        </w:rPr>
        <w:t>2025 International Conference on Artificial Intelligence and Data Engineering (AIDE)</w:t>
      </w:r>
      <w:r w:rsidRPr="00582C88">
        <w:rPr>
          <w:rFonts w:ascii="Arial" w:hAnsi="Arial" w:cs="Arial"/>
          <w:color w:val="222222"/>
          <w:sz w:val="20"/>
          <w:szCs w:val="20"/>
          <w:shd w:val="clear" w:color="auto" w:fill="FFFFFF"/>
        </w:rPr>
        <w:t> (pp. 26-33). IEEE.</w:t>
      </w:r>
    </w:p>
    <w:p w14:paraId="3406F879" w14:textId="77777777" w:rsidR="00582C88" w:rsidRPr="00582C88" w:rsidRDefault="00582C88" w:rsidP="00E45D1D">
      <w:pPr>
        <w:pStyle w:val="ListParagraph"/>
        <w:numPr>
          <w:ilvl w:val="0"/>
          <w:numId w:val="15"/>
        </w:numPr>
        <w:spacing w:before="100" w:beforeAutospacing="1" w:after="100" w:afterAutospacing="1" w:line="240" w:lineRule="auto"/>
        <w:jc w:val="both"/>
        <w:rPr>
          <w:rFonts w:ascii="Arial" w:hAnsi="Arial" w:cs="Arial"/>
          <w:color w:val="222222"/>
          <w:sz w:val="20"/>
          <w:szCs w:val="20"/>
          <w:shd w:val="clear" w:color="auto" w:fill="FFFFFF"/>
        </w:rPr>
      </w:pPr>
      <w:r w:rsidRPr="00582C88">
        <w:rPr>
          <w:rFonts w:ascii="Arial" w:hAnsi="Arial" w:cs="Arial"/>
          <w:color w:val="222222"/>
          <w:sz w:val="20"/>
          <w:szCs w:val="20"/>
          <w:shd w:val="clear" w:color="auto" w:fill="FFFFFF"/>
        </w:rPr>
        <w:t>Muthuselvi, P., &amp; Devi, V. A. (2024, October). Advancements in Predictive Techniques and Effective Management Strategies for Dengue Fever: A Comprehensive Review. In </w:t>
      </w:r>
      <w:r w:rsidRPr="00582C88">
        <w:rPr>
          <w:rFonts w:ascii="Arial" w:hAnsi="Arial" w:cs="Arial"/>
          <w:i/>
          <w:iCs/>
          <w:color w:val="222222"/>
          <w:sz w:val="20"/>
          <w:szCs w:val="20"/>
          <w:shd w:val="clear" w:color="auto" w:fill="FFFFFF"/>
        </w:rPr>
        <w:t>2024 8th International Conference on I-SMAC (IoT in Social, Mobile, Analytics and Cloud</w:t>
      </w:r>
      <w:proofErr w:type="gramStart"/>
      <w:r w:rsidRPr="00582C88">
        <w:rPr>
          <w:rFonts w:ascii="Arial" w:hAnsi="Arial" w:cs="Arial"/>
          <w:i/>
          <w:iCs/>
          <w:color w:val="222222"/>
          <w:sz w:val="20"/>
          <w:szCs w:val="20"/>
          <w:shd w:val="clear" w:color="auto" w:fill="FFFFFF"/>
        </w:rPr>
        <w:t>)(</w:t>
      </w:r>
      <w:proofErr w:type="gramEnd"/>
      <w:r w:rsidRPr="00582C88">
        <w:rPr>
          <w:rFonts w:ascii="Arial" w:hAnsi="Arial" w:cs="Arial"/>
          <w:i/>
          <w:iCs/>
          <w:color w:val="222222"/>
          <w:sz w:val="20"/>
          <w:szCs w:val="20"/>
          <w:shd w:val="clear" w:color="auto" w:fill="FFFFFF"/>
        </w:rPr>
        <w:t>I-SMAC)</w:t>
      </w:r>
      <w:r w:rsidRPr="00582C88">
        <w:rPr>
          <w:rFonts w:ascii="Arial" w:hAnsi="Arial" w:cs="Arial"/>
          <w:color w:val="222222"/>
          <w:sz w:val="20"/>
          <w:szCs w:val="20"/>
          <w:shd w:val="clear" w:color="auto" w:fill="FFFFFF"/>
        </w:rPr>
        <w:t> (pp. 2010-2017). IEEE.</w:t>
      </w:r>
    </w:p>
    <w:p w14:paraId="0A76FFB8" w14:textId="77777777" w:rsidR="00582C88" w:rsidRPr="00582C88" w:rsidRDefault="00582C88" w:rsidP="00E45D1D">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582C88">
        <w:rPr>
          <w:rFonts w:ascii="Arial" w:hAnsi="Arial" w:cs="Arial"/>
          <w:color w:val="222222"/>
          <w:sz w:val="20"/>
          <w:szCs w:val="20"/>
          <w:shd w:val="clear" w:color="auto" w:fill="FFFFFF"/>
        </w:rPr>
        <w:t>Ogwu</w:t>
      </w:r>
      <w:proofErr w:type="spellEnd"/>
      <w:r w:rsidRPr="00582C88">
        <w:rPr>
          <w:rFonts w:ascii="Arial" w:hAnsi="Arial" w:cs="Arial"/>
          <w:color w:val="222222"/>
          <w:sz w:val="20"/>
          <w:szCs w:val="20"/>
          <w:shd w:val="clear" w:color="auto" w:fill="FFFFFF"/>
        </w:rPr>
        <w:t>, M. C., &amp; Izah, S. C. (2025). Artificial Intelligence and Machine Learning in Tropical Disease Management. In </w:t>
      </w:r>
      <w:r w:rsidRPr="00582C88">
        <w:rPr>
          <w:rFonts w:ascii="Arial" w:hAnsi="Arial" w:cs="Arial"/>
          <w:i/>
          <w:iCs/>
          <w:color w:val="222222"/>
          <w:sz w:val="20"/>
          <w:szCs w:val="20"/>
          <w:shd w:val="clear" w:color="auto" w:fill="FFFFFF"/>
        </w:rPr>
        <w:t>Technological Innovations for Managing Tropical Diseases</w:t>
      </w:r>
      <w:r w:rsidRPr="00582C88">
        <w:rPr>
          <w:rFonts w:ascii="Arial" w:hAnsi="Arial" w:cs="Arial"/>
          <w:color w:val="222222"/>
          <w:sz w:val="20"/>
          <w:szCs w:val="20"/>
          <w:shd w:val="clear" w:color="auto" w:fill="FFFFFF"/>
        </w:rPr>
        <w:t> (pp. 155-182). Cham: Springer Nature Switzerland.</w:t>
      </w:r>
    </w:p>
    <w:p w14:paraId="123CED72" w14:textId="77777777" w:rsidR="00311A29" w:rsidRPr="00582C88" w:rsidRDefault="00582C88" w:rsidP="00E45D1D">
      <w:pPr>
        <w:pStyle w:val="ListParagraph"/>
        <w:numPr>
          <w:ilvl w:val="0"/>
          <w:numId w:val="15"/>
        </w:numPr>
        <w:spacing w:before="100" w:beforeAutospacing="1" w:after="100" w:afterAutospacing="1" w:line="240" w:lineRule="auto"/>
        <w:jc w:val="both"/>
        <w:outlineLvl w:val="1"/>
        <w:rPr>
          <w:rFonts w:ascii="Arial" w:hAnsi="Arial" w:cs="Arial"/>
          <w:color w:val="222222"/>
          <w:sz w:val="20"/>
          <w:szCs w:val="20"/>
          <w:shd w:val="clear" w:color="auto" w:fill="FFFFFF"/>
        </w:rPr>
      </w:pPr>
      <w:r w:rsidRPr="00582C88">
        <w:rPr>
          <w:rFonts w:ascii="Arial" w:hAnsi="Arial" w:cs="Arial"/>
          <w:color w:val="222222"/>
          <w:sz w:val="20"/>
          <w:szCs w:val="20"/>
          <w:shd w:val="clear" w:color="auto" w:fill="FFFFFF"/>
        </w:rPr>
        <w:t>Rao, A. S., Pai, B. H., Adithi, K., Shenoy, R., &amp; Nayak, S. (2025). Comprehensive review and early detection strategies for severe fever with thrombocytopenia: insights from epidemiology, diagnostics, and evolving research with machine learning. </w:t>
      </w:r>
      <w:proofErr w:type="spellStart"/>
      <w:r w:rsidRPr="00582C88">
        <w:rPr>
          <w:rFonts w:ascii="Arial" w:hAnsi="Arial" w:cs="Arial"/>
          <w:i/>
          <w:iCs/>
          <w:color w:val="222222"/>
          <w:sz w:val="20"/>
          <w:szCs w:val="20"/>
          <w:shd w:val="clear" w:color="auto" w:fill="FFFFFF"/>
        </w:rPr>
        <w:t>VirusDisease</w:t>
      </w:r>
      <w:proofErr w:type="spellEnd"/>
      <w:r w:rsidRPr="00582C88">
        <w:rPr>
          <w:rFonts w:ascii="Arial" w:hAnsi="Arial" w:cs="Arial"/>
          <w:color w:val="222222"/>
          <w:sz w:val="20"/>
          <w:szCs w:val="20"/>
          <w:shd w:val="clear" w:color="auto" w:fill="FFFFFF"/>
        </w:rPr>
        <w:t>, 1-22.</w:t>
      </w:r>
    </w:p>
    <w:p w14:paraId="466DD959" w14:textId="77777777" w:rsidR="00582C88" w:rsidRPr="00582C88" w:rsidRDefault="00582C88" w:rsidP="00E45D1D">
      <w:pPr>
        <w:pStyle w:val="ListParagraph"/>
        <w:numPr>
          <w:ilvl w:val="0"/>
          <w:numId w:val="15"/>
        </w:numPr>
        <w:spacing w:before="100" w:beforeAutospacing="1" w:after="100" w:afterAutospacing="1" w:line="240" w:lineRule="auto"/>
        <w:jc w:val="both"/>
        <w:outlineLvl w:val="1"/>
        <w:rPr>
          <w:rFonts w:ascii="Arial" w:hAnsi="Arial" w:cs="Arial"/>
          <w:color w:val="222222"/>
          <w:sz w:val="20"/>
          <w:szCs w:val="20"/>
          <w:shd w:val="clear" w:color="auto" w:fill="FFFFFF"/>
        </w:rPr>
      </w:pPr>
      <w:r w:rsidRPr="00582C88">
        <w:rPr>
          <w:rFonts w:ascii="Arial" w:hAnsi="Arial" w:cs="Arial"/>
          <w:color w:val="222222"/>
          <w:sz w:val="20"/>
          <w:szCs w:val="20"/>
          <w:shd w:val="clear" w:color="auto" w:fill="FFFFFF"/>
        </w:rPr>
        <w:t>Abdulsalam, M., &amp; Ila, M. A. (2023). Closing the Gap: Artificial Intelligence Integration for Advancing Chikungunya Virus Studies in Africa. </w:t>
      </w:r>
      <w:r w:rsidRPr="00582C88">
        <w:rPr>
          <w:rFonts w:ascii="Arial" w:hAnsi="Arial" w:cs="Arial"/>
          <w:i/>
          <w:iCs/>
          <w:color w:val="222222"/>
          <w:sz w:val="20"/>
          <w:szCs w:val="20"/>
          <w:shd w:val="clear" w:color="auto" w:fill="FFFFFF"/>
        </w:rPr>
        <w:t>Biological Sciences</w:t>
      </w:r>
      <w:r w:rsidRPr="00582C88">
        <w:rPr>
          <w:rFonts w:ascii="Arial" w:hAnsi="Arial" w:cs="Arial"/>
          <w:color w:val="222222"/>
          <w:sz w:val="20"/>
          <w:szCs w:val="20"/>
          <w:shd w:val="clear" w:color="auto" w:fill="FFFFFF"/>
        </w:rPr>
        <w:t>, </w:t>
      </w:r>
      <w:r w:rsidRPr="00582C88">
        <w:rPr>
          <w:rFonts w:ascii="Arial" w:hAnsi="Arial" w:cs="Arial"/>
          <w:i/>
          <w:iCs/>
          <w:color w:val="222222"/>
          <w:sz w:val="20"/>
          <w:szCs w:val="20"/>
          <w:shd w:val="clear" w:color="auto" w:fill="FFFFFF"/>
        </w:rPr>
        <w:t>3</w:t>
      </w:r>
      <w:r w:rsidRPr="00582C88">
        <w:rPr>
          <w:rFonts w:ascii="Arial" w:hAnsi="Arial" w:cs="Arial"/>
          <w:color w:val="222222"/>
          <w:sz w:val="20"/>
          <w:szCs w:val="20"/>
          <w:shd w:val="clear" w:color="auto" w:fill="FFFFFF"/>
        </w:rPr>
        <w:t>(4), 493-502.</w:t>
      </w:r>
    </w:p>
    <w:p w14:paraId="7F38083D" w14:textId="77777777" w:rsidR="00582C88" w:rsidRPr="00582C88" w:rsidRDefault="00582C88" w:rsidP="00E45D1D">
      <w:pPr>
        <w:pStyle w:val="ListParagraph"/>
        <w:numPr>
          <w:ilvl w:val="0"/>
          <w:numId w:val="15"/>
        </w:numPr>
        <w:spacing w:before="100" w:beforeAutospacing="1" w:after="100" w:afterAutospacing="1" w:line="240" w:lineRule="auto"/>
        <w:jc w:val="both"/>
        <w:outlineLvl w:val="1"/>
        <w:rPr>
          <w:rFonts w:ascii="Arial" w:hAnsi="Arial" w:cs="Arial"/>
          <w:color w:val="222222"/>
          <w:sz w:val="20"/>
          <w:szCs w:val="20"/>
          <w:shd w:val="clear" w:color="auto" w:fill="FFFFFF"/>
        </w:rPr>
      </w:pPr>
      <w:r w:rsidRPr="00582C88">
        <w:rPr>
          <w:rFonts w:ascii="Arial" w:hAnsi="Arial" w:cs="Arial"/>
          <w:color w:val="222222"/>
          <w:sz w:val="20"/>
          <w:szCs w:val="20"/>
          <w:shd w:val="clear" w:color="auto" w:fill="FFFFFF"/>
        </w:rPr>
        <w:t>Rajkumar, M., Juneja, Y., Balaji, S. K., &amp; Tyagi, A. (2024, December). AI-Driven Predictive Analytics for Dengue Outbreak Prevention: An Enhanced EWSORA-MLP Approach. In </w:t>
      </w:r>
      <w:r w:rsidRPr="00582C88">
        <w:rPr>
          <w:rFonts w:ascii="Arial" w:hAnsi="Arial" w:cs="Arial"/>
          <w:i/>
          <w:iCs/>
          <w:color w:val="222222"/>
          <w:sz w:val="20"/>
          <w:szCs w:val="20"/>
          <w:shd w:val="clear" w:color="auto" w:fill="FFFFFF"/>
        </w:rPr>
        <w:t>2024 International Conference on Progressive Innovations in Intelligent Systems and Data Science (ICPIDS)</w:t>
      </w:r>
      <w:r w:rsidRPr="00582C88">
        <w:rPr>
          <w:rFonts w:ascii="Arial" w:hAnsi="Arial" w:cs="Arial"/>
          <w:color w:val="222222"/>
          <w:sz w:val="20"/>
          <w:szCs w:val="20"/>
          <w:shd w:val="clear" w:color="auto" w:fill="FFFFFF"/>
        </w:rPr>
        <w:t> (pp. 60-66). IEEE.</w:t>
      </w:r>
    </w:p>
    <w:p w14:paraId="23A1155B" w14:textId="77777777" w:rsidR="00582C88" w:rsidRPr="00582C88" w:rsidRDefault="00582C88" w:rsidP="00E45D1D">
      <w:pPr>
        <w:pStyle w:val="ListParagraph"/>
        <w:numPr>
          <w:ilvl w:val="0"/>
          <w:numId w:val="15"/>
        </w:numPr>
        <w:spacing w:before="100" w:beforeAutospacing="1" w:after="100" w:afterAutospacing="1" w:line="240" w:lineRule="auto"/>
        <w:jc w:val="both"/>
        <w:outlineLvl w:val="1"/>
        <w:rPr>
          <w:rFonts w:ascii="Arial" w:hAnsi="Arial" w:cs="Arial"/>
          <w:color w:val="222222"/>
          <w:sz w:val="20"/>
          <w:szCs w:val="20"/>
          <w:shd w:val="clear" w:color="auto" w:fill="FFFFFF"/>
        </w:rPr>
      </w:pPr>
      <w:r w:rsidRPr="00582C88">
        <w:rPr>
          <w:rFonts w:ascii="Arial" w:hAnsi="Arial" w:cs="Arial"/>
          <w:color w:val="222222"/>
          <w:sz w:val="20"/>
          <w:szCs w:val="20"/>
          <w:shd w:val="clear" w:color="auto" w:fill="FFFFFF"/>
        </w:rPr>
        <w:t xml:space="preserve">Rahman, M. S., Jahan, I., Alam, M. K., </w:t>
      </w:r>
      <w:proofErr w:type="spellStart"/>
      <w:r w:rsidRPr="00582C88">
        <w:rPr>
          <w:rFonts w:ascii="Arial" w:hAnsi="Arial" w:cs="Arial"/>
          <w:color w:val="222222"/>
          <w:sz w:val="20"/>
          <w:szCs w:val="20"/>
          <w:shd w:val="clear" w:color="auto" w:fill="FFFFFF"/>
        </w:rPr>
        <w:t>Nahiduzzaman</w:t>
      </w:r>
      <w:proofErr w:type="spellEnd"/>
      <w:r w:rsidRPr="00582C88">
        <w:rPr>
          <w:rFonts w:ascii="Arial" w:hAnsi="Arial" w:cs="Arial"/>
          <w:color w:val="222222"/>
          <w:sz w:val="20"/>
          <w:szCs w:val="20"/>
          <w:shd w:val="clear" w:color="auto" w:fill="FFFFFF"/>
        </w:rPr>
        <w:t xml:space="preserve">, M., Hossain, A. S., </w:t>
      </w:r>
      <w:proofErr w:type="spellStart"/>
      <w:r w:rsidRPr="00582C88">
        <w:rPr>
          <w:rFonts w:ascii="Arial" w:hAnsi="Arial" w:cs="Arial"/>
          <w:color w:val="222222"/>
          <w:sz w:val="20"/>
          <w:szCs w:val="20"/>
          <w:shd w:val="clear" w:color="auto" w:fill="FFFFFF"/>
        </w:rPr>
        <w:t>Prithula</w:t>
      </w:r>
      <w:proofErr w:type="spellEnd"/>
      <w:r w:rsidRPr="00582C88">
        <w:rPr>
          <w:rFonts w:ascii="Arial" w:hAnsi="Arial" w:cs="Arial"/>
          <w:color w:val="222222"/>
          <w:sz w:val="20"/>
          <w:szCs w:val="20"/>
          <w:shd w:val="clear" w:color="auto" w:fill="FFFFFF"/>
        </w:rPr>
        <w:t>, J., ... &amp; Chowdhury, M. E. (2024). A Stacking Ensemble Approach for Robust Dengue Patient Detection from Complete Blood Count Data. In </w:t>
      </w:r>
      <w:r w:rsidRPr="00582C88">
        <w:rPr>
          <w:rFonts w:ascii="Arial" w:hAnsi="Arial" w:cs="Arial"/>
          <w:i/>
          <w:iCs/>
          <w:color w:val="222222"/>
          <w:sz w:val="20"/>
          <w:szCs w:val="20"/>
          <w:shd w:val="clear" w:color="auto" w:fill="FFFFFF"/>
        </w:rPr>
        <w:t>Surveillance, Prevention, and Control of Infectious Diseases: An AI Perspective</w:t>
      </w:r>
      <w:r w:rsidRPr="00582C88">
        <w:rPr>
          <w:rFonts w:ascii="Arial" w:hAnsi="Arial" w:cs="Arial"/>
          <w:color w:val="222222"/>
          <w:sz w:val="20"/>
          <w:szCs w:val="20"/>
          <w:shd w:val="clear" w:color="auto" w:fill="FFFFFF"/>
        </w:rPr>
        <w:t> (pp. 139-168). Cham: Springer Nature Switzerland.</w:t>
      </w:r>
    </w:p>
    <w:p w14:paraId="75BD0E03" w14:textId="77777777" w:rsidR="00582C88" w:rsidRPr="00582C88" w:rsidRDefault="00582C88" w:rsidP="00E45D1D">
      <w:pPr>
        <w:pStyle w:val="ListParagraph"/>
        <w:numPr>
          <w:ilvl w:val="0"/>
          <w:numId w:val="15"/>
        </w:numPr>
        <w:spacing w:before="100" w:beforeAutospacing="1" w:after="100" w:afterAutospacing="1" w:line="240" w:lineRule="auto"/>
        <w:jc w:val="both"/>
        <w:outlineLvl w:val="1"/>
        <w:rPr>
          <w:rFonts w:ascii="Arial" w:hAnsi="Arial" w:cs="Arial"/>
          <w:color w:val="222222"/>
          <w:sz w:val="20"/>
          <w:szCs w:val="20"/>
          <w:shd w:val="clear" w:color="auto" w:fill="FFFFFF"/>
        </w:rPr>
      </w:pPr>
      <w:r w:rsidRPr="00582C88">
        <w:rPr>
          <w:rFonts w:ascii="Arial" w:hAnsi="Arial" w:cs="Arial"/>
          <w:color w:val="222222"/>
          <w:sz w:val="20"/>
          <w:szCs w:val="20"/>
          <w:shd w:val="clear" w:color="auto" w:fill="FFFFFF"/>
        </w:rPr>
        <w:t xml:space="preserve">Kaur, I., Sandhu, A. K., &amp; Kumar, Y. (2022). Artificial intelligence techniques for predictive </w:t>
      </w:r>
      <w:proofErr w:type="spellStart"/>
      <w:r w:rsidRPr="00582C88">
        <w:rPr>
          <w:rFonts w:ascii="Arial" w:hAnsi="Arial" w:cs="Arial"/>
          <w:color w:val="222222"/>
          <w:sz w:val="20"/>
          <w:szCs w:val="20"/>
          <w:shd w:val="clear" w:color="auto" w:fill="FFFFFF"/>
        </w:rPr>
        <w:t>modeling</w:t>
      </w:r>
      <w:proofErr w:type="spellEnd"/>
      <w:r w:rsidRPr="00582C88">
        <w:rPr>
          <w:rFonts w:ascii="Arial" w:hAnsi="Arial" w:cs="Arial"/>
          <w:color w:val="222222"/>
          <w:sz w:val="20"/>
          <w:szCs w:val="20"/>
          <w:shd w:val="clear" w:color="auto" w:fill="FFFFFF"/>
        </w:rPr>
        <w:t xml:space="preserve"> of vector-borne diseases and its pathogens: a systematic review. </w:t>
      </w:r>
      <w:r w:rsidRPr="00582C88">
        <w:rPr>
          <w:rFonts w:ascii="Arial" w:hAnsi="Arial" w:cs="Arial"/>
          <w:i/>
          <w:iCs/>
          <w:color w:val="222222"/>
          <w:sz w:val="20"/>
          <w:szCs w:val="20"/>
          <w:shd w:val="clear" w:color="auto" w:fill="FFFFFF"/>
        </w:rPr>
        <w:t>Archives of Computational Methods in Engineering</w:t>
      </w:r>
      <w:r w:rsidRPr="00582C88">
        <w:rPr>
          <w:rFonts w:ascii="Arial" w:hAnsi="Arial" w:cs="Arial"/>
          <w:color w:val="222222"/>
          <w:sz w:val="20"/>
          <w:szCs w:val="20"/>
          <w:shd w:val="clear" w:color="auto" w:fill="FFFFFF"/>
        </w:rPr>
        <w:t>, </w:t>
      </w:r>
      <w:r w:rsidRPr="00582C88">
        <w:rPr>
          <w:rFonts w:ascii="Arial" w:hAnsi="Arial" w:cs="Arial"/>
          <w:i/>
          <w:iCs/>
          <w:color w:val="222222"/>
          <w:sz w:val="20"/>
          <w:szCs w:val="20"/>
          <w:shd w:val="clear" w:color="auto" w:fill="FFFFFF"/>
        </w:rPr>
        <w:t>29</w:t>
      </w:r>
      <w:r w:rsidRPr="00582C88">
        <w:rPr>
          <w:rFonts w:ascii="Arial" w:hAnsi="Arial" w:cs="Arial"/>
          <w:color w:val="222222"/>
          <w:sz w:val="20"/>
          <w:szCs w:val="20"/>
          <w:shd w:val="clear" w:color="auto" w:fill="FFFFFF"/>
        </w:rPr>
        <w:t>(6), 3741-3771.</w:t>
      </w:r>
    </w:p>
    <w:p w14:paraId="70CF6DA4" w14:textId="77777777" w:rsidR="00582C88" w:rsidRPr="00582C88" w:rsidRDefault="00582C88" w:rsidP="00E45D1D">
      <w:pPr>
        <w:pStyle w:val="ListParagraph"/>
        <w:numPr>
          <w:ilvl w:val="0"/>
          <w:numId w:val="15"/>
        </w:numPr>
        <w:spacing w:before="100" w:beforeAutospacing="1" w:after="100" w:afterAutospacing="1" w:line="240" w:lineRule="auto"/>
        <w:jc w:val="both"/>
        <w:outlineLvl w:val="1"/>
        <w:rPr>
          <w:rFonts w:ascii="Arial" w:hAnsi="Arial" w:cs="Arial"/>
          <w:color w:val="222222"/>
          <w:sz w:val="20"/>
          <w:szCs w:val="20"/>
          <w:shd w:val="clear" w:color="auto" w:fill="FFFFFF"/>
        </w:rPr>
      </w:pPr>
      <w:r w:rsidRPr="00582C88">
        <w:rPr>
          <w:rFonts w:ascii="Arial" w:hAnsi="Arial" w:cs="Arial"/>
          <w:color w:val="222222"/>
          <w:sz w:val="20"/>
          <w:szCs w:val="20"/>
          <w:shd w:val="clear" w:color="auto" w:fill="FFFFFF"/>
        </w:rPr>
        <w:t xml:space="preserve">Zahiruddin, H., </w:t>
      </w:r>
      <w:proofErr w:type="spellStart"/>
      <w:r w:rsidRPr="00582C88">
        <w:rPr>
          <w:rFonts w:ascii="Arial" w:hAnsi="Arial" w:cs="Arial"/>
          <w:color w:val="222222"/>
          <w:sz w:val="20"/>
          <w:szCs w:val="20"/>
          <w:shd w:val="clear" w:color="auto" w:fill="FFFFFF"/>
        </w:rPr>
        <w:t>Zukarnain</w:t>
      </w:r>
      <w:proofErr w:type="spellEnd"/>
      <w:r w:rsidRPr="00582C88">
        <w:rPr>
          <w:rFonts w:ascii="Arial" w:hAnsi="Arial" w:cs="Arial"/>
          <w:color w:val="222222"/>
          <w:sz w:val="20"/>
          <w:szCs w:val="20"/>
          <w:shd w:val="clear" w:color="auto" w:fill="FFFFFF"/>
        </w:rPr>
        <w:t xml:space="preserve">, Z. A., &amp; Wijaya, A. (2024). A scoping review and </w:t>
      </w:r>
      <w:proofErr w:type="spellStart"/>
      <w:r w:rsidRPr="00582C88">
        <w:rPr>
          <w:rFonts w:ascii="Arial" w:hAnsi="Arial" w:cs="Arial"/>
          <w:color w:val="222222"/>
          <w:sz w:val="20"/>
          <w:szCs w:val="20"/>
          <w:shd w:val="clear" w:color="auto" w:fill="FFFFFF"/>
        </w:rPr>
        <w:t>bibliometric</w:t>
      </w:r>
      <w:proofErr w:type="spellEnd"/>
      <w:r w:rsidRPr="00582C88">
        <w:rPr>
          <w:rFonts w:ascii="Arial" w:hAnsi="Arial" w:cs="Arial"/>
          <w:color w:val="222222"/>
          <w:sz w:val="20"/>
          <w:szCs w:val="20"/>
          <w:shd w:val="clear" w:color="auto" w:fill="FFFFFF"/>
        </w:rPr>
        <w:t xml:space="preserve"> analysis (</w:t>
      </w:r>
      <w:proofErr w:type="spellStart"/>
      <w:r w:rsidRPr="00582C88">
        <w:rPr>
          <w:rFonts w:ascii="Arial" w:hAnsi="Arial" w:cs="Arial"/>
          <w:color w:val="222222"/>
          <w:sz w:val="20"/>
          <w:szCs w:val="20"/>
          <w:shd w:val="clear" w:color="auto" w:fill="FFFFFF"/>
        </w:rPr>
        <w:t>ScoRBA</w:t>
      </w:r>
      <w:proofErr w:type="spellEnd"/>
      <w:r w:rsidRPr="00582C88">
        <w:rPr>
          <w:rFonts w:ascii="Arial" w:hAnsi="Arial" w:cs="Arial"/>
          <w:color w:val="222222"/>
          <w:sz w:val="20"/>
          <w:szCs w:val="20"/>
          <w:shd w:val="clear" w:color="auto" w:fill="FFFFFF"/>
        </w:rPr>
        <w:t>) on dengue infection and machine learning research. </w:t>
      </w:r>
      <w:r w:rsidRPr="00582C88">
        <w:rPr>
          <w:rFonts w:ascii="Arial" w:hAnsi="Arial" w:cs="Arial"/>
          <w:i/>
          <w:iCs/>
          <w:color w:val="222222"/>
          <w:sz w:val="20"/>
          <w:szCs w:val="20"/>
          <w:shd w:val="clear" w:color="auto" w:fill="FFFFFF"/>
        </w:rPr>
        <w:t>JOIV: International Journal on Informatics Visualization</w:t>
      </w:r>
      <w:r w:rsidRPr="00582C88">
        <w:rPr>
          <w:rFonts w:ascii="Arial" w:hAnsi="Arial" w:cs="Arial"/>
          <w:color w:val="222222"/>
          <w:sz w:val="20"/>
          <w:szCs w:val="20"/>
          <w:shd w:val="clear" w:color="auto" w:fill="FFFFFF"/>
        </w:rPr>
        <w:t>, </w:t>
      </w:r>
      <w:r w:rsidRPr="00582C88">
        <w:rPr>
          <w:rFonts w:ascii="Arial" w:hAnsi="Arial" w:cs="Arial"/>
          <w:i/>
          <w:iCs/>
          <w:color w:val="222222"/>
          <w:sz w:val="20"/>
          <w:szCs w:val="20"/>
          <w:shd w:val="clear" w:color="auto" w:fill="FFFFFF"/>
        </w:rPr>
        <w:t>8</w:t>
      </w:r>
      <w:r w:rsidRPr="00582C88">
        <w:rPr>
          <w:rFonts w:ascii="Arial" w:hAnsi="Arial" w:cs="Arial"/>
          <w:color w:val="222222"/>
          <w:sz w:val="20"/>
          <w:szCs w:val="20"/>
          <w:shd w:val="clear" w:color="auto" w:fill="FFFFFF"/>
        </w:rPr>
        <w:t>(4), 2203-2210.</w:t>
      </w:r>
    </w:p>
    <w:p w14:paraId="60AE23CA" w14:textId="77777777" w:rsidR="00582C88" w:rsidRPr="00582C88" w:rsidRDefault="00582C88" w:rsidP="00E45D1D">
      <w:pPr>
        <w:pStyle w:val="ListParagraph"/>
        <w:numPr>
          <w:ilvl w:val="0"/>
          <w:numId w:val="15"/>
        </w:numPr>
        <w:spacing w:before="100" w:beforeAutospacing="1" w:after="100" w:afterAutospacing="1" w:line="240" w:lineRule="auto"/>
        <w:jc w:val="both"/>
        <w:outlineLvl w:val="1"/>
        <w:rPr>
          <w:rFonts w:ascii="Arial" w:hAnsi="Arial" w:cs="Arial"/>
          <w:color w:val="222222"/>
          <w:sz w:val="20"/>
          <w:szCs w:val="20"/>
          <w:shd w:val="clear" w:color="auto" w:fill="FFFFFF"/>
        </w:rPr>
      </w:pPr>
      <w:proofErr w:type="spellStart"/>
      <w:r w:rsidRPr="00582C88">
        <w:rPr>
          <w:rFonts w:ascii="Arial" w:hAnsi="Arial" w:cs="Arial"/>
          <w:color w:val="222222"/>
          <w:sz w:val="20"/>
          <w:szCs w:val="20"/>
          <w:shd w:val="clear" w:color="auto" w:fill="FFFFFF"/>
        </w:rPr>
        <w:t>Maruthai</w:t>
      </w:r>
      <w:proofErr w:type="spellEnd"/>
      <w:r w:rsidRPr="00582C88">
        <w:rPr>
          <w:rFonts w:ascii="Arial" w:hAnsi="Arial" w:cs="Arial"/>
          <w:color w:val="222222"/>
          <w:sz w:val="20"/>
          <w:szCs w:val="20"/>
          <w:shd w:val="clear" w:color="auto" w:fill="FFFFFF"/>
        </w:rPr>
        <w:t>, S., Thanarajan, T., &amp; Rajendran, S. (2025). Biosensor Based Detection of Early Spread of Vector Borne Disease with Personalized Treatment Strategies Using Machine Learning. </w:t>
      </w:r>
      <w:r w:rsidRPr="00582C88">
        <w:rPr>
          <w:rFonts w:ascii="Arial" w:hAnsi="Arial" w:cs="Arial"/>
          <w:i/>
          <w:iCs/>
          <w:color w:val="222222"/>
          <w:sz w:val="20"/>
          <w:szCs w:val="20"/>
          <w:shd w:val="clear" w:color="auto" w:fill="FFFFFF"/>
        </w:rPr>
        <w:t>Journal of New Materials for Electrochemical Systems</w:t>
      </w:r>
      <w:r w:rsidRPr="00582C88">
        <w:rPr>
          <w:rFonts w:ascii="Arial" w:hAnsi="Arial" w:cs="Arial"/>
          <w:color w:val="222222"/>
          <w:sz w:val="20"/>
          <w:szCs w:val="20"/>
          <w:shd w:val="clear" w:color="auto" w:fill="FFFFFF"/>
        </w:rPr>
        <w:t>, </w:t>
      </w:r>
      <w:r w:rsidRPr="00582C88">
        <w:rPr>
          <w:rFonts w:ascii="Arial" w:hAnsi="Arial" w:cs="Arial"/>
          <w:i/>
          <w:iCs/>
          <w:color w:val="222222"/>
          <w:sz w:val="20"/>
          <w:szCs w:val="20"/>
          <w:shd w:val="clear" w:color="auto" w:fill="FFFFFF"/>
        </w:rPr>
        <w:t>28</w:t>
      </w:r>
      <w:r w:rsidRPr="00582C88">
        <w:rPr>
          <w:rFonts w:ascii="Arial" w:hAnsi="Arial" w:cs="Arial"/>
          <w:color w:val="222222"/>
          <w:sz w:val="20"/>
          <w:szCs w:val="20"/>
          <w:shd w:val="clear" w:color="auto" w:fill="FFFFFF"/>
        </w:rPr>
        <w:t>(1).</w:t>
      </w:r>
    </w:p>
    <w:p w14:paraId="139FD5ED" w14:textId="77777777" w:rsidR="00582C88" w:rsidRPr="007E4A5D" w:rsidRDefault="00582C88" w:rsidP="00E45D1D">
      <w:pPr>
        <w:pStyle w:val="ListParagraph"/>
        <w:numPr>
          <w:ilvl w:val="0"/>
          <w:numId w:val="15"/>
        </w:num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proofErr w:type="spellStart"/>
      <w:r w:rsidRPr="00582C88">
        <w:rPr>
          <w:rFonts w:ascii="Arial" w:hAnsi="Arial" w:cs="Arial"/>
          <w:color w:val="222222"/>
          <w:sz w:val="20"/>
          <w:szCs w:val="20"/>
          <w:shd w:val="clear" w:color="auto" w:fill="FFFFFF"/>
        </w:rPr>
        <w:t>Syfullah</w:t>
      </w:r>
      <w:proofErr w:type="spellEnd"/>
      <w:r w:rsidRPr="00582C88">
        <w:rPr>
          <w:rFonts w:ascii="Arial" w:hAnsi="Arial" w:cs="Arial"/>
          <w:color w:val="222222"/>
          <w:sz w:val="20"/>
          <w:szCs w:val="20"/>
          <w:shd w:val="clear" w:color="auto" w:fill="FFFFFF"/>
        </w:rPr>
        <w:t xml:space="preserve">, M. K., Santo Ali, M., </w:t>
      </w:r>
      <w:proofErr w:type="spellStart"/>
      <w:r w:rsidRPr="00582C88">
        <w:rPr>
          <w:rFonts w:ascii="Arial" w:hAnsi="Arial" w:cs="Arial"/>
          <w:color w:val="222222"/>
          <w:sz w:val="20"/>
          <w:szCs w:val="20"/>
          <w:shd w:val="clear" w:color="auto" w:fill="FFFFFF"/>
        </w:rPr>
        <w:t>Oishy</w:t>
      </w:r>
      <w:proofErr w:type="spellEnd"/>
      <w:r w:rsidRPr="00582C88">
        <w:rPr>
          <w:rFonts w:ascii="Arial" w:hAnsi="Arial" w:cs="Arial"/>
          <w:color w:val="222222"/>
          <w:sz w:val="20"/>
          <w:szCs w:val="20"/>
          <w:shd w:val="clear" w:color="auto" w:fill="FFFFFF"/>
        </w:rPr>
        <w:t xml:space="preserve">, A. M., &amp; Hossain, M. S. (2024, September). Towards Early Dengue Diagnosis in Bangladesh: A Non-Invasive Prediction Model Based on </w:t>
      </w:r>
      <w:r w:rsidRPr="00582C88">
        <w:rPr>
          <w:rFonts w:ascii="Arial" w:hAnsi="Arial" w:cs="Arial"/>
          <w:color w:val="222222"/>
          <w:sz w:val="20"/>
          <w:szCs w:val="20"/>
          <w:shd w:val="clear" w:color="auto" w:fill="FFFFFF"/>
        </w:rPr>
        <w:lastRenderedPageBreak/>
        <w:t>Symptoms and Local Trends. In </w:t>
      </w:r>
      <w:r w:rsidRPr="00582C88">
        <w:rPr>
          <w:rFonts w:ascii="Arial" w:hAnsi="Arial" w:cs="Arial"/>
          <w:i/>
          <w:iCs/>
          <w:color w:val="222222"/>
          <w:sz w:val="20"/>
          <w:szCs w:val="20"/>
          <w:shd w:val="clear" w:color="auto" w:fill="FFFFFF"/>
        </w:rPr>
        <w:t>2024 IEEE International Conference on Power, Electrical, Electronics and Industrial Applications (PEEIACON)</w:t>
      </w:r>
      <w:r w:rsidRPr="00582C88">
        <w:rPr>
          <w:rFonts w:ascii="Arial" w:hAnsi="Arial" w:cs="Arial"/>
          <w:color w:val="222222"/>
          <w:sz w:val="20"/>
          <w:szCs w:val="20"/>
          <w:shd w:val="clear" w:color="auto" w:fill="FFFFFF"/>
        </w:rPr>
        <w:t> (pp. 833-838). IEEE.</w:t>
      </w:r>
    </w:p>
    <w:p w14:paraId="75DE9AE5" w14:textId="77777777" w:rsidR="007E4A5D" w:rsidRPr="007E4A5D" w:rsidRDefault="007E4A5D" w:rsidP="00E45D1D">
      <w:pPr>
        <w:pStyle w:val="ListParagraph"/>
        <w:numPr>
          <w:ilvl w:val="0"/>
          <w:numId w:val="15"/>
        </w:num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Pr>
          <w:rFonts w:ascii="Arial" w:hAnsi="Arial" w:cs="Arial"/>
          <w:color w:val="222222"/>
          <w:sz w:val="20"/>
          <w:szCs w:val="20"/>
          <w:shd w:val="clear" w:color="auto" w:fill="FFFFFF"/>
        </w:rPr>
        <w:t xml:space="preserve">Asuquo, D., Attai, K., Obot, O., Ekpenyong, M., Akwaowo, C., Arnold, K., &amp; </w:t>
      </w:r>
      <w:proofErr w:type="spellStart"/>
      <w:r>
        <w:rPr>
          <w:rFonts w:ascii="Arial" w:hAnsi="Arial" w:cs="Arial"/>
          <w:color w:val="222222"/>
          <w:sz w:val="20"/>
          <w:szCs w:val="20"/>
          <w:shd w:val="clear" w:color="auto" w:fill="FFFFFF"/>
        </w:rPr>
        <w:t>Uzoka</w:t>
      </w:r>
      <w:proofErr w:type="spellEnd"/>
      <w:r>
        <w:rPr>
          <w:rFonts w:ascii="Arial" w:hAnsi="Arial" w:cs="Arial"/>
          <w:color w:val="222222"/>
          <w:sz w:val="20"/>
          <w:szCs w:val="20"/>
          <w:shd w:val="clear" w:color="auto" w:fill="FFFFFF"/>
        </w:rPr>
        <w:t xml:space="preserve">, F. M. (2024). Febrile disease </w:t>
      </w:r>
      <w:proofErr w:type="spellStart"/>
      <w:r>
        <w:rPr>
          <w:rFonts w:ascii="Arial" w:hAnsi="Arial" w:cs="Arial"/>
          <w:color w:val="222222"/>
          <w:sz w:val="20"/>
          <w:szCs w:val="20"/>
          <w:shd w:val="clear" w:color="auto" w:fill="FFFFFF"/>
        </w:rPr>
        <w:t>modeling</w:t>
      </w:r>
      <w:proofErr w:type="spellEnd"/>
      <w:r>
        <w:rPr>
          <w:rFonts w:ascii="Arial" w:hAnsi="Arial" w:cs="Arial"/>
          <w:color w:val="222222"/>
          <w:sz w:val="20"/>
          <w:szCs w:val="20"/>
          <w:shd w:val="clear" w:color="auto" w:fill="FFFFFF"/>
        </w:rPr>
        <w:t xml:space="preserve"> and diagnosis system for optimizing medical decisions in resource-scarce settings. </w:t>
      </w:r>
      <w:r>
        <w:rPr>
          <w:rFonts w:ascii="Arial" w:hAnsi="Arial" w:cs="Arial"/>
          <w:i/>
          <w:iCs/>
          <w:color w:val="222222"/>
          <w:sz w:val="20"/>
          <w:szCs w:val="20"/>
          <w:shd w:val="clear" w:color="auto" w:fill="FFFFFF"/>
        </w:rPr>
        <w:t>Clinical eHealth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 52-76.</w:t>
      </w:r>
    </w:p>
    <w:p w14:paraId="77E92D10" w14:textId="77777777" w:rsidR="007E4A5D" w:rsidRPr="007E4A5D" w:rsidRDefault="007E4A5D" w:rsidP="00E45D1D">
      <w:pPr>
        <w:pStyle w:val="ListParagraph"/>
        <w:numPr>
          <w:ilvl w:val="0"/>
          <w:numId w:val="15"/>
        </w:num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proofErr w:type="spellStart"/>
      <w:r>
        <w:rPr>
          <w:rFonts w:ascii="Arial" w:hAnsi="Arial" w:cs="Arial"/>
          <w:color w:val="222222"/>
          <w:sz w:val="20"/>
          <w:szCs w:val="20"/>
          <w:shd w:val="clear" w:color="auto" w:fill="FFFFFF"/>
        </w:rPr>
        <w:t>Vaiyapuri</w:t>
      </w:r>
      <w:proofErr w:type="spellEnd"/>
      <w:r>
        <w:rPr>
          <w:rFonts w:ascii="Arial" w:hAnsi="Arial" w:cs="Arial"/>
          <w:color w:val="222222"/>
          <w:sz w:val="20"/>
          <w:szCs w:val="20"/>
          <w:shd w:val="clear" w:color="auto" w:fill="FFFFFF"/>
        </w:rPr>
        <w:t>, T. (2024). Utilizing Explainable AI and Biosensors for Clinical Diagnosis of Infectious Vector-Borne Diseases. </w:t>
      </w:r>
      <w:r>
        <w:rPr>
          <w:rFonts w:ascii="Arial" w:hAnsi="Arial" w:cs="Arial"/>
          <w:i/>
          <w:iCs/>
          <w:color w:val="222222"/>
          <w:sz w:val="20"/>
          <w:szCs w:val="20"/>
          <w:shd w:val="clear" w:color="auto" w:fill="FFFFFF"/>
        </w:rPr>
        <w:t>Engineering, Technology &amp; Applied Science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(6), 18640-18648.</w:t>
      </w:r>
    </w:p>
    <w:p w14:paraId="4772B1FA" w14:textId="77777777" w:rsidR="007E4A5D" w:rsidRPr="00AE4D9F" w:rsidRDefault="007E4A5D" w:rsidP="00E45D1D">
      <w:pPr>
        <w:pStyle w:val="ListParagraph"/>
        <w:numPr>
          <w:ilvl w:val="0"/>
          <w:numId w:val="15"/>
        </w:num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proofErr w:type="spellStart"/>
      <w:r>
        <w:rPr>
          <w:rFonts w:ascii="Arial" w:hAnsi="Arial" w:cs="Arial"/>
          <w:color w:val="222222"/>
          <w:sz w:val="20"/>
          <w:szCs w:val="20"/>
          <w:shd w:val="clear" w:color="auto" w:fill="FFFFFF"/>
        </w:rPr>
        <w:t>Chaw</w:t>
      </w:r>
      <w:proofErr w:type="spellEnd"/>
      <w:r>
        <w:rPr>
          <w:rFonts w:ascii="Arial" w:hAnsi="Arial" w:cs="Arial"/>
          <w:color w:val="222222"/>
          <w:sz w:val="20"/>
          <w:szCs w:val="20"/>
          <w:shd w:val="clear" w:color="auto" w:fill="FFFFFF"/>
        </w:rPr>
        <w:t xml:space="preserve">, J. K., </w:t>
      </w:r>
      <w:proofErr w:type="spellStart"/>
      <w:r>
        <w:rPr>
          <w:rFonts w:ascii="Arial" w:hAnsi="Arial" w:cs="Arial"/>
          <w:color w:val="222222"/>
          <w:sz w:val="20"/>
          <w:szCs w:val="20"/>
          <w:shd w:val="clear" w:color="auto" w:fill="FFFFFF"/>
        </w:rPr>
        <w:t>Chaw</w:t>
      </w:r>
      <w:proofErr w:type="spellEnd"/>
      <w:r>
        <w:rPr>
          <w:rFonts w:ascii="Arial" w:hAnsi="Arial" w:cs="Arial"/>
          <w:color w:val="222222"/>
          <w:sz w:val="20"/>
          <w:szCs w:val="20"/>
          <w:shd w:val="clear" w:color="auto" w:fill="FFFFFF"/>
        </w:rPr>
        <w:t xml:space="preserve">, S. H., Quah, C. H., </w:t>
      </w:r>
      <w:proofErr w:type="spellStart"/>
      <w:r>
        <w:rPr>
          <w:rFonts w:ascii="Arial" w:hAnsi="Arial" w:cs="Arial"/>
          <w:color w:val="222222"/>
          <w:sz w:val="20"/>
          <w:szCs w:val="20"/>
          <w:shd w:val="clear" w:color="auto" w:fill="FFFFFF"/>
        </w:rPr>
        <w:t>Sahrani</w:t>
      </w:r>
      <w:proofErr w:type="spellEnd"/>
      <w:r>
        <w:rPr>
          <w:rFonts w:ascii="Arial" w:hAnsi="Arial" w:cs="Arial"/>
          <w:color w:val="222222"/>
          <w:sz w:val="20"/>
          <w:szCs w:val="20"/>
          <w:shd w:val="clear" w:color="auto" w:fill="FFFFFF"/>
        </w:rPr>
        <w:t>, S., Ang, M. C., Zhao, Y., &amp; Ting, T. T. (2024). A predictive analytics model using machine learning algorithms to estimate the risk of shock development among dengue patients. </w:t>
      </w:r>
      <w:r>
        <w:rPr>
          <w:rFonts w:ascii="Arial" w:hAnsi="Arial" w:cs="Arial"/>
          <w:i/>
          <w:iCs/>
          <w:color w:val="222222"/>
          <w:sz w:val="20"/>
          <w:szCs w:val="20"/>
          <w:shd w:val="clear" w:color="auto" w:fill="FFFFFF"/>
        </w:rPr>
        <w:t>Healthcare Analytics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 100290.</w:t>
      </w:r>
    </w:p>
    <w:p w14:paraId="1622A4B5" w14:textId="77777777" w:rsidR="00AE4D9F" w:rsidRPr="00AE4D9F" w:rsidRDefault="00AE4D9F" w:rsidP="00E45D1D">
      <w:pPr>
        <w:pStyle w:val="ListParagraph"/>
        <w:numPr>
          <w:ilvl w:val="0"/>
          <w:numId w:val="15"/>
        </w:num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Pr>
          <w:rFonts w:ascii="Arial" w:hAnsi="Arial" w:cs="Arial"/>
          <w:color w:val="222222"/>
          <w:sz w:val="20"/>
          <w:szCs w:val="20"/>
          <w:shd w:val="clear" w:color="auto" w:fill="FFFFFF"/>
        </w:rPr>
        <w:t xml:space="preserve">Sharma, S., &amp; Jain, S. (2024). </w:t>
      </w:r>
      <w:proofErr w:type="spellStart"/>
      <w:r>
        <w:rPr>
          <w:rFonts w:ascii="Arial" w:hAnsi="Arial" w:cs="Arial"/>
          <w:color w:val="222222"/>
          <w:sz w:val="20"/>
          <w:szCs w:val="20"/>
          <w:shd w:val="clear" w:color="auto" w:fill="FFFFFF"/>
        </w:rPr>
        <w:t>Ontoxai</w:t>
      </w:r>
      <w:proofErr w:type="spellEnd"/>
      <w:r>
        <w:rPr>
          <w:rFonts w:ascii="Arial" w:hAnsi="Arial" w:cs="Arial"/>
          <w:color w:val="222222"/>
          <w:sz w:val="20"/>
          <w:szCs w:val="20"/>
          <w:shd w:val="clear" w:color="auto" w:fill="FFFFFF"/>
        </w:rPr>
        <w:t>: a semantic web rule language approach for dengue fever classification using explainable ai and ontology. </w:t>
      </w:r>
      <w:r>
        <w:rPr>
          <w:rFonts w:ascii="Arial" w:hAnsi="Arial" w:cs="Arial"/>
          <w:i/>
          <w:iCs/>
          <w:color w:val="222222"/>
          <w:sz w:val="20"/>
          <w:szCs w:val="20"/>
          <w:shd w:val="clear" w:color="auto" w:fill="FFFFFF"/>
        </w:rPr>
        <w:t>Available at SSRN 4726837</w:t>
      </w:r>
      <w:r>
        <w:rPr>
          <w:rFonts w:ascii="Arial" w:hAnsi="Arial" w:cs="Arial"/>
          <w:color w:val="222222"/>
          <w:sz w:val="20"/>
          <w:szCs w:val="20"/>
          <w:shd w:val="clear" w:color="auto" w:fill="FFFFFF"/>
        </w:rPr>
        <w:t>.</w:t>
      </w:r>
    </w:p>
    <w:p w14:paraId="4A1561E9" w14:textId="77777777" w:rsidR="00AE4D9F" w:rsidRPr="00AE4D9F" w:rsidRDefault="00AE4D9F" w:rsidP="00E45D1D">
      <w:pPr>
        <w:pStyle w:val="ListParagraph"/>
        <w:numPr>
          <w:ilvl w:val="0"/>
          <w:numId w:val="15"/>
        </w:num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Pr>
          <w:rFonts w:ascii="Arial" w:hAnsi="Arial" w:cs="Arial"/>
          <w:color w:val="222222"/>
          <w:sz w:val="20"/>
          <w:szCs w:val="20"/>
          <w:shd w:val="clear" w:color="auto" w:fill="FFFFFF"/>
        </w:rPr>
        <w:t>Hayat, S., Anwar, R., &amp; Aziz, S. (2025). An automated diagnosis &amp; classification of dengue using advance artificial neural network. </w:t>
      </w:r>
      <w:r>
        <w:rPr>
          <w:rFonts w:ascii="Arial" w:hAnsi="Arial" w:cs="Arial"/>
          <w:i/>
          <w:iCs/>
          <w:color w:val="222222"/>
          <w:sz w:val="20"/>
          <w:szCs w:val="20"/>
          <w:shd w:val="clear" w:color="auto" w:fill="FFFFFF"/>
        </w:rPr>
        <w:t>Computing and Artificial Intelligence</w:t>
      </w:r>
      <w:r>
        <w:rPr>
          <w:rFonts w:ascii="Arial" w:hAnsi="Arial" w:cs="Arial"/>
          <w:color w:val="222222"/>
          <w:sz w:val="20"/>
          <w:szCs w:val="20"/>
          <w:shd w:val="clear" w:color="auto" w:fill="FFFFFF"/>
        </w:rPr>
        <w:t>, 1489-1489.</w:t>
      </w:r>
    </w:p>
    <w:p w14:paraId="3159FD4A" w14:textId="77777777" w:rsidR="00AE4D9F" w:rsidRPr="00AE4D9F" w:rsidRDefault="00AE4D9F" w:rsidP="00E45D1D">
      <w:pPr>
        <w:pStyle w:val="ListParagraph"/>
        <w:numPr>
          <w:ilvl w:val="0"/>
          <w:numId w:val="15"/>
        </w:num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Pr>
          <w:rFonts w:ascii="Arial" w:hAnsi="Arial" w:cs="Arial"/>
          <w:color w:val="222222"/>
          <w:sz w:val="20"/>
          <w:szCs w:val="20"/>
          <w:shd w:val="clear" w:color="auto" w:fill="FFFFFF"/>
        </w:rPr>
        <w:t xml:space="preserve">Salazar </w:t>
      </w:r>
      <w:proofErr w:type="spellStart"/>
      <w:r>
        <w:rPr>
          <w:rFonts w:ascii="Arial" w:hAnsi="Arial" w:cs="Arial"/>
          <w:color w:val="222222"/>
          <w:sz w:val="20"/>
          <w:szCs w:val="20"/>
          <w:shd w:val="clear" w:color="auto" w:fill="FFFFFF"/>
        </w:rPr>
        <w:t>Flórez</w:t>
      </w:r>
      <w:proofErr w:type="spellEnd"/>
      <w:r>
        <w:rPr>
          <w:rFonts w:ascii="Arial" w:hAnsi="Arial" w:cs="Arial"/>
          <w:color w:val="222222"/>
          <w:sz w:val="20"/>
          <w:szCs w:val="20"/>
          <w:shd w:val="clear" w:color="auto" w:fill="FFFFFF"/>
        </w:rPr>
        <w:t>, J. E., Marín Velasquez, K., Giraldo Cardona, L. S., Segura Cardona, Á. M., Restrepo Jaramillo, B. N., &amp; Arboleda, M. (2025). Dengue Severity Prediction in a Hyperendemic Region in Colombia. </w:t>
      </w:r>
      <w:r>
        <w:rPr>
          <w:rFonts w:ascii="Arial" w:hAnsi="Arial" w:cs="Arial"/>
          <w:i/>
          <w:iCs/>
          <w:color w:val="222222"/>
          <w:sz w:val="20"/>
          <w:szCs w:val="20"/>
          <w:shd w:val="clear" w:color="auto" w:fill="FFFFFF"/>
        </w:rPr>
        <w:t>Viruses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17</w:t>
      </w:r>
      <w:r>
        <w:rPr>
          <w:rFonts w:ascii="Arial" w:hAnsi="Arial" w:cs="Arial"/>
          <w:color w:val="222222"/>
          <w:sz w:val="20"/>
          <w:szCs w:val="20"/>
          <w:shd w:val="clear" w:color="auto" w:fill="FFFFFF"/>
        </w:rPr>
        <w:t>(6), 740.</w:t>
      </w:r>
    </w:p>
    <w:p w14:paraId="6456CAF6" w14:textId="77777777" w:rsidR="00AE4D9F" w:rsidRPr="00AE4D9F" w:rsidRDefault="00AE4D9F" w:rsidP="00E45D1D">
      <w:pPr>
        <w:pStyle w:val="ListParagraph"/>
        <w:numPr>
          <w:ilvl w:val="0"/>
          <w:numId w:val="15"/>
        </w:num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Pr>
          <w:rFonts w:ascii="Arial" w:hAnsi="Arial" w:cs="Arial"/>
          <w:color w:val="222222"/>
          <w:sz w:val="20"/>
          <w:szCs w:val="20"/>
          <w:shd w:val="clear" w:color="auto" w:fill="FFFFFF"/>
        </w:rPr>
        <w:t>TS, P. K. (2025). Dual level dengue diagnosis using lightweight multilayer perceptron with XAI in fog computing environment and rule based inference. </w:t>
      </w:r>
      <w:r>
        <w:rPr>
          <w:rFonts w:ascii="Arial" w:hAnsi="Arial" w:cs="Arial"/>
          <w:i/>
          <w:iCs/>
          <w:color w:val="222222"/>
          <w:sz w:val="20"/>
          <w:szCs w:val="20"/>
          <w:shd w:val="clear" w:color="auto" w:fill="FFFFFF"/>
        </w:rPr>
        <w:t>Scientific Reports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(1), 1-27.</w:t>
      </w:r>
    </w:p>
    <w:p w14:paraId="70B5195A" w14:textId="77777777" w:rsidR="00AE4D9F" w:rsidRPr="00AE4D9F" w:rsidRDefault="00AE4D9F" w:rsidP="00E45D1D">
      <w:pPr>
        <w:pStyle w:val="ListParagraph"/>
        <w:numPr>
          <w:ilvl w:val="0"/>
          <w:numId w:val="15"/>
        </w:num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Pr>
          <w:rFonts w:ascii="Arial" w:hAnsi="Arial" w:cs="Arial"/>
          <w:color w:val="222222"/>
          <w:sz w:val="20"/>
          <w:szCs w:val="20"/>
          <w:shd w:val="clear" w:color="auto" w:fill="FFFFFF"/>
        </w:rPr>
        <w:t>Qaiser, A., Manzoor, S., Hashmi, A. H., Javed, H., Zafar, A., &amp; Ashraf, J. (2024). Support Vector Machine Outperforms Other Machine Learning Models in Early Diagnosis of Dengue Using Routine Clinical Data. </w:t>
      </w:r>
      <w:r>
        <w:rPr>
          <w:rFonts w:ascii="Arial" w:hAnsi="Arial" w:cs="Arial"/>
          <w:i/>
          <w:iCs/>
          <w:color w:val="222222"/>
          <w:sz w:val="20"/>
          <w:szCs w:val="20"/>
          <w:shd w:val="clear" w:color="auto" w:fill="FFFFFF"/>
        </w:rPr>
        <w:t>Advances in Virology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2024</w:t>
      </w:r>
      <w:r>
        <w:rPr>
          <w:rFonts w:ascii="Arial" w:hAnsi="Arial" w:cs="Arial"/>
          <w:color w:val="222222"/>
          <w:sz w:val="20"/>
          <w:szCs w:val="20"/>
          <w:shd w:val="clear" w:color="auto" w:fill="FFFFFF"/>
        </w:rPr>
        <w:t>(1), 5588127.</w:t>
      </w:r>
    </w:p>
    <w:p w14:paraId="6E9A97AA" w14:textId="77777777" w:rsidR="00AE4D9F" w:rsidRPr="007E4A5D" w:rsidRDefault="00AE4D9F" w:rsidP="00E45D1D">
      <w:pPr>
        <w:pStyle w:val="ListParagraph"/>
        <w:numPr>
          <w:ilvl w:val="0"/>
          <w:numId w:val="15"/>
        </w:num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Pr>
          <w:rFonts w:ascii="Arial" w:hAnsi="Arial" w:cs="Arial"/>
          <w:color w:val="222222"/>
          <w:sz w:val="20"/>
          <w:szCs w:val="20"/>
          <w:shd w:val="clear" w:color="auto" w:fill="FFFFFF"/>
        </w:rPr>
        <w:t xml:space="preserve">Kukkar, A., Kumar, Y., Sandhu, J. K., Kaur, M., Walia, T. S., &amp; </w:t>
      </w:r>
      <w:proofErr w:type="spellStart"/>
      <w:r>
        <w:rPr>
          <w:rFonts w:ascii="Arial" w:hAnsi="Arial" w:cs="Arial"/>
          <w:color w:val="222222"/>
          <w:sz w:val="20"/>
          <w:szCs w:val="20"/>
          <w:shd w:val="clear" w:color="auto" w:fill="FFFFFF"/>
        </w:rPr>
        <w:t>Amoon</w:t>
      </w:r>
      <w:proofErr w:type="spellEnd"/>
      <w:r>
        <w:rPr>
          <w:rFonts w:ascii="Arial" w:hAnsi="Arial" w:cs="Arial"/>
          <w:color w:val="222222"/>
          <w:sz w:val="20"/>
          <w:szCs w:val="20"/>
          <w:shd w:val="clear" w:color="auto" w:fill="FFFFFF"/>
        </w:rPr>
        <w:t xml:space="preserve">, M. (2024). </w:t>
      </w:r>
      <w:proofErr w:type="spellStart"/>
      <w:r>
        <w:rPr>
          <w:rFonts w:ascii="Arial" w:hAnsi="Arial" w:cs="Arial"/>
          <w:color w:val="222222"/>
          <w:sz w:val="20"/>
          <w:szCs w:val="20"/>
          <w:shd w:val="clear" w:color="auto" w:fill="FFFFFF"/>
        </w:rPr>
        <w:t>DengueFog</w:t>
      </w:r>
      <w:proofErr w:type="spellEnd"/>
      <w:r>
        <w:rPr>
          <w:rFonts w:ascii="Arial" w:hAnsi="Arial" w:cs="Arial"/>
          <w:color w:val="222222"/>
          <w:sz w:val="20"/>
          <w:szCs w:val="20"/>
          <w:shd w:val="clear" w:color="auto" w:fill="FFFFFF"/>
        </w:rPr>
        <w:t>: A Fog Computing-Enabled Weighted Random Forest-Based Smart Health Monitoring System for Automatic Dengue Prediction. </w:t>
      </w:r>
      <w:r>
        <w:rPr>
          <w:rFonts w:ascii="Arial" w:hAnsi="Arial" w:cs="Arial"/>
          <w:i/>
          <w:iCs/>
          <w:color w:val="222222"/>
          <w:sz w:val="20"/>
          <w:szCs w:val="20"/>
          <w:shd w:val="clear" w:color="auto" w:fill="FFFFFF"/>
        </w:rPr>
        <w:t>Diagnostics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(6), 624.</w:t>
      </w:r>
    </w:p>
    <w:sectPr w:rsidR="00AE4D9F" w:rsidRPr="007E4A5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E297B" w14:textId="77777777" w:rsidR="00F45F1C" w:rsidRDefault="00F45F1C" w:rsidP="00596AAB">
      <w:pPr>
        <w:spacing w:after="0" w:line="240" w:lineRule="auto"/>
      </w:pPr>
      <w:r>
        <w:separator/>
      </w:r>
    </w:p>
  </w:endnote>
  <w:endnote w:type="continuationSeparator" w:id="0">
    <w:p w14:paraId="2BBFAF43" w14:textId="77777777" w:rsidR="00F45F1C" w:rsidRDefault="00F45F1C" w:rsidP="0059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B9D1D" w14:textId="77777777" w:rsidR="00596AAB" w:rsidRDefault="00596A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3F65F" w14:textId="77777777" w:rsidR="00596AAB" w:rsidRDefault="00596A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E9685" w14:textId="77777777" w:rsidR="00596AAB" w:rsidRDefault="00596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38F1C" w14:textId="77777777" w:rsidR="00F45F1C" w:rsidRDefault="00F45F1C" w:rsidP="00596AAB">
      <w:pPr>
        <w:spacing w:after="0" w:line="240" w:lineRule="auto"/>
      </w:pPr>
      <w:r>
        <w:separator/>
      </w:r>
    </w:p>
  </w:footnote>
  <w:footnote w:type="continuationSeparator" w:id="0">
    <w:p w14:paraId="6A59980A" w14:textId="77777777" w:rsidR="00F45F1C" w:rsidRDefault="00F45F1C" w:rsidP="00596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EB61F" w14:textId="65FBA4B7" w:rsidR="00596AAB" w:rsidRDefault="00F45F1C">
    <w:pPr>
      <w:pStyle w:val="Header"/>
    </w:pPr>
    <w:r>
      <w:rPr>
        <w:noProof/>
      </w:rPr>
      <w:pict w14:anchorId="18D2B1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745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0C01F" w14:textId="6FCA061D" w:rsidR="00596AAB" w:rsidRDefault="00F45F1C">
    <w:pPr>
      <w:pStyle w:val="Header"/>
    </w:pPr>
    <w:r>
      <w:rPr>
        <w:noProof/>
      </w:rPr>
      <w:pict w14:anchorId="142523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745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44CA" w14:textId="3109DCE3" w:rsidR="00596AAB" w:rsidRDefault="00F45F1C">
    <w:pPr>
      <w:pStyle w:val="Header"/>
    </w:pPr>
    <w:r>
      <w:rPr>
        <w:noProof/>
      </w:rPr>
      <w:pict w14:anchorId="24B439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745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32A4"/>
    <w:multiLevelType w:val="multilevel"/>
    <w:tmpl w:val="17F8D8C8"/>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953C8"/>
    <w:multiLevelType w:val="hybridMultilevel"/>
    <w:tmpl w:val="CE0AFB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E668BF"/>
    <w:multiLevelType w:val="multilevel"/>
    <w:tmpl w:val="71F07BA0"/>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33EAE"/>
    <w:multiLevelType w:val="hybridMultilevel"/>
    <w:tmpl w:val="D7BAB6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BD5606F"/>
    <w:multiLevelType w:val="multilevel"/>
    <w:tmpl w:val="B164E450"/>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A358F8"/>
    <w:multiLevelType w:val="multilevel"/>
    <w:tmpl w:val="DAE29F42"/>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AE4B9C"/>
    <w:multiLevelType w:val="multilevel"/>
    <w:tmpl w:val="CED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CE1EA1"/>
    <w:multiLevelType w:val="hybridMultilevel"/>
    <w:tmpl w:val="7BC232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D2D28CD"/>
    <w:multiLevelType w:val="hybridMultilevel"/>
    <w:tmpl w:val="E1E0F8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F6D090F"/>
    <w:multiLevelType w:val="multilevel"/>
    <w:tmpl w:val="825EC4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8B72EE"/>
    <w:multiLevelType w:val="hybridMultilevel"/>
    <w:tmpl w:val="B1E650C2"/>
    <w:lvl w:ilvl="0" w:tplc="4009000F">
      <w:start w:val="1"/>
      <w:numFmt w:val="decimal"/>
      <w:lvlText w:val="%1."/>
      <w:lvlJc w:val="left"/>
      <w:pPr>
        <w:ind w:left="927"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0E25EAF"/>
    <w:multiLevelType w:val="multilevel"/>
    <w:tmpl w:val="4808D518"/>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CC48F4"/>
    <w:multiLevelType w:val="multilevel"/>
    <w:tmpl w:val="FEBAF04C"/>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D576C5"/>
    <w:multiLevelType w:val="multilevel"/>
    <w:tmpl w:val="70722C34"/>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052F76"/>
    <w:multiLevelType w:val="multilevel"/>
    <w:tmpl w:val="DE74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40462E"/>
    <w:multiLevelType w:val="multilevel"/>
    <w:tmpl w:val="0EBC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3A21FB"/>
    <w:multiLevelType w:val="multilevel"/>
    <w:tmpl w:val="9B7E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906650"/>
    <w:multiLevelType w:val="hybridMultilevel"/>
    <w:tmpl w:val="982404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8427434"/>
    <w:multiLevelType w:val="hybridMultilevel"/>
    <w:tmpl w:val="5E6235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CD87743"/>
    <w:multiLevelType w:val="hybridMultilevel"/>
    <w:tmpl w:val="4BB02A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F683F7B"/>
    <w:multiLevelType w:val="multilevel"/>
    <w:tmpl w:val="326C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45617C"/>
    <w:multiLevelType w:val="multilevel"/>
    <w:tmpl w:val="4A6C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450379"/>
    <w:multiLevelType w:val="multilevel"/>
    <w:tmpl w:val="AD18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A94A51"/>
    <w:multiLevelType w:val="multilevel"/>
    <w:tmpl w:val="AC188918"/>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6"/>
  </w:num>
  <w:num w:numId="3">
    <w:abstractNumId w:val="21"/>
  </w:num>
  <w:num w:numId="4">
    <w:abstractNumId w:val="6"/>
  </w:num>
  <w:num w:numId="5">
    <w:abstractNumId w:val="14"/>
  </w:num>
  <w:num w:numId="6">
    <w:abstractNumId w:val="15"/>
  </w:num>
  <w:num w:numId="7">
    <w:abstractNumId w:val="19"/>
  </w:num>
  <w:num w:numId="8">
    <w:abstractNumId w:val="8"/>
  </w:num>
  <w:num w:numId="9">
    <w:abstractNumId w:val="18"/>
  </w:num>
  <w:num w:numId="10">
    <w:abstractNumId w:val="17"/>
  </w:num>
  <w:num w:numId="11">
    <w:abstractNumId w:val="7"/>
  </w:num>
  <w:num w:numId="12">
    <w:abstractNumId w:val="1"/>
  </w:num>
  <w:num w:numId="13">
    <w:abstractNumId w:val="3"/>
  </w:num>
  <w:num w:numId="14">
    <w:abstractNumId w:val="22"/>
  </w:num>
  <w:num w:numId="15">
    <w:abstractNumId w:val="10"/>
  </w:num>
  <w:num w:numId="16">
    <w:abstractNumId w:val="9"/>
  </w:num>
  <w:num w:numId="17">
    <w:abstractNumId w:val="0"/>
  </w:num>
  <w:num w:numId="18">
    <w:abstractNumId w:val="4"/>
  </w:num>
  <w:num w:numId="19">
    <w:abstractNumId w:val="12"/>
  </w:num>
  <w:num w:numId="20">
    <w:abstractNumId w:val="13"/>
  </w:num>
  <w:num w:numId="21">
    <w:abstractNumId w:val="2"/>
  </w:num>
  <w:num w:numId="22">
    <w:abstractNumId w:val="5"/>
  </w:num>
  <w:num w:numId="23">
    <w:abstractNumId w:val="23"/>
  </w:num>
  <w:num w:numId="24">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984"/>
    <w:rsid w:val="00004AF4"/>
    <w:rsid w:val="00006A7A"/>
    <w:rsid w:val="00024F8B"/>
    <w:rsid w:val="00090C76"/>
    <w:rsid w:val="00095031"/>
    <w:rsid w:val="000B6BC2"/>
    <w:rsid w:val="00100084"/>
    <w:rsid w:val="0010430A"/>
    <w:rsid w:val="00126526"/>
    <w:rsid w:val="0013584A"/>
    <w:rsid w:val="00152FD0"/>
    <w:rsid w:val="0018095C"/>
    <w:rsid w:val="001A3FCF"/>
    <w:rsid w:val="001C6F4B"/>
    <w:rsid w:val="001E7FF2"/>
    <w:rsid w:val="00266DD8"/>
    <w:rsid w:val="002761C6"/>
    <w:rsid w:val="0028366B"/>
    <w:rsid w:val="00284363"/>
    <w:rsid w:val="002C10B0"/>
    <w:rsid w:val="002C6AA4"/>
    <w:rsid w:val="003076D4"/>
    <w:rsid w:val="00311A29"/>
    <w:rsid w:val="00315182"/>
    <w:rsid w:val="00320535"/>
    <w:rsid w:val="00356B23"/>
    <w:rsid w:val="00365998"/>
    <w:rsid w:val="0037418E"/>
    <w:rsid w:val="00383D8A"/>
    <w:rsid w:val="003B6047"/>
    <w:rsid w:val="003F07F5"/>
    <w:rsid w:val="00406BD3"/>
    <w:rsid w:val="004117F2"/>
    <w:rsid w:val="00416E5F"/>
    <w:rsid w:val="00434463"/>
    <w:rsid w:val="004660C4"/>
    <w:rsid w:val="00471F45"/>
    <w:rsid w:val="00473CC6"/>
    <w:rsid w:val="00522E1B"/>
    <w:rsid w:val="00525F76"/>
    <w:rsid w:val="00560D8B"/>
    <w:rsid w:val="005751FA"/>
    <w:rsid w:val="00582C88"/>
    <w:rsid w:val="00585FC2"/>
    <w:rsid w:val="00596AAB"/>
    <w:rsid w:val="005A6546"/>
    <w:rsid w:val="005A6DD6"/>
    <w:rsid w:val="005C15FE"/>
    <w:rsid w:val="005C7FF1"/>
    <w:rsid w:val="005D032C"/>
    <w:rsid w:val="005D7EAD"/>
    <w:rsid w:val="00613F7F"/>
    <w:rsid w:val="00617B0B"/>
    <w:rsid w:val="00663D4F"/>
    <w:rsid w:val="00681B39"/>
    <w:rsid w:val="006A19A5"/>
    <w:rsid w:val="006B3B09"/>
    <w:rsid w:val="006D516F"/>
    <w:rsid w:val="006F41C9"/>
    <w:rsid w:val="006F6966"/>
    <w:rsid w:val="00731FE1"/>
    <w:rsid w:val="007577AE"/>
    <w:rsid w:val="00781442"/>
    <w:rsid w:val="007A1D53"/>
    <w:rsid w:val="007C01B3"/>
    <w:rsid w:val="007C4E1C"/>
    <w:rsid w:val="007E4A5D"/>
    <w:rsid w:val="007E7188"/>
    <w:rsid w:val="00800088"/>
    <w:rsid w:val="008030BA"/>
    <w:rsid w:val="00826934"/>
    <w:rsid w:val="008E2DD2"/>
    <w:rsid w:val="00910991"/>
    <w:rsid w:val="00916EC4"/>
    <w:rsid w:val="00973902"/>
    <w:rsid w:val="00985C0E"/>
    <w:rsid w:val="00987AE6"/>
    <w:rsid w:val="009C524A"/>
    <w:rsid w:val="009E67FF"/>
    <w:rsid w:val="009F6632"/>
    <w:rsid w:val="00A12FB3"/>
    <w:rsid w:val="00A26D6E"/>
    <w:rsid w:val="00A31DE2"/>
    <w:rsid w:val="00A4443B"/>
    <w:rsid w:val="00A51D04"/>
    <w:rsid w:val="00AA5DE6"/>
    <w:rsid w:val="00AB3BF7"/>
    <w:rsid w:val="00AB5682"/>
    <w:rsid w:val="00AC3D16"/>
    <w:rsid w:val="00AD5691"/>
    <w:rsid w:val="00AE4D9F"/>
    <w:rsid w:val="00B17150"/>
    <w:rsid w:val="00B36018"/>
    <w:rsid w:val="00B61479"/>
    <w:rsid w:val="00BA039D"/>
    <w:rsid w:val="00BB4AA6"/>
    <w:rsid w:val="00C22057"/>
    <w:rsid w:val="00C3110C"/>
    <w:rsid w:val="00C5482A"/>
    <w:rsid w:val="00C60660"/>
    <w:rsid w:val="00C77074"/>
    <w:rsid w:val="00C80F2C"/>
    <w:rsid w:val="00C91350"/>
    <w:rsid w:val="00CB54F7"/>
    <w:rsid w:val="00CC7139"/>
    <w:rsid w:val="00CD719B"/>
    <w:rsid w:val="00D17560"/>
    <w:rsid w:val="00D306B7"/>
    <w:rsid w:val="00D41984"/>
    <w:rsid w:val="00D46727"/>
    <w:rsid w:val="00D5562F"/>
    <w:rsid w:val="00D57EFF"/>
    <w:rsid w:val="00DC2052"/>
    <w:rsid w:val="00DC6DBE"/>
    <w:rsid w:val="00DD4120"/>
    <w:rsid w:val="00DF4925"/>
    <w:rsid w:val="00E326AD"/>
    <w:rsid w:val="00E45D1D"/>
    <w:rsid w:val="00E47ACB"/>
    <w:rsid w:val="00E526B0"/>
    <w:rsid w:val="00E67322"/>
    <w:rsid w:val="00E701D5"/>
    <w:rsid w:val="00E97BCC"/>
    <w:rsid w:val="00EB1206"/>
    <w:rsid w:val="00ED30EC"/>
    <w:rsid w:val="00EE1D65"/>
    <w:rsid w:val="00EF0E26"/>
    <w:rsid w:val="00F31AC1"/>
    <w:rsid w:val="00F348E0"/>
    <w:rsid w:val="00F36B8B"/>
    <w:rsid w:val="00F45F1C"/>
    <w:rsid w:val="00F467E3"/>
    <w:rsid w:val="00F55C09"/>
    <w:rsid w:val="00F57DFC"/>
    <w:rsid w:val="00F73F4F"/>
    <w:rsid w:val="00FB10B0"/>
    <w:rsid w:val="00FB516F"/>
    <w:rsid w:val="00FF5CC0"/>
    <w:rsid w:val="00FF71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D2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4198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D4198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10430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1984"/>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D41984"/>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D4198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41984"/>
    <w:rPr>
      <w:b/>
      <w:bCs/>
    </w:rPr>
  </w:style>
  <w:style w:type="character" w:styleId="Emphasis">
    <w:name w:val="Emphasis"/>
    <w:basedOn w:val="DefaultParagraphFont"/>
    <w:uiPriority w:val="20"/>
    <w:qFormat/>
    <w:rsid w:val="00C77074"/>
    <w:rPr>
      <w:i/>
      <w:iCs/>
    </w:rPr>
  </w:style>
  <w:style w:type="character" w:customStyle="1" w:styleId="Heading4Char">
    <w:name w:val="Heading 4 Char"/>
    <w:basedOn w:val="DefaultParagraphFont"/>
    <w:link w:val="Heading4"/>
    <w:uiPriority w:val="9"/>
    <w:semiHidden/>
    <w:rsid w:val="0010430A"/>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C80F2C"/>
    <w:pPr>
      <w:ind w:left="720"/>
      <w:contextualSpacing/>
    </w:pPr>
  </w:style>
  <w:style w:type="character" w:styleId="Hyperlink">
    <w:name w:val="Hyperlink"/>
    <w:basedOn w:val="DefaultParagraphFont"/>
    <w:uiPriority w:val="99"/>
    <w:semiHidden/>
    <w:unhideWhenUsed/>
    <w:rsid w:val="005D7EAD"/>
    <w:rPr>
      <w:color w:val="0563C1" w:themeColor="hyperlink"/>
      <w:u w:val="single"/>
    </w:rPr>
  </w:style>
  <w:style w:type="paragraph" w:styleId="Header">
    <w:name w:val="header"/>
    <w:basedOn w:val="Normal"/>
    <w:link w:val="HeaderChar"/>
    <w:uiPriority w:val="99"/>
    <w:unhideWhenUsed/>
    <w:rsid w:val="00596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AAB"/>
  </w:style>
  <w:style w:type="paragraph" w:styleId="Footer">
    <w:name w:val="footer"/>
    <w:basedOn w:val="Normal"/>
    <w:link w:val="FooterChar"/>
    <w:uiPriority w:val="99"/>
    <w:unhideWhenUsed/>
    <w:rsid w:val="00596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AAB"/>
  </w:style>
  <w:style w:type="paragraph" w:styleId="BalloonText">
    <w:name w:val="Balloon Text"/>
    <w:basedOn w:val="Normal"/>
    <w:link w:val="BalloonTextChar"/>
    <w:uiPriority w:val="99"/>
    <w:semiHidden/>
    <w:unhideWhenUsed/>
    <w:rsid w:val="00356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B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4198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D4198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10430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1984"/>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D41984"/>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D4198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41984"/>
    <w:rPr>
      <w:b/>
      <w:bCs/>
    </w:rPr>
  </w:style>
  <w:style w:type="character" w:styleId="Emphasis">
    <w:name w:val="Emphasis"/>
    <w:basedOn w:val="DefaultParagraphFont"/>
    <w:uiPriority w:val="20"/>
    <w:qFormat/>
    <w:rsid w:val="00C77074"/>
    <w:rPr>
      <w:i/>
      <w:iCs/>
    </w:rPr>
  </w:style>
  <w:style w:type="character" w:customStyle="1" w:styleId="Heading4Char">
    <w:name w:val="Heading 4 Char"/>
    <w:basedOn w:val="DefaultParagraphFont"/>
    <w:link w:val="Heading4"/>
    <w:uiPriority w:val="9"/>
    <w:semiHidden/>
    <w:rsid w:val="0010430A"/>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C80F2C"/>
    <w:pPr>
      <w:ind w:left="720"/>
      <w:contextualSpacing/>
    </w:pPr>
  </w:style>
  <w:style w:type="character" w:styleId="Hyperlink">
    <w:name w:val="Hyperlink"/>
    <w:basedOn w:val="DefaultParagraphFont"/>
    <w:uiPriority w:val="99"/>
    <w:semiHidden/>
    <w:unhideWhenUsed/>
    <w:rsid w:val="005D7EAD"/>
    <w:rPr>
      <w:color w:val="0563C1" w:themeColor="hyperlink"/>
      <w:u w:val="single"/>
    </w:rPr>
  </w:style>
  <w:style w:type="paragraph" w:styleId="Header">
    <w:name w:val="header"/>
    <w:basedOn w:val="Normal"/>
    <w:link w:val="HeaderChar"/>
    <w:uiPriority w:val="99"/>
    <w:unhideWhenUsed/>
    <w:rsid w:val="00596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AAB"/>
  </w:style>
  <w:style w:type="paragraph" w:styleId="Footer">
    <w:name w:val="footer"/>
    <w:basedOn w:val="Normal"/>
    <w:link w:val="FooterChar"/>
    <w:uiPriority w:val="99"/>
    <w:unhideWhenUsed/>
    <w:rsid w:val="00596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AAB"/>
  </w:style>
  <w:style w:type="paragraph" w:styleId="BalloonText">
    <w:name w:val="Balloon Text"/>
    <w:basedOn w:val="Normal"/>
    <w:link w:val="BalloonTextChar"/>
    <w:uiPriority w:val="99"/>
    <w:semiHidden/>
    <w:unhideWhenUsed/>
    <w:rsid w:val="00356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B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2661">
      <w:bodyDiv w:val="1"/>
      <w:marLeft w:val="0"/>
      <w:marRight w:val="0"/>
      <w:marTop w:val="0"/>
      <w:marBottom w:val="0"/>
      <w:divBdr>
        <w:top w:val="none" w:sz="0" w:space="0" w:color="auto"/>
        <w:left w:val="none" w:sz="0" w:space="0" w:color="auto"/>
        <w:bottom w:val="none" w:sz="0" w:space="0" w:color="auto"/>
        <w:right w:val="none" w:sz="0" w:space="0" w:color="auto"/>
      </w:divBdr>
    </w:div>
    <w:div w:id="93983366">
      <w:bodyDiv w:val="1"/>
      <w:marLeft w:val="0"/>
      <w:marRight w:val="0"/>
      <w:marTop w:val="0"/>
      <w:marBottom w:val="0"/>
      <w:divBdr>
        <w:top w:val="none" w:sz="0" w:space="0" w:color="auto"/>
        <w:left w:val="none" w:sz="0" w:space="0" w:color="auto"/>
        <w:bottom w:val="none" w:sz="0" w:space="0" w:color="auto"/>
        <w:right w:val="none" w:sz="0" w:space="0" w:color="auto"/>
      </w:divBdr>
    </w:div>
    <w:div w:id="112674045">
      <w:bodyDiv w:val="1"/>
      <w:marLeft w:val="0"/>
      <w:marRight w:val="0"/>
      <w:marTop w:val="0"/>
      <w:marBottom w:val="0"/>
      <w:divBdr>
        <w:top w:val="none" w:sz="0" w:space="0" w:color="auto"/>
        <w:left w:val="none" w:sz="0" w:space="0" w:color="auto"/>
        <w:bottom w:val="none" w:sz="0" w:space="0" w:color="auto"/>
        <w:right w:val="none" w:sz="0" w:space="0" w:color="auto"/>
      </w:divBdr>
    </w:div>
    <w:div w:id="114032963">
      <w:bodyDiv w:val="1"/>
      <w:marLeft w:val="0"/>
      <w:marRight w:val="0"/>
      <w:marTop w:val="0"/>
      <w:marBottom w:val="0"/>
      <w:divBdr>
        <w:top w:val="none" w:sz="0" w:space="0" w:color="auto"/>
        <w:left w:val="none" w:sz="0" w:space="0" w:color="auto"/>
        <w:bottom w:val="none" w:sz="0" w:space="0" w:color="auto"/>
        <w:right w:val="none" w:sz="0" w:space="0" w:color="auto"/>
      </w:divBdr>
    </w:div>
    <w:div w:id="156264986">
      <w:bodyDiv w:val="1"/>
      <w:marLeft w:val="0"/>
      <w:marRight w:val="0"/>
      <w:marTop w:val="0"/>
      <w:marBottom w:val="0"/>
      <w:divBdr>
        <w:top w:val="none" w:sz="0" w:space="0" w:color="auto"/>
        <w:left w:val="none" w:sz="0" w:space="0" w:color="auto"/>
        <w:bottom w:val="none" w:sz="0" w:space="0" w:color="auto"/>
        <w:right w:val="none" w:sz="0" w:space="0" w:color="auto"/>
      </w:divBdr>
    </w:div>
    <w:div w:id="166486735">
      <w:bodyDiv w:val="1"/>
      <w:marLeft w:val="0"/>
      <w:marRight w:val="0"/>
      <w:marTop w:val="0"/>
      <w:marBottom w:val="0"/>
      <w:divBdr>
        <w:top w:val="none" w:sz="0" w:space="0" w:color="auto"/>
        <w:left w:val="none" w:sz="0" w:space="0" w:color="auto"/>
        <w:bottom w:val="none" w:sz="0" w:space="0" w:color="auto"/>
        <w:right w:val="none" w:sz="0" w:space="0" w:color="auto"/>
      </w:divBdr>
    </w:div>
    <w:div w:id="167405997">
      <w:bodyDiv w:val="1"/>
      <w:marLeft w:val="0"/>
      <w:marRight w:val="0"/>
      <w:marTop w:val="0"/>
      <w:marBottom w:val="0"/>
      <w:divBdr>
        <w:top w:val="none" w:sz="0" w:space="0" w:color="auto"/>
        <w:left w:val="none" w:sz="0" w:space="0" w:color="auto"/>
        <w:bottom w:val="none" w:sz="0" w:space="0" w:color="auto"/>
        <w:right w:val="none" w:sz="0" w:space="0" w:color="auto"/>
      </w:divBdr>
    </w:div>
    <w:div w:id="176042136">
      <w:bodyDiv w:val="1"/>
      <w:marLeft w:val="0"/>
      <w:marRight w:val="0"/>
      <w:marTop w:val="0"/>
      <w:marBottom w:val="0"/>
      <w:divBdr>
        <w:top w:val="none" w:sz="0" w:space="0" w:color="auto"/>
        <w:left w:val="none" w:sz="0" w:space="0" w:color="auto"/>
        <w:bottom w:val="none" w:sz="0" w:space="0" w:color="auto"/>
        <w:right w:val="none" w:sz="0" w:space="0" w:color="auto"/>
      </w:divBdr>
    </w:div>
    <w:div w:id="204102858">
      <w:bodyDiv w:val="1"/>
      <w:marLeft w:val="0"/>
      <w:marRight w:val="0"/>
      <w:marTop w:val="0"/>
      <w:marBottom w:val="0"/>
      <w:divBdr>
        <w:top w:val="none" w:sz="0" w:space="0" w:color="auto"/>
        <w:left w:val="none" w:sz="0" w:space="0" w:color="auto"/>
        <w:bottom w:val="none" w:sz="0" w:space="0" w:color="auto"/>
        <w:right w:val="none" w:sz="0" w:space="0" w:color="auto"/>
      </w:divBdr>
    </w:div>
    <w:div w:id="220750652">
      <w:bodyDiv w:val="1"/>
      <w:marLeft w:val="0"/>
      <w:marRight w:val="0"/>
      <w:marTop w:val="0"/>
      <w:marBottom w:val="0"/>
      <w:divBdr>
        <w:top w:val="none" w:sz="0" w:space="0" w:color="auto"/>
        <w:left w:val="none" w:sz="0" w:space="0" w:color="auto"/>
        <w:bottom w:val="none" w:sz="0" w:space="0" w:color="auto"/>
        <w:right w:val="none" w:sz="0" w:space="0" w:color="auto"/>
      </w:divBdr>
    </w:div>
    <w:div w:id="250627786">
      <w:bodyDiv w:val="1"/>
      <w:marLeft w:val="0"/>
      <w:marRight w:val="0"/>
      <w:marTop w:val="0"/>
      <w:marBottom w:val="0"/>
      <w:divBdr>
        <w:top w:val="none" w:sz="0" w:space="0" w:color="auto"/>
        <w:left w:val="none" w:sz="0" w:space="0" w:color="auto"/>
        <w:bottom w:val="none" w:sz="0" w:space="0" w:color="auto"/>
        <w:right w:val="none" w:sz="0" w:space="0" w:color="auto"/>
      </w:divBdr>
    </w:div>
    <w:div w:id="252399342">
      <w:bodyDiv w:val="1"/>
      <w:marLeft w:val="0"/>
      <w:marRight w:val="0"/>
      <w:marTop w:val="0"/>
      <w:marBottom w:val="0"/>
      <w:divBdr>
        <w:top w:val="none" w:sz="0" w:space="0" w:color="auto"/>
        <w:left w:val="none" w:sz="0" w:space="0" w:color="auto"/>
        <w:bottom w:val="none" w:sz="0" w:space="0" w:color="auto"/>
        <w:right w:val="none" w:sz="0" w:space="0" w:color="auto"/>
      </w:divBdr>
    </w:div>
    <w:div w:id="326790968">
      <w:bodyDiv w:val="1"/>
      <w:marLeft w:val="0"/>
      <w:marRight w:val="0"/>
      <w:marTop w:val="0"/>
      <w:marBottom w:val="0"/>
      <w:divBdr>
        <w:top w:val="none" w:sz="0" w:space="0" w:color="auto"/>
        <w:left w:val="none" w:sz="0" w:space="0" w:color="auto"/>
        <w:bottom w:val="none" w:sz="0" w:space="0" w:color="auto"/>
        <w:right w:val="none" w:sz="0" w:space="0" w:color="auto"/>
      </w:divBdr>
    </w:div>
    <w:div w:id="358118468">
      <w:bodyDiv w:val="1"/>
      <w:marLeft w:val="0"/>
      <w:marRight w:val="0"/>
      <w:marTop w:val="0"/>
      <w:marBottom w:val="0"/>
      <w:divBdr>
        <w:top w:val="none" w:sz="0" w:space="0" w:color="auto"/>
        <w:left w:val="none" w:sz="0" w:space="0" w:color="auto"/>
        <w:bottom w:val="none" w:sz="0" w:space="0" w:color="auto"/>
        <w:right w:val="none" w:sz="0" w:space="0" w:color="auto"/>
      </w:divBdr>
    </w:div>
    <w:div w:id="387459211">
      <w:bodyDiv w:val="1"/>
      <w:marLeft w:val="0"/>
      <w:marRight w:val="0"/>
      <w:marTop w:val="0"/>
      <w:marBottom w:val="0"/>
      <w:divBdr>
        <w:top w:val="none" w:sz="0" w:space="0" w:color="auto"/>
        <w:left w:val="none" w:sz="0" w:space="0" w:color="auto"/>
        <w:bottom w:val="none" w:sz="0" w:space="0" w:color="auto"/>
        <w:right w:val="none" w:sz="0" w:space="0" w:color="auto"/>
      </w:divBdr>
    </w:div>
    <w:div w:id="439034338">
      <w:bodyDiv w:val="1"/>
      <w:marLeft w:val="0"/>
      <w:marRight w:val="0"/>
      <w:marTop w:val="0"/>
      <w:marBottom w:val="0"/>
      <w:divBdr>
        <w:top w:val="none" w:sz="0" w:space="0" w:color="auto"/>
        <w:left w:val="none" w:sz="0" w:space="0" w:color="auto"/>
        <w:bottom w:val="none" w:sz="0" w:space="0" w:color="auto"/>
        <w:right w:val="none" w:sz="0" w:space="0" w:color="auto"/>
      </w:divBdr>
    </w:div>
    <w:div w:id="439106230">
      <w:bodyDiv w:val="1"/>
      <w:marLeft w:val="0"/>
      <w:marRight w:val="0"/>
      <w:marTop w:val="0"/>
      <w:marBottom w:val="0"/>
      <w:divBdr>
        <w:top w:val="none" w:sz="0" w:space="0" w:color="auto"/>
        <w:left w:val="none" w:sz="0" w:space="0" w:color="auto"/>
        <w:bottom w:val="none" w:sz="0" w:space="0" w:color="auto"/>
        <w:right w:val="none" w:sz="0" w:space="0" w:color="auto"/>
      </w:divBdr>
    </w:div>
    <w:div w:id="473107194">
      <w:bodyDiv w:val="1"/>
      <w:marLeft w:val="0"/>
      <w:marRight w:val="0"/>
      <w:marTop w:val="0"/>
      <w:marBottom w:val="0"/>
      <w:divBdr>
        <w:top w:val="none" w:sz="0" w:space="0" w:color="auto"/>
        <w:left w:val="none" w:sz="0" w:space="0" w:color="auto"/>
        <w:bottom w:val="none" w:sz="0" w:space="0" w:color="auto"/>
        <w:right w:val="none" w:sz="0" w:space="0" w:color="auto"/>
      </w:divBdr>
    </w:div>
    <w:div w:id="474375066">
      <w:bodyDiv w:val="1"/>
      <w:marLeft w:val="0"/>
      <w:marRight w:val="0"/>
      <w:marTop w:val="0"/>
      <w:marBottom w:val="0"/>
      <w:divBdr>
        <w:top w:val="none" w:sz="0" w:space="0" w:color="auto"/>
        <w:left w:val="none" w:sz="0" w:space="0" w:color="auto"/>
        <w:bottom w:val="none" w:sz="0" w:space="0" w:color="auto"/>
        <w:right w:val="none" w:sz="0" w:space="0" w:color="auto"/>
      </w:divBdr>
    </w:div>
    <w:div w:id="486482310">
      <w:bodyDiv w:val="1"/>
      <w:marLeft w:val="0"/>
      <w:marRight w:val="0"/>
      <w:marTop w:val="0"/>
      <w:marBottom w:val="0"/>
      <w:divBdr>
        <w:top w:val="none" w:sz="0" w:space="0" w:color="auto"/>
        <w:left w:val="none" w:sz="0" w:space="0" w:color="auto"/>
        <w:bottom w:val="none" w:sz="0" w:space="0" w:color="auto"/>
        <w:right w:val="none" w:sz="0" w:space="0" w:color="auto"/>
      </w:divBdr>
    </w:div>
    <w:div w:id="495073253">
      <w:bodyDiv w:val="1"/>
      <w:marLeft w:val="0"/>
      <w:marRight w:val="0"/>
      <w:marTop w:val="0"/>
      <w:marBottom w:val="0"/>
      <w:divBdr>
        <w:top w:val="none" w:sz="0" w:space="0" w:color="auto"/>
        <w:left w:val="none" w:sz="0" w:space="0" w:color="auto"/>
        <w:bottom w:val="none" w:sz="0" w:space="0" w:color="auto"/>
        <w:right w:val="none" w:sz="0" w:space="0" w:color="auto"/>
      </w:divBdr>
    </w:div>
    <w:div w:id="517354447">
      <w:bodyDiv w:val="1"/>
      <w:marLeft w:val="0"/>
      <w:marRight w:val="0"/>
      <w:marTop w:val="0"/>
      <w:marBottom w:val="0"/>
      <w:divBdr>
        <w:top w:val="none" w:sz="0" w:space="0" w:color="auto"/>
        <w:left w:val="none" w:sz="0" w:space="0" w:color="auto"/>
        <w:bottom w:val="none" w:sz="0" w:space="0" w:color="auto"/>
        <w:right w:val="none" w:sz="0" w:space="0" w:color="auto"/>
      </w:divBdr>
    </w:div>
    <w:div w:id="528875588">
      <w:bodyDiv w:val="1"/>
      <w:marLeft w:val="0"/>
      <w:marRight w:val="0"/>
      <w:marTop w:val="0"/>
      <w:marBottom w:val="0"/>
      <w:divBdr>
        <w:top w:val="none" w:sz="0" w:space="0" w:color="auto"/>
        <w:left w:val="none" w:sz="0" w:space="0" w:color="auto"/>
        <w:bottom w:val="none" w:sz="0" w:space="0" w:color="auto"/>
        <w:right w:val="none" w:sz="0" w:space="0" w:color="auto"/>
      </w:divBdr>
    </w:div>
    <w:div w:id="555167477">
      <w:bodyDiv w:val="1"/>
      <w:marLeft w:val="0"/>
      <w:marRight w:val="0"/>
      <w:marTop w:val="0"/>
      <w:marBottom w:val="0"/>
      <w:divBdr>
        <w:top w:val="none" w:sz="0" w:space="0" w:color="auto"/>
        <w:left w:val="none" w:sz="0" w:space="0" w:color="auto"/>
        <w:bottom w:val="none" w:sz="0" w:space="0" w:color="auto"/>
        <w:right w:val="none" w:sz="0" w:space="0" w:color="auto"/>
      </w:divBdr>
    </w:div>
    <w:div w:id="567423868">
      <w:bodyDiv w:val="1"/>
      <w:marLeft w:val="0"/>
      <w:marRight w:val="0"/>
      <w:marTop w:val="0"/>
      <w:marBottom w:val="0"/>
      <w:divBdr>
        <w:top w:val="none" w:sz="0" w:space="0" w:color="auto"/>
        <w:left w:val="none" w:sz="0" w:space="0" w:color="auto"/>
        <w:bottom w:val="none" w:sz="0" w:space="0" w:color="auto"/>
        <w:right w:val="none" w:sz="0" w:space="0" w:color="auto"/>
      </w:divBdr>
    </w:div>
    <w:div w:id="568349385">
      <w:bodyDiv w:val="1"/>
      <w:marLeft w:val="0"/>
      <w:marRight w:val="0"/>
      <w:marTop w:val="0"/>
      <w:marBottom w:val="0"/>
      <w:divBdr>
        <w:top w:val="none" w:sz="0" w:space="0" w:color="auto"/>
        <w:left w:val="none" w:sz="0" w:space="0" w:color="auto"/>
        <w:bottom w:val="none" w:sz="0" w:space="0" w:color="auto"/>
        <w:right w:val="none" w:sz="0" w:space="0" w:color="auto"/>
      </w:divBdr>
    </w:div>
    <w:div w:id="593443549">
      <w:bodyDiv w:val="1"/>
      <w:marLeft w:val="0"/>
      <w:marRight w:val="0"/>
      <w:marTop w:val="0"/>
      <w:marBottom w:val="0"/>
      <w:divBdr>
        <w:top w:val="none" w:sz="0" w:space="0" w:color="auto"/>
        <w:left w:val="none" w:sz="0" w:space="0" w:color="auto"/>
        <w:bottom w:val="none" w:sz="0" w:space="0" w:color="auto"/>
        <w:right w:val="none" w:sz="0" w:space="0" w:color="auto"/>
      </w:divBdr>
    </w:div>
    <w:div w:id="620770986">
      <w:bodyDiv w:val="1"/>
      <w:marLeft w:val="0"/>
      <w:marRight w:val="0"/>
      <w:marTop w:val="0"/>
      <w:marBottom w:val="0"/>
      <w:divBdr>
        <w:top w:val="none" w:sz="0" w:space="0" w:color="auto"/>
        <w:left w:val="none" w:sz="0" w:space="0" w:color="auto"/>
        <w:bottom w:val="none" w:sz="0" w:space="0" w:color="auto"/>
        <w:right w:val="none" w:sz="0" w:space="0" w:color="auto"/>
      </w:divBdr>
    </w:div>
    <w:div w:id="653609833">
      <w:bodyDiv w:val="1"/>
      <w:marLeft w:val="0"/>
      <w:marRight w:val="0"/>
      <w:marTop w:val="0"/>
      <w:marBottom w:val="0"/>
      <w:divBdr>
        <w:top w:val="none" w:sz="0" w:space="0" w:color="auto"/>
        <w:left w:val="none" w:sz="0" w:space="0" w:color="auto"/>
        <w:bottom w:val="none" w:sz="0" w:space="0" w:color="auto"/>
        <w:right w:val="none" w:sz="0" w:space="0" w:color="auto"/>
      </w:divBdr>
    </w:div>
    <w:div w:id="667102443">
      <w:bodyDiv w:val="1"/>
      <w:marLeft w:val="0"/>
      <w:marRight w:val="0"/>
      <w:marTop w:val="0"/>
      <w:marBottom w:val="0"/>
      <w:divBdr>
        <w:top w:val="none" w:sz="0" w:space="0" w:color="auto"/>
        <w:left w:val="none" w:sz="0" w:space="0" w:color="auto"/>
        <w:bottom w:val="none" w:sz="0" w:space="0" w:color="auto"/>
        <w:right w:val="none" w:sz="0" w:space="0" w:color="auto"/>
      </w:divBdr>
    </w:div>
    <w:div w:id="714886087">
      <w:bodyDiv w:val="1"/>
      <w:marLeft w:val="0"/>
      <w:marRight w:val="0"/>
      <w:marTop w:val="0"/>
      <w:marBottom w:val="0"/>
      <w:divBdr>
        <w:top w:val="none" w:sz="0" w:space="0" w:color="auto"/>
        <w:left w:val="none" w:sz="0" w:space="0" w:color="auto"/>
        <w:bottom w:val="none" w:sz="0" w:space="0" w:color="auto"/>
        <w:right w:val="none" w:sz="0" w:space="0" w:color="auto"/>
      </w:divBdr>
    </w:div>
    <w:div w:id="718556190">
      <w:bodyDiv w:val="1"/>
      <w:marLeft w:val="0"/>
      <w:marRight w:val="0"/>
      <w:marTop w:val="0"/>
      <w:marBottom w:val="0"/>
      <w:divBdr>
        <w:top w:val="none" w:sz="0" w:space="0" w:color="auto"/>
        <w:left w:val="none" w:sz="0" w:space="0" w:color="auto"/>
        <w:bottom w:val="none" w:sz="0" w:space="0" w:color="auto"/>
        <w:right w:val="none" w:sz="0" w:space="0" w:color="auto"/>
      </w:divBdr>
    </w:div>
    <w:div w:id="727340089">
      <w:bodyDiv w:val="1"/>
      <w:marLeft w:val="0"/>
      <w:marRight w:val="0"/>
      <w:marTop w:val="0"/>
      <w:marBottom w:val="0"/>
      <w:divBdr>
        <w:top w:val="none" w:sz="0" w:space="0" w:color="auto"/>
        <w:left w:val="none" w:sz="0" w:space="0" w:color="auto"/>
        <w:bottom w:val="none" w:sz="0" w:space="0" w:color="auto"/>
        <w:right w:val="none" w:sz="0" w:space="0" w:color="auto"/>
      </w:divBdr>
    </w:div>
    <w:div w:id="793258007">
      <w:bodyDiv w:val="1"/>
      <w:marLeft w:val="0"/>
      <w:marRight w:val="0"/>
      <w:marTop w:val="0"/>
      <w:marBottom w:val="0"/>
      <w:divBdr>
        <w:top w:val="none" w:sz="0" w:space="0" w:color="auto"/>
        <w:left w:val="none" w:sz="0" w:space="0" w:color="auto"/>
        <w:bottom w:val="none" w:sz="0" w:space="0" w:color="auto"/>
        <w:right w:val="none" w:sz="0" w:space="0" w:color="auto"/>
      </w:divBdr>
    </w:div>
    <w:div w:id="812866963">
      <w:bodyDiv w:val="1"/>
      <w:marLeft w:val="0"/>
      <w:marRight w:val="0"/>
      <w:marTop w:val="0"/>
      <w:marBottom w:val="0"/>
      <w:divBdr>
        <w:top w:val="none" w:sz="0" w:space="0" w:color="auto"/>
        <w:left w:val="none" w:sz="0" w:space="0" w:color="auto"/>
        <w:bottom w:val="none" w:sz="0" w:space="0" w:color="auto"/>
        <w:right w:val="none" w:sz="0" w:space="0" w:color="auto"/>
      </w:divBdr>
    </w:div>
    <w:div w:id="838009721">
      <w:bodyDiv w:val="1"/>
      <w:marLeft w:val="0"/>
      <w:marRight w:val="0"/>
      <w:marTop w:val="0"/>
      <w:marBottom w:val="0"/>
      <w:divBdr>
        <w:top w:val="none" w:sz="0" w:space="0" w:color="auto"/>
        <w:left w:val="none" w:sz="0" w:space="0" w:color="auto"/>
        <w:bottom w:val="none" w:sz="0" w:space="0" w:color="auto"/>
        <w:right w:val="none" w:sz="0" w:space="0" w:color="auto"/>
      </w:divBdr>
    </w:div>
    <w:div w:id="920338685">
      <w:bodyDiv w:val="1"/>
      <w:marLeft w:val="0"/>
      <w:marRight w:val="0"/>
      <w:marTop w:val="0"/>
      <w:marBottom w:val="0"/>
      <w:divBdr>
        <w:top w:val="none" w:sz="0" w:space="0" w:color="auto"/>
        <w:left w:val="none" w:sz="0" w:space="0" w:color="auto"/>
        <w:bottom w:val="none" w:sz="0" w:space="0" w:color="auto"/>
        <w:right w:val="none" w:sz="0" w:space="0" w:color="auto"/>
      </w:divBdr>
    </w:div>
    <w:div w:id="940724014">
      <w:bodyDiv w:val="1"/>
      <w:marLeft w:val="0"/>
      <w:marRight w:val="0"/>
      <w:marTop w:val="0"/>
      <w:marBottom w:val="0"/>
      <w:divBdr>
        <w:top w:val="none" w:sz="0" w:space="0" w:color="auto"/>
        <w:left w:val="none" w:sz="0" w:space="0" w:color="auto"/>
        <w:bottom w:val="none" w:sz="0" w:space="0" w:color="auto"/>
        <w:right w:val="none" w:sz="0" w:space="0" w:color="auto"/>
      </w:divBdr>
    </w:div>
    <w:div w:id="949818178">
      <w:bodyDiv w:val="1"/>
      <w:marLeft w:val="0"/>
      <w:marRight w:val="0"/>
      <w:marTop w:val="0"/>
      <w:marBottom w:val="0"/>
      <w:divBdr>
        <w:top w:val="none" w:sz="0" w:space="0" w:color="auto"/>
        <w:left w:val="none" w:sz="0" w:space="0" w:color="auto"/>
        <w:bottom w:val="none" w:sz="0" w:space="0" w:color="auto"/>
        <w:right w:val="none" w:sz="0" w:space="0" w:color="auto"/>
      </w:divBdr>
    </w:div>
    <w:div w:id="975179768">
      <w:bodyDiv w:val="1"/>
      <w:marLeft w:val="0"/>
      <w:marRight w:val="0"/>
      <w:marTop w:val="0"/>
      <w:marBottom w:val="0"/>
      <w:divBdr>
        <w:top w:val="none" w:sz="0" w:space="0" w:color="auto"/>
        <w:left w:val="none" w:sz="0" w:space="0" w:color="auto"/>
        <w:bottom w:val="none" w:sz="0" w:space="0" w:color="auto"/>
        <w:right w:val="none" w:sz="0" w:space="0" w:color="auto"/>
      </w:divBdr>
    </w:div>
    <w:div w:id="1013604590">
      <w:bodyDiv w:val="1"/>
      <w:marLeft w:val="0"/>
      <w:marRight w:val="0"/>
      <w:marTop w:val="0"/>
      <w:marBottom w:val="0"/>
      <w:divBdr>
        <w:top w:val="none" w:sz="0" w:space="0" w:color="auto"/>
        <w:left w:val="none" w:sz="0" w:space="0" w:color="auto"/>
        <w:bottom w:val="none" w:sz="0" w:space="0" w:color="auto"/>
        <w:right w:val="none" w:sz="0" w:space="0" w:color="auto"/>
      </w:divBdr>
    </w:div>
    <w:div w:id="1015887165">
      <w:bodyDiv w:val="1"/>
      <w:marLeft w:val="0"/>
      <w:marRight w:val="0"/>
      <w:marTop w:val="0"/>
      <w:marBottom w:val="0"/>
      <w:divBdr>
        <w:top w:val="none" w:sz="0" w:space="0" w:color="auto"/>
        <w:left w:val="none" w:sz="0" w:space="0" w:color="auto"/>
        <w:bottom w:val="none" w:sz="0" w:space="0" w:color="auto"/>
        <w:right w:val="none" w:sz="0" w:space="0" w:color="auto"/>
      </w:divBdr>
    </w:div>
    <w:div w:id="1028263360">
      <w:bodyDiv w:val="1"/>
      <w:marLeft w:val="0"/>
      <w:marRight w:val="0"/>
      <w:marTop w:val="0"/>
      <w:marBottom w:val="0"/>
      <w:divBdr>
        <w:top w:val="none" w:sz="0" w:space="0" w:color="auto"/>
        <w:left w:val="none" w:sz="0" w:space="0" w:color="auto"/>
        <w:bottom w:val="none" w:sz="0" w:space="0" w:color="auto"/>
        <w:right w:val="none" w:sz="0" w:space="0" w:color="auto"/>
      </w:divBdr>
    </w:div>
    <w:div w:id="1041979376">
      <w:bodyDiv w:val="1"/>
      <w:marLeft w:val="0"/>
      <w:marRight w:val="0"/>
      <w:marTop w:val="0"/>
      <w:marBottom w:val="0"/>
      <w:divBdr>
        <w:top w:val="none" w:sz="0" w:space="0" w:color="auto"/>
        <w:left w:val="none" w:sz="0" w:space="0" w:color="auto"/>
        <w:bottom w:val="none" w:sz="0" w:space="0" w:color="auto"/>
        <w:right w:val="none" w:sz="0" w:space="0" w:color="auto"/>
      </w:divBdr>
    </w:div>
    <w:div w:id="1073430343">
      <w:bodyDiv w:val="1"/>
      <w:marLeft w:val="0"/>
      <w:marRight w:val="0"/>
      <w:marTop w:val="0"/>
      <w:marBottom w:val="0"/>
      <w:divBdr>
        <w:top w:val="none" w:sz="0" w:space="0" w:color="auto"/>
        <w:left w:val="none" w:sz="0" w:space="0" w:color="auto"/>
        <w:bottom w:val="none" w:sz="0" w:space="0" w:color="auto"/>
        <w:right w:val="none" w:sz="0" w:space="0" w:color="auto"/>
      </w:divBdr>
    </w:div>
    <w:div w:id="1076243722">
      <w:bodyDiv w:val="1"/>
      <w:marLeft w:val="0"/>
      <w:marRight w:val="0"/>
      <w:marTop w:val="0"/>
      <w:marBottom w:val="0"/>
      <w:divBdr>
        <w:top w:val="none" w:sz="0" w:space="0" w:color="auto"/>
        <w:left w:val="none" w:sz="0" w:space="0" w:color="auto"/>
        <w:bottom w:val="none" w:sz="0" w:space="0" w:color="auto"/>
        <w:right w:val="none" w:sz="0" w:space="0" w:color="auto"/>
      </w:divBdr>
    </w:div>
    <w:div w:id="1080061497">
      <w:bodyDiv w:val="1"/>
      <w:marLeft w:val="0"/>
      <w:marRight w:val="0"/>
      <w:marTop w:val="0"/>
      <w:marBottom w:val="0"/>
      <w:divBdr>
        <w:top w:val="none" w:sz="0" w:space="0" w:color="auto"/>
        <w:left w:val="none" w:sz="0" w:space="0" w:color="auto"/>
        <w:bottom w:val="none" w:sz="0" w:space="0" w:color="auto"/>
        <w:right w:val="none" w:sz="0" w:space="0" w:color="auto"/>
      </w:divBdr>
    </w:div>
    <w:div w:id="1086998601">
      <w:bodyDiv w:val="1"/>
      <w:marLeft w:val="0"/>
      <w:marRight w:val="0"/>
      <w:marTop w:val="0"/>
      <w:marBottom w:val="0"/>
      <w:divBdr>
        <w:top w:val="none" w:sz="0" w:space="0" w:color="auto"/>
        <w:left w:val="none" w:sz="0" w:space="0" w:color="auto"/>
        <w:bottom w:val="none" w:sz="0" w:space="0" w:color="auto"/>
        <w:right w:val="none" w:sz="0" w:space="0" w:color="auto"/>
      </w:divBdr>
    </w:div>
    <w:div w:id="1102264841">
      <w:bodyDiv w:val="1"/>
      <w:marLeft w:val="0"/>
      <w:marRight w:val="0"/>
      <w:marTop w:val="0"/>
      <w:marBottom w:val="0"/>
      <w:divBdr>
        <w:top w:val="none" w:sz="0" w:space="0" w:color="auto"/>
        <w:left w:val="none" w:sz="0" w:space="0" w:color="auto"/>
        <w:bottom w:val="none" w:sz="0" w:space="0" w:color="auto"/>
        <w:right w:val="none" w:sz="0" w:space="0" w:color="auto"/>
      </w:divBdr>
    </w:div>
    <w:div w:id="1133980484">
      <w:bodyDiv w:val="1"/>
      <w:marLeft w:val="0"/>
      <w:marRight w:val="0"/>
      <w:marTop w:val="0"/>
      <w:marBottom w:val="0"/>
      <w:divBdr>
        <w:top w:val="none" w:sz="0" w:space="0" w:color="auto"/>
        <w:left w:val="none" w:sz="0" w:space="0" w:color="auto"/>
        <w:bottom w:val="none" w:sz="0" w:space="0" w:color="auto"/>
        <w:right w:val="none" w:sz="0" w:space="0" w:color="auto"/>
      </w:divBdr>
    </w:div>
    <w:div w:id="1148130142">
      <w:bodyDiv w:val="1"/>
      <w:marLeft w:val="0"/>
      <w:marRight w:val="0"/>
      <w:marTop w:val="0"/>
      <w:marBottom w:val="0"/>
      <w:divBdr>
        <w:top w:val="none" w:sz="0" w:space="0" w:color="auto"/>
        <w:left w:val="none" w:sz="0" w:space="0" w:color="auto"/>
        <w:bottom w:val="none" w:sz="0" w:space="0" w:color="auto"/>
        <w:right w:val="none" w:sz="0" w:space="0" w:color="auto"/>
      </w:divBdr>
    </w:div>
    <w:div w:id="1157766193">
      <w:bodyDiv w:val="1"/>
      <w:marLeft w:val="0"/>
      <w:marRight w:val="0"/>
      <w:marTop w:val="0"/>
      <w:marBottom w:val="0"/>
      <w:divBdr>
        <w:top w:val="none" w:sz="0" w:space="0" w:color="auto"/>
        <w:left w:val="none" w:sz="0" w:space="0" w:color="auto"/>
        <w:bottom w:val="none" w:sz="0" w:space="0" w:color="auto"/>
        <w:right w:val="none" w:sz="0" w:space="0" w:color="auto"/>
      </w:divBdr>
    </w:div>
    <w:div w:id="1165512792">
      <w:bodyDiv w:val="1"/>
      <w:marLeft w:val="0"/>
      <w:marRight w:val="0"/>
      <w:marTop w:val="0"/>
      <w:marBottom w:val="0"/>
      <w:divBdr>
        <w:top w:val="none" w:sz="0" w:space="0" w:color="auto"/>
        <w:left w:val="none" w:sz="0" w:space="0" w:color="auto"/>
        <w:bottom w:val="none" w:sz="0" w:space="0" w:color="auto"/>
        <w:right w:val="none" w:sz="0" w:space="0" w:color="auto"/>
      </w:divBdr>
    </w:div>
    <w:div w:id="1190221783">
      <w:bodyDiv w:val="1"/>
      <w:marLeft w:val="0"/>
      <w:marRight w:val="0"/>
      <w:marTop w:val="0"/>
      <w:marBottom w:val="0"/>
      <w:divBdr>
        <w:top w:val="none" w:sz="0" w:space="0" w:color="auto"/>
        <w:left w:val="none" w:sz="0" w:space="0" w:color="auto"/>
        <w:bottom w:val="none" w:sz="0" w:space="0" w:color="auto"/>
        <w:right w:val="none" w:sz="0" w:space="0" w:color="auto"/>
      </w:divBdr>
    </w:div>
    <w:div w:id="1214269617">
      <w:bodyDiv w:val="1"/>
      <w:marLeft w:val="0"/>
      <w:marRight w:val="0"/>
      <w:marTop w:val="0"/>
      <w:marBottom w:val="0"/>
      <w:divBdr>
        <w:top w:val="none" w:sz="0" w:space="0" w:color="auto"/>
        <w:left w:val="none" w:sz="0" w:space="0" w:color="auto"/>
        <w:bottom w:val="none" w:sz="0" w:space="0" w:color="auto"/>
        <w:right w:val="none" w:sz="0" w:space="0" w:color="auto"/>
      </w:divBdr>
    </w:div>
    <w:div w:id="1233659167">
      <w:bodyDiv w:val="1"/>
      <w:marLeft w:val="0"/>
      <w:marRight w:val="0"/>
      <w:marTop w:val="0"/>
      <w:marBottom w:val="0"/>
      <w:divBdr>
        <w:top w:val="none" w:sz="0" w:space="0" w:color="auto"/>
        <w:left w:val="none" w:sz="0" w:space="0" w:color="auto"/>
        <w:bottom w:val="none" w:sz="0" w:space="0" w:color="auto"/>
        <w:right w:val="none" w:sz="0" w:space="0" w:color="auto"/>
      </w:divBdr>
    </w:div>
    <w:div w:id="1307591464">
      <w:bodyDiv w:val="1"/>
      <w:marLeft w:val="0"/>
      <w:marRight w:val="0"/>
      <w:marTop w:val="0"/>
      <w:marBottom w:val="0"/>
      <w:divBdr>
        <w:top w:val="none" w:sz="0" w:space="0" w:color="auto"/>
        <w:left w:val="none" w:sz="0" w:space="0" w:color="auto"/>
        <w:bottom w:val="none" w:sz="0" w:space="0" w:color="auto"/>
        <w:right w:val="none" w:sz="0" w:space="0" w:color="auto"/>
      </w:divBdr>
    </w:div>
    <w:div w:id="1309700066">
      <w:bodyDiv w:val="1"/>
      <w:marLeft w:val="0"/>
      <w:marRight w:val="0"/>
      <w:marTop w:val="0"/>
      <w:marBottom w:val="0"/>
      <w:divBdr>
        <w:top w:val="none" w:sz="0" w:space="0" w:color="auto"/>
        <w:left w:val="none" w:sz="0" w:space="0" w:color="auto"/>
        <w:bottom w:val="none" w:sz="0" w:space="0" w:color="auto"/>
        <w:right w:val="none" w:sz="0" w:space="0" w:color="auto"/>
      </w:divBdr>
    </w:div>
    <w:div w:id="1319916487">
      <w:bodyDiv w:val="1"/>
      <w:marLeft w:val="0"/>
      <w:marRight w:val="0"/>
      <w:marTop w:val="0"/>
      <w:marBottom w:val="0"/>
      <w:divBdr>
        <w:top w:val="none" w:sz="0" w:space="0" w:color="auto"/>
        <w:left w:val="none" w:sz="0" w:space="0" w:color="auto"/>
        <w:bottom w:val="none" w:sz="0" w:space="0" w:color="auto"/>
        <w:right w:val="none" w:sz="0" w:space="0" w:color="auto"/>
      </w:divBdr>
    </w:div>
    <w:div w:id="1328483676">
      <w:bodyDiv w:val="1"/>
      <w:marLeft w:val="0"/>
      <w:marRight w:val="0"/>
      <w:marTop w:val="0"/>
      <w:marBottom w:val="0"/>
      <w:divBdr>
        <w:top w:val="none" w:sz="0" w:space="0" w:color="auto"/>
        <w:left w:val="none" w:sz="0" w:space="0" w:color="auto"/>
        <w:bottom w:val="none" w:sz="0" w:space="0" w:color="auto"/>
        <w:right w:val="none" w:sz="0" w:space="0" w:color="auto"/>
      </w:divBdr>
    </w:div>
    <w:div w:id="1440636163">
      <w:bodyDiv w:val="1"/>
      <w:marLeft w:val="0"/>
      <w:marRight w:val="0"/>
      <w:marTop w:val="0"/>
      <w:marBottom w:val="0"/>
      <w:divBdr>
        <w:top w:val="none" w:sz="0" w:space="0" w:color="auto"/>
        <w:left w:val="none" w:sz="0" w:space="0" w:color="auto"/>
        <w:bottom w:val="none" w:sz="0" w:space="0" w:color="auto"/>
        <w:right w:val="none" w:sz="0" w:space="0" w:color="auto"/>
      </w:divBdr>
    </w:div>
    <w:div w:id="1445922942">
      <w:bodyDiv w:val="1"/>
      <w:marLeft w:val="0"/>
      <w:marRight w:val="0"/>
      <w:marTop w:val="0"/>
      <w:marBottom w:val="0"/>
      <w:divBdr>
        <w:top w:val="none" w:sz="0" w:space="0" w:color="auto"/>
        <w:left w:val="none" w:sz="0" w:space="0" w:color="auto"/>
        <w:bottom w:val="none" w:sz="0" w:space="0" w:color="auto"/>
        <w:right w:val="none" w:sz="0" w:space="0" w:color="auto"/>
      </w:divBdr>
    </w:div>
    <w:div w:id="1452898493">
      <w:bodyDiv w:val="1"/>
      <w:marLeft w:val="0"/>
      <w:marRight w:val="0"/>
      <w:marTop w:val="0"/>
      <w:marBottom w:val="0"/>
      <w:divBdr>
        <w:top w:val="none" w:sz="0" w:space="0" w:color="auto"/>
        <w:left w:val="none" w:sz="0" w:space="0" w:color="auto"/>
        <w:bottom w:val="none" w:sz="0" w:space="0" w:color="auto"/>
        <w:right w:val="none" w:sz="0" w:space="0" w:color="auto"/>
      </w:divBdr>
    </w:div>
    <w:div w:id="1512455890">
      <w:bodyDiv w:val="1"/>
      <w:marLeft w:val="0"/>
      <w:marRight w:val="0"/>
      <w:marTop w:val="0"/>
      <w:marBottom w:val="0"/>
      <w:divBdr>
        <w:top w:val="none" w:sz="0" w:space="0" w:color="auto"/>
        <w:left w:val="none" w:sz="0" w:space="0" w:color="auto"/>
        <w:bottom w:val="none" w:sz="0" w:space="0" w:color="auto"/>
        <w:right w:val="none" w:sz="0" w:space="0" w:color="auto"/>
      </w:divBdr>
    </w:div>
    <w:div w:id="1517884755">
      <w:bodyDiv w:val="1"/>
      <w:marLeft w:val="0"/>
      <w:marRight w:val="0"/>
      <w:marTop w:val="0"/>
      <w:marBottom w:val="0"/>
      <w:divBdr>
        <w:top w:val="none" w:sz="0" w:space="0" w:color="auto"/>
        <w:left w:val="none" w:sz="0" w:space="0" w:color="auto"/>
        <w:bottom w:val="none" w:sz="0" w:space="0" w:color="auto"/>
        <w:right w:val="none" w:sz="0" w:space="0" w:color="auto"/>
      </w:divBdr>
    </w:div>
    <w:div w:id="1518304628">
      <w:bodyDiv w:val="1"/>
      <w:marLeft w:val="0"/>
      <w:marRight w:val="0"/>
      <w:marTop w:val="0"/>
      <w:marBottom w:val="0"/>
      <w:divBdr>
        <w:top w:val="none" w:sz="0" w:space="0" w:color="auto"/>
        <w:left w:val="none" w:sz="0" w:space="0" w:color="auto"/>
        <w:bottom w:val="none" w:sz="0" w:space="0" w:color="auto"/>
        <w:right w:val="none" w:sz="0" w:space="0" w:color="auto"/>
      </w:divBdr>
    </w:div>
    <w:div w:id="1523322931">
      <w:bodyDiv w:val="1"/>
      <w:marLeft w:val="0"/>
      <w:marRight w:val="0"/>
      <w:marTop w:val="0"/>
      <w:marBottom w:val="0"/>
      <w:divBdr>
        <w:top w:val="none" w:sz="0" w:space="0" w:color="auto"/>
        <w:left w:val="none" w:sz="0" w:space="0" w:color="auto"/>
        <w:bottom w:val="none" w:sz="0" w:space="0" w:color="auto"/>
        <w:right w:val="none" w:sz="0" w:space="0" w:color="auto"/>
      </w:divBdr>
    </w:div>
    <w:div w:id="1609003768">
      <w:bodyDiv w:val="1"/>
      <w:marLeft w:val="0"/>
      <w:marRight w:val="0"/>
      <w:marTop w:val="0"/>
      <w:marBottom w:val="0"/>
      <w:divBdr>
        <w:top w:val="none" w:sz="0" w:space="0" w:color="auto"/>
        <w:left w:val="none" w:sz="0" w:space="0" w:color="auto"/>
        <w:bottom w:val="none" w:sz="0" w:space="0" w:color="auto"/>
        <w:right w:val="none" w:sz="0" w:space="0" w:color="auto"/>
      </w:divBdr>
    </w:div>
    <w:div w:id="1637178246">
      <w:bodyDiv w:val="1"/>
      <w:marLeft w:val="0"/>
      <w:marRight w:val="0"/>
      <w:marTop w:val="0"/>
      <w:marBottom w:val="0"/>
      <w:divBdr>
        <w:top w:val="none" w:sz="0" w:space="0" w:color="auto"/>
        <w:left w:val="none" w:sz="0" w:space="0" w:color="auto"/>
        <w:bottom w:val="none" w:sz="0" w:space="0" w:color="auto"/>
        <w:right w:val="none" w:sz="0" w:space="0" w:color="auto"/>
      </w:divBdr>
    </w:div>
    <w:div w:id="1663004010">
      <w:bodyDiv w:val="1"/>
      <w:marLeft w:val="0"/>
      <w:marRight w:val="0"/>
      <w:marTop w:val="0"/>
      <w:marBottom w:val="0"/>
      <w:divBdr>
        <w:top w:val="none" w:sz="0" w:space="0" w:color="auto"/>
        <w:left w:val="none" w:sz="0" w:space="0" w:color="auto"/>
        <w:bottom w:val="none" w:sz="0" w:space="0" w:color="auto"/>
        <w:right w:val="none" w:sz="0" w:space="0" w:color="auto"/>
      </w:divBdr>
    </w:div>
    <w:div w:id="1694257405">
      <w:bodyDiv w:val="1"/>
      <w:marLeft w:val="0"/>
      <w:marRight w:val="0"/>
      <w:marTop w:val="0"/>
      <w:marBottom w:val="0"/>
      <w:divBdr>
        <w:top w:val="none" w:sz="0" w:space="0" w:color="auto"/>
        <w:left w:val="none" w:sz="0" w:space="0" w:color="auto"/>
        <w:bottom w:val="none" w:sz="0" w:space="0" w:color="auto"/>
        <w:right w:val="none" w:sz="0" w:space="0" w:color="auto"/>
      </w:divBdr>
    </w:div>
    <w:div w:id="1701933025">
      <w:bodyDiv w:val="1"/>
      <w:marLeft w:val="0"/>
      <w:marRight w:val="0"/>
      <w:marTop w:val="0"/>
      <w:marBottom w:val="0"/>
      <w:divBdr>
        <w:top w:val="none" w:sz="0" w:space="0" w:color="auto"/>
        <w:left w:val="none" w:sz="0" w:space="0" w:color="auto"/>
        <w:bottom w:val="none" w:sz="0" w:space="0" w:color="auto"/>
        <w:right w:val="none" w:sz="0" w:space="0" w:color="auto"/>
      </w:divBdr>
    </w:div>
    <w:div w:id="1702123410">
      <w:bodyDiv w:val="1"/>
      <w:marLeft w:val="0"/>
      <w:marRight w:val="0"/>
      <w:marTop w:val="0"/>
      <w:marBottom w:val="0"/>
      <w:divBdr>
        <w:top w:val="none" w:sz="0" w:space="0" w:color="auto"/>
        <w:left w:val="none" w:sz="0" w:space="0" w:color="auto"/>
        <w:bottom w:val="none" w:sz="0" w:space="0" w:color="auto"/>
        <w:right w:val="none" w:sz="0" w:space="0" w:color="auto"/>
      </w:divBdr>
    </w:div>
    <w:div w:id="1756586519">
      <w:bodyDiv w:val="1"/>
      <w:marLeft w:val="0"/>
      <w:marRight w:val="0"/>
      <w:marTop w:val="0"/>
      <w:marBottom w:val="0"/>
      <w:divBdr>
        <w:top w:val="none" w:sz="0" w:space="0" w:color="auto"/>
        <w:left w:val="none" w:sz="0" w:space="0" w:color="auto"/>
        <w:bottom w:val="none" w:sz="0" w:space="0" w:color="auto"/>
        <w:right w:val="none" w:sz="0" w:space="0" w:color="auto"/>
      </w:divBdr>
    </w:div>
    <w:div w:id="1773429753">
      <w:bodyDiv w:val="1"/>
      <w:marLeft w:val="0"/>
      <w:marRight w:val="0"/>
      <w:marTop w:val="0"/>
      <w:marBottom w:val="0"/>
      <w:divBdr>
        <w:top w:val="none" w:sz="0" w:space="0" w:color="auto"/>
        <w:left w:val="none" w:sz="0" w:space="0" w:color="auto"/>
        <w:bottom w:val="none" w:sz="0" w:space="0" w:color="auto"/>
        <w:right w:val="none" w:sz="0" w:space="0" w:color="auto"/>
      </w:divBdr>
    </w:div>
    <w:div w:id="1854755966">
      <w:bodyDiv w:val="1"/>
      <w:marLeft w:val="0"/>
      <w:marRight w:val="0"/>
      <w:marTop w:val="0"/>
      <w:marBottom w:val="0"/>
      <w:divBdr>
        <w:top w:val="none" w:sz="0" w:space="0" w:color="auto"/>
        <w:left w:val="none" w:sz="0" w:space="0" w:color="auto"/>
        <w:bottom w:val="none" w:sz="0" w:space="0" w:color="auto"/>
        <w:right w:val="none" w:sz="0" w:space="0" w:color="auto"/>
      </w:divBdr>
    </w:div>
    <w:div w:id="1856655497">
      <w:bodyDiv w:val="1"/>
      <w:marLeft w:val="0"/>
      <w:marRight w:val="0"/>
      <w:marTop w:val="0"/>
      <w:marBottom w:val="0"/>
      <w:divBdr>
        <w:top w:val="none" w:sz="0" w:space="0" w:color="auto"/>
        <w:left w:val="none" w:sz="0" w:space="0" w:color="auto"/>
        <w:bottom w:val="none" w:sz="0" w:space="0" w:color="auto"/>
        <w:right w:val="none" w:sz="0" w:space="0" w:color="auto"/>
      </w:divBdr>
    </w:div>
    <w:div w:id="1856964382">
      <w:bodyDiv w:val="1"/>
      <w:marLeft w:val="0"/>
      <w:marRight w:val="0"/>
      <w:marTop w:val="0"/>
      <w:marBottom w:val="0"/>
      <w:divBdr>
        <w:top w:val="none" w:sz="0" w:space="0" w:color="auto"/>
        <w:left w:val="none" w:sz="0" w:space="0" w:color="auto"/>
        <w:bottom w:val="none" w:sz="0" w:space="0" w:color="auto"/>
        <w:right w:val="none" w:sz="0" w:space="0" w:color="auto"/>
      </w:divBdr>
    </w:div>
    <w:div w:id="1882933014">
      <w:bodyDiv w:val="1"/>
      <w:marLeft w:val="0"/>
      <w:marRight w:val="0"/>
      <w:marTop w:val="0"/>
      <w:marBottom w:val="0"/>
      <w:divBdr>
        <w:top w:val="none" w:sz="0" w:space="0" w:color="auto"/>
        <w:left w:val="none" w:sz="0" w:space="0" w:color="auto"/>
        <w:bottom w:val="none" w:sz="0" w:space="0" w:color="auto"/>
        <w:right w:val="none" w:sz="0" w:space="0" w:color="auto"/>
      </w:divBdr>
    </w:div>
    <w:div w:id="1908417336">
      <w:bodyDiv w:val="1"/>
      <w:marLeft w:val="0"/>
      <w:marRight w:val="0"/>
      <w:marTop w:val="0"/>
      <w:marBottom w:val="0"/>
      <w:divBdr>
        <w:top w:val="none" w:sz="0" w:space="0" w:color="auto"/>
        <w:left w:val="none" w:sz="0" w:space="0" w:color="auto"/>
        <w:bottom w:val="none" w:sz="0" w:space="0" w:color="auto"/>
        <w:right w:val="none" w:sz="0" w:space="0" w:color="auto"/>
      </w:divBdr>
    </w:div>
    <w:div w:id="1923753729">
      <w:bodyDiv w:val="1"/>
      <w:marLeft w:val="0"/>
      <w:marRight w:val="0"/>
      <w:marTop w:val="0"/>
      <w:marBottom w:val="0"/>
      <w:divBdr>
        <w:top w:val="none" w:sz="0" w:space="0" w:color="auto"/>
        <w:left w:val="none" w:sz="0" w:space="0" w:color="auto"/>
        <w:bottom w:val="none" w:sz="0" w:space="0" w:color="auto"/>
        <w:right w:val="none" w:sz="0" w:space="0" w:color="auto"/>
      </w:divBdr>
    </w:div>
    <w:div w:id="1932665155">
      <w:bodyDiv w:val="1"/>
      <w:marLeft w:val="0"/>
      <w:marRight w:val="0"/>
      <w:marTop w:val="0"/>
      <w:marBottom w:val="0"/>
      <w:divBdr>
        <w:top w:val="none" w:sz="0" w:space="0" w:color="auto"/>
        <w:left w:val="none" w:sz="0" w:space="0" w:color="auto"/>
        <w:bottom w:val="none" w:sz="0" w:space="0" w:color="auto"/>
        <w:right w:val="none" w:sz="0" w:space="0" w:color="auto"/>
      </w:divBdr>
    </w:div>
    <w:div w:id="1998682248">
      <w:bodyDiv w:val="1"/>
      <w:marLeft w:val="0"/>
      <w:marRight w:val="0"/>
      <w:marTop w:val="0"/>
      <w:marBottom w:val="0"/>
      <w:divBdr>
        <w:top w:val="none" w:sz="0" w:space="0" w:color="auto"/>
        <w:left w:val="none" w:sz="0" w:space="0" w:color="auto"/>
        <w:bottom w:val="none" w:sz="0" w:space="0" w:color="auto"/>
        <w:right w:val="none" w:sz="0" w:space="0" w:color="auto"/>
      </w:divBdr>
    </w:div>
    <w:div w:id="2007708003">
      <w:bodyDiv w:val="1"/>
      <w:marLeft w:val="0"/>
      <w:marRight w:val="0"/>
      <w:marTop w:val="0"/>
      <w:marBottom w:val="0"/>
      <w:divBdr>
        <w:top w:val="none" w:sz="0" w:space="0" w:color="auto"/>
        <w:left w:val="none" w:sz="0" w:space="0" w:color="auto"/>
        <w:bottom w:val="none" w:sz="0" w:space="0" w:color="auto"/>
        <w:right w:val="none" w:sz="0" w:space="0" w:color="auto"/>
      </w:divBdr>
    </w:div>
    <w:div w:id="2044331477">
      <w:bodyDiv w:val="1"/>
      <w:marLeft w:val="0"/>
      <w:marRight w:val="0"/>
      <w:marTop w:val="0"/>
      <w:marBottom w:val="0"/>
      <w:divBdr>
        <w:top w:val="none" w:sz="0" w:space="0" w:color="auto"/>
        <w:left w:val="none" w:sz="0" w:space="0" w:color="auto"/>
        <w:bottom w:val="none" w:sz="0" w:space="0" w:color="auto"/>
        <w:right w:val="none" w:sz="0" w:space="0" w:color="auto"/>
      </w:divBdr>
    </w:div>
    <w:div w:id="2052143222">
      <w:bodyDiv w:val="1"/>
      <w:marLeft w:val="0"/>
      <w:marRight w:val="0"/>
      <w:marTop w:val="0"/>
      <w:marBottom w:val="0"/>
      <w:divBdr>
        <w:top w:val="none" w:sz="0" w:space="0" w:color="auto"/>
        <w:left w:val="none" w:sz="0" w:space="0" w:color="auto"/>
        <w:bottom w:val="none" w:sz="0" w:space="0" w:color="auto"/>
        <w:right w:val="none" w:sz="0" w:space="0" w:color="auto"/>
      </w:divBdr>
    </w:div>
    <w:div w:id="205469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19</Pages>
  <Words>7790</Words>
  <Characters>44404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SDI 1055</cp:lastModifiedBy>
  <cp:revision>137</cp:revision>
  <dcterms:created xsi:type="dcterms:W3CDTF">2025-04-11T14:59:00Z</dcterms:created>
  <dcterms:modified xsi:type="dcterms:W3CDTF">2025-07-11T12:16:00Z</dcterms:modified>
</cp:coreProperties>
</file>