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3E94F" w14:textId="77777777" w:rsidR="00207F2D" w:rsidRDefault="00207F2D" w:rsidP="00207F2D">
      <w:pPr>
        <w:spacing w:after="0" w:line="240" w:lineRule="auto"/>
        <w:jc w:val="center"/>
        <w:rPr>
          <w:rFonts w:ascii="Times New Roman" w:hAnsi="Times New Roman" w:cs="Times New Roman"/>
          <w:b/>
          <w:bCs/>
          <w:i/>
          <w:iCs/>
          <w:sz w:val="28"/>
          <w:szCs w:val="28"/>
        </w:rPr>
      </w:pPr>
      <w:proofErr w:type="spellStart"/>
      <w:r w:rsidRPr="00207F2D">
        <w:rPr>
          <w:rFonts w:ascii="Times New Roman" w:hAnsi="Times New Roman" w:cs="Times New Roman"/>
          <w:b/>
          <w:bCs/>
          <w:sz w:val="28"/>
          <w:szCs w:val="28"/>
        </w:rPr>
        <w:t>Biofunctional</w:t>
      </w:r>
      <w:proofErr w:type="spellEnd"/>
      <w:r w:rsidRPr="00207F2D">
        <w:rPr>
          <w:rFonts w:ascii="Times New Roman" w:hAnsi="Times New Roman" w:cs="Times New Roman"/>
          <w:b/>
          <w:bCs/>
          <w:sz w:val="28"/>
          <w:szCs w:val="28"/>
        </w:rPr>
        <w:t xml:space="preserve"> Properties of </w:t>
      </w:r>
      <w:proofErr w:type="spellStart"/>
      <w:r w:rsidRPr="00207F2D">
        <w:rPr>
          <w:rFonts w:ascii="Times New Roman" w:hAnsi="Times New Roman" w:cs="Times New Roman"/>
          <w:b/>
          <w:bCs/>
          <w:i/>
          <w:iCs/>
          <w:sz w:val="28"/>
          <w:szCs w:val="28"/>
        </w:rPr>
        <w:t>Pluchea</w:t>
      </w:r>
      <w:proofErr w:type="spellEnd"/>
      <w:r w:rsidRPr="00207F2D">
        <w:rPr>
          <w:rFonts w:ascii="Times New Roman" w:hAnsi="Times New Roman" w:cs="Times New Roman"/>
          <w:b/>
          <w:bCs/>
          <w:i/>
          <w:iCs/>
          <w:sz w:val="28"/>
          <w:szCs w:val="28"/>
        </w:rPr>
        <w:t xml:space="preserve"> indica</w:t>
      </w:r>
      <w:r w:rsidRPr="00207F2D">
        <w:rPr>
          <w:rFonts w:ascii="Times New Roman" w:hAnsi="Times New Roman" w:cs="Times New Roman"/>
          <w:b/>
          <w:bCs/>
          <w:sz w:val="28"/>
          <w:szCs w:val="28"/>
        </w:rPr>
        <w:t xml:space="preserve"> </w:t>
      </w:r>
      <w:r>
        <w:rPr>
          <w:rFonts w:ascii="Times New Roman" w:hAnsi="Times New Roman" w:cs="Times New Roman"/>
          <w:b/>
          <w:bCs/>
          <w:sz w:val="28"/>
          <w:szCs w:val="28"/>
        </w:rPr>
        <w:t xml:space="preserve">L. </w:t>
      </w:r>
      <w:r w:rsidRPr="00207F2D">
        <w:rPr>
          <w:rFonts w:ascii="Times New Roman" w:hAnsi="Times New Roman" w:cs="Times New Roman"/>
          <w:b/>
          <w:bCs/>
          <w:sz w:val="28"/>
          <w:szCs w:val="28"/>
        </w:rPr>
        <w:t>Leaf Extract in</w:t>
      </w:r>
      <w:r w:rsidRPr="00207F2D">
        <w:rPr>
          <w:rFonts w:ascii="Times New Roman" w:hAnsi="Times New Roman" w:cs="Times New Roman"/>
          <w:b/>
          <w:bCs/>
          <w:i/>
          <w:iCs/>
          <w:sz w:val="28"/>
          <w:szCs w:val="28"/>
        </w:rPr>
        <w:t xml:space="preserve"> </w:t>
      </w:r>
    </w:p>
    <w:p w14:paraId="4B3EA6FA" w14:textId="5AD3279F" w:rsidR="00752E51" w:rsidRPr="00A562FF" w:rsidRDefault="00207F2D" w:rsidP="00A562FF">
      <w:pPr>
        <w:spacing w:after="240" w:line="240" w:lineRule="auto"/>
        <w:jc w:val="center"/>
        <w:rPr>
          <w:rFonts w:ascii="Times New Roman" w:hAnsi="Times New Roman" w:cs="Times New Roman"/>
          <w:b/>
          <w:bCs/>
          <w:sz w:val="28"/>
          <w:szCs w:val="28"/>
        </w:rPr>
      </w:pPr>
      <w:proofErr w:type="spellStart"/>
      <w:r w:rsidRPr="00207F2D">
        <w:rPr>
          <w:rFonts w:ascii="Times New Roman" w:hAnsi="Times New Roman" w:cs="Times New Roman"/>
          <w:b/>
          <w:bCs/>
          <w:i/>
          <w:iCs/>
          <w:sz w:val="28"/>
          <w:szCs w:val="28"/>
        </w:rPr>
        <w:t>Litopenaeus</w:t>
      </w:r>
      <w:proofErr w:type="spellEnd"/>
      <w:r w:rsidRPr="00207F2D">
        <w:rPr>
          <w:rFonts w:ascii="Times New Roman" w:hAnsi="Times New Roman" w:cs="Times New Roman"/>
          <w:b/>
          <w:bCs/>
          <w:i/>
          <w:iCs/>
          <w:sz w:val="28"/>
          <w:szCs w:val="28"/>
        </w:rPr>
        <w:t xml:space="preserve"> </w:t>
      </w:r>
      <w:proofErr w:type="spellStart"/>
      <w:r w:rsidRPr="00207F2D">
        <w:rPr>
          <w:rFonts w:ascii="Times New Roman" w:hAnsi="Times New Roman" w:cs="Times New Roman"/>
          <w:b/>
          <w:bCs/>
          <w:i/>
          <w:iCs/>
          <w:sz w:val="28"/>
          <w:szCs w:val="28"/>
        </w:rPr>
        <w:t>vannamei</w:t>
      </w:r>
      <w:proofErr w:type="spellEnd"/>
      <w:r w:rsidRPr="00207F2D">
        <w:rPr>
          <w:rFonts w:ascii="Times New Roman" w:hAnsi="Times New Roman" w:cs="Times New Roman"/>
          <w:b/>
          <w:bCs/>
          <w:sz w:val="28"/>
          <w:szCs w:val="28"/>
        </w:rPr>
        <w:t xml:space="preserve"> Culture: Antibacterial and Antioxidant Efficacy with Toxicity Assessment</w:t>
      </w:r>
    </w:p>
    <w:p w14:paraId="1EB167DC" w14:textId="29C78581" w:rsidR="00752E51" w:rsidRDefault="00752E51" w:rsidP="00A562FF">
      <w:pPr>
        <w:spacing w:after="0" w:line="240" w:lineRule="auto"/>
        <w:jc w:val="center"/>
        <w:rPr>
          <w:rFonts w:ascii="Times New Roman" w:hAnsi="Times New Roman" w:cs="Times New Roman"/>
          <w:b/>
          <w:bCs/>
        </w:rPr>
      </w:pPr>
    </w:p>
    <w:p w14:paraId="6C6DC380" w14:textId="77777777" w:rsidR="00AC0F6C" w:rsidRPr="0062331A" w:rsidRDefault="00AC0F6C" w:rsidP="00A562FF">
      <w:pPr>
        <w:spacing w:after="0" w:line="240" w:lineRule="auto"/>
        <w:jc w:val="center"/>
        <w:rPr>
          <w:rFonts w:ascii="Times New Roman" w:hAnsi="Times New Roman" w:cs="Times New Roman"/>
          <w:b/>
          <w:bCs/>
        </w:rPr>
      </w:pPr>
    </w:p>
    <w:p w14:paraId="6EF36ADA" w14:textId="0E5D5DEB" w:rsidR="00752E51" w:rsidRPr="0062331A" w:rsidRDefault="00A562FF" w:rsidP="00A562FF">
      <w:pPr>
        <w:tabs>
          <w:tab w:val="left" w:pos="2835"/>
        </w:tabs>
        <w:jc w:val="center"/>
        <w:rPr>
          <w:rFonts w:ascii="Times New Roman" w:hAnsi="Times New Roman" w:cs="Times New Roman"/>
          <w:b/>
          <w:bCs/>
        </w:rPr>
      </w:pPr>
      <w:r w:rsidRPr="0062331A">
        <w:rPr>
          <w:rFonts w:ascii="Times New Roman" w:hAnsi="Times New Roman" w:cs="Times New Roman"/>
          <w:b/>
          <w:bCs/>
        </w:rPr>
        <w:t>ABSTRACT</w:t>
      </w:r>
    </w:p>
    <w:p w14:paraId="127648FD" w14:textId="23A916B8" w:rsidR="00525FFE" w:rsidRDefault="00525FFE" w:rsidP="009B1802">
      <w:pPr>
        <w:spacing w:line="240" w:lineRule="auto"/>
        <w:jc w:val="both"/>
        <w:rPr>
          <w:rFonts w:ascii="Times New Roman" w:hAnsi="Times New Roman" w:cs="Times New Roman"/>
        </w:rPr>
      </w:pPr>
      <w:r w:rsidRPr="0062331A">
        <w:rPr>
          <w:rFonts w:ascii="Times New Roman" w:hAnsi="Times New Roman" w:cs="Times New Roman"/>
        </w:rPr>
        <w:t xml:space="preserve">Innovations in utilizing the phytonutrient content of natural ingredients, one which is </w:t>
      </w:r>
      <w:r w:rsidR="002949E1" w:rsidRPr="00C47D5C">
        <w:rPr>
          <w:rFonts w:ascii="Times New Roman" w:hAnsi="Times New Roman" w:cs="Times New Roman"/>
          <w:i/>
          <w:iCs/>
        </w:rPr>
        <w:t>P. indica</w:t>
      </w:r>
      <w:r w:rsidR="00CE3DC8" w:rsidRPr="00C47D5C">
        <w:rPr>
          <w:rFonts w:ascii="Times New Roman" w:hAnsi="Times New Roman" w:cs="Times New Roman"/>
          <w:i/>
          <w:iCs/>
        </w:rPr>
        <w:t xml:space="preserve"> </w:t>
      </w:r>
      <w:r w:rsidRPr="0062331A">
        <w:rPr>
          <w:rFonts w:ascii="Times New Roman" w:hAnsi="Times New Roman" w:cs="Times New Roman"/>
        </w:rPr>
        <w:t>lea</w:t>
      </w:r>
      <w:r w:rsidR="00743CE6" w:rsidRPr="0062331A">
        <w:rPr>
          <w:rFonts w:ascii="Times New Roman" w:hAnsi="Times New Roman" w:cs="Times New Roman"/>
        </w:rPr>
        <w:t>f</w:t>
      </w:r>
      <w:r w:rsidR="00CE3DC8" w:rsidRPr="0062331A">
        <w:rPr>
          <w:rFonts w:ascii="Times New Roman" w:hAnsi="Times New Roman" w:cs="Times New Roman"/>
        </w:rPr>
        <w:t xml:space="preserve"> </w:t>
      </w:r>
      <w:r w:rsidRPr="0062331A">
        <w:rPr>
          <w:rFonts w:ascii="Times New Roman" w:hAnsi="Times New Roman" w:cs="Times New Roman"/>
        </w:rPr>
        <w:t xml:space="preserve">in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farming</w:t>
      </w:r>
      <w:r w:rsidR="00CE3DC8" w:rsidRPr="0062331A">
        <w:rPr>
          <w:rFonts w:ascii="Times New Roman" w:hAnsi="Times New Roman" w:cs="Times New Roman"/>
        </w:rPr>
        <w:t>, has</w:t>
      </w:r>
      <w:r w:rsidRPr="0062331A">
        <w:rPr>
          <w:rFonts w:ascii="Times New Roman" w:hAnsi="Times New Roman" w:cs="Times New Roman"/>
        </w:rPr>
        <w:t xml:space="preserve"> various functional benefits</w:t>
      </w:r>
      <w:r w:rsidR="00E76CF5">
        <w:rPr>
          <w:rFonts w:ascii="Times New Roman" w:hAnsi="Times New Roman" w:cs="Times New Roman"/>
        </w:rPr>
        <w:t xml:space="preserve"> </w:t>
      </w:r>
      <w:r w:rsidR="00E76CF5" w:rsidRPr="00E76CF5">
        <w:rPr>
          <w:rFonts w:ascii="Times New Roman" w:hAnsi="Times New Roman" w:cs="Times New Roman"/>
          <w:lang w:val="en"/>
        </w:rPr>
        <w:t>especially as a natural medicine for shrimp health</w:t>
      </w:r>
      <w:r w:rsidRPr="0062331A">
        <w:rPr>
          <w:rFonts w:ascii="Times New Roman" w:hAnsi="Times New Roman" w:cs="Times New Roman"/>
        </w:rPr>
        <w:t xml:space="preserve">. </w:t>
      </w:r>
      <w:r w:rsidR="00AA6719" w:rsidRPr="0062331A">
        <w:rPr>
          <w:rFonts w:ascii="Times New Roman" w:hAnsi="Times New Roman" w:cs="Times New Roman"/>
        </w:rPr>
        <w:t xml:space="preserve">This study aimed to investigate the antibacterial and antioxidant potential of </w:t>
      </w:r>
      <w:r w:rsidR="002949E1" w:rsidRPr="002949E1">
        <w:rPr>
          <w:rFonts w:ascii="Times New Roman" w:hAnsi="Times New Roman" w:cs="Times New Roman"/>
        </w:rPr>
        <w:t>P. indica</w:t>
      </w:r>
      <w:r w:rsidR="00AA6719" w:rsidRPr="0062331A">
        <w:rPr>
          <w:rFonts w:ascii="Times New Roman" w:hAnsi="Times New Roman" w:cs="Times New Roman"/>
        </w:rPr>
        <w:t xml:space="preserve"> leaf extract and to evaluate its toxicity level toward </w:t>
      </w:r>
      <w:proofErr w:type="spellStart"/>
      <w:r w:rsidR="00C47D5C" w:rsidRPr="00C47D5C">
        <w:rPr>
          <w:rFonts w:ascii="Times New Roman" w:hAnsi="Times New Roman" w:cs="Times New Roman"/>
        </w:rPr>
        <w:t>whiteleg</w:t>
      </w:r>
      <w:proofErr w:type="spellEnd"/>
      <w:r w:rsidR="00AA6719" w:rsidRPr="0062331A">
        <w:rPr>
          <w:rFonts w:ascii="Times New Roman" w:hAnsi="Times New Roman" w:cs="Times New Roman"/>
        </w:rPr>
        <w:t xml:space="preserve"> shrimp. Antibacterial activity was assessed using the well diffusion method, while antioxidant capacity was measured through the DPPH assay. Toxicity was determined based on the 96-hour </w:t>
      </w:r>
      <w:r w:rsidR="00DD07CE" w:rsidRPr="0062331A">
        <w:rPr>
          <w:rFonts w:ascii="Times New Roman" w:hAnsi="Times New Roman" w:cs="Times New Roman"/>
          <w:lang w:val="id-ID"/>
        </w:rPr>
        <w:t>LC</w:t>
      </w:r>
      <w:r w:rsidR="00DD07CE" w:rsidRPr="0062331A">
        <w:rPr>
          <w:rFonts w:ascii="Times New Roman" w:hAnsi="Times New Roman" w:cs="Times New Roman"/>
          <w:vertAlign w:val="subscript"/>
          <w:lang w:val="id-ID"/>
        </w:rPr>
        <w:t>50</w:t>
      </w:r>
      <w:r w:rsidR="00AA6719" w:rsidRPr="0062331A">
        <w:rPr>
          <w:rFonts w:ascii="Times New Roman" w:hAnsi="Times New Roman" w:cs="Times New Roman"/>
        </w:rPr>
        <w:t xml:space="preserve"> test. Phytochemical screening revealed that the </w:t>
      </w:r>
      <w:r w:rsidR="002949E1" w:rsidRPr="002949E1">
        <w:rPr>
          <w:rFonts w:ascii="Times New Roman" w:hAnsi="Times New Roman" w:cs="Times New Roman"/>
        </w:rPr>
        <w:t>P. indica</w:t>
      </w:r>
      <w:r w:rsidR="00AA6719" w:rsidRPr="0062331A">
        <w:rPr>
          <w:rFonts w:ascii="Times New Roman" w:hAnsi="Times New Roman" w:cs="Times New Roman"/>
        </w:rPr>
        <w:t xml:space="preserve"> leaf extract contains bioactive compounds, including alkaloids, saponins, polyphenols (flavonoids, tannins, and phenols), triterpenoids, and glycosides, which contribute to its functional properties.</w:t>
      </w:r>
      <w:r w:rsidR="00D00950" w:rsidRPr="0062331A">
        <w:rPr>
          <w:rFonts w:ascii="Times New Roman" w:hAnsi="Times New Roman" w:cs="Times New Roman"/>
        </w:rPr>
        <w:t xml:space="preserve"> </w:t>
      </w:r>
      <w:r w:rsidR="002949E1" w:rsidRPr="002949E1">
        <w:rPr>
          <w:rFonts w:ascii="Times New Roman" w:hAnsi="Times New Roman" w:cs="Times New Roman"/>
        </w:rPr>
        <w:t>P. indica</w:t>
      </w:r>
      <w:r w:rsidR="00D00950" w:rsidRPr="0062331A">
        <w:rPr>
          <w:rFonts w:ascii="Times New Roman" w:hAnsi="Times New Roman" w:cs="Times New Roman"/>
        </w:rPr>
        <w:t xml:space="preserve"> leaf extract </w:t>
      </w:r>
      <w:r w:rsidR="00EF14F9" w:rsidRPr="0062331A">
        <w:rPr>
          <w:rFonts w:ascii="Times New Roman" w:hAnsi="Times New Roman" w:cs="Times New Roman"/>
        </w:rPr>
        <w:t xml:space="preserve">exhibited </w:t>
      </w:r>
      <w:r w:rsidR="00D00950" w:rsidRPr="0062331A">
        <w:rPr>
          <w:rFonts w:ascii="Times New Roman" w:hAnsi="Times New Roman" w:cs="Times New Roman"/>
        </w:rPr>
        <w:t xml:space="preserve">an </w:t>
      </w:r>
      <w:r w:rsidR="00DD07CE" w:rsidRPr="0062331A">
        <w:rPr>
          <w:rFonts w:ascii="Times New Roman" w:hAnsi="Times New Roman" w:cs="Times New Roman"/>
          <w:lang w:val="id-ID"/>
        </w:rPr>
        <w:t>LC</w:t>
      </w:r>
      <w:r w:rsidR="00DD07CE" w:rsidRPr="0062331A">
        <w:rPr>
          <w:rFonts w:ascii="Times New Roman" w:hAnsi="Times New Roman" w:cs="Times New Roman"/>
          <w:vertAlign w:val="subscript"/>
          <w:lang w:val="id-ID"/>
        </w:rPr>
        <w:t>50</w:t>
      </w:r>
      <w:r w:rsidR="00DD07CE" w:rsidRPr="0062331A">
        <w:rPr>
          <w:rFonts w:ascii="Times New Roman" w:hAnsi="Times New Roman" w:cs="Times New Roman"/>
          <w:lang w:val="id-ID"/>
        </w:rPr>
        <w:t xml:space="preserve"> </w:t>
      </w:r>
      <w:r w:rsidR="00D00950" w:rsidRPr="0062331A">
        <w:rPr>
          <w:rFonts w:ascii="Times New Roman" w:hAnsi="Times New Roman" w:cs="Times New Roman"/>
        </w:rPr>
        <w:t>value of 432.51 ppm</w:t>
      </w:r>
      <w:r w:rsidR="002319A3">
        <w:rPr>
          <w:rFonts w:ascii="Times New Roman" w:hAnsi="Times New Roman" w:cs="Times New Roman"/>
        </w:rPr>
        <w:t xml:space="preserve"> which has toxic potential for </w:t>
      </w:r>
      <w:proofErr w:type="spellStart"/>
      <w:r w:rsidR="00C47D5C" w:rsidRPr="00C47D5C">
        <w:rPr>
          <w:rFonts w:ascii="Times New Roman" w:hAnsi="Times New Roman" w:cs="Times New Roman"/>
        </w:rPr>
        <w:t>whiteleg</w:t>
      </w:r>
      <w:proofErr w:type="spellEnd"/>
      <w:r w:rsidR="00EF14F9" w:rsidRPr="0062331A">
        <w:rPr>
          <w:rFonts w:ascii="Times New Roman" w:hAnsi="Times New Roman" w:cs="Times New Roman"/>
        </w:rPr>
        <w:t xml:space="preserve"> shrimp</w:t>
      </w:r>
      <w:r w:rsidR="00D00950" w:rsidRPr="0062331A">
        <w:rPr>
          <w:rFonts w:ascii="Times New Roman" w:hAnsi="Times New Roman" w:cs="Times New Roman"/>
        </w:rPr>
        <w:t xml:space="preserve">, </w:t>
      </w:r>
      <w:r w:rsidR="009B1802" w:rsidRPr="009B1802">
        <w:rPr>
          <w:rFonts w:ascii="Times New Roman" w:hAnsi="Times New Roman" w:cs="Times New Roman"/>
          <w:lang w:val="en"/>
        </w:rPr>
        <w:t xml:space="preserve">provides antibacterial activity from a concentration of 1% with a weak category of </w:t>
      </w:r>
      <w:r w:rsidR="009B1802" w:rsidRPr="0062331A">
        <w:rPr>
          <w:rFonts w:asciiTheme="majorBidi" w:hAnsiTheme="majorBidi" w:cstheme="majorBidi"/>
          <w:lang w:val="id-ID"/>
        </w:rPr>
        <w:t>1.01 ± 0.43</w:t>
      </w:r>
      <w:r w:rsidR="009B1802">
        <w:rPr>
          <w:rFonts w:asciiTheme="majorBidi" w:hAnsiTheme="majorBidi" w:cstheme="majorBidi"/>
          <w:lang w:val="id-ID"/>
        </w:rPr>
        <w:t xml:space="preserve"> mm</w:t>
      </w:r>
      <w:r w:rsidR="009B1802" w:rsidRPr="009B1802">
        <w:rPr>
          <w:rFonts w:ascii="Times New Roman" w:hAnsi="Times New Roman" w:cs="Times New Roman"/>
          <w:lang w:val="en"/>
        </w:rPr>
        <w:t xml:space="preserve"> and becomes stronger as the concentration increases with the highest result of the V. parahaemolyticus bacterial inhibition zone of 13.72 ± 1.09 mm at a concentration of 100%</w:t>
      </w:r>
      <w:r w:rsidR="00D00950" w:rsidRPr="0062331A">
        <w:rPr>
          <w:rFonts w:ascii="Times New Roman" w:hAnsi="Times New Roman" w:cs="Times New Roman"/>
        </w:rPr>
        <w:t xml:space="preserve"> and was classified as a strong antioxidant agent (average </w:t>
      </w:r>
      <w:r w:rsidR="00DD07CE" w:rsidRPr="0062331A">
        <w:rPr>
          <w:rFonts w:ascii="Times New Roman" w:hAnsi="Times New Roman" w:cs="Times New Roman"/>
        </w:rPr>
        <w:t>E</w:t>
      </w:r>
      <w:r w:rsidR="00DD07CE" w:rsidRPr="0062331A">
        <w:rPr>
          <w:rFonts w:ascii="Times New Roman" w:hAnsi="Times New Roman" w:cs="Times New Roman"/>
          <w:lang w:val="id-ID"/>
        </w:rPr>
        <w:t>C</w:t>
      </w:r>
      <w:r w:rsidR="00DD07CE" w:rsidRPr="0062331A">
        <w:rPr>
          <w:rFonts w:ascii="Times New Roman" w:hAnsi="Times New Roman" w:cs="Times New Roman"/>
          <w:vertAlign w:val="subscript"/>
          <w:lang w:val="id-ID"/>
        </w:rPr>
        <w:t>50</w:t>
      </w:r>
      <w:r w:rsidR="00DD07CE" w:rsidRPr="0062331A">
        <w:rPr>
          <w:rFonts w:ascii="Times New Roman" w:hAnsi="Times New Roman" w:cs="Times New Roman"/>
          <w:lang w:val="id-ID"/>
        </w:rPr>
        <w:t xml:space="preserve"> </w:t>
      </w:r>
      <w:r w:rsidR="00D00950" w:rsidRPr="0062331A">
        <w:rPr>
          <w:rFonts w:ascii="Times New Roman" w:hAnsi="Times New Roman" w:cs="Times New Roman"/>
        </w:rPr>
        <w:t>value of 82,630±2.76 ppm).</w:t>
      </w:r>
    </w:p>
    <w:p w14:paraId="1EF371B1" w14:textId="77777777" w:rsidR="002949E1" w:rsidRPr="0062331A" w:rsidRDefault="002949E1" w:rsidP="00A562FF">
      <w:pPr>
        <w:spacing w:after="0" w:line="240" w:lineRule="auto"/>
        <w:jc w:val="both"/>
        <w:rPr>
          <w:rFonts w:ascii="Times New Roman" w:hAnsi="Times New Roman" w:cs="Times New Roman"/>
        </w:rPr>
      </w:pPr>
    </w:p>
    <w:p w14:paraId="74757721" w14:textId="35A43E89" w:rsidR="000B3555" w:rsidRPr="0062331A" w:rsidRDefault="003516EF" w:rsidP="002949E1">
      <w:pPr>
        <w:tabs>
          <w:tab w:val="left" w:pos="2835"/>
        </w:tabs>
        <w:spacing w:after="240"/>
        <w:jc w:val="both"/>
        <w:rPr>
          <w:rFonts w:ascii="Times New Roman" w:hAnsi="Times New Roman" w:cs="Times New Roman"/>
        </w:rPr>
      </w:pPr>
      <w:r w:rsidRPr="00A562FF">
        <w:rPr>
          <w:rFonts w:ascii="Times New Roman" w:hAnsi="Times New Roman" w:cs="Times New Roman"/>
          <w:b/>
          <w:bCs/>
        </w:rPr>
        <w:t>Keywords</w:t>
      </w:r>
      <w:r w:rsidRPr="0062331A">
        <w:rPr>
          <w:rFonts w:ascii="Times New Roman" w:hAnsi="Times New Roman" w:cs="Times New Roman"/>
        </w:rPr>
        <w:t xml:space="preserve">: </w:t>
      </w:r>
      <w:r w:rsidRPr="00A562FF">
        <w:rPr>
          <w:rFonts w:ascii="Times New Roman" w:hAnsi="Times New Roman" w:cs="Times New Roman"/>
          <w:i/>
          <w:iCs/>
        </w:rPr>
        <w:t xml:space="preserve">antibacterial, antioxidant, </w:t>
      </w:r>
      <w:r w:rsidR="002949E1" w:rsidRPr="00C47D5C">
        <w:rPr>
          <w:rFonts w:ascii="Times New Roman" w:hAnsi="Times New Roman" w:cs="Times New Roman"/>
          <w:i/>
          <w:iCs/>
        </w:rPr>
        <w:t>P. indica</w:t>
      </w:r>
      <w:r w:rsidRPr="00C47D5C">
        <w:rPr>
          <w:rFonts w:ascii="Times New Roman" w:hAnsi="Times New Roman" w:cs="Times New Roman"/>
          <w:i/>
          <w:iCs/>
        </w:rPr>
        <w:t xml:space="preserve"> </w:t>
      </w:r>
      <w:r w:rsidRPr="00A562FF">
        <w:rPr>
          <w:rFonts w:ascii="Times New Roman" w:hAnsi="Times New Roman" w:cs="Times New Roman"/>
          <w:i/>
          <w:iCs/>
        </w:rPr>
        <w:t>leaf</w:t>
      </w:r>
      <w:r w:rsidRPr="00C47D5C">
        <w:rPr>
          <w:rFonts w:ascii="Times New Roman" w:hAnsi="Times New Roman" w:cs="Times New Roman"/>
          <w:i/>
          <w:iCs/>
        </w:rPr>
        <w:t xml:space="preserve">, </w:t>
      </w:r>
      <w:proofErr w:type="spellStart"/>
      <w:r w:rsidR="00C47D5C" w:rsidRPr="00C47D5C">
        <w:rPr>
          <w:rFonts w:ascii="Times New Roman" w:hAnsi="Times New Roman" w:cs="Times New Roman"/>
          <w:i/>
          <w:iCs/>
        </w:rPr>
        <w:t>whiteleg</w:t>
      </w:r>
      <w:proofErr w:type="spellEnd"/>
      <w:r w:rsidRPr="00A562FF">
        <w:rPr>
          <w:rFonts w:ascii="Times New Roman" w:hAnsi="Times New Roman" w:cs="Times New Roman"/>
          <w:i/>
          <w:iCs/>
        </w:rPr>
        <w:t xml:space="preserve"> shrimp,</w:t>
      </w:r>
      <w:r w:rsidRPr="0062331A">
        <w:rPr>
          <w:rFonts w:ascii="Times New Roman" w:hAnsi="Times New Roman" w:cs="Times New Roman"/>
          <w:i/>
          <w:iCs/>
        </w:rPr>
        <w:t xml:space="preserve"> V.</w:t>
      </w:r>
      <w:r w:rsidR="006E31F0" w:rsidRPr="0062331A">
        <w:rPr>
          <w:rFonts w:ascii="Times New Roman" w:hAnsi="Times New Roman" w:cs="Times New Roman"/>
          <w:i/>
          <w:iCs/>
        </w:rPr>
        <w:t xml:space="preserve"> </w:t>
      </w:r>
      <w:r w:rsidRPr="0062331A">
        <w:rPr>
          <w:rFonts w:ascii="Times New Roman" w:hAnsi="Times New Roman" w:cs="Times New Roman"/>
          <w:i/>
          <w:iCs/>
        </w:rPr>
        <w:t>parahaemolyticus</w:t>
      </w:r>
    </w:p>
    <w:p w14:paraId="596834C2" w14:textId="2EC16F18" w:rsidR="000B3555" w:rsidRPr="0062331A" w:rsidRDefault="00A562FF" w:rsidP="00A562FF">
      <w:pPr>
        <w:jc w:val="center"/>
        <w:rPr>
          <w:rFonts w:ascii="Times New Roman" w:hAnsi="Times New Roman" w:cs="Times New Roman"/>
          <w:b/>
          <w:bCs/>
        </w:rPr>
      </w:pPr>
      <w:r w:rsidRPr="0062331A">
        <w:rPr>
          <w:rFonts w:ascii="Times New Roman" w:hAnsi="Times New Roman" w:cs="Times New Roman"/>
          <w:b/>
          <w:bCs/>
        </w:rPr>
        <w:t>INTRODUCTION</w:t>
      </w:r>
    </w:p>
    <w:p w14:paraId="304FC3C8" w14:textId="09AD7CA5" w:rsidR="003516EF" w:rsidRPr="0062331A" w:rsidRDefault="003516EF" w:rsidP="00E57BBA">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Aquaculture products play a vital role in ensuring global food security by serving as a significant source of high-quality animal protein. Among crustacean aquaculture commodities, </w:t>
      </w:r>
      <w:proofErr w:type="spellStart"/>
      <w:r w:rsidR="00C47D5C" w:rsidRPr="00C47D5C">
        <w:rPr>
          <w:rFonts w:ascii="Times New Roman" w:hAnsi="Times New Roman" w:cs="Times New Roman"/>
        </w:rPr>
        <w:t>whiteleg</w:t>
      </w:r>
      <w:r w:rsidRPr="0062331A">
        <w:rPr>
          <w:rFonts w:ascii="Times New Roman" w:hAnsi="Times New Roman" w:cs="Times New Roman"/>
        </w:rPr>
        <w:t>i</w:t>
      </w:r>
      <w:proofErr w:type="spellEnd"/>
      <w:r w:rsidRPr="0062331A">
        <w:rPr>
          <w:rFonts w:ascii="Times New Roman" w:hAnsi="Times New Roman" w:cs="Times New Roman"/>
        </w:rPr>
        <w:t xml:space="preserve"> shrimp dominates the global market and is projected to grow at an annual rate of 6.72% through 2028, reaching an estimated market value of USD 69.35 billion (Cheney, 2024). This growth is largely attributed to the species’ superior characteristics, including rapid growth rates, efficient feed conversion, and high adaptability to various environmental conditions (Chen </w:t>
      </w:r>
      <w:r w:rsidR="00A562FF" w:rsidRPr="00A562FF">
        <w:rPr>
          <w:rFonts w:ascii="Times New Roman" w:hAnsi="Times New Roman" w:cs="Times New Roman"/>
          <w:i/>
          <w:iCs/>
        </w:rPr>
        <w:t>et al.,</w:t>
      </w:r>
      <w:r w:rsidRPr="0062331A">
        <w:rPr>
          <w:rFonts w:ascii="Times New Roman" w:hAnsi="Times New Roman" w:cs="Times New Roman"/>
        </w:rPr>
        <w:t xml:space="preserve"> 2020). </w:t>
      </w:r>
      <w:r w:rsidR="00E57BBA" w:rsidRPr="0062331A">
        <w:rPr>
          <w:rFonts w:ascii="Times New Roman" w:hAnsi="Times New Roman" w:cs="Times New Roman"/>
        </w:rPr>
        <w:t>The high intensity of shrimp farming activities to achieve production targets is directly proportional to the increase in feed consumption, thus increasing the burden of organic matter on the bottom of the waters.</w:t>
      </w:r>
    </w:p>
    <w:p w14:paraId="27915769" w14:textId="6FA7BED5" w:rsidR="00073A64" w:rsidRPr="0062331A" w:rsidRDefault="00FB7AB7" w:rsidP="00073A64">
      <w:pPr>
        <w:spacing w:after="0" w:line="240" w:lineRule="auto"/>
        <w:ind w:firstLine="567"/>
        <w:jc w:val="both"/>
        <w:rPr>
          <w:rFonts w:ascii="Times New Roman" w:hAnsi="Times New Roman" w:cs="Times New Roman"/>
        </w:rPr>
      </w:pPr>
      <w:r w:rsidRPr="0062331A">
        <w:rPr>
          <w:rFonts w:ascii="Times New Roman" w:hAnsi="Times New Roman" w:cs="Times New Roman"/>
        </w:rPr>
        <w:t>Organic matter that increasingly accumulates at the bottom of the water has a significant impact on environmental quality and shrimp health, such as decreased oxygen levels, disease outbreaks such as vibriosis, and decreased productivity (</w:t>
      </w:r>
      <w:proofErr w:type="spellStart"/>
      <w:r w:rsidRPr="0062331A">
        <w:rPr>
          <w:rFonts w:ascii="Times New Roman" w:hAnsi="Times New Roman" w:cs="Times New Roman"/>
        </w:rPr>
        <w:t>Ariadi</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2025). </w:t>
      </w:r>
      <w:r w:rsidR="007F2367" w:rsidRPr="0062331A">
        <w:rPr>
          <w:rFonts w:ascii="Times New Roman" w:hAnsi="Times New Roman" w:cs="Times New Roman"/>
        </w:rPr>
        <w:t>These conditions exacerbate the challenges in aquaculture systems, as stressed shrimp become more susceptible to pathogenic agents, relying solely on non-specific immune responses for defense. Unlike specific immunity, the non-specific immune system of shrimp lacks immunological memory and targeted responses to pathogens, depending instead on physical barriers such as the exoskeleton and mucous layers. These physical defenses are often compromised under stress conditions (</w:t>
      </w:r>
      <w:proofErr w:type="spellStart"/>
      <w:r w:rsidR="007F2367" w:rsidRPr="0062331A">
        <w:rPr>
          <w:rFonts w:ascii="Times New Roman" w:hAnsi="Times New Roman" w:cs="Times New Roman"/>
        </w:rPr>
        <w:t>Natrah</w:t>
      </w:r>
      <w:proofErr w:type="spellEnd"/>
      <w:r w:rsidR="007F2367" w:rsidRPr="0062331A">
        <w:rPr>
          <w:rFonts w:ascii="Times New Roman" w:hAnsi="Times New Roman" w:cs="Times New Roman"/>
        </w:rPr>
        <w:t xml:space="preserve"> </w:t>
      </w:r>
      <w:r w:rsidR="00A562FF" w:rsidRPr="00A562FF">
        <w:rPr>
          <w:rFonts w:ascii="Times New Roman" w:hAnsi="Times New Roman" w:cs="Times New Roman"/>
          <w:i/>
          <w:iCs/>
        </w:rPr>
        <w:t>et al.,</w:t>
      </w:r>
      <w:r w:rsidR="007F2367" w:rsidRPr="0062331A">
        <w:rPr>
          <w:rFonts w:ascii="Times New Roman" w:hAnsi="Times New Roman" w:cs="Times New Roman"/>
        </w:rPr>
        <w:t xml:space="preserve"> 2025). Therefore, i</w:t>
      </w:r>
      <w:r w:rsidRPr="0062331A">
        <w:rPr>
          <w:rFonts w:ascii="Times New Roman" w:hAnsi="Times New Roman" w:cs="Times New Roman"/>
        </w:rPr>
        <w:t>mprovements and innovations in handling some aquaculture problems, such as handling pathogen infections and counteracting stress in shrimp using safe methods, need to be considered to replace the role of antibiotics, which have undesirable environmental consequences.</w:t>
      </w:r>
      <w:r w:rsidR="007F2367" w:rsidRPr="0062331A">
        <w:rPr>
          <w:rFonts w:ascii="Times New Roman" w:hAnsi="Times New Roman" w:cs="Times New Roman"/>
        </w:rPr>
        <w:t xml:space="preserve"> </w:t>
      </w:r>
    </w:p>
    <w:p w14:paraId="7CA4E2F8" w14:textId="3383C0CD" w:rsidR="000B3555" w:rsidRPr="0062331A" w:rsidRDefault="00073A64" w:rsidP="00073A64">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advancement in the use of environmentally friendly natural ingredients in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farming has shown various </w:t>
      </w:r>
      <w:r w:rsidR="00CF2C11" w:rsidRPr="0062331A">
        <w:rPr>
          <w:rFonts w:ascii="Times New Roman" w:hAnsi="Times New Roman" w:cs="Times New Roman"/>
        </w:rPr>
        <w:t>promising benefits</w:t>
      </w:r>
      <w:r w:rsidRPr="0062331A">
        <w:rPr>
          <w:rFonts w:ascii="Times New Roman" w:hAnsi="Times New Roman" w:cs="Times New Roman"/>
        </w:rPr>
        <w:t xml:space="preserve">. One of them is the </w:t>
      </w:r>
      <w:r w:rsidR="004443FF" w:rsidRPr="0062331A">
        <w:rPr>
          <w:rFonts w:ascii="Times New Roman" w:hAnsi="Times New Roman" w:cs="Times New Roman"/>
        </w:rPr>
        <w:t>leaf</w:t>
      </w:r>
      <w:r w:rsidRPr="0062331A">
        <w:rPr>
          <w:rFonts w:ascii="Times New Roman" w:hAnsi="Times New Roman" w:cs="Times New Roman"/>
        </w:rPr>
        <w:t xml:space="preserve"> of the </w:t>
      </w:r>
      <w:r w:rsidR="002949E1" w:rsidRPr="00C47D5C">
        <w:rPr>
          <w:rFonts w:ascii="Times New Roman" w:hAnsi="Times New Roman" w:cs="Times New Roman"/>
          <w:i/>
          <w:iCs/>
        </w:rPr>
        <w:t>P. indica</w:t>
      </w:r>
      <w:r w:rsidRPr="0062331A">
        <w:rPr>
          <w:rFonts w:ascii="Times New Roman" w:hAnsi="Times New Roman" w:cs="Times New Roman"/>
        </w:rPr>
        <w:t xml:space="preserve"> </w:t>
      </w:r>
      <w:r w:rsidRPr="0062331A">
        <w:rPr>
          <w:rFonts w:ascii="Times New Roman" w:hAnsi="Times New Roman" w:cs="Times New Roman"/>
        </w:rPr>
        <w:lastRenderedPageBreak/>
        <w:t xml:space="preserve">plant which has the potential content of phytonutrient compounds that can act as a natural medicine that is beneficial for the health of living organisms (Putra </w:t>
      </w:r>
      <w:r w:rsidR="00A562FF" w:rsidRPr="00A562FF">
        <w:rPr>
          <w:rFonts w:ascii="Times New Roman" w:hAnsi="Times New Roman" w:cs="Times New Roman"/>
          <w:i/>
          <w:iCs/>
        </w:rPr>
        <w:t>et al.,</w:t>
      </w:r>
      <w:r w:rsidRPr="0062331A">
        <w:rPr>
          <w:rFonts w:ascii="Times New Roman" w:hAnsi="Times New Roman" w:cs="Times New Roman"/>
        </w:rPr>
        <w:t xml:space="preserve"> 2025). </w:t>
      </w:r>
      <w:r w:rsidR="00CF2C11" w:rsidRPr="0062331A">
        <w:rPr>
          <w:rFonts w:ascii="Times New Roman" w:hAnsi="Times New Roman" w:cs="Times New Roman"/>
        </w:rPr>
        <w:t xml:space="preserve">According to </w:t>
      </w:r>
      <w:proofErr w:type="spellStart"/>
      <w:r w:rsidRPr="0062331A">
        <w:rPr>
          <w:rFonts w:ascii="Times New Roman" w:hAnsi="Times New Roman" w:cs="Times New Roman"/>
        </w:rPr>
        <w:t>Linayati</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(2022) </w:t>
      </w:r>
      <w:r w:rsidR="002949E1" w:rsidRPr="00C47D5C">
        <w:rPr>
          <w:rFonts w:ascii="Times New Roman" w:hAnsi="Times New Roman" w:cs="Times New Roman"/>
          <w:i/>
          <w:iCs/>
        </w:rPr>
        <w:t>P. indica</w:t>
      </w:r>
      <w:r w:rsidRPr="0062331A">
        <w:rPr>
          <w:rFonts w:ascii="Times New Roman" w:hAnsi="Times New Roman" w:cs="Times New Roman"/>
        </w:rPr>
        <w:t xml:space="preserve"> leaves have the potential as an antioxidant agent that can help the growth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w:t>
      </w:r>
      <w:r w:rsidR="00CF2C11" w:rsidRPr="0062331A">
        <w:rPr>
          <w:rFonts w:ascii="Times New Roman" w:hAnsi="Times New Roman" w:cs="Times New Roman"/>
        </w:rPr>
        <w:t xml:space="preserve">Furthermore, </w:t>
      </w:r>
      <w:r w:rsidRPr="0062331A">
        <w:rPr>
          <w:rFonts w:ascii="Times New Roman" w:hAnsi="Times New Roman" w:cs="Times New Roman"/>
        </w:rPr>
        <w:t xml:space="preserve">studies </w:t>
      </w:r>
      <w:r w:rsidR="00CF2C11" w:rsidRPr="0062331A">
        <w:rPr>
          <w:rFonts w:ascii="Times New Roman" w:hAnsi="Times New Roman" w:cs="Times New Roman"/>
        </w:rPr>
        <w:t xml:space="preserve">by </w:t>
      </w:r>
      <w:r w:rsidRPr="0062331A">
        <w:rPr>
          <w:rFonts w:ascii="Times New Roman" w:hAnsi="Times New Roman" w:cs="Times New Roman"/>
        </w:rPr>
        <w:t>Al-</w:t>
      </w:r>
      <w:proofErr w:type="spellStart"/>
      <w:r w:rsidRPr="0062331A">
        <w:rPr>
          <w:rFonts w:ascii="Times New Roman" w:hAnsi="Times New Roman" w:cs="Times New Roman"/>
        </w:rPr>
        <w:t>ashkar</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(2023) </w:t>
      </w:r>
      <w:r w:rsidR="005355F7" w:rsidRPr="0062331A">
        <w:rPr>
          <w:rFonts w:ascii="Times New Roman" w:hAnsi="Times New Roman" w:cs="Times New Roman"/>
        </w:rPr>
        <w:t xml:space="preserve">have demonstrated the antibacterial properties of </w:t>
      </w:r>
      <w:r w:rsidR="002949E1" w:rsidRPr="002949E1">
        <w:rPr>
          <w:rFonts w:ascii="Times New Roman" w:hAnsi="Times New Roman" w:cs="Times New Roman"/>
        </w:rPr>
        <w:t>P. indica</w:t>
      </w:r>
      <w:r w:rsidR="005355F7" w:rsidRPr="0062331A">
        <w:rPr>
          <w:rFonts w:ascii="Times New Roman" w:hAnsi="Times New Roman" w:cs="Times New Roman"/>
        </w:rPr>
        <w:t xml:space="preserve"> leaves against several Gram-positive and Gram-negative bacteria, including </w:t>
      </w:r>
      <w:r w:rsidRPr="00A562FF">
        <w:rPr>
          <w:rFonts w:ascii="Times New Roman" w:hAnsi="Times New Roman" w:cs="Times New Roman"/>
          <w:i/>
          <w:iCs/>
        </w:rPr>
        <w:t>B. subtilis, C. albicans, C. neoformans, E. faecalis, E. coli, S. Aureus</w:t>
      </w:r>
      <w:r w:rsidRPr="0062331A">
        <w:rPr>
          <w:rFonts w:ascii="Times New Roman" w:hAnsi="Times New Roman" w:cs="Times New Roman"/>
        </w:rPr>
        <w:t xml:space="preserve">. Currently, there is still a lack of use of </w:t>
      </w:r>
      <w:r w:rsidR="002949E1" w:rsidRPr="00C47D5C">
        <w:rPr>
          <w:rFonts w:ascii="Times New Roman" w:hAnsi="Times New Roman" w:cs="Times New Roman"/>
          <w:i/>
          <w:iCs/>
        </w:rPr>
        <w:t>P. indica</w:t>
      </w:r>
      <w:r w:rsidRPr="0062331A">
        <w:rPr>
          <w:rFonts w:ascii="Times New Roman" w:hAnsi="Times New Roman" w:cs="Times New Roman"/>
        </w:rPr>
        <w:t xml:space="preserve"> </w:t>
      </w:r>
      <w:r w:rsidR="004443FF" w:rsidRPr="0062331A">
        <w:rPr>
          <w:rFonts w:ascii="Times New Roman" w:hAnsi="Times New Roman" w:cs="Times New Roman"/>
        </w:rPr>
        <w:t>leaf</w:t>
      </w:r>
      <w:r w:rsidRPr="0062331A">
        <w:rPr>
          <w:rFonts w:ascii="Times New Roman" w:hAnsi="Times New Roman" w:cs="Times New Roman"/>
        </w:rPr>
        <w:t xml:space="preserve"> as antibacterial and antioxidant agents in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so that the purpose of this study examines the potential of </w:t>
      </w:r>
      <w:r w:rsidR="002949E1" w:rsidRPr="00C47D5C">
        <w:rPr>
          <w:rFonts w:ascii="Times New Roman" w:hAnsi="Times New Roman" w:cs="Times New Roman"/>
          <w:i/>
          <w:iCs/>
        </w:rPr>
        <w:t>P. indica</w:t>
      </w:r>
      <w:r w:rsidRPr="0062331A">
        <w:rPr>
          <w:rFonts w:ascii="Times New Roman" w:hAnsi="Times New Roman" w:cs="Times New Roman"/>
        </w:rPr>
        <w:t xml:space="preserve"> </w:t>
      </w:r>
      <w:r w:rsidR="004443FF" w:rsidRPr="0062331A">
        <w:rPr>
          <w:rFonts w:ascii="Times New Roman" w:hAnsi="Times New Roman" w:cs="Times New Roman"/>
        </w:rPr>
        <w:t>leaf</w:t>
      </w:r>
      <w:r w:rsidRPr="0062331A">
        <w:rPr>
          <w:rFonts w:ascii="Times New Roman" w:hAnsi="Times New Roman" w:cs="Times New Roman"/>
        </w:rPr>
        <w:t xml:space="preserve"> as antibacterial and antioxidant agents and the level of toxicity to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w:t>
      </w:r>
    </w:p>
    <w:p w14:paraId="4E9AB41A" w14:textId="77777777" w:rsidR="00D26250" w:rsidRPr="0062331A" w:rsidRDefault="00D26250" w:rsidP="00073A64">
      <w:pPr>
        <w:spacing w:after="0" w:line="240" w:lineRule="auto"/>
        <w:ind w:firstLine="567"/>
        <w:jc w:val="both"/>
        <w:rPr>
          <w:rFonts w:ascii="Times New Roman" w:hAnsi="Times New Roman" w:cs="Times New Roman"/>
        </w:rPr>
      </w:pPr>
    </w:p>
    <w:p w14:paraId="5CA42CEB" w14:textId="1E89E64B" w:rsidR="000B3555" w:rsidRPr="0062331A" w:rsidRDefault="00A562FF" w:rsidP="00A562FF">
      <w:pPr>
        <w:spacing w:after="0" w:line="240" w:lineRule="auto"/>
        <w:jc w:val="center"/>
        <w:rPr>
          <w:rFonts w:ascii="Times New Roman" w:hAnsi="Times New Roman" w:cs="Times New Roman"/>
          <w:b/>
          <w:bCs/>
        </w:rPr>
      </w:pPr>
      <w:r w:rsidRPr="0062331A">
        <w:rPr>
          <w:rFonts w:ascii="Times New Roman" w:hAnsi="Times New Roman" w:cs="Times New Roman"/>
          <w:b/>
          <w:bCs/>
        </w:rPr>
        <w:t>MATERIALS AND METHODS</w:t>
      </w:r>
    </w:p>
    <w:p w14:paraId="6351F398" w14:textId="77777777" w:rsidR="00A562FF" w:rsidRDefault="00A562FF" w:rsidP="000B3555">
      <w:pPr>
        <w:spacing w:after="0" w:line="240" w:lineRule="auto"/>
        <w:ind w:firstLine="567"/>
        <w:jc w:val="both"/>
        <w:rPr>
          <w:rFonts w:ascii="Times New Roman" w:hAnsi="Times New Roman" w:cs="Times New Roman"/>
        </w:rPr>
      </w:pPr>
    </w:p>
    <w:p w14:paraId="215C11B5" w14:textId="6532C21E" w:rsidR="000B3555" w:rsidRPr="0062331A" w:rsidRDefault="007515DA" w:rsidP="000B3555">
      <w:pPr>
        <w:spacing w:after="0" w:line="240" w:lineRule="auto"/>
        <w:ind w:firstLine="567"/>
        <w:jc w:val="both"/>
        <w:rPr>
          <w:rFonts w:ascii="Times New Roman" w:hAnsi="Times New Roman" w:cs="Times New Roman"/>
          <w:lang w:val="id-ID"/>
        </w:rPr>
      </w:pPr>
      <w:r w:rsidRPr="0062331A">
        <w:rPr>
          <w:rFonts w:ascii="Times New Roman" w:hAnsi="Times New Roman" w:cs="Times New Roman"/>
        </w:rPr>
        <w:t xml:space="preserve">The research was conducted at the Microbiology Laboratory of </w:t>
      </w:r>
      <w:proofErr w:type="spellStart"/>
      <w:r w:rsidRPr="0062331A">
        <w:rPr>
          <w:rFonts w:ascii="Times New Roman" w:hAnsi="Times New Roman" w:cs="Times New Roman"/>
        </w:rPr>
        <w:t>Pekalongan</w:t>
      </w:r>
      <w:proofErr w:type="spellEnd"/>
      <w:r w:rsidRPr="0062331A">
        <w:rPr>
          <w:rFonts w:ascii="Times New Roman" w:hAnsi="Times New Roman" w:cs="Times New Roman"/>
        </w:rPr>
        <w:t xml:space="preserve"> University for 30 days in July </w:t>
      </w:r>
      <w:r w:rsidRPr="0062331A">
        <w:rPr>
          <w:rFonts w:ascii="Times New Roman" w:hAnsi="Times New Roman" w:cs="Times New Roman"/>
          <w:lang w:val="id-ID"/>
        </w:rPr>
        <w:t xml:space="preserve">2024. The test organisms used were </w:t>
      </w:r>
      <w:r w:rsidR="00C47D5C" w:rsidRPr="00C47D5C">
        <w:rPr>
          <w:rFonts w:ascii="Times New Roman" w:hAnsi="Times New Roman" w:cs="Times New Roman"/>
          <w:lang w:val="id-ID"/>
        </w:rPr>
        <w:t>whiteleg</w:t>
      </w:r>
      <w:r w:rsidRPr="0062331A">
        <w:rPr>
          <w:rFonts w:ascii="Times New Roman" w:hAnsi="Times New Roman" w:cs="Times New Roman"/>
          <w:lang w:val="id-ID"/>
        </w:rPr>
        <w:t xml:space="preserve">i shrimp </w:t>
      </w:r>
      <w:r w:rsidR="005F60DC" w:rsidRPr="0062331A">
        <w:rPr>
          <w:rFonts w:ascii="Times New Roman" w:hAnsi="Times New Roman" w:cs="Times New Roman"/>
          <w:lang w:val="id-ID"/>
        </w:rPr>
        <w:t>with an average body weight of approximately ±</w:t>
      </w:r>
      <w:r w:rsidR="006F60BA" w:rsidRPr="0062331A">
        <w:rPr>
          <w:rFonts w:ascii="Times New Roman" w:hAnsi="Times New Roman" w:cs="Times New Roman"/>
        </w:rPr>
        <w:t xml:space="preserve"> </w:t>
      </w:r>
      <w:r w:rsidR="005F60DC" w:rsidRPr="0062331A">
        <w:rPr>
          <w:rFonts w:ascii="Times New Roman" w:hAnsi="Times New Roman" w:cs="Times New Roman"/>
          <w:lang w:val="id-ID"/>
        </w:rPr>
        <w:t>4 g, obtained from ponds located near the research site</w:t>
      </w:r>
      <w:r w:rsidR="006F60BA" w:rsidRPr="0062331A">
        <w:rPr>
          <w:rFonts w:ascii="Times New Roman" w:hAnsi="Times New Roman" w:cs="Times New Roman"/>
        </w:rPr>
        <w:t xml:space="preserve">, and </w:t>
      </w:r>
      <w:r w:rsidR="005F60DC" w:rsidRPr="0062331A">
        <w:rPr>
          <w:rFonts w:ascii="Times New Roman" w:hAnsi="Times New Roman" w:cs="Times New Roman"/>
          <w:i/>
          <w:iCs/>
          <w:lang w:val="id-ID"/>
        </w:rPr>
        <w:t>Vibrio parahaemolyticus</w:t>
      </w:r>
      <w:r w:rsidR="005F60DC" w:rsidRPr="0062331A">
        <w:rPr>
          <w:rFonts w:ascii="Times New Roman" w:hAnsi="Times New Roman" w:cs="Times New Roman"/>
          <w:lang w:val="id-ID"/>
        </w:rPr>
        <w:t xml:space="preserve"> used in the study were sourced from the culture collection of the Microbiology Laboratory, Pekalongan University. </w:t>
      </w:r>
      <w:r w:rsidR="006F60BA" w:rsidRPr="0062331A">
        <w:rPr>
          <w:rFonts w:ascii="Times New Roman" w:hAnsi="Times New Roman" w:cs="Times New Roman"/>
          <w:lang w:val="id-ID"/>
        </w:rPr>
        <w:t>Shrimp rearing containers using aquarium 40x30x20 cm with a capacity of 30 L and media water using sea water that has been filtered before.</w:t>
      </w:r>
    </w:p>
    <w:p w14:paraId="57A90654" w14:textId="77777777" w:rsidR="000B3555" w:rsidRPr="0062331A" w:rsidRDefault="000B3555" w:rsidP="000B3555">
      <w:pPr>
        <w:spacing w:after="0" w:line="240" w:lineRule="auto"/>
        <w:ind w:firstLine="567"/>
        <w:jc w:val="both"/>
        <w:rPr>
          <w:rFonts w:ascii="Times New Roman" w:hAnsi="Times New Roman" w:cs="Times New Roman"/>
          <w:lang w:val="id-ID"/>
        </w:rPr>
      </w:pPr>
    </w:p>
    <w:p w14:paraId="64201A87" w14:textId="497C9F80" w:rsidR="000B3555" w:rsidRPr="0062331A" w:rsidRDefault="009A334C" w:rsidP="000B3555">
      <w:pPr>
        <w:spacing w:after="0" w:line="240" w:lineRule="auto"/>
        <w:jc w:val="both"/>
        <w:rPr>
          <w:rFonts w:ascii="Times New Roman" w:hAnsi="Times New Roman" w:cs="Times New Roman"/>
          <w:b/>
          <w:bCs/>
        </w:rPr>
      </w:pPr>
      <w:r w:rsidRPr="0062331A">
        <w:rPr>
          <w:rFonts w:ascii="Times New Roman" w:hAnsi="Times New Roman" w:cs="Times New Roman"/>
          <w:b/>
          <w:bCs/>
        </w:rPr>
        <w:t xml:space="preserve">Extraction Procedure of </w:t>
      </w:r>
      <w:r w:rsidR="002949E1" w:rsidRPr="002949E1">
        <w:rPr>
          <w:rFonts w:ascii="Times New Roman" w:hAnsi="Times New Roman" w:cs="Times New Roman"/>
          <w:b/>
          <w:bCs/>
        </w:rPr>
        <w:t>P. indica</w:t>
      </w:r>
      <w:r w:rsidRPr="0062331A">
        <w:rPr>
          <w:rFonts w:ascii="Times New Roman" w:hAnsi="Times New Roman" w:cs="Times New Roman"/>
          <w:b/>
          <w:bCs/>
        </w:rPr>
        <w:t xml:space="preserve"> </w:t>
      </w:r>
      <w:r w:rsidR="004443FF" w:rsidRPr="0062331A">
        <w:rPr>
          <w:rFonts w:ascii="Times New Roman" w:hAnsi="Times New Roman" w:cs="Times New Roman"/>
          <w:b/>
          <w:bCs/>
        </w:rPr>
        <w:t>Leaf</w:t>
      </w:r>
    </w:p>
    <w:p w14:paraId="3EA69BB6" w14:textId="0A3A3086" w:rsidR="000B3555" w:rsidRPr="0062331A" w:rsidRDefault="002949E1" w:rsidP="003D7BD9">
      <w:pPr>
        <w:spacing w:after="0" w:line="240" w:lineRule="auto"/>
        <w:ind w:firstLine="567"/>
        <w:jc w:val="both"/>
        <w:rPr>
          <w:rFonts w:ascii="Times New Roman" w:hAnsi="Times New Roman" w:cs="Times New Roman"/>
          <w:lang w:val="id-ID"/>
        </w:rPr>
      </w:pPr>
      <w:r w:rsidRPr="00C47D5C">
        <w:rPr>
          <w:rFonts w:ascii="Times New Roman" w:hAnsi="Times New Roman" w:cs="Times New Roman"/>
          <w:i/>
          <w:iCs/>
        </w:rPr>
        <w:t>P. indica</w:t>
      </w:r>
      <w:r w:rsidR="002379FC" w:rsidRPr="0062331A">
        <w:rPr>
          <w:rFonts w:ascii="Times New Roman" w:hAnsi="Times New Roman" w:cs="Times New Roman"/>
        </w:rPr>
        <w:t xml:space="preserve"> leaves were collected from coastal areas around P</w:t>
      </w:r>
      <w:r w:rsidR="000B3555" w:rsidRPr="0062331A">
        <w:rPr>
          <w:rFonts w:ascii="Times New Roman" w:hAnsi="Times New Roman" w:cs="Times New Roman"/>
          <w:lang w:val="id-ID"/>
        </w:rPr>
        <w:t>ekalongan</w:t>
      </w:r>
      <w:r w:rsidR="002379FC" w:rsidRPr="0062331A">
        <w:rPr>
          <w:rFonts w:ascii="Times New Roman" w:hAnsi="Times New Roman" w:cs="Times New Roman"/>
        </w:rPr>
        <w:t xml:space="preserve">, selected based on criteria including complete leaf morphology and fresh green coloration. Leaves were harvested starting from the first three stem segments from the base. The selected leaves were then thoroughly cleaned and oven-dried to produce </w:t>
      </w:r>
      <w:proofErr w:type="spellStart"/>
      <w:r w:rsidR="002379FC" w:rsidRPr="0062331A">
        <w:rPr>
          <w:rFonts w:ascii="Times New Roman" w:hAnsi="Times New Roman" w:cs="Times New Roman"/>
        </w:rPr>
        <w:t>simplisia</w:t>
      </w:r>
      <w:proofErr w:type="spellEnd"/>
      <w:r w:rsidR="002379FC" w:rsidRPr="0062331A">
        <w:rPr>
          <w:rFonts w:ascii="Times New Roman" w:hAnsi="Times New Roman" w:cs="Times New Roman"/>
        </w:rPr>
        <w:t xml:space="preserve">. </w:t>
      </w:r>
      <w:proofErr w:type="spellStart"/>
      <w:r w:rsidR="003D7BD9" w:rsidRPr="0062331A">
        <w:rPr>
          <w:rFonts w:ascii="Times New Roman" w:hAnsi="Times New Roman" w:cs="Times New Roman"/>
        </w:rPr>
        <w:t>S</w:t>
      </w:r>
      <w:r w:rsidR="002379FC" w:rsidRPr="0062331A">
        <w:rPr>
          <w:rFonts w:ascii="Times New Roman" w:hAnsi="Times New Roman" w:cs="Times New Roman"/>
        </w:rPr>
        <w:t>implisia</w:t>
      </w:r>
      <w:proofErr w:type="spellEnd"/>
      <w:r w:rsidR="002379FC" w:rsidRPr="0062331A">
        <w:rPr>
          <w:rFonts w:ascii="Times New Roman" w:hAnsi="Times New Roman" w:cs="Times New Roman"/>
        </w:rPr>
        <w:t xml:space="preserve"> was ground into powder form</w:t>
      </w:r>
      <w:r w:rsidR="003D7BD9" w:rsidRPr="0062331A">
        <w:rPr>
          <w:rFonts w:ascii="Times New Roman" w:hAnsi="Times New Roman" w:cs="Times New Roman"/>
        </w:rPr>
        <w:t xml:space="preserve"> in order to expand contact with the solvent </w:t>
      </w:r>
      <w:r w:rsidR="002379FC" w:rsidRPr="0062331A">
        <w:rPr>
          <w:rFonts w:ascii="Times New Roman" w:hAnsi="Times New Roman" w:cs="Times New Roman"/>
        </w:rPr>
        <w:t>(Abubakar &amp; Haque, 2020).</w:t>
      </w:r>
      <w:r w:rsidR="003D7BD9" w:rsidRPr="0062331A">
        <w:rPr>
          <w:rFonts w:ascii="Times New Roman" w:hAnsi="Times New Roman" w:cs="Times New Roman"/>
        </w:rPr>
        <w:t xml:space="preserve"> A total of 100 g of powdered </w:t>
      </w:r>
      <w:proofErr w:type="spellStart"/>
      <w:r w:rsidR="003D7BD9" w:rsidRPr="0062331A">
        <w:rPr>
          <w:rFonts w:ascii="Times New Roman" w:hAnsi="Times New Roman" w:cs="Times New Roman"/>
        </w:rPr>
        <w:t>simplisia</w:t>
      </w:r>
      <w:proofErr w:type="spellEnd"/>
      <w:r w:rsidR="003D7BD9" w:rsidRPr="0062331A">
        <w:rPr>
          <w:rFonts w:ascii="Times New Roman" w:hAnsi="Times New Roman" w:cs="Times New Roman"/>
        </w:rPr>
        <w:t xml:space="preserve"> was weighed and placed into a jar and macerated with 96% ethanol in a ratio of </w:t>
      </w:r>
      <w:r w:rsidR="000B3555" w:rsidRPr="0062331A">
        <w:rPr>
          <w:rFonts w:ascii="Times New Roman" w:hAnsi="Times New Roman" w:cs="Times New Roman"/>
          <w:lang w:val="id-ID"/>
        </w:rPr>
        <w:t xml:space="preserve">1:10 (Yunita </w:t>
      </w:r>
      <w:r w:rsidR="00A562FF" w:rsidRPr="00A562FF">
        <w:rPr>
          <w:rFonts w:ascii="Times New Roman" w:hAnsi="Times New Roman" w:cs="Times New Roman"/>
          <w:i/>
          <w:iCs/>
          <w:lang w:val="id-ID"/>
        </w:rPr>
        <w:t>et al.,</w:t>
      </w:r>
      <w:r w:rsidR="000B3555" w:rsidRPr="0062331A">
        <w:rPr>
          <w:rFonts w:ascii="Times New Roman" w:hAnsi="Times New Roman" w:cs="Times New Roman"/>
          <w:lang w:val="id-ID"/>
        </w:rPr>
        <w:t xml:space="preserve"> 2023)</w:t>
      </w:r>
      <w:r w:rsidR="003A7F6E" w:rsidRPr="0062331A">
        <w:rPr>
          <w:rFonts w:ascii="Times New Roman" w:hAnsi="Times New Roman" w:cs="Times New Roman"/>
        </w:rPr>
        <w:t xml:space="preserve">. The mixture was stirred and tightly sealed, and the process is repeated 3 times every 24 hours to maximize extraction efficiency. After </w:t>
      </w:r>
      <w:r w:rsidR="000B3555" w:rsidRPr="0062331A">
        <w:rPr>
          <w:rFonts w:ascii="Times New Roman" w:hAnsi="Times New Roman" w:cs="Times New Roman"/>
          <w:lang w:val="id-ID"/>
        </w:rPr>
        <w:t>3 x 24</w:t>
      </w:r>
      <w:r w:rsidR="003A7F6E" w:rsidRPr="0062331A">
        <w:rPr>
          <w:rFonts w:ascii="Times New Roman" w:hAnsi="Times New Roman" w:cs="Times New Roman"/>
        </w:rPr>
        <w:t xml:space="preserve"> hours, the mixture was filtered using</w:t>
      </w:r>
      <w:r w:rsidR="000B3555" w:rsidRPr="0062331A">
        <w:rPr>
          <w:rFonts w:ascii="Times New Roman" w:hAnsi="Times New Roman" w:cs="Times New Roman"/>
          <w:lang w:val="id-ID"/>
        </w:rPr>
        <w:t xml:space="preserve"> </w:t>
      </w:r>
      <w:r w:rsidR="003A7F6E" w:rsidRPr="0062331A">
        <w:rPr>
          <w:rFonts w:ascii="Times New Roman" w:hAnsi="Times New Roman" w:cs="Times New Roman"/>
        </w:rPr>
        <w:t>No. 1 filter paper to obtain the filtrate. The resulting extract was then concentrated using a rotary evaporator to produce a thick extract.</w:t>
      </w:r>
    </w:p>
    <w:p w14:paraId="18B079D3" w14:textId="77777777" w:rsidR="000B3555" w:rsidRPr="0062331A" w:rsidRDefault="000B3555" w:rsidP="000B3555">
      <w:pPr>
        <w:spacing w:after="0" w:line="240" w:lineRule="auto"/>
        <w:jc w:val="both"/>
        <w:rPr>
          <w:rFonts w:ascii="Times New Roman" w:hAnsi="Times New Roman" w:cs="Times New Roman"/>
          <w:b/>
          <w:bCs/>
          <w:lang w:val="id-ID"/>
        </w:rPr>
      </w:pPr>
    </w:p>
    <w:p w14:paraId="453E4BEC" w14:textId="16CD4DD3" w:rsidR="000B3555" w:rsidRPr="0062331A" w:rsidRDefault="00A106B7" w:rsidP="000B3555">
      <w:pPr>
        <w:spacing w:after="0" w:line="240" w:lineRule="auto"/>
        <w:jc w:val="both"/>
        <w:rPr>
          <w:rFonts w:ascii="Times New Roman" w:hAnsi="Times New Roman" w:cs="Times New Roman"/>
          <w:b/>
          <w:bCs/>
        </w:rPr>
      </w:pPr>
      <w:r w:rsidRPr="0062331A">
        <w:rPr>
          <w:rFonts w:ascii="Times New Roman" w:hAnsi="Times New Roman" w:cs="Times New Roman"/>
          <w:b/>
          <w:bCs/>
        </w:rPr>
        <w:t>Phytochemical Studies</w:t>
      </w:r>
    </w:p>
    <w:p w14:paraId="01F38663" w14:textId="0C31293F" w:rsidR="000B3555" w:rsidRPr="0062331A" w:rsidRDefault="00A106B7" w:rsidP="000B3555">
      <w:pPr>
        <w:spacing w:after="0" w:line="240" w:lineRule="auto"/>
        <w:jc w:val="both"/>
        <w:rPr>
          <w:rFonts w:ascii="Times New Roman" w:hAnsi="Times New Roman" w:cs="Times New Roman"/>
        </w:rPr>
      </w:pPr>
      <w:r w:rsidRPr="0062331A">
        <w:rPr>
          <w:rFonts w:ascii="Times New Roman" w:hAnsi="Times New Roman" w:cs="Times New Roman"/>
        </w:rPr>
        <w:t>The qualitative phytochemical analysis</w:t>
      </w:r>
      <w:r w:rsidR="00B20A7F" w:rsidRPr="0062331A">
        <w:rPr>
          <w:rFonts w:ascii="Times New Roman" w:hAnsi="Times New Roman" w:cs="Times New Roman"/>
        </w:rPr>
        <w:t xml:space="preserve"> was conducted following the method of </w:t>
      </w:r>
      <w:r w:rsidR="000B3555" w:rsidRPr="0062331A">
        <w:rPr>
          <w:rFonts w:ascii="Times New Roman" w:hAnsi="Times New Roman" w:cs="Times New Roman"/>
        </w:rPr>
        <w:t>(</w:t>
      </w:r>
      <w:proofErr w:type="spellStart"/>
      <w:r w:rsidR="000B3555" w:rsidRPr="0062331A">
        <w:rPr>
          <w:rFonts w:ascii="Times New Roman" w:hAnsi="Times New Roman" w:cs="Times New Roman"/>
        </w:rPr>
        <w:t>Indriaty</w:t>
      </w:r>
      <w:proofErr w:type="spellEnd"/>
      <w:r w:rsidR="000B3555" w:rsidRPr="0062331A">
        <w:rPr>
          <w:rFonts w:ascii="Times New Roman" w:hAnsi="Times New Roman" w:cs="Times New Roman"/>
        </w:rPr>
        <w:t xml:space="preserve"> </w:t>
      </w:r>
      <w:r w:rsidR="00A562FF" w:rsidRPr="00A562FF">
        <w:rPr>
          <w:rFonts w:ascii="Times New Roman" w:hAnsi="Times New Roman" w:cs="Times New Roman"/>
          <w:i/>
          <w:iCs/>
        </w:rPr>
        <w:t>et al.,</w:t>
      </w:r>
      <w:r w:rsidR="000B3555" w:rsidRPr="0062331A">
        <w:rPr>
          <w:rFonts w:ascii="Times New Roman" w:hAnsi="Times New Roman" w:cs="Times New Roman"/>
        </w:rPr>
        <w:t xml:space="preserve"> 2023):</w:t>
      </w:r>
    </w:p>
    <w:p w14:paraId="76773BC9" w14:textId="2377496D" w:rsidR="000B3555" w:rsidRPr="0062331A" w:rsidRDefault="00B20A7F" w:rsidP="00B20A7F">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Alkaloids: A 1 mL sample of the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filtrate was mixed with 5 drops of H₂SO₄ and 5 drops of </w:t>
      </w:r>
      <w:proofErr w:type="spellStart"/>
      <w:r w:rsidRPr="0062331A">
        <w:rPr>
          <w:rFonts w:ascii="Times New Roman" w:hAnsi="Times New Roman" w:cs="Times New Roman"/>
        </w:rPr>
        <w:t>Dragendorff’s</w:t>
      </w:r>
      <w:proofErr w:type="spellEnd"/>
      <w:r w:rsidRPr="0062331A">
        <w:rPr>
          <w:rFonts w:ascii="Times New Roman" w:hAnsi="Times New Roman" w:cs="Times New Roman"/>
        </w:rPr>
        <w:t xml:space="preserve"> reagent. A positive reaction was indicated by the appearance of a yellow to reddish precipitate</w:t>
      </w:r>
    </w:p>
    <w:p w14:paraId="1D280AB5" w14:textId="4BC26954" w:rsidR="00B20A7F" w:rsidRPr="0062331A" w:rsidRDefault="00B20A7F"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Flavonoids: A 5 mL sample of the extract filtrate was treated with 1 mL of concentrated HCl and 0,05 g of magnesium powder. A color change to red or yellow indicated the presence of flavonoids.</w:t>
      </w:r>
    </w:p>
    <w:p w14:paraId="210CFB4C" w14:textId="633D32C6" w:rsidR="00B20A7F" w:rsidRPr="0062331A" w:rsidRDefault="00B20A7F"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Tannins: A 1 mL of the extract was mixed with a 1% gelatin solution containing NaCl. The formation of a white precipitate indicated a positive result for tannins.</w:t>
      </w:r>
    </w:p>
    <w:p w14:paraId="05A8D70B" w14:textId="77777777" w:rsidR="00777B5A" w:rsidRPr="0062331A" w:rsidRDefault="00B20A7F"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Phenols: A 1 mL sample of the extract was placed in a test tube and treated with a few drops of </w:t>
      </w:r>
      <w:proofErr w:type="spellStart"/>
      <w:r w:rsidRPr="0062331A">
        <w:rPr>
          <w:rFonts w:ascii="Times New Roman" w:hAnsi="Times New Roman" w:cs="Times New Roman"/>
        </w:rPr>
        <w:t>FeCl</w:t>
      </w:r>
      <w:proofErr w:type="spellEnd"/>
      <w:r w:rsidRPr="0062331A">
        <w:rPr>
          <w:rFonts w:ascii="Times New Roman" w:hAnsi="Times New Roman" w:cs="Times New Roman"/>
        </w:rPr>
        <w:t>₃ solution. A blackish green color indicated the presence of phenolic compounds.</w:t>
      </w:r>
    </w:p>
    <w:p w14:paraId="3864A8EF" w14:textId="77777777" w:rsidR="00B4259C" w:rsidRPr="0062331A" w:rsidRDefault="00777B5A"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Saponins: The extract was diluted with distilled water at a 1:1 ratio and shaken for 30 seconds, followed by the addition of 2N HCl. The formation of stable foam indicated the presence of saponins.</w:t>
      </w:r>
    </w:p>
    <w:p w14:paraId="5E3A0C3E" w14:textId="77777777" w:rsidR="00B4259C" w:rsidRPr="0062331A" w:rsidRDefault="00B4259C" w:rsidP="00B4259C">
      <w:pPr>
        <w:spacing w:after="0"/>
        <w:ind w:firstLine="567"/>
        <w:jc w:val="both"/>
        <w:rPr>
          <w:rFonts w:ascii="Times New Roman" w:hAnsi="Times New Roman" w:cs="Times New Roman"/>
        </w:rPr>
      </w:pPr>
      <w:r w:rsidRPr="0062331A">
        <w:rPr>
          <w:rFonts w:ascii="Times New Roman" w:hAnsi="Times New Roman" w:cs="Times New Roman"/>
        </w:rPr>
        <w:t xml:space="preserve">Steroids and Triterpenoids: A 0,5 g sample of the concentrated extract was mixed with 2 drops of concentrated H₂SO₄ and 10 drops of acetic acid (CH₃COOH). A red or purple color </w:t>
      </w:r>
      <w:r w:rsidRPr="0062331A">
        <w:rPr>
          <w:rFonts w:ascii="Times New Roman" w:hAnsi="Times New Roman" w:cs="Times New Roman"/>
        </w:rPr>
        <w:lastRenderedPageBreak/>
        <w:t>indicated the presence of triterpenoids, while a blue or green color indicated the presence of steroids.</w:t>
      </w:r>
    </w:p>
    <w:p w14:paraId="641AE5BA" w14:textId="29F14BD7" w:rsidR="00B4259C" w:rsidRPr="0062331A" w:rsidRDefault="00B4259C" w:rsidP="00B4259C">
      <w:pPr>
        <w:spacing w:after="0"/>
        <w:ind w:firstLine="567"/>
        <w:jc w:val="both"/>
        <w:rPr>
          <w:rFonts w:ascii="Times New Roman" w:hAnsi="Times New Roman" w:cs="Times New Roman"/>
        </w:rPr>
      </w:pPr>
      <w:r w:rsidRPr="0062331A">
        <w:rPr>
          <w:rFonts w:ascii="Times New Roman" w:hAnsi="Times New Roman" w:cs="Times New Roman"/>
        </w:rPr>
        <w:t>Glycosides: A 1 mL sample of the filtrate was treated with Molisch reagent (α-</w:t>
      </w:r>
      <w:proofErr w:type="spellStart"/>
      <w:r w:rsidRPr="0062331A">
        <w:rPr>
          <w:rFonts w:ascii="Times New Roman" w:hAnsi="Times New Roman" w:cs="Times New Roman"/>
        </w:rPr>
        <w:t>naphtol</w:t>
      </w:r>
      <w:proofErr w:type="spellEnd"/>
      <w:r w:rsidRPr="0062331A">
        <w:rPr>
          <w:rFonts w:ascii="Times New Roman" w:hAnsi="Times New Roman" w:cs="Times New Roman"/>
        </w:rPr>
        <w:t xml:space="preserve"> solution in ethanol) and a few drops of concentrated H₂SO₄. The appearance of a reddish-purple ring at the interface indicated the presence of glycosides.</w:t>
      </w:r>
    </w:p>
    <w:p w14:paraId="5081E5CE" w14:textId="77777777" w:rsidR="000B3555" w:rsidRPr="0062331A" w:rsidRDefault="000B3555" w:rsidP="000B3555">
      <w:pPr>
        <w:spacing w:after="0" w:line="240" w:lineRule="auto"/>
        <w:jc w:val="both"/>
        <w:rPr>
          <w:rFonts w:ascii="Times New Roman" w:hAnsi="Times New Roman" w:cs="Times New Roman"/>
          <w:lang w:val="id-ID"/>
        </w:rPr>
      </w:pPr>
    </w:p>
    <w:p w14:paraId="2259E914" w14:textId="26EC24A4" w:rsidR="000B3555" w:rsidRPr="0062331A" w:rsidRDefault="00073D5C" w:rsidP="000B3555">
      <w:pPr>
        <w:spacing w:after="0" w:line="240" w:lineRule="auto"/>
        <w:jc w:val="both"/>
        <w:rPr>
          <w:rFonts w:ascii="Times New Roman" w:hAnsi="Times New Roman" w:cs="Times New Roman"/>
          <w:b/>
          <w:bCs/>
        </w:rPr>
      </w:pPr>
      <w:r w:rsidRPr="0062331A">
        <w:rPr>
          <w:rFonts w:ascii="Times New Roman" w:hAnsi="Times New Roman" w:cs="Times New Roman"/>
          <w:b/>
          <w:bCs/>
        </w:rPr>
        <w:t xml:space="preserve">Antibacterial Activity Test of </w:t>
      </w:r>
      <w:r w:rsidR="002949E1" w:rsidRPr="002949E1">
        <w:rPr>
          <w:rFonts w:ascii="Times New Roman" w:hAnsi="Times New Roman" w:cs="Times New Roman"/>
          <w:b/>
          <w:bCs/>
        </w:rPr>
        <w:t>P. indica</w:t>
      </w:r>
      <w:r w:rsidRPr="0062331A">
        <w:rPr>
          <w:rFonts w:ascii="Times New Roman" w:hAnsi="Times New Roman" w:cs="Times New Roman"/>
          <w:b/>
          <w:bCs/>
        </w:rPr>
        <w:t xml:space="preserve"> Leaf Extract</w:t>
      </w:r>
    </w:p>
    <w:p w14:paraId="6E4F648D" w14:textId="11CF4964" w:rsidR="000B3555" w:rsidRPr="0062331A" w:rsidRDefault="00073D5C" w:rsidP="006E31F0">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antibacterial activity of </w:t>
      </w:r>
      <w:r w:rsidR="002949E1" w:rsidRPr="002949E1">
        <w:rPr>
          <w:rFonts w:ascii="Times New Roman" w:hAnsi="Times New Roman" w:cs="Times New Roman"/>
        </w:rPr>
        <w:t>P. indica</w:t>
      </w:r>
      <w:r w:rsidRPr="0062331A">
        <w:rPr>
          <w:rFonts w:ascii="Times New Roman" w:hAnsi="Times New Roman" w:cs="Times New Roman"/>
        </w:rPr>
        <w:t xml:space="preserve"> leaf extract was evaluated using the well diffusion method</w:t>
      </w:r>
      <w:r w:rsidR="00EC3DFC">
        <w:rPr>
          <w:rFonts w:ascii="Times New Roman" w:hAnsi="Times New Roman" w:cs="Times New Roman"/>
        </w:rPr>
        <w:t xml:space="preserve"> (Wahyuni </w:t>
      </w:r>
      <w:r w:rsidR="00EC3DFC">
        <w:rPr>
          <w:rFonts w:ascii="Times New Roman" w:hAnsi="Times New Roman" w:cs="Times New Roman"/>
          <w:i/>
          <w:iCs/>
        </w:rPr>
        <w:t>et al.,</w:t>
      </w:r>
      <w:r w:rsidR="00EC3DFC">
        <w:rPr>
          <w:rFonts w:ascii="Times New Roman" w:hAnsi="Times New Roman" w:cs="Times New Roman"/>
        </w:rPr>
        <w:t xml:space="preserve"> 2024)</w:t>
      </w:r>
      <w:r w:rsidRPr="0062331A">
        <w:rPr>
          <w:rFonts w:ascii="Times New Roman" w:hAnsi="Times New Roman" w:cs="Times New Roman"/>
        </w:rPr>
        <w:t xml:space="preserve">. Mueller-Hinton Agar (MHA) was used as the culture medium for bacterial isolation and growth. Prior </w:t>
      </w:r>
      <w:proofErr w:type="spellStart"/>
      <w:r w:rsidRPr="0062331A">
        <w:rPr>
          <w:rFonts w:ascii="Times New Roman" w:hAnsi="Times New Roman" w:cs="Times New Roman"/>
        </w:rPr>
        <w:t>totesting</w:t>
      </w:r>
      <w:proofErr w:type="spellEnd"/>
      <w:r w:rsidRPr="0062331A">
        <w:rPr>
          <w:rFonts w:ascii="Times New Roman" w:hAnsi="Times New Roman" w:cs="Times New Roman"/>
        </w:rPr>
        <w:t xml:space="preserve">, the turbidity of the </w:t>
      </w:r>
      <w:r w:rsidRPr="0062331A">
        <w:rPr>
          <w:rFonts w:ascii="Times New Roman" w:hAnsi="Times New Roman" w:cs="Times New Roman"/>
          <w:i/>
          <w:iCs/>
        </w:rPr>
        <w:t>V. parahaemolyticus</w:t>
      </w:r>
      <w:r w:rsidRPr="0062331A">
        <w:rPr>
          <w:rFonts w:ascii="Times New Roman" w:hAnsi="Times New Roman" w:cs="Times New Roman"/>
        </w:rPr>
        <w:t xml:space="preserve"> </w:t>
      </w:r>
      <w:r w:rsidR="00282EDF" w:rsidRPr="0062331A">
        <w:rPr>
          <w:rFonts w:ascii="Times New Roman" w:hAnsi="Times New Roman" w:cs="Times New Roman"/>
        </w:rPr>
        <w:t xml:space="preserve">bacterial </w:t>
      </w:r>
      <w:r w:rsidRPr="0062331A">
        <w:rPr>
          <w:rFonts w:ascii="Times New Roman" w:hAnsi="Times New Roman" w:cs="Times New Roman"/>
        </w:rPr>
        <w:t xml:space="preserve">suspension was adjusted by comparing it to the 0,5 McFarland standard, which corresponds to a bacterial concentration of approximately 10⁸ CFU/mL and served as the stock solution. </w:t>
      </w:r>
      <w:r w:rsidR="00282EDF" w:rsidRPr="0062331A">
        <w:rPr>
          <w:rFonts w:ascii="Times New Roman" w:hAnsi="Times New Roman" w:cs="Times New Roman"/>
        </w:rPr>
        <w:t xml:space="preserve">This study used a </w:t>
      </w:r>
      <w:r w:rsidR="00282EDF" w:rsidRPr="0062331A">
        <w:rPr>
          <w:rFonts w:ascii="Times New Roman" w:hAnsi="Times New Roman" w:cs="Times New Roman"/>
          <w:i/>
          <w:iCs/>
        </w:rPr>
        <w:t xml:space="preserve">V. parahaemolyticus </w:t>
      </w:r>
      <w:r w:rsidR="00282EDF" w:rsidRPr="0062331A">
        <w:rPr>
          <w:rFonts w:ascii="Times New Roman" w:hAnsi="Times New Roman" w:cs="Times New Roman"/>
        </w:rPr>
        <w:t xml:space="preserve">bacterial colony density of 106 CFU/mL resulting from a multistage serial dilution of the stock suspension and spread over the surface of the MHA media evenly using a sterile cotton swab (Coelho </w:t>
      </w:r>
      <w:r w:rsidR="00A562FF" w:rsidRPr="00A562FF">
        <w:rPr>
          <w:rFonts w:ascii="Times New Roman" w:hAnsi="Times New Roman" w:cs="Times New Roman"/>
          <w:i/>
          <w:iCs/>
        </w:rPr>
        <w:t>et al.,</w:t>
      </w:r>
      <w:r w:rsidR="00282EDF" w:rsidRPr="0062331A">
        <w:rPr>
          <w:rFonts w:ascii="Times New Roman" w:hAnsi="Times New Roman" w:cs="Times New Roman"/>
        </w:rPr>
        <w:t xml:space="preserve"> 2021).</w:t>
      </w:r>
    </w:p>
    <w:p w14:paraId="0B2A5772" w14:textId="09E66A75" w:rsidR="00282EDF" w:rsidRPr="0062331A" w:rsidRDefault="00282EDF" w:rsidP="00282EDF">
      <w:pPr>
        <w:spacing w:after="0" w:line="240" w:lineRule="auto"/>
        <w:ind w:left="-11" w:firstLine="578"/>
        <w:jc w:val="both"/>
        <w:rPr>
          <w:rFonts w:ascii="Times New Roman" w:hAnsi="Times New Roman" w:cs="Times New Roman"/>
        </w:rPr>
      </w:pPr>
      <w:r w:rsidRPr="0062331A">
        <w:rPr>
          <w:rFonts w:ascii="Times New Roman" w:hAnsi="Times New Roman" w:cs="Times New Roman"/>
        </w:rPr>
        <w:t xml:space="preserve">The stock solution 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was prepared by weighing 10 g of extract and diluting it with 96% ethanol to obtain a final volume of 10 </w:t>
      </w:r>
      <w:proofErr w:type="spellStart"/>
      <w:r w:rsidRPr="0062331A">
        <w:rPr>
          <w:rFonts w:ascii="Times New Roman" w:hAnsi="Times New Roman" w:cs="Times New Roman"/>
        </w:rPr>
        <w:t>mL.</w:t>
      </w:r>
      <w:proofErr w:type="spellEnd"/>
      <w:r w:rsidRPr="0062331A">
        <w:rPr>
          <w:rFonts w:ascii="Times New Roman" w:hAnsi="Times New Roman" w:cs="Times New Roman"/>
        </w:rPr>
        <w:t xml:space="preserve"> A 6 mm diameter well was then prepared and filled with 50 µL of the </w:t>
      </w:r>
      <w:r w:rsidR="002949E1" w:rsidRPr="002949E1">
        <w:rPr>
          <w:rFonts w:ascii="Times New Roman" w:hAnsi="Times New Roman" w:cs="Times New Roman"/>
        </w:rPr>
        <w:t>P. indica</w:t>
      </w:r>
      <w:r w:rsidRPr="0062331A">
        <w:rPr>
          <w:rFonts w:ascii="Times New Roman" w:hAnsi="Times New Roman" w:cs="Times New Roman"/>
        </w:rPr>
        <w:t xml:space="preserve"> leaf extract solution using a micropipette, at concentrations in tenfold serial dilutions (Azhari </w:t>
      </w:r>
      <w:r w:rsidR="00A562FF" w:rsidRPr="00A562FF">
        <w:rPr>
          <w:rFonts w:ascii="Times New Roman" w:hAnsi="Times New Roman" w:cs="Times New Roman"/>
          <w:i/>
          <w:iCs/>
        </w:rPr>
        <w:t>et al.,</w:t>
      </w:r>
      <w:r w:rsidRPr="0062331A">
        <w:rPr>
          <w:rFonts w:ascii="Times New Roman" w:hAnsi="Times New Roman" w:cs="Times New Roman"/>
        </w:rPr>
        <w:t xml:space="preserve"> 2018), namely: 100%, 10%, 1%, 0</w:t>
      </w:r>
      <w:r w:rsidR="0034356E" w:rsidRPr="0062331A">
        <w:rPr>
          <w:rFonts w:ascii="Times New Roman" w:hAnsi="Times New Roman" w:cs="Times New Roman"/>
        </w:rPr>
        <w:t>,</w:t>
      </w:r>
      <w:r w:rsidRPr="0062331A">
        <w:rPr>
          <w:rFonts w:ascii="Times New Roman" w:hAnsi="Times New Roman" w:cs="Times New Roman"/>
        </w:rPr>
        <w:t>1%, 0</w:t>
      </w:r>
      <w:r w:rsidR="0034356E" w:rsidRPr="0062331A">
        <w:rPr>
          <w:rFonts w:ascii="Times New Roman" w:hAnsi="Times New Roman" w:cs="Times New Roman"/>
        </w:rPr>
        <w:t>,</w:t>
      </w:r>
      <w:r w:rsidRPr="0062331A">
        <w:rPr>
          <w:rFonts w:ascii="Times New Roman" w:hAnsi="Times New Roman" w:cs="Times New Roman"/>
        </w:rPr>
        <w:t>01%, 0</w:t>
      </w:r>
      <w:r w:rsidR="0034356E" w:rsidRPr="0062331A">
        <w:rPr>
          <w:rFonts w:ascii="Times New Roman" w:hAnsi="Times New Roman" w:cs="Times New Roman"/>
        </w:rPr>
        <w:t>,</w:t>
      </w:r>
      <w:r w:rsidRPr="0062331A">
        <w:rPr>
          <w:rFonts w:ascii="Times New Roman" w:hAnsi="Times New Roman" w:cs="Times New Roman"/>
        </w:rPr>
        <w:t>001%, and 0</w:t>
      </w:r>
      <w:r w:rsidR="0034356E" w:rsidRPr="0062331A">
        <w:rPr>
          <w:rFonts w:ascii="Times New Roman" w:hAnsi="Times New Roman" w:cs="Times New Roman"/>
        </w:rPr>
        <w:t>,</w:t>
      </w:r>
      <w:r w:rsidRPr="0062331A">
        <w:rPr>
          <w:rFonts w:ascii="Times New Roman" w:hAnsi="Times New Roman" w:cs="Times New Roman"/>
        </w:rPr>
        <w:t xml:space="preserve">0001%. Ethanol (the extract solvent) was used as the negative control, and </w:t>
      </w:r>
      <w:r w:rsidR="0034356E" w:rsidRPr="0062331A">
        <w:rPr>
          <w:rFonts w:ascii="Times New Roman" w:hAnsi="Times New Roman" w:cs="Times New Roman"/>
        </w:rPr>
        <w:t>O</w:t>
      </w:r>
      <w:r w:rsidRPr="0062331A">
        <w:rPr>
          <w:rFonts w:ascii="Times New Roman" w:hAnsi="Times New Roman" w:cs="Times New Roman"/>
        </w:rPr>
        <w:t xml:space="preserve">xytetracycline was used as the positive control. The procedure was conducted under a </w:t>
      </w:r>
      <w:proofErr w:type="spellStart"/>
      <w:r w:rsidRPr="0062331A">
        <w:rPr>
          <w:rFonts w:ascii="Times New Roman" w:hAnsi="Times New Roman" w:cs="Times New Roman"/>
        </w:rPr>
        <w:t>laminar</w:t>
      </w:r>
      <w:r w:rsidR="0034356E" w:rsidRPr="0062331A">
        <w:rPr>
          <w:rFonts w:ascii="Times New Roman" w:hAnsi="Times New Roman" w:cs="Times New Roman"/>
        </w:rPr>
        <w:t>y</w:t>
      </w:r>
      <w:proofErr w:type="spellEnd"/>
      <w:r w:rsidRPr="0062331A">
        <w:rPr>
          <w:rFonts w:ascii="Times New Roman" w:hAnsi="Times New Roman" w:cs="Times New Roman"/>
        </w:rPr>
        <w:t xml:space="preserve"> airflow cabinet. The solution was applied using a micropipette and carefully dispensed into each well on the MHA medium, with each concentration tested in five replicates. </w:t>
      </w:r>
    </w:p>
    <w:p w14:paraId="5BB2726E" w14:textId="772AAE6C" w:rsidR="000B3555" w:rsidRDefault="0034356E" w:rsidP="000B3555">
      <w:pPr>
        <w:spacing w:after="0" w:line="240" w:lineRule="auto"/>
        <w:ind w:left="-11" w:firstLine="578"/>
        <w:jc w:val="both"/>
        <w:rPr>
          <w:rFonts w:ascii="Times New Roman" w:hAnsi="Times New Roman" w:cs="Times New Roman"/>
          <w:lang w:val="id-ID"/>
        </w:rPr>
      </w:pPr>
      <w:r w:rsidRPr="0062331A">
        <w:rPr>
          <w:rFonts w:ascii="Times New Roman" w:hAnsi="Times New Roman" w:cs="Times New Roman"/>
        </w:rPr>
        <w:t xml:space="preserve">The media then incubated at </w:t>
      </w:r>
      <w:r w:rsidR="000B3555" w:rsidRPr="0062331A">
        <w:rPr>
          <w:rFonts w:ascii="Times New Roman" w:hAnsi="Times New Roman" w:cs="Times New Roman"/>
          <w:lang w:val="id-ID"/>
        </w:rPr>
        <w:t>37</w:t>
      </w:r>
      <w:r w:rsidR="000B3555" w:rsidRPr="0062331A">
        <w:rPr>
          <w:rFonts w:ascii="Times New Roman" w:hAnsi="Times New Roman" w:cs="Times New Roman"/>
          <w:vertAlign w:val="superscript"/>
          <w:lang w:val="id-ID"/>
        </w:rPr>
        <w:t>o</w:t>
      </w:r>
      <w:r w:rsidR="000B3555" w:rsidRPr="0062331A">
        <w:rPr>
          <w:rFonts w:ascii="Times New Roman" w:hAnsi="Times New Roman" w:cs="Times New Roman"/>
          <w:lang w:val="id-ID"/>
        </w:rPr>
        <w:t xml:space="preserve">C </w:t>
      </w:r>
      <w:r w:rsidRPr="0062331A">
        <w:rPr>
          <w:rFonts w:ascii="Times New Roman" w:hAnsi="Times New Roman" w:cs="Times New Roman"/>
        </w:rPr>
        <w:t xml:space="preserve">for 24 hours. </w:t>
      </w:r>
      <w:r w:rsidR="00983135" w:rsidRPr="0062331A">
        <w:rPr>
          <w:rFonts w:ascii="Times New Roman" w:hAnsi="Times New Roman" w:cs="Times New Roman"/>
        </w:rPr>
        <w:t xml:space="preserve">After incubation, the clear zones formed around the wells were observed and their diameters measured. The inhibition zones formed around the wells were classified according to the criteria described by </w:t>
      </w:r>
      <w:r w:rsidR="000B3555" w:rsidRPr="0062331A">
        <w:rPr>
          <w:rFonts w:ascii="Times New Roman" w:hAnsi="Times New Roman" w:cs="Times New Roman"/>
          <w:lang w:val="id-ID"/>
        </w:rPr>
        <w:t xml:space="preserve">Winastri </w:t>
      </w:r>
      <w:r w:rsidR="00A562FF" w:rsidRPr="00A562FF">
        <w:rPr>
          <w:rFonts w:ascii="Times New Roman" w:hAnsi="Times New Roman" w:cs="Times New Roman"/>
          <w:i/>
          <w:iCs/>
          <w:lang w:val="id-ID"/>
        </w:rPr>
        <w:t>et al.,</w:t>
      </w:r>
      <w:r w:rsidR="000B3555" w:rsidRPr="0062331A">
        <w:rPr>
          <w:rFonts w:ascii="Times New Roman" w:hAnsi="Times New Roman" w:cs="Times New Roman"/>
          <w:lang w:val="id-ID"/>
        </w:rPr>
        <w:t xml:space="preserve"> (2020), </w:t>
      </w:r>
      <w:r w:rsidR="00983135" w:rsidRPr="0062331A">
        <w:rPr>
          <w:rFonts w:ascii="Times New Roman" w:hAnsi="Times New Roman" w:cs="Times New Roman"/>
        </w:rPr>
        <w:t>as presented in Table</w:t>
      </w:r>
      <w:r w:rsidR="000B3555" w:rsidRPr="0062331A">
        <w:rPr>
          <w:rFonts w:ascii="Times New Roman" w:hAnsi="Times New Roman" w:cs="Times New Roman"/>
          <w:lang w:val="id-ID"/>
        </w:rPr>
        <w:t xml:space="preserve"> 1.</w:t>
      </w:r>
    </w:p>
    <w:p w14:paraId="1762913C" w14:textId="77777777" w:rsidR="00A562FF" w:rsidRPr="0062331A" w:rsidRDefault="00A562FF" w:rsidP="000B3555">
      <w:pPr>
        <w:spacing w:after="0" w:line="240" w:lineRule="auto"/>
        <w:ind w:left="-11" w:firstLine="578"/>
        <w:jc w:val="both"/>
        <w:rPr>
          <w:rFonts w:ascii="Times New Roman" w:hAnsi="Times New Roman" w:cs="Times New Roman"/>
          <w:lang w:val="id-ID"/>
        </w:rPr>
      </w:pPr>
    </w:p>
    <w:p w14:paraId="67DCD4ED" w14:textId="345630B7" w:rsidR="000B3555" w:rsidRPr="0062331A" w:rsidRDefault="00983135" w:rsidP="000B3555">
      <w:pPr>
        <w:pStyle w:val="Caption"/>
        <w:keepNext/>
        <w:spacing w:after="0"/>
        <w:rPr>
          <w:rFonts w:ascii="Times New Roman" w:hAnsi="Times New Roman" w:cs="Times New Roman"/>
          <w:i w:val="0"/>
          <w:iCs w:val="0"/>
          <w:color w:val="auto"/>
          <w:sz w:val="24"/>
          <w:szCs w:val="24"/>
        </w:rPr>
      </w:pPr>
      <w:bookmarkStart w:id="0" w:name="_Toc199713619"/>
      <w:r w:rsidRPr="0062331A">
        <w:rPr>
          <w:rFonts w:ascii="Times New Roman" w:hAnsi="Times New Roman" w:cs="Times New Roman"/>
          <w:i w:val="0"/>
          <w:iCs w:val="0"/>
          <w:color w:val="auto"/>
          <w:sz w:val="24"/>
          <w:szCs w:val="24"/>
        </w:rPr>
        <w:t xml:space="preserve">Table </w:t>
      </w:r>
      <w:r w:rsidR="000B3555" w:rsidRPr="0062331A">
        <w:rPr>
          <w:rFonts w:ascii="Times New Roman" w:hAnsi="Times New Roman" w:cs="Times New Roman"/>
          <w:i w:val="0"/>
          <w:iCs w:val="0"/>
          <w:color w:val="auto"/>
          <w:sz w:val="24"/>
          <w:szCs w:val="24"/>
        </w:rPr>
        <w:t xml:space="preserve">1. </w:t>
      </w:r>
      <w:bookmarkEnd w:id="0"/>
      <w:r w:rsidR="006E6156" w:rsidRPr="0062331A">
        <w:rPr>
          <w:rFonts w:ascii="Times New Roman" w:hAnsi="Times New Roman" w:cs="Times New Roman"/>
          <w:i w:val="0"/>
          <w:iCs w:val="0"/>
          <w:color w:val="auto"/>
          <w:sz w:val="24"/>
          <w:szCs w:val="24"/>
        </w:rPr>
        <w:t>Inhibition Zone Response Criteria</w:t>
      </w:r>
    </w:p>
    <w:tbl>
      <w:tblPr>
        <w:tblStyle w:val="TableGrid"/>
        <w:tblW w:w="823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4115"/>
      </w:tblGrid>
      <w:tr w:rsidR="000B3555" w:rsidRPr="0062331A" w14:paraId="275C7BC9" w14:textId="77777777" w:rsidTr="007E6CA4">
        <w:trPr>
          <w:trHeight w:val="262"/>
        </w:trPr>
        <w:tc>
          <w:tcPr>
            <w:tcW w:w="4115" w:type="dxa"/>
            <w:tcBorders>
              <w:top w:val="single" w:sz="4" w:space="0" w:color="auto"/>
              <w:bottom w:val="single" w:sz="4" w:space="0" w:color="auto"/>
            </w:tcBorders>
          </w:tcPr>
          <w:p w14:paraId="1DE188AD" w14:textId="58C57181" w:rsidR="000B3555" w:rsidRPr="0062331A" w:rsidRDefault="00983135" w:rsidP="007E6CA4">
            <w:pPr>
              <w:jc w:val="center"/>
              <w:rPr>
                <w:rFonts w:ascii="Times New Roman" w:hAnsi="Times New Roman" w:cs="Times New Roman"/>
                <w:lang w:val="id-ID"/>
              </w:rPr>
            </w:pPr>
            <w:r w:rsidRPr="0062331A">
              <w:rPr>
                <w:rFonts w:ascii="Times New Roman" w:hAnsi="Times New Roman" w:cs="Times New Roman"/>
              </w:rPr>
              <w:t xml:space="preserve">Inhibition </w:t>
            </w:r>
            <w:r w:rsidR="006E6156" w:rsidRPr="0062331A">
              <w:rPr>
                <w:rFonts w:ascii="Times New Roman" w:hAnsi="Times New Roman" w:cs="Times New Roman"/>
              </w:rPr>
              <w:t xml:space="preserve">Zone </w:t>
            </w:r>
            <w:r w:rsidRPr="0062331A">
              <w:rPr>
                <w:rFonts w:ascii="Times New Roman" w:hAnsi="Times New Roman" w:cs="Times New Roman"/>
              </w:rPr>
              <w:t>Diameter</w:t>
            </w:r>
          </w:p>
        </w:tc>
        <w:tc>
          <w:tcPr>
            <w:tcW w:w="4115" w:type="dxa"/>
            <w:tcBorders>
              <w:top w:val="single" w:sz="4" w:space="0" w:color="auto"/>
              <w:bottom w:val="single" w:sz="4" w:space="0" w:color="auto"/>
            </w:tcBorders>
          </w:tcPr>
          <w:p w14:paraId="704522FF" w14:textId="4FED8966" w:rsidR="000B3555" w:rsidRPr="0062331A" w:rsidRDefault="006E6156" w:rsidP="007E6CA4">
            <w:pPr>
              <w:jc w:val="center"/>
              <w:rPr>
                <w:rFonts w:ascii="Times New Roman" w:hAnsi="Times New Roman" w:cs="Times New Roman"/>
                <w:lang w:val="id-ID"/>
              </w:rPr>
            </w:pPr>
            <w:r w:rsidRPr="0062331A">
              <w:rPr>
                <w:rFonts w:ascii="Times New Roman" w:hAnsi="Times New Roman" w:cs="Times New Roman"/>
              </w:rPr>
              <w:t xml:space="preserve">Response </w:t>
            </w:r>
            <w:r w:rsidR="00983135" w:rsidRPr="0062331A">
              <w:rPr>
                <w:rFonts w:ascii="Times New Roman" w:hAnsi="Times New Roman" w:cs="Times New Roman"/>
              </w:rPr>
              <w:t>Category</w:t>
            </w:r>
          </w:p>
        </w:tc>
      </w:tr>
      <w:tr w:rsidR="000B3555" w:rsidRPr="0062331A" w14:paraId="1F21D29B" w14:textId="77777777" w:rsidTr="007E6CA4">
        <w:trPr>
          <w:trHeight w:val="278"/>
        </w:trPr>
        <w:tc>
          <w:tcPr>
            <w:tcW w:w="4115" w:type="dxa"/>
            <w:tcBorders>
              <w:top w:val="single" w:sz="4" w:space="0" w:color="auto"/>
            </w:tcBorders>
          </w:tcPr>
          <w:p w14:paraId="22059E45" w14:textId="77777777" w:rsidR="000B3555" w:rsidRPr="0062331A" w:rsidRDefault="000B3555" w:rsidP="007E6CA4">
            <w:pPr>
              <w:jc w:val="center"/>
              <w:rPr>
                <w:rFonts w:ascii="Times New Roman" w:hAnsi="Times New Roman" w:cs="Times New Roman"/>
                <w:lang w:val="id-ID"/>
              </w:rPr>
            </w:pPr>
            <w:r w:rsidRPr="0062331A">
              <w:rPr>
                <w:rFonts w:ascii="Times New Roman" w:eastAsia="Gungsuh" w:hAnsi="Times New Roman" w:cs="Times New Roman"/>
              </w:rPr>
              <w:t>≥ 20 mm</w:t>
            </w:r>
          </w:p>
        </w:tc>
        <w:tc>
          <w:tcPr>
            <w:tcW w:w="4115" w:type="dxa"/>
            <w:tcBorders>
              <w:top w:val="single" w:sz="4" w:space="0" w:color="auto"/>
            </w:tcBorders>
          </w:tcPr>
          <w:p w14:paraId="4C958526" w14:textId="7300E883" w:rsidR="000B3555" w:rsidRPr="0062331A" w:rsidRDefault="006E6156" w:rsidP="007E6CA4">
            <w:pPr>
              <w:jc w:val="center"/>
              <w:rPr>
                <w:rFonts w:ascii="Times New Roman" w:hAnsi="Times New Roman" w:cs="Times New Roman"/>
              </w:rPr>
            </w:pPr>
            <w:r w:rsidRPr="0062331A">
              <w:rPr>
                <w:rFonts w:ascii="Times New Roman" w:hAnsi="Times New Roman" w:cs="Times New Roman"/>
              </w:rPr>
              <w:t>Very Strong</w:t>
            </w:r>
          </w:p>
        </w:tc>
      </w:tr>
      <w:tr w:rsidR="000B3555" w:rsidRPr="0062331A" w14:paraId="444477BA" w14:textId="77777777" w:rsidTr="007E6CA4">
        <w:trPr>
          <w:trHeight w:val="262"/>
        </w:trPr>
        <w:tc>
          <w:tcPr>
            <w:tcW w:w="4115" w:type="dxa"/>
          </w:tcPr>
          <w:p w14:paraId="6F9948F1" w14:textId="77777777" w:rsidR="000B3555" w:rsidRPr="0062331A" w:rsidRDefault="000B3555" w:rsidP="007E6CA4">
            <w:pPr>
              <w:jc w:val="center"/>
              <w:rPr>
                <w:rFonts w:ascii="Times New Roman" w:hAnsi="Times New Roman" w:cs="Times New Roman"/>
                <w:lang w:val="id-ID"/>
              </w:rPr>
            </w:pPr>
            <w:r w:rsidRPr="0062331A">
              <w:rPr>
                <w:rFonts w:ascii="Times New Roman" w:hAnsi="Times New Roman" w:cs="Times New Roman"/>
              </w:rPr>
              <w:t>10 - 20 mm</w:t>
            </w:r>
          </w:p>
        </w:tc>
        <w:tc>
          <w:tcPr>
            <w:tcW w:w="4115" w:type="dxa"/>
          </w:tcPr>
          <w:p w14:paraId="66902E13" w14:textId="52932CDD" w:rsidR="000B3555" w:rsidRPr="0062331A" w:rsidRDefault="006E6156" w:rsidP="007E6CA4">
            <w:pPr>
              <w:jc w:val="center"/>
              <w:rPr>
                <w:rFonts w:ascii="Times New Roman" w:hAnsi="Times New Roman" w:cs="Times New Roman"/>
                <w:lang w:val="id-ID"/>
              </w:rPr>
            </w:pPr>
            <w:r w:rsidRPr="0062331A">
              <w:rPr>
                <w:rFonts w:ascii="Times New Roman" w:hAnsi="Times New Roman" w:cs="Times New Roman"/>
              </w:rPr>
              <w:t>Strong</w:t>
            </w:r>
          </w:p>
        </w:tc>
      </w:tr>
      <w:tr w:rsidR="000B3555" w:rsidRPr="0062331A" w14:paraId="6D905FDD" w14:textId="77777777" w:rsidTr="007E6CA4">
        <w:trPr>
          <w:trHeight w:val="278"/>
        </w:trPr>
        <w:tc>
          <w:tcPr>
            <w:tcW w:w="4115" w:type="dxa"/>
          </w:tcPr>
          <w:p w14:paraId="11B1F8D5" w14:textId="77777777" w:rsidR="000B3555" w:rsidRPr="0062331A" w:rsidRDefault="000B3555" w:rsidP="007E6CA4">
            <w:pPr>
              <w:jc w:val="center"/>
              <w:rPr>
                <w:rFonts w:ascii="Times New Roman" w:hAnsi="Times New Roman" w:cs="Times New Roman"/>
                <w:lang w:val="id-ID"/>
              </w:rPr>
            </w:pPr>
            <w:r w:rsidRPr="0062331A">
              <w:rPr>
                <w:rFonts w:ascii="Times New Roman" w:hAnsi="Times New Roman" w:cs="Times New Roman"/>
              </w:rPr>
              <w:t>5 - 10 mm</w:t>
            </w:r>
          </w:p>
        </w:tc>
        <w:tc>
          <w:tcPr>
            <w:tcW w:w="4115" w:type="dxa"/>
          </w:tcPr>
          <w:p w14:paraId="73A3CA2F" w14:textId="2F885E9E" w:rsidR="000B3555" w:rsidRPr="0062331A" w:rsidRDefault="006E6156" w:rsidP="007E6CA4">
            <w:pPr>
              <w:jc w:val="center"/>
              <w:rPr>
                <w:rFonts w:ascii="Times New Roman" w:hAnsi="Times New Roman" w:cs="Times New Roman"/>
              </w:rPr>
            </w:pPr>
            <w:r w:rsidRPr="0062331A">
              <w:rPr>
                <w:rFonts w:ascii="Times New Roman" w:hAnsi="Times New Roman" w:cs="Times New Roman"/>
              </w:rPr>
              <w:t>Moderate</w:t>
            </w:r>
          </w:p>
        </w:tc>
      </w:tr>
      <w:tr w:rsidR="000B3555" w:rsidRPr="0062331A" w14:paraId="668AA18F" w14:textId="77777777" w:rsidTr="007E6CA4">
        <w:trPr>
          <w:trHeight w:val="278"/>
        </w:trPr>
        <w:tc>
          <w:tcPr>
            <w:tcW w:w="4115" w:type="dxa"/>
          </w:tcPr>
          <w:p w14:paraId="56BA859D" w14:textId="77777777" w:rsidR="000B3555" w:rsidRPr="0062331A" w:rsidRDefault="000B3555" w:rsidP="007E6CA4">
            <w:pPr>
              <w:jc w:val="center"/>
              <w:rPr>
                <w:rFonts w:ascii="Times New Roman" w:hAnsi="Times New Roman" w:cs="Times New Roman"/>
                <w:lang w:val="id-ID"/>
              </w:rPr>
            </w:pPr>
            <w:r w:rsidRPr="0062331A">
              <w:rPr>
                <w:rFonts w:ascii="Times New Roman" w:eastAsia="Gungsuh" w:hAnsi="Times New Roman" w:cs="Times New Roman"/>
                <w:lang w:val="id-ID"/>
              </w:rPr>
              <w:t>&lt;</w:t>
            </w:r>
            <w:r w:rsidRPr="0062331A">
              <w:rPr>
                <w:rFonts w:ascii="Times New Roman" w:eastAsia="Gungsuh" w:hAnsi="Times New Roman" w:cs="Times New Roman"/>
              </w:rPr>
              <w:t xml:space="preserve"> 5 mm</w:t>
            </w:r>
          </w:p>
        </w:tc>
        <w:tc>
          <w:tcPr>
            <w:tcW w:w="4115" w:type="dxa"/>
          </w:tcPr>
          <w:p w14:paraId="4CA4BA44" w14:textId="21B07EB8" w:rsidR="000B3555" w:rsidRPr="0062331A" w:rsidRDefault="006E6156" w:rsidP="007E6CA4">
            <w:pPr>
              <w:jc w:val="center"/>
              <w:rPr>
                <w:rFonts w:ascii="Times New Roman" w:hAnsi="Times New Roman" w:cs="Times New Roman"/>
              </w:rPr>
            </w:pPr>
            <w:r w:rsidRPr="0062331A">
              <w:rPr>
                <w:rFonts w:ascii="Times New Roman" w:hAnsi="Times New Roman" w:cs="Times New Roman"/>
              </w:rPr>
              <w:t>Weak</w:t>
            </w:r>
          </w:p>
        </w:tc>
      </w:tr>
    </w:tbl>
    <w:p w14:paraId="6F64E980" w14:textId="77777777" w:rsidR="000B3555" w:rsidRPr="0062331A" w:rsidRDefault="000B3555" w:rsidP="000B3555">
      <w:pPr>
        <w:jc w:val="both"/>
        <w:rPr>
          <w:rFonts w:ascii="Times New Roman" w:hAnsi="Times New Roman" w:cs="Times New Roman"/>
        </w:rPr>
      </w:pPr>
    </w:p>
    <w:p w14:paraId="0D5ECBB0" w14:textId="756C82A4" w:rsidR="000B3555" w:rsidRPr="0062331A" w:rsidRDefault="006E6156" w:rsidP="000B3555">
      <w:pPr>
        <w:spacing w:after="0" w:line="240" w:lineRule="auto"/>
        <w:jc w:val="both"/>
        <w:rPr>
          <w:rFonts w:ascii="Times New Roman" w:hAnsi="Times New Roman" w:cs="Times New Roman"/>
          <w:b/>
          <w:bCs/>
        </w:rPr>
      </w:pPr>
      <w:r w:rsidRPr="0062331A">
        <w:rPr>
          <w:rFonts w:ascii="Times New Roman" w:hAnsi="Times New Roman" w:cs="Times New Roman"/>
          <w:b/>
          <w:bCs/>
        </w:rPr>
        <w:t xml:space="preserve">Antioxidant Activity Test of </w:t>
      </w:r>
      <w:r w:rsidR="002949E1" w:rsidRPr="00C47D5C">
        <w:rPr>
          <w:rFonts w:ascii="Times New Roman" w:hAnsi="Times New Roman" w:cs="Times New Roman"/>
          <w:b/>
          <w:bCs/>
          <w:i/>
          <w:iCs/>
        </w:rPr>
        <w:t>P. indica</w:t>
      </w:r>
      <w:r w:rsidRPr="00C47D5C">
        <w:rPr>
          <w:rFonts w:ascii="Times New Roman" w:hAnsi="Times New Roman" w:cs="Times New Roman"/>
          <w:b/>
          <w:bCs/>
          <w:i/>
          <w:iCs/>
        </w:rPr>
        <w:t xml:space="preserve"> </w:t>
      </w:r>
      <w:r w:rsidRPr="0062331A">
        <w:rPr>
          <w:rFonts w:ascii="Times New Roman" w:hAnsi="Times New Roman" w:cs="Times New Roman"/>
          <w:b/>
          <w:bCs/>
        </w:rPr>
        <w:t>Leaf Extract</w:t>
      </w:r>
    </w:p>
    <w:p w14:paraId="08B8DFE7" w14:textId="46CA92F8" w:rsidR="000B3555" w:rsidRPr="0062331A" w:rsidRDefault="006E6156" w:rsidP="00A562FF">
      <w:pPr>
        <w:spacing w:line="240" w:lineRule="auto"/>
        <w:ind w:firstLine="567"/>
        <w:jc w:val="both"/>
        <w:rPr>
          <w:rFonts w:ascii="Times New Roman" w:hAnsi="Times New Roman" w:cs="Times New Roman"/>
        </w:rPr>
      </w:pPr>
      <w:r w:rsidRPr="0062331A">
        <w:rPr>
          <w:rFonts w:ascii="Times New Roman" w:hAnsi="Times New Roman" w:cs="Times New Roman"/>
        </w:rPr>
        <w:t xml:space="preserve">The antioxidant activity test 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was carried out using the </w:t>
      </w:r>
      <w:r w:rsidR="000B3555" w:rsidRPr="0062331A">
        <w:rPr>
          <w:rFonts w:ascii="Times New Roman" w:hAnsi="Times New Roman" w:cs="Times New Roman"/>
        </w:rPr>
        <w:t>DPPH (2,2-diphenyl-1-picrylhydrazyl)</w:t>
      </w:r>
      <w:r w:rsidRPr="0062331A">
        <w:rPr>
          <w:rFonts w:ascii="Times New Roman" w:hAnsi="Times New Roman" w:cs="Times New Roman"/>
        </w:rPr>
        <w:t xml:space="preserve"> method</w:t>
      </w:r>
      <w:r w:rsidR="00207F2D">
        <w:rPr>
          <w:rFonts w:ascii="Times New Roman" w:hAnsi="Times New Roman" w:cs="Times New Roman"/>
        </w:rPr>
        <w:t xml:space="preserve"> (</w:t>
      </w:r>
      <w:proofErr w:type="spellStart"/>
      <w:r w:rsidR="00207F2D">
        <w:rPr>
          <w:rFonts w:ascii="Times New Roman" w:hAnsi="Times New Roman" w:cs="Times New Roman"/>
        </w:rPr>
        <w:t>Baliyan</w:t>
      </w:r>
      <w:proofErr w:type="spellEnd"/>
      <w:r w:rsidR="00207F2D">
        <w:rPr>
          <w:rFonts w:ascii="Times New Roman" w:hAnsi="Times New Roman" w:cs="Times New Roman"/>
        </w:rPr>
        <w:t xml:space="preserve"> </w:t>
      </w:r>
      <w:r w:rsidR="00207F2D">
        <w:rPr>
          <w:rFonts w:ascii="Times New Roman" w:hAnsi="Times New Roman" w:cs="Times New Roman"/>
          <w:i/>
          <w:iCs/>
        </w:rPr>
        <w:t>et al.,</w:t>
      </w:r>
      <w:r w:rsidR="00207F2D">
        <w:rPr>
          <w:rFonts w:ascii="Times New Roman" w:hAnsi="Times New Roman" w:cs="Times New Roman"/>
        </w:rPr>
        <w:t xml:space="preserve"> 2022)</w:t>
      </w:r>
      <w:r w:rsidR="000B3555" w:rsidRPr="0062331A">
        <w:rPr>
          <w:rFonts w:ascii="Times New Roman" w:hAnsi="Times New Roman" w:cs="Times New Roman"/>
        </w:rPr>
        <w:t xml:space="preserve">. </w:t>
      </w:r>
      <w:r w:rsidRPr="0062331A">
        <w:rPr>
          <w:rFonts w:ascii="Times New Roman" w:hAnsi="Times New Roman" w:cs="Times New Roman"/>
        </w:rPr>
        <w:t xml:space="preserve">A total of 3 mL of each concentration of the </w:t>
      </w:r>
      <w:r w:rsidR="002949E1" w:rsidRPr="002949E1">
        <w:rPr>
          <w:rFonts w:ascii="Times New Roman" w:hAnsi="Times New Roman" w:cs="Times New Roman"/>
        </w:rPr>
        <w:t>P. indica</w:t>
      </w:r>
      <w:r w:rsidRPr="0062331A">
        <w:rPr>
          <w:rFonts w:ascii="Times New Roman" w:hAnsi="Times New Roman" w:cs="Times New Roman"/>
        </w:rPr>
        <w:t xml:space="preserve"> leaf extract and a blank </w:t>
      </w:r>
      <w:r w:rsidR="00C52C9B" w:rsidRPr="0062331A">
        <w:rPr>
          <w:rFonts w:ascii="Times New Roman" w:hAnsi="Times New Roman" w:cs="Times New Roman"/>
        </w:rPr>
        <w:t>were placed into separate test tubes and mixed with 3 mL of 0,05 mM (</w:t>
      </w:r>
      <w:proofErr w:type="spellStart"/>
      <w:r w:rsidR="00C52C9B" w:rsidRPr="0062331A">
        <w:rPr>
          <w:rFonts w:ascii="Times New Roman" w:hAnsi="Times New Roman" w:cs="Times New Roman"/>
        </w:rPr>
        <w:t>Mr</w:t>
      </w:r>
      <w:proofErr w:type="spellEnd"/>
      <w:r w:rsidR="00C52C9B" w:rsidRPr="0062331A">
        <w:rPr>
          <w:rFonts w:ascii="Times New Roman" w:hAnsi="Times New Roman" w:cs="Times New Roman"/>
        </w:rPr>
        <w:t xml:space="preserve"> DPPH 394.32 g/mol) in a 1:1 ratio. The mixed solution was incubated in a dark room for 30 minutes. Absorbance was measured using a UV-Vis spectrophotometer at a maximum wavelength of 517 nm. The percentage of inhibition was calculated using the formula </w:t>
      </w:r>
      <w:r w:rsidR="000B3555" w:rsidRPr="0062331A">
        <w:rPr>
          <w:rFonts w:ascii="Times New Roman" w:hAnsi="Times New Roman" w:cs="Times New Roman"/>
        </w:rPr>
        <w:t xml:space="preserve">(Kumara </w:t>
      </w:r>
      <w:r w:rsidR="00A562FF" w:rsidRPr="00A562FF">
        <w:rPr>
          <w:rFonts w:ascii="Times New Roman" w:hAnsi="Times New Roman" w:cs="Times New Roman"/>
          <w:i/>
          <w:iCs/>
        </w:rPr>
        <w:t>et al.,</w:t>
      </w:r>
      <w:r w:rsidR="000B3555" w:rsidRPr="0062331A">
        <w:rPr>
          <w:rFonts w:ascii="Times New Roman" w:hAnsi="Times New Roman" w:cs="Times New Roman"/>
        </w:rPr>
        <w:t xml:space="preserve"> 2018)</w:t>
      </w:r>
      <w:r w:rsidR="00C52C9B" w:rsidRPr="0062331A">
        <w:rPr>
          <w:rFonts w:ascii="Times New Roman" w:hAnsi="Times New Roman" w:cs="Times New Roman"/>
        </w:rPr>
        <w:t>.</w:t>
      </w:r>
    </w:p>
    <w:p w14:paraId="377266E7" w14:textId="1EAD080C" w:rsidR="000B3555" w:rsidRPr="00A562FF" w:rsidRDefault="000B3555" w:rsidP="000B3555">
      <w:pPr>
        <w:spacing w:after="0" w:line="360" w:lineRule="auto"/>
        <w:jc w:val="both"/>
        <w:rPr>
          <w:rFonts w:ascii="Times New Roman" w:hAnsi="Times New Roman" w:cs="Times New Roman"/>
          <w:bCs/>
          <w:sz w:val="20"/>
          <w:szCs w:val="20"/>
          <w:lang w:val="id-ID"/>
        </w:rPr>
      </w:pPr>
      <m:oMathPara>
        <m:oMath>
          <m:r>
            <w:rPr>
              <w:rFonts w:ascii="Cambria Math" w:hAnsi="Cambria Math" w:cs="Times New Roman"/>
              <w:sz w:val="20"/>
              <w:szCs w:val="20"/>
              <w:lang w:val="id-ID"/>
            </w:rPr>
            <m:t xml:space="preserve">% Inhibitor= </m:t>
          </m:r>
          <m:f>
            <m:fPr>
              <m:ctrlPr>
                <w:rPr>
                  <w:rFonts w:ascii="Cambria Math" w:hAnsi="Cambria Math" w:cs="Times New Roman"/>
                  <w:bCs/>
                  <w:i/>
                  <w:sz w:val="20"/>
                  <w:szCs w:val="20"/>
                  <w:lang w:val="id-ID"/>
                </w:rPr>
              </m:ctrlPr>
            </m:fPr>
            <m:num>
              <m:r>
                <w:rPr>
                  <w:rFonts w:ascii="Cambria Math" w:hAnsi="Cambria Math" w:cs="Times New Roman"/>
                  <w:sz w:val="20"/>
                  <w:szCs w:val="20"/>
                  <w:lang w:val="id-ID"/>
                </w:rPr>
                <m:t>Absorbance of Blank-Absorbance of Sampel</m:t>
              </m:r>
            </m:num>
            <m:den>
              <m:r>
                <w:rPr>
                  <w:rFonts w:ascii="Cambria Math" w:hAnsi="Cambria Math" w:cs="Times New Roman"/>
                  <w:sz w:val="20"/>
                  <w:szCs w:val="20"/>
                  <w:lang w:val="id-ID"/>
                </w:rPr>
                <m:t>Absorbance of Blank</m:t>
              </m:r>
            </m:den>
          </m:f>
          <m:r>
            <w:rPr>
              <w:rFonts w:ascii="Cambria Math" w:hAnsi="Cambria Math" w:cs="Times New Roman"/>
              <w:sz w:val="20"/>
              <w:szCs w:val="20"/>
              <w:lang w:val="id-ID"/>
            </w:rPr>
            <m:t xml:space="preserve"> x 100%</m:t>
          </m:r>
        </m:oMath>
      </m:oMathPara>
    </w:p>
    <w:p w14:paraId="47A6FDEE" w14:textId="78610966" w:rsidR="00917FD0" w:rsidRPr="0062331A" w:rsidRDefault="00917FD0" w:rsidP="00C47D5C">
      <w:pPr>
        <w:spacing w:line="240" w:lineRule="auto"/>
        <w:jc w:val="both"/>
        <w:rPr>
          <w:rFonts w:ascii="Times New Roman" w:hAnsi="Times New Roman" w:cs="Times New Roman"/>
        </w:rPr>
      </w:pPr>
      <w:r w:rsidRPr="0062331A">
        <w:rPr>
          <w:rFonts w:ascii="Times New Roman" w:hAnsi="Times New Roman" w:cs="Times New Roman"/>
        </w:rPr>
        <w:t>The percentage of inhibition results were used to generate a linear regression equation in the form of “Y = bx + a,” which was then used to determine the EC</w:t>
      </w:r>
      <w:r w:rsidRPr="0062331A">
        <w:rPr>
          <w:rFonts w:ascii="Times New Roman" w:hAnsi="Times New Roman" w:cs="Times New Roman"/>
          <w:vertAlign w:val="subscript"/>
        </w:rPr>
        <w:t>50</w:t>
      </w:r>
      <w:r w:rsidRPr="0062331A">
        <w:rPr>
          <w:rFonts w:ascii="Times New Roman" w:hAnsi="Times New Roman" w:cs="Times New Roman"/>
        </w:rPr>
        <w:t xml:space="preserve"> value, (the concentration required to inhibit 50% of free radicals).</w:t>
      </w:r>
    </w:p>
    <w:p w14:paraId="1D328C2C" w14:textId="44749E2D" w:rsidR="000B3555" w:rsidRPr="0062331A" w:rsidRDefault="00917FD0" w:rsidP="000B3555">
      <w:pPr>
        <w:spacing w:after="0"/>
        <w:jc w:val="both"/>
        <w:rPr>
          <w:rFonts w:ascii="Times New Roman" w:hAnsi="Times New Roman" w:cs="Times New Roman"/>
          <w:b/>
          <w:bCs/>
        </w:rPr>
      </w:pPr>
      <w:r w:rsidRPr="0062331A">
        <w:rPr>
          <w:rFonts w:ascii="Times New Roman" w:hAnsi="Times New Roman" w:cs="Times New Roman"/>
          <w:b/>
          <w:bCs/>
        </w:rPr>
        <w:lastRenderedPageBreak/>
        <w:t xml:space="preserve">Toxicity Test of </w:t>
      </w:r>
      <w:r w:rsidR="002949E1" w:rsidRPr="00C47D5C">
        <w:rPr>
          <w:rFonts w:ascii="Times New Roman" w:hAnsi="Times New Roman" w:cs="Times New Roman"/>
          <w:b/>
          <w:bCs/>
          <w:i/>
          <w:iCs/>
        </w:rPr>
        <w:t>P. indica</w:t>
      </w:r>
      <w:r w:rsidRPr="00C47D5C">
        <w:rPr>
          <w:rFonts w:ascii="Times New Roman" w:hAnsi="Times New Roman" w:cs="Times New Roman"/>
          <w:b/>
          <w:bCs/>
          <w:i/>
          <w:iCs/>
        </w:rPr>
        <w:t xml:space="preserve"> </w:t>
      </w:r>
      <w:r w:rsidRPr="0062331A">
        <w:rPr>
          <w:rFonts w:ascii="Times New Roman" w:hAnsi="Times New Roman" w:cs="Times New Roman"/>
          <w:b/>
          <w:bCs/>
        </w:rPr>
        <w:t>Leaf Extract</w:t>
      </w:r>
    </w:p>
    <w:p w14:paraId="78AA8BF9" w14:textId="4EF2CE55" w:rsidR="00917FD0" w:rsidRPr="0062331A" w:rsidRDefault="00917FD0" w:rsidP="00A562FF">
      <w:pPr>
        <w:spacing w:line="240" w:lineRule="auto"/>
        <w:ind w:firstLine="567"/>
        <w:jc w:val="both"/>
        <w:rPr>
          <w:rFonts w:ascii="Times New Roman" w:hAnsi="Times New Roman" w:cs="Times New Roman"/>
        </w:rPr>
      </w:pPr>
      <w:r w:rsidRPr="0062331A">
        <w:rPr>
          <w:rFonts w:ascii="Times New Roman" w:hAnsi="Times New Roman" w:cs="Times New Roman"/>
        </w:rPr>
        <w:t xml:space="preserve">The toxicity test of </w:t>
      </w:r>
      <w:r w:rsidR="002949E1" w:rsidRPr="002949E1">
        <w:rPr>
          <w:rFonts w:ascii="Times New Roman" w:hAnsi="Times New Roman" w:cs="Times New Roman"/>
        </w:rPr>
        <w:t>P. indica</w:t>
      </w:r>
      <w:r w:rsidRPr="0062331A">
        <w:rPr>
          <w:rFonts w:ascii="Times New Roman" w:hAnsi="Times New Roman" w:cs="Times New Roman"/>
        </w:rPr>
        <w:t xml:space="preserve"> leaf extract was conducted using 10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with an average body weight of 4 g per individual. The shrimp were maintained in container boxes filled with seawater at a density of 1 shrimp/3 </w:t>
      </w:r>
      <w:r w:rsidR="00C47D5C">
        <w:rPr>
          <w:rFonts w:ascii="Times New Roman" w:hAnsi="Times New Roman" w:cs="Times New Roman"/>
        </w:rPr>
        <w:t>L</w:t>
      </w:r>
      <w:r w:rsidRPr="0062331A">
        <w:rPr>
          <w:rFonts w:ascii="Times New Roman" w:hAnsi="Times New Roman" w:cs="Times New Roman"/>
        </w:rPr>
        <w:t xml:space="preserve">. Each container was treated with different concentrations of </w:t>
      </w:r>
      <w:r w:rsidR="002949E1" w:rsidRPr="002949E1">
        <w:rPr>
          <w:rFonts w:ascii="Times New Roman" w:hAnsi="Times New Roman" w:cs="Times New Roman"/>
        </w:rPr>
        <w:t>P. indica</w:t>
      </w:r>
      <w:r w:rsidRPr="0062331A">
        <w:rPr>
          <w:rFonts w:ascii="Times New Roman" w:hAnsi="Times New Roman" w:cs="Times New Roman"/>
        </w:rPr>
        <w:t xml:space="preserve"> leaf extract: 0, 1, 10, 100, and 1000 ppm, for preliminary testing (</w:t>
      </w:r>
      <w:proofErr w:type="spellStart"/>
      <w:r w:rsidRPr="0062331A">
        <w:rPr>
          <w:rFonts w:ascii="Times New Roman" w:hAnsi="Times New Roman" w:cs="Times New Roman"/>
        </w:rPr>
        <w:t>Fardiaz</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2023). For 2 x 24 hours, the mortality rate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w:t>
      </w:r>
      <w:r w:rsidR="00E00259" w:rsidRPr="0062331A">
        <w:rPr>
          <w:rFonts w:ascii="Times New Roman" w:hAnsi="Times New Roman" w:cs="Times New Roman"/>
        </w:rPr>
        <w:t xml:space="preserve">shrimp was observed to produce </w:t>
      </w:r>
      <w:r w:rsidRPr="0062331A">
        <w:rPr>
          <w:rFonts w:ascii="Times New Roman" w:hAnsi="Times New Roman" w:cs="Times New Roman"/>
        </w:rPr>
        <w:t xml:space="preserve">lower (n) and upper (N) threshold values. </w:t>
      </w:r>
      <w:r w:rsidR="00E00259" w:rsidRPr="0062331A">
        <w:rPr>
          <w:rFonts w:ascii="Times New Roman" w:hAnsi="Times New Roman" w:cs="Times New Roman"/>
        </w:rPr>
        <w:t xml:space="preserve">The resulting threshold value is used as the basis for the concentration of </w:t>
      </w:r>
      <w:r w:rsidR="002949E1" w:rsidRPr="00C47D5C">
        <w:rPr>
          <w:rFonts w:ascii="Times New Roman" w:hAnsi="Times New Roman" w:cs="Times New Roman"/>
          <w:i/>
          <w:iCs/>
        </w:rPr>
        <w:t>P. indica</w:t>
      </w:r>
      <w:r w:rsidR="00E00259" w:rsidRPr="0062331A">
        <w:rPr>
          <w:rFonts w:ascii="Times New Roman" w:hAnsi="Times New Roman" w:cs="Times New Roman"/>
        </w:rPr>
        <w:t xml:space="preserve"> leaf extract for lethal tests using Quantal Responses (Abu </w:t>
      </w:r>
      <w:r w:rsidR="00A562FF" w:rsidRPr="00A562FF">
        <w:rPr>
          <w:rFonts w:ascii="Times New Roman" w:hAnsi="Times New Roman" w:cs="Times New Roman"/>
          <w:i/>
          <w:iCs/>
        </w:rPr>
        <w:t>et al.,</w:t>
      </w:r>
      <w:r w:rsidR="00E00259" w:rsidRPr="0062331A">
        <w:rPr>
          <w:rFonts w:ascii="Times New Roman" w:hAnsi="Times New Roman" w:cs="Times New Roman"/>
        </w:rPr>
        <w:t xml:space="preserve"> 2022):</w:t>
      </w:r>
    </w:p>
    <w:p w14:paraId="00EFA44D" w14:textId="77777777" w:rsidR="000B3555" w:rsidRPr="0062331A" w:rsidRDefault="00000000" w:rsidP="000B3555">
      <w:pPr>
        <w:spacing w:after="0" w:line="360" w:lineRule="auto"/>
        <w:jc w:val="both"/>
        <w:rPr>
          <w:rFonts w:ascii="Times New Roman" w:eastAsiaTheme="minorEastAsia" w:hAnsi="Times New Roman" w:cs="Times New Roman"/>
          <w:lang w:val="id-ID"/>
        </w:rPr>
      </w:pPr>
      <m:oMathPara>
        <m:oMath>
          <m:func>
            <m:funcPr>
              <m:ctrlPr>
                <w:rPr>
                  <w:rFonts w:ascii="Cambria Math" w:hAnsi="Cambria Math" w:cs="Times New Roman"/>
                  <w:i/>
                  <w:lang w:val="id-ID"/>
                </w:rPr>
              </m:ctrlPr>
            </m:funcPr>
            <m:fName>
              <m:r>
                <m:rPr>
                  <m:sty m:val="p"/>
                </m:rPr>
                <w:rPr>
                  <w:rFonts w:ascii="Cambria Math" w:hAnsi="Cambria Math" w:cs="Times New Roman"/>
                  <w:lang w:val="id-ID"/>
                </w:rPr>
                <m:t>Log</m:t>
              </m:r>
            </m:fName>
            <m:e>
              <m:d>
                <m:dPr>
                  <m:ctrlPr>
                    <w:rPr>
                      <w:rFonts w:ascii="Cambria Math" w:hAnsi="Cambria Math" w:cs="Times New Roman"/>
                      <w:i/>
                      <w:lang w:val="id-ID"/>
                    </w:rPr>
                  </m:ctrlPr>
                </m:dPr>
                <m:e>
                  <m:f>
                    <m:fPr>
                      <m:ctrlPr>
                        <w:rPr>
                          <w:rFonts w:ascii="Cambria Math" w:hAnsi="Cambria Math" w:cs="Times New Roman"/>
                          <w:i/>
                          <w:lang w:val="id-ID"/>
                        </w:rPr>
                      </m:ctrlPr>
                    </m:fPr>
                    <m:num>
                      <m:r>
                        <w:rPr>
                          <w:rFonts w:ascii="Cambria Math" w:hAnsi="Cambria Math" w:cs="Times New Roman"/>
                          <w:lang w:val="id-ID"/>
                        </w:rPr>
                        <m:t>N</m:t>
                      </m:r>
                    </m:num>
                    <m:den>
                      <m:r>
                        <w:rPr>
                          <w:rFonts w:ascii="Cambria Math" w:hAnsi="Cambria Math" w:cs="Times New Roman"/>
                          <w:lang w:val="id-ID"/>
                        </w:rPr>
                        <m:t>n</m:t>
                      </m:r>
                    </m:den>
                  </m:f>
                </m:e>
              </m:d>
              <m:r>
                <w:rPr>
                  <w:rFonts w:ascii="Cambria Math" w:hAnsi="Cambria Math" w:cs="Times New Roman"/>
                  <w:lang w:val="id-ID"/>
                </w:rPr>
                <m:t>=k ×</m:t>
              </m:r>
              <m:func>
                <m:funcPr>
                  <m:ctrlPr>
                    <w:rPr>
                      <w:rFonts w:ascii="Cambria Math" w:hAnsi="Cambria Math" w:cs="Times New Roman"/>
                      <w:i/>
                      <w:lang w:val="id-ID"/>
                    </w:rPr>
                  </m:ctrlPr>
                </m:funcPr>
                <m:fName>
                  <m:r>
                    <m:rPr>
                      <m:sty m:val="p"/>
                    </m:rPr>
                    <w:rPr>
                      <w:rFonts w:ascii="Cambria Math" w:hAnsi="Cambria Math" w:cs="Times New Roman"/>
                      <w:lang w:val="id-ID"/>
                    </w:rPr>
                    <m:t>Log</m:t>
                  </m:r>
                </m:fName>
                <m:e>
                  <m:d>
                    <m:dPr>
                      <m:ctrlPr>
                        <w:rPr>
                          <w:rFonts w:ascii="Cambria Math" w:hAnsi="Cambria Math" w:cs="Times New Roman"/>
                          <w:i/>
                          <w:lang w:val="id-ID"/>
                        </w:rPr>
                      </m:ctrlPr>
                    </m:dPr>
                    <m:e>
                      <m:f>
                        <m:fPr>
                          <m:ctrlPr>
                            <w:rPr>
                              <w:rFonts w:ascii="Cambria Math" w:hAnsi="Cambria Math" w:cs="Times New Roman"/>
                              <w:i/>
                              <w:lang w:val="id-ID"/>
                            </w:rPr>
                          </m:ctrlPr>
                        </m:fPr>
                        <m:num>
                          <m:r>
                            <w:rPr>
                              <w:rFonts w:ascii="Cambria Math" w:hAnsi="Cambria Math" w:cs="Times New Roman"/>
                              <w:lang w:val="id-ID"/>
                            </w:rPr>
                            <m:t>a</m:t>
                          </m:r>
                        </m:num>
                        <m:den>
                          <m:r>
                            <w:rPr>
                              <w:rFonts w:ascii="Cambria Math" w:hAnsi="Cambria Math" w:cs="Times New Roman"/>
                              <w:lang w:val="id-ID"/>
                            </w:rPr>
                            <m:t>n</m:t>
                          </m:r>
                        </m:den>
                      </m:f>
                    </m:e>
                  </m:d>
                </m:e>
              </m:func>
              <m:r>
                <w:rPr>
                  <w:rFonts w:ascii="Cambria Math" w:hAnsi="Cambria Math" w:cs="Times New Roman"/>
                  <w:lang w:val="id-ID"/>
                </w:rPr>
                <m:t xml:space="preserve"> </m:t>
              </m:r>
            </m:e>
          </m:func>
        </m:oMath>
      </m:oMathPara>
    </w:p>
    <w:p w14:paraId="047ED067" w14:textId="77777777" w:rsidR="000B3555" w:rsidRPr="0062331A" w:rsidRDefault="00000000" w:rsidP="000B3555">
      <w:pPr>
        <w:spacing w:after="0" w:line="360" w:lineRule="auto"/>
        <w:jc w:val="both"/>
        <w:rPr>
          <w:rFonts w:ascii="Times New Roman" w:hAnsi="Times New Roman" w:cs="Times New Roman"/>
          <w:lang w:val="id-ID"/>
        </w:rPr>
      </w:pPr>
      <m:oMathPara>
        <m:oMath>
          <m:f>
            <m:fPr>
              <m:ctrlPr>
                <w:rPr>
                  <w:rFonts w:ascii="Cambria Math" w:hAnsi="Cambria Math" w:cs="Times New Roman"/>
                  <w:i/>
                  <w:lang w:val="id-ID"/>
                </w:rPr>
              </m:ctrlPr>
            </m:fPr>
            <m:num>
              <m:r>
                <w:rPr>
                  <w:rFonts w:ascii="Cambria Math" w:hAnsi="Cambria Math" w:cs="Times New Roman"/>
                  <w:lang w:val="id-ID"/>
                </w:rPr>
                <m:t>a</m:t>
              </m:r>
            </m:num>
            <m:den>
              <m:r>
                <w:rPr>
                  <w:rFonts w:ascii="Cambria Math" w:hAnsi="Cambria Math" w:cs="Times New Roman"/>
                  <w:lang w:val="id-ID"/>
                </w:rPr>
                <m:t>n</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b</m:t>
              </m:r>
            </m:num>
            <m:den>
              <m:r>
                <w:rPr>
                  <w:rFonts w:ascii="Cambria Math" w:hAnsi="Cambria Math" w:cs="Times New Roman"/>
                  <w:lang w:val="id-ID"/>
                </w:rPr>
                <m:t>a</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c</m:t>
              </m:r>
            </m:num>
            <m:den>
              <m:r>
                <w:rPr>
                  <w:rFonts w:ascii="Cambria Math" w:hAnsi="Cambria Math" w:cs="Times New Roman"/>
                  <w:lang w:val="id-ID"/>
                </w:rPr>
                <m:t>b</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d</m:t>
              </m:r>
            </m:num>
            <m:den>
              <m:r>
                <w:rPr>
                  <w:rFonts w:ascii="Cambria Math" w:hAnsi="Cambria Math" w:cs="Times New Roman"/>
                  <w:lang w:val="id-ID"/>
                </w:rPr>
                <m:t>c</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x</m:t>
              </m:r>
            </m:num>
            <m:den>
              <m:r>
                <w:rPr>
                  <w:rFonts w:ascii="Cambria Math" w:hAnsi="Cambria Math" w:cs="Times New Roman"/>
                  <w:lang w:val="id-ID"/>
                </w:rPr>
                <m:t>d</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N</m:t>
              </m:r>
            </m:num>
            <m:den>
              <m:r>
                <w:rPr>
                  <w:rFonts w:ascii="Cambria Math" w:hAnsi="Cambria Math" w:cs="Times New Roman"/>
                  <w:lang w:val="id-ID"/>
                </w:rPr>
                <m:t>x</m:t>
              </m:r>
            </m:den>
          </m:f>
          <m:r>
            <w:rPr>
              <w:rFonts w:ascii="Cambria Math" w:hAnsi="Cambria Math" w:cs="Times New Roman"/>
              <w:lang w:val="id-ID"/>
            </w:rPr>
            <m:t xml:space="preserve"> </m:t>
          </m:r>
        </m:oMath>
      </m:oMathPara>
    </w:p>
    <w:p w14:paraId="100DBC44" w14:textId="1D1091A1" w:rsidR="000B3555" w:rsidRPr="0062331A" w:rsidRDefault="00E00259" w:rsidP="000B3555">
      <w:pPr>
        <w:spacing w:after="0" w:line="240" w:lineRule="auto"/>
        <w:jc w:val="both"/>
        <w:rPr>
          <w:rFonts w:ascii="Times New Roman" w:eastAsiaTheme="minorEastAsia" w:hAnsi="Times New Roman" w:cs="Times New Roman"/>
          <w:lang w:val="id-ID"/>
        </w:rPr>
      </w:pPr>
      <w:r w:rsidRPr="0062331A">
        <w:rPr>
          <w:rFonts w:ascii="Times New Roman" w:eastAsiaTheme="minorEastAsia" w:hAnsi="Times New Roman" w:cs="Times New Roman"/>
        </w:rPr>
        <w:t>Description</w:t>
      </w:r>
      <w:r w:rsidR="000B3555" w:rsidRPr="0062331A">
        <w:rPr>
          <w:rFonts w:ascii="Times New Roman" w:eastAsiaTheme="minorEastAsia" w:hAnsi="Times New Roman" w:cs="Times New Roman"/>
          <w:lang w:val="id-ID"/>
        </w:rPr>
        <w:t>:</w:t>
      </w:r>
    </w:p>
    <w:p w14:paraId="79FC2831" w14:textId="1F4AE12D" w:rsidR="000B3555" w:rsidRPr="0062331A" w:rsidRDefault="000B3555" w:rsidP="000B3555">
      <w:pPr>
        <w:spacing w:after="0" w:line="240" w:lineRule="auto"/>
        <w:jc w:val="both"/>
        <w:rPr>
          <w:rFonts w:ascii="Times New Roman" w:eastAsiaTheme="minorEastAsia" w:hAnsi="Times New Roman" w:cs="Times New Roman"/>
          <w:lang w:val="id-ID"/>
        </w:rPr>
      </w:pPr>
      <w:r w:rsidRPr="0062331A">
        <w:rPr>
          <w:rFonts w:ascii="Times New Roman" w:eastAsiaTheme="minorEastAsia" w:hAnsi="Times New Roman" w:cs="Times New Roman"/>
          <w:lang w:val="id-ID"/>
        </w:rPr>
        <w:t>N</w:t>
      </w:r>
      <w:r w:rsidRPr="0062331A">
        <w:rPr>
          <w:rFonts w:ascii="Times New Roman" w:eastAsiaTheme="minorEastAsia" w:hAnsi="Times New Roman" w:cs="Times New Roman"/>
          <w:lang w:val="id-ID"/>
        </w:rPr>
        <w:tab/>
        <w:t xml:space="preserve">= </w:t>
      </w:r>
      <w:r w:rsidR="00E00259" w:rsidRPr="0062331A">
        <w:rPr>
          <w:rFonts w:ascii="Times New Roman" w:eastAsiaTheme="minorEastAsia" w:hAnsi="Times New Roman" w:cs="Times New Roman"/>
        </w:rPr>
        <w:t>Threshold concentration</w:t>
      </w:r>
    </w:p>
    <w:p w14:paraId="599ED62B" w14:textId="15622A08" w:rsidR="000B3555" w:rsidRPr="0062331A" w:rsidRDefault="000B3555" w:rsidP="000B3555">
      <w:pPr>
        <w:spacing w:after="0" w:line="240" w:lineRule="auto"/>
        <w:jc w:val="both"/>
        <w:rPr>
          <w:rFonts w:ascii="Times New Roman" w:eastAsiaTheme="minorEastAsia" w:hAnsi="Times New Roman" w:cs="Times New Roman"/>
          <w:lang w:val="id-ID"/>
        </w:rPr>
      </w:pPr>
      <w:r w:rsidRPr="0062331A">
        <w:rPr>
          <w:rFonts w:ascii="Times New Roman" w:eastAsiaTheme="minorEastAsia" w:hAnsi="Times New Roman" w:cs="Times New Roman"/>
          <w:lang w:val="id-ID"/>
        </w:rPr>
        <w:t>n</w:t>
      </w:r>
      <w:r w:rsidRPr="0062331A">
        <w:rPr>
          <w:rFonts w:ascii="Times New Roman" w:eastAsiaTheme="minorEastAsia" w:hAnsi="Times New Roman" w:cs="Times New Roman"/>
          <w:lang w:val="id-ID"/>
        </w:rPr>
        <w:tab/>
        <w:t xml:space="preserve">= </w:t>
      </w:r>
      <w:r w:rsidR="00E00259" w:rsidRPr="0062331A">
        <w:rPr>
          <w:rFonts w:ascii="Times New Roman" w:eastAsiaTheme="minorEastAsia" w:hAnsi="Times New Roman" w:cs="Times New Roman"/>
        </w:rPr>
        <w:t>Lower threshold concentration</w:t>
      </w:r>
    </w:p>
    <w:p w14:paraId="3D8B111A" w14:textId="6731E654" w:rsidR="000B3555" w:rsidRPr="0062331A" w:rsidRDefault="000B3555" w:rsidP="000B3555">
      <w:pPr>
        <w:spacing w:after="0" w:line="240" w:lineRule="auto"/>
        <w:jc w:val="both"/>
        <w:rPr>
          <w:rFonts w:ascii="Times New Roman" w:hAnsi="Times New Roman" w:cs="Times New Roman"/>
          <w:lang w:val="id-ID"/>
        </w:rPr>
      </w:pPr>
      <w:r w:rsidRPr="0062331A">
        <w:rPr>
          <w:rFonts w:ascii="Times New Roman" w:hAnsi="Times New Roman" w:cs="Times New Roman"/>
          <w:lang w:val="id-ID"/>
        </w:rPr>
        <w:t>a</w:t>
      </w:r>
      <w:r w:rsidRPr="0062331A">
        <w:rPr>
          <w:rFonts w:ascii="Times New Roman" w:hAnsi="Times New Roman" w:cs="Times New Roman"/>
          <w:lang w:val="id-ID"/>
        </w:rPr>
        <w:tab/>
        <w:t xml:space="preserve">= </w:t>
      </w:r>
      <w:r w:rsidR="00E00259" w:rsidRPr="0062331A">
        <w:rPr>
          <w:rFonts w:ascii="Times New Roman" w:hAnsi="Times New Roman" w:cs="Times New Roman"/>
        </w:rPr>
        <w:t>Smallest concentration in the concentration series used</w:t>
      </w:r>
    </w:p>
    <w:p w14:paraId="1B1BF85A" w14:textId="7B1C1FCB" w:rsidR="000B3555" w:rsidRPr="0062331A" w:rsidRDefault="000B3555" w:rsidP="000B3555">
      <w:pPr>
        <w:spacing w:after="0" w:line="240" w:lineRule="auto"/>
        <w:jc w:val="both"/>
        <w:rPr>
          <w:rFonts w:ascii="Times New Roman" w:hAnsi="Times New Roman" w:cs="Times New Roman"/>
          <w:lang w:val="id-ID"/>
        </w:rPr>
      </w:pPr>
      <w:r w:rsidRPr="0062331A">
        <w:rPr>
          <w:rFonts w:ascii="Times New Roman" w:hAnsi="Times New Roman" w:cs="Times New Roman"/>
          <w:lang w:val="id-ID"/>
        </w:rPr>
        <w:t>b,c,d</w:t>
      </w:r>
      <w:r w:rsidRPr="0062331A">
        <w:rPr>
          <w:rFonts w:ascii="Times New Roman" w:hAnsi="Times New Roman" w:cs="Times New Roman"/>
          <w:lang w:val="id-ID"/>
        </w:rPr>
        <w:tab/>
        <w:t xml:space="preserve">= </w:t>
      </w:r>
      <w:r w:rsidR="00E00259" w:rsidRPr="0062331A">
        <w:rPr>
          <w:rFonts w:ascii="Times New Roman" w:hAnsi="Times New Roman" w:cs="Times New Roman"/>
        </w:rPr>
        <w:t xml:space="preserve">Concentration </w:t>
      </w:r>
      <w:proofErr w:type="spellStart"/>
      <w:r w:rsidR="00E00259" w:rsidRPr="0062331A">
        <w:rPr>
          <w:rFonts w:ascii="Times New Roman" w:hAnsi="Times New Roman" w:cs="Times New Roman"/>
        </w:rPr>
        <w:t>b,c</w:t>
      </w:r>
      <w:proofErr w:type="spellEnd"/>
      <w:r w:rsidR="00E00259" w:rsidRPr="0062331A">
        <w:rPr>
          <w:rFonts w:ascii="Times New Roman" w:hAnsi="Times New Roman" w:cs="Times New Roman"/>
        </w:rPr>
        <w:t xml:space="preserve"> </w:t>
      </w:r>
      <w:r w:rsidR="00BD4EA4" w:rsidRPr="0062331A">
        <w:rPr>
          <w:rFonts w:ascii="Times New Roman" w:hAnsi="Times New Roman" w:cs="Times New Roman"/>
        </w:rPr>
        <w:t xml:space="preserve">and d in the concentration </w:t>
      </w:r>
      <w:r w:rsidR="00E00259" w:rsidRPr="0062331A">
        <w:rPr>
          <w:rFonts w:ascii="Times New Roman" w:hAnsi="Times New Roman" w:cs="Times New Roman"/>
        </w:rPr>
        <w:t>series used</w:t>
      </w:r>
    </w:p>
    <w:p w14:paraId="1B13495F" w14:textId="3989EB62" w:rsidR="000B3555" w:rsidRPr="0062331A" w:rsidRDefault="000B3555" w:rsidP="000B3555">
      <w:pPr>
        <w:spacing w:after="0" w:line="240" w:lineRule="auto"/>
        <w:jc w:val="both"/>
        <w:rPr>
          <w:rFonts w:ascii="Times New Roman" w:hAnsi="Times New Roman" w:cs="Times New Roman"/>
          <w:lang w:val="id-ID"/>
        </w:rPr>
      </w:pPr>
      <w:r w:rsidRPr="0062331A">
        <w:rPr>
          <w:rFonts w:ascii="Times New Roman" w:hAnsi="Times New Roman" w:cs="Times New Roman"/>
          <w:lang w:val="id-ID"/>
        </w:rPr>
        <w:t>x</w:t>
      </w:r>
      <w:r w:rsidRPr="0062331A">
        <w:rPr>
          <w:rFonts w:ascii="Times New Roman" w:hAnsi="Times New Roman" w:cs="Times New Roman"/>
          <w:lang w:val="id-ID"/>
        </w:rPr>
        <w:tab/>
        <w:t xml:space="preserve">= </w:t>
      </w:r>
      <w:r w:rsidR="00BD4EA4" w:rsidRPr="0062331A">
        <w:rPr>
          <w:rFonts w:ascii="Times New Roman" w:hAnsi="Times New Roman" w:cs="Times New Roman"/>
        </w:rPr>
        <w:t>Concentration</w:t>
      </w:r>
      <w:r w:rsidR="00BD4EA4" w:rsidRPr="0062331A">
        <w:rPr>
          <w:rFonts w:ascii="Times New Roman" w:hAnsi="Times New Roman" w:cs="Times New Roman"/>
          <w:lang w:val="id-ID"/>
        </w:rPr>
        <w:t xml:space="preserve"> </w:t>
      </w:r>
      <w:r w:rsidR="00BD4EA4" w:rsidRPr="0062331A">
        <w:rPr>
          <w:rFonts w:ascii="Times New Roman" w:hAnsi="Times New Roman" w:cs="Times New Roman"/>
        </w:rPr>
        <w:t>x in the concentration</w:t>
      </w:r>
      <w:r w:rsidR="00BD4EA4" w:rsidRPr="0062331A">
        <w:rPr>
          <w:rFonts w:ascii="Times New Roman" w:hAnsi="Times New Roman" w:cs="Times New Roman"/>
          <w:lang w:val="id-ID"/>
        </w:rPr>
        <w:t xml:space="preserve"> </w:t>
      </w:r>
      <w:r w:rsidR="00BD4EA4" w:rsidRPr="0062331A">
        <w:rPr>
          <w:rFonts w:ascii="Times New Roman" w:hAnsi="Times New Roman" w:cs="Times New Roman"/>
        </w:rPr>
        <w:t>series used</w:t>
      </w:r>
    </w:p>
    <w:p w14:paraId="4DF28F96" w14:textId="7C0A0BD1" w:rsidR="000B3555" w:rsidRPr="0062331A" w:rsidRDefault="000B3555" w:rsidP="000B3555">
      <w:pPr>
        <w:spacing w:after="120" w:line="240" w:lineRule="auto"/>
        <w:jc w:val="both"/>
        <w:rPr>
          <w:rFonts w:ascii="Times New Roman" w:hAnsi="Times New Roman" w:cs="Times New Roman"/>
        </w:rPr>
      </w:pPr>
      <w:r w:rsidRPr="0062331A">
        <w:rPr>
          <w:rFonts w:ascii="Times New Roman" w:hAnsi="Times New Roman" w:cs="Times New Roman"/>
          <w:lang w:val="id-ID"/>
        </w:rPr>
        <w:t>k</w:t>
      </w:r>
      <w:r w:rsidRPr="0062331A">
        <w:rPr>
          <w:rFonts w:ascii="Times New Roman" w:hAnsi="Times New Roman" w:cs="Times New Roman"/>
          <w:lang w:val="id-ID"/>
        </w:rPr>
        <w:tab/>
        <w:t xml:space="preserve">= </w:t>
      </w:r>
      <w:r w:rsidR="00BD4EA4" w:rsidRPr="0062331A">
        <w:rPr>
          <w:rFonts w:ascii="Times New Roman" w:hAnsi="Times New Roman" w:cs="Times New Roman"/>
        </w:rPr>
        <w:t>Number of concentration</w:t>
      </w:r>
      <w:r w:rsidR="00BD4EA4" w:rsidRPr="0062331A">
        <w:rPr>
          <w:rFonts w:ascii="Times New Roman" w:hAnsi="Times New Roman" w:cs="Times New Roman"/>
          <w:lang w:val="id-ID"/>
        </w:rPr>
        <w:t xml:space="preserve"> </w:t>
      </w:r>
      <w:r w:rsidR="00BD4EA4" w:rsidRPr="0062331A">
        <w:rPr>
          <w:rFonts w:ascii="Times New Roman" w:hAnsi="Times New Roman" w:cs="Times New Roman"/>
        </w:rPr>
        <w:t>intervals tested</w:t>
      </w:r>
    </w:p>
    <w:p w14:paraId="787D11CB" w14:textId="1D680CE1" w:rsidR="00BD4EA4" w:rsidRPr="0062331A" w:rsidRDefault="00BD4EA4" w:rsidP="00C47D5C">
      <w:pPr>
        <w:spacing w:line="240" w:lineRule="auto"/>
        <w:ind w:firstLine="567"/>
        <w:jc w:val="both"/>
        <w:rPr>
          <w:rFonts w:ascii="Times New Roman" w:hAnsi="Times New Roman" w:cs="Times New Roman"/>
          <w:lang w:val="id-ID"/>
        </w:rPr>
      </w:pPr>
      <w:r w:rsidRPr="0062331A">
        <w:rPr>
          <w:rFonts w:ascii="Times New Roman" w:hAnsi="Times New Roman" w:cs="Times New Roman"/>
          <w:lang w:val="id-ID"/>
        </w:rPr>
        <w:t xml:space="preserve">After determining the concentration of </w:t>
      </w:r>
      <w:r w:rsidR="002949E1" w:rsidRPr="00C47D5C">
        <w:rPr>
          <w:rFonts w:ascii="Times New Roman" w:hAnsi="Times New Roman" w:cs="Times New Roman"/>
          <w:i/>
          <w:iCs/>
          <w:lang w:val="id-ID"/>
        </w:rPr>
        <w:t>P. indica</w:t>
      </w:r>
      <w:r w:rsidRPr="0062331A">
        <w:rPr>
          <w:rFonts w:ascii="Times New Roman" w:hAnsi="Times New Roman" w:cs="Times New Roman"/>
          <w:lang w:val="id-ID"/>
        </w:rPr>
        <w:t xml:space="preserve"> leaf extract from the preliminary calculations, the lethal toxicity test was continued following the same procedures. However, in this stage, the mortality rate was observed over a period of 4 </w:t>
      </w:r>
      <w:r w:rsidRPr="0062331A">
        <w:rPr>
          <w:rFonts w:ascii="Times New Roman" w:hAnsi="Times New Roman" w:cs="Times New Roman"/>
        </w:rPr>
        <w:t>x</w:t>
      </w:r>
      <w:r w:rsidRPr="0062331A">
        <w:rPr>
          <w:rFonts w:ascii="Times New Roman" w:hAnsi="Times New Roman" w:cs="Times New Roman"/>
          <w:lang w:val="id-ID"/>
        </w:rPr>
        <w:t xml:space="preserve"> 24 hours to determine the LC</w:t>
      </w:r>
      <w:r w:rsidRPr="0062331A">
        <w:rPr>
          <w:rFonts w:ascii="Times New Roman" w:hAnsi="Times New Roman" w:cs="Times New Roman"/>
          <w:vertAlign w:val="subscript"/>
          <w:lang w:val="id-ID"/>
        </w:rPr>
        <w:t>50</w:t>
      </w:r>
      <w:r w:rsidRPr="0062331A">
        <w:rPr>
          <w:rFonts w:ascii="Times New Roman" w:hAnsi="Times New Roman" w:cs="Times New Roman"/>
          <w:vertAlign w:val="subscript"/>
        </w:rPr>
        <w:t xml:space="preserve"> </w:t>
      </w:r>
      <w:r w:rsidRPr="0062331A">
        <w:rPr>
          <w:rFonts w:ascii="Times New Roman" w:hAnsi="Times New Roman" w:cs="Times New Roman"/>
          <w:lang w:val="id-ID"/>
        </w:rPr>
        <w:t xml:space="preserve">value </w:t>
      </w:r>
      <w:r w:rsidRPr="0062331A">
        <w:rPr>
          <w:rFonts w:ascii="Times New Roman" w:hAnsi="Times New Roman" w:cs="Times New Roman"/>
        </w:rPr>
        <w:t>(</w:t>
      </w:r>
      <w:r w:rsidRPr="0062331A">
        <w:rPr>
          <w:rFonts w:ascii="Times New Roman" w:hAnsi="Times New Roman" w:cs="Times New Roman"/>
          <w:lang w:val="id-ID"/>
        </w:rPr>
        <w:t>the concentration causing 50% mortality</w:t>
      </w:r>
      <w:r w:rsidRPr="0062331A">
        <w:rPr>
          <w:rFonts w:ascii="Times New Roman" w:hAnsi="Times New Roman" w:cs="Times New Roman"/>
        </w:rPr>
        <w:t>)</w:t>
      </w:r>
      <w:r w:rsidRPr="0062331A">
        <w:rPr>
          <w:rFonts w:ascii="Times New Roman" w:hAnsi="Times New Roman" w:cs="Times New Roman"/>
          <w:lang w:val="id-ID"/>
        </w:rPr>
        <w:t>.</w:t>
      </w:r>
    </w:p>
    <w:p w14:paraId="2EF907B5" w14:textId="0F6228B0" w:rsidR="000B3555" w:rsidRPr="0062331A" w:rsidRDefault="00044F05" w:rsidP="000B3555">
      <w:pPr>
        <w:spacing w:after="0"/>
        <w:jc w:val="both"/>
        <w:rPr>
          <w:rFonts w:ascii="Times New Roman" w:hAnsi="Times New Roman" w:cs="Times New Roman"/>
          <w:b/>
          <w:bCs/>
        </w:rPr>
      </w:pPr>
      <w:r w:rsidRPr="0062331A">
        <w:rPr>
          <w:rFonts w:ascii="Times New Roman" w:hAnsi="Times New Roman" w:cs="Times New Roman"/>
          <w:b/>
          <w:bCs/>
        </w:rPr>
        <w:t>Data Analysis</w:t>
      </w:r>
    </w:p>
    <w:p w14:paraId="5782443E" w14:textId="0D74D9A1" w:rsidR="000B3555" w:rsidRPr="0062331A" w:rsidRDefault="00044F05" w:rsidP="00A562FF">
      <w:pPr>
        <w:spacing w:after="240" w:line="240" w:lineRule="auto"/>
        <w:ind w:firstLine="720"/>
        <w:jc w:val="both"/>
        <w:rPr>
          <w:rFonts w:ascii="Times New Roman" w:hAnsi="Times New Roman" w:cs="Times New Roman"/>
          <w:lang w:val="id-ID"/>
        </w:rPr>
      </w:pPr>
      <w:r w:rsidRPr="0062331A">
        <w:rPr>
          <w:rFonts w:ascii="Times New Roman" w:hAnsi="Times New Roman" w:cs="Times New Roman"/>
        </w:rPr>
        <w:t xml:space="preserve">The bacterial inhibition data were analyzed using ANOVA after confirming normality and homogeneity assumptions through the </w:t>
      </w:r>
      <w:proofErr w:type="spellStart"/>
      <w:r w:rsidRPr="0062331A">
        <w:rPr>
          <w:rFonts w:ascii="Times New Roman" w:hAnsi="Times New Roman" w:cs="Times New Roman"/>
        </w:rPr>
        <w:t>Liliefors</w:t>
      </w:r>
      <w:proofErr w:type="spellEnd"/>
      <w:r w:rsidRPr="0062331A">
        <w:rPr>
          <w:rFonts w:ascii="Times New Roman" w:hAnsi="Times New Roman" w:cs="Times New Roman"/>
        </w:rPr>
        <w:t xml:space="preserve"> test and Bartlett test, respectively. Followed by Turkey test to determine the difference between concentrations of bacterial inhibition produced. Meanwhile, </w:t>
      </w:r>
      <w:r w:rsidR="000B3555" w:rsidRPr="0062331A">
        <w:rPr>
          <w:rFonts w:ascii="Times New Roman" w:hAnsi="Times New Roman" w:cs="Times New Roman"/>
          <w:lang w:val="id-ID"/>
        </w:rPr>
        <w:t>LC</w:t>
      </w:r>
      <w:r w:rsidR="000B3555" w:rsidRPr="0062331A">
        <w:rPr>
          <w:rFonts w:ascii="Times New Roman" w:hAnsi="Times New Roman" w:cs="Times New Roman"/>
          <w:vertAlign w:val="subscript"/>
          <w:lang w:val="id-ID"/>
        </w:rPr>
        <w:t>50</w:t>
      </w:r>
      <w:r w:rsidR="000B3555" w:rsidRPr="0062331A">
        <w:rPr>
          <w:rFonts w:ascii="Times New Roman" w:hAnsi="Times New Roman" w:cs="Times New Roman"/>
          <w:lang w:val="id-ID"/>
        </w:rPr>
        <w:t xml:space="preserve"> </w:t>
      </w:r>
      <w:r w:rsidRPr="0062331A">
        <w:rPr>
          <w:rFonts w:ascii="Times New Roman" w:hAnsi="Times New Roman" w:cs="Times New Roman"/>
        </w:rPr>
        <w:t xml:space="preserve">value was determined using probit analysis, and the </w:t>
      </w:r>
      <w:r w:rsidR="00C47D5C">
        <w:rPr>
          <w:rFonts w:ascii="Times New Roman" w:hAnsi="Times New Roman" w:cs="Times New Roman"/>
          <w:lang w:val="id-ID"/>
        </w:rPr>
        <w:t>E</w:t>
      </w:r>
      <w:r w:rsidRPr="0062331A">
        <w:rPr>
          <w:rFonts w:ascii="Times New Roman" w:hAnsi="Times New Roman" w:cs="Times New Roman"/>
          <w:lang w:val="id-ID"/>
        </w:rPr>
        <w:t>C</w:t>
      </w:r>
      <w:r w:rsidRPr="0062331A">
        <w:rPr>
          <w:rFonts w:ascii="Times New Roman" w:hAnsi="Times New Roman" w:cs="Times New Roman"/>
          <w:vertAlign w:val="subscript"/>
          <w:lang w:val="id-ID"/>
        </w:rPr>
        <w:t>50</w:t>
      </w:r>
      <w:r w:rsidRPr="0062331A">
        <w:rPr>
          <w:rFonts w:ascii="Times New Roman" w:hAnsi="Times New Roman" w:cs="Times New Roman"/>
          <w:vertAlign w:val="subscript"/>
        </w:rPr>
        <w:t xml:space="preserve"> </w:t>
      </w:r>
      <w:r w:rsidRPr="0062331A">
        <w:rPr>
          <w:rFonts w:ascii="Times New Roman" w:hAnsi="Times New Roman" w:cs="Times New Roman"/>
        </w:rPr>
        <w:t>value was calculated from a linear regression equation with the assistance of Microsoft Excel software.</w:t>
      </w:r>
    </w:p>
    <w:p w14:paraId="3B80D704" w14:textId="4195973A" w:rsidR="000B3555" w:rsidRPr="0062331A" w:rsidRDefault="00A562FF" w:rsidP="00A562FF">
      <w:pPr>
        <w:jc w:val="center"/>
        <w:rPr>
          <w:rFonts w:ascii="Times New Roman" w:hAnsi="Times New Roman" w:cs="Times New Roman"/>
          <w:b/>
          <w:bCs/>
        </w:rPr>
      </w:pPr>
      <w:r w:rsidRPr="0062331A">
        <w:rPr>
          <w:rFonts w:ascii="Times New Roman" w:hAnsi="Times New Roman" w:cs="Times New Roman"/>
          <w:b/>
          <w:bCs/>
        </w:rPr>
        <w:t>RESULTS</w:t>
      </w:r>
    </w:p>
    <w:p w14:paraId="58C57BC9" w14:textId="3AFF738A" w:rsidR="000B3555" w:rsidRPr="0062331A" w:rsidRDefault="00A83FAD" w:rsidP="00A562FF">
      <w:pPr>
        <w:spacing w:after="0"/>
        <w:jc w:val="both"/>
        <w:rPr>
          <w:rFonts w:ascii="Times New Roman" w:hAnsi="Times New Roman" w:cs="Times New Roman"/>
          <w:b/>
          <w:bCs/>
        </w:rPr>
      </w:pPr>
      <w:r w:rsidRPr="0062331A">
        <w:rPr>
          <w:rFonts w:ascii="Times New Roman" w:hAnsi="Times New Roman" w:cs="Times New Roman"/>
          <w:b/>
          <w:bCs/>
        </w:rPr>
        <w:t xml:space="preserve">Phytochemistry of </w:t>
      </w:r>
      <w:r w:rsidR="002949E1" w:rsidRPr="002949E1">
        <w:rPr>
          <w:rFonts w:ascii="Times New Roman" w:hAnsi="Times New Roman" w:cs="Times New Roman"/>
          <w:b/>
          <w:bCs/>
        </w:rPr>
        <w:t>P. indica</w:t>
      </w:r>
      <w:r w:rsidRPr="0062331A">
        <w:rPr>
          <w:rFonts w:ascii="Times New Roman" w:hAnsi="Times New Roman" w:cs="Times New Roman"/>
          <w:b/>
          <w:bCs/>
        </w:rPr>
        <w:t xml:space="preserve"> Leaf Extract</w:t>
      </w:r>
    </w:p>
    <w:p w14:paraId="2B2AA4DD" w14:textId="285852D4" w:rsidR="000B3555" w:rsidRPr="0062331A" w:rsidRDefault="00A83FAD" w:rsidP="00C47D5C">
      <w:pPr>
        <w:spacing w:line="240" w:lineRule="auto"/>
        <w:ind w:firstLine="567"/>
        <w:jc w:val="both"/>
        <w:rPr>
          <w:rFonts w:ascii="Times New Roman" w:hAnsi="Times New Roman" w:cs="Times New Roman"/>
        </w:rPr>
      </w:pPr>
      <w:r w:rsidRPr="0062331A">
        <w:rPr>
          <w:rFonts w:ascii="Times New Roman" w:hAnsi="Times New Roman" w:cs="Times New Roman"/>
        </w:rPr>
        <w:t xml:space="preserve">The results of the identification of phytonutrient compounds present in </w:t>
      </w:r>
      <w:r w:rsidR="002949E1" w:rsidRPr="002949E1">
        <w:rPr>
          <w:rFonts w:ascii="Times New Roman" w:hAnsi="Times New Roman" w:cs="Times New Roman"/>
        </w:rPr>
        <w:t>P. indica</w:t>
      </w:r>
      <w:r w:rsidRPr="0062331A">
        <w:rPr>
          <w:rFonts w:ascii="Times New Roman" w:hAnsi="Times New Roman" w:cs="Times New Roman"/>
        </w:rPr>
        <w:t xml:space="preserve"> leaf extract are summarized in Table 2.</w:t>
      </w:r>
    </w:p>
    <w:p w14:paraId="1E0379C5" w14:textId="5B631B84" w:rsidR="000B3555" w:rsidRPr="0062331A" w:rsidRDefault="00A83FAD" w:rsidP="000B3555">
      <w:pPr>
        <w:spacing w:after="0"/>
        <w:jc w:val="both"/>
        <w:rPr>
          <w:rFonts w:ascii="Times New Roman" w:hAnsi="Times New Roman" w:cs="Times New Roman"/>
        </w:rPr>
      </w:pPr>
      <w:r w:rsidRPr="0062331A">
        <w:rPr>
          <w:rFonts w:ascii="Times New Roman" w:hAnsi="Times New Roman" w:cs="Times New Roman"/>
        </w:rPr>
        <w:t xml:space="preserve">Table </w:t>
      </w:r>
      <w:r w:rsidR="000B3555" w:rsidRPr="0062331A">
        <w:rPr>
          <w:rFonts w:ascii="Times New Roman" w:hAnsi="Times New Roman" w:cs="Times New Roman"/>
        </w:rPr>
        <w:t xml:space="preserve">2. </w:t>
      </w:r>
      <w:r w:rsidRPr="0062331A">
        <w:rPr>
          <w:rFonts w:ascii="Times New Roman" w:hAnsi="Times New Roman" w:cs="Times New Roman"/>
        </w:rPr>
        <w:t>Identified Phytonutrient Compounds</w:t>
      </w:r>
      <w:r w:rsidR="000B3555" w:rsidRPr="0062331A">
        <w:rPr>
          <w:rFonts w:ascii="Times New Roman" w:hAnsi="Times New Roman" w:cs="Times New Roman"/>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1663"/>
        <w:gridCol w:w="4342"/>
      </w:tblGrid>
      <w:tr w:rsidR="000B3555" w:rsidRPr="0062331A" w14:paraId="4AAC776B" w14:textId="77777777" w:rsidTr="007E6CA4">
        <w:tc>
          <w:tcPr>
            <w:tcW w:w="3116" w:type="dxa"/>
            <w:tcBorders>
              <w:top w:val="single" w:sz="4" w:space="0" w:color="auto"/>
              <w:bottom w:val="single" w:sz="4" w:space="0" w:color="auto"/>
            </w:tcBorders>
          </w:tcPr>
          <w:p w14:paraId="066338FC" w14:textId="162420F5" w:rsidR="000B3555" w:rsidRPr="0062331A" w:rsidRDefault="00D54049" w:rsidP="007E6CA4">
            <w:pPr>
              <w:jc w:val="center"/>
              <w:rPr>
                <w:rFonts w:ascii="Times New Roman" w:hAnsi="Times New Roman" w:cs="Times New Roman"/>
                <w:b/>
                <w:bCs/>
              </w:rPr>
            </w:pPr>
            <w:r w:rsidRPr="0062331A">
              <w:rPr>
                <w:rFonts w:ascii="Times New Roman" w:hAnsi="Times New Roman" w:cs="Times New Roman"/>
                <w:b/>
                <w:bCs/>
              </w:rPr>
              <w:t>Identified Compounds</w:t>
            </w:r>
          </w:p>
        </w:tc>
        <w:tc>
          <w:tcPr>
            <w:tcW w:w="1699" w:type="dxa"/>
            <w:tcBorders>
              <w:top w:val="single" w:sz="4" w:space="0" w:color="auto"/>
              <w:bottom w:val="single" w:sz="4" w:space="0" w:color="auto"/>
            </w:tcBorders>
          </w:tcPr>
          <w:p w14:paraId="278DDACA" w14:textId="04ED13FA" w:rsidR="000B3555" w:rsidRPr="0062331A" w:rsidRDefault="00D54049" w:rsidP="007E6CA4">
            <w:pPr>
              <w:jc w:val="center"/>
              <w:rPr>
                <w:rFonts w:ascii="Times New Roman" w:hAnsi="Times New Roman" w:cs="Times New Roman"/>
                <w:b/>
                <w:bCs/>
              </w:rPr>
            </w:pPr>
            <w:r w:rsidRPr="0062331A">
              <w:rPr>
                <w:rFonts w:ascii="Times New Roman" w:hAnsi="Times New Roman" w:cs="Times New Roman"/>
                <w:b/>
                <w:bCs/>
              </w:rPr>
              <w:t>Result</w:t>
            </w:r>
          </w:p>
        </w:tc>
        <w:tc>
          <w:tcPr>
            <w:tcW w:w="4535" w:type="dxa"/>
            <w:tcBorders>
              <w:top w:val="single" w:sz="4" w:space="0" w:color="auto"/>
              <w:bottom w:val="single" w:sz="4" w:space="0" w:color="auto"/>
            </w:tcBorders>
          </w:tcPr>
          <w:p w14:paraId="080F368D" w14:textId="1F110791" w:rsidR="000B3555" w:rsidRPr="0062331A" w:rsidRDefault="00D54049" w:rsidP="007E6CA4">
            <w:pPr>
              <w:jc w:val="center"/>
              <w:rPr>
                <w:rFonts w:ascii="Times New Roman" w:hAnsi="Times New Roman" w:cs="Times New Roman"/>
                <w:b/>
                <w:bCs/>
              </w:rPr>
            </w:pPr>
            <w:r w:rsidRPr="0062331A">
              <w:rPr>
                <w:rFonts w:ascii="Times New Roman" w:hAnsi="Times New Roman" w:cs="Times New Roman"/>
                <w:b/>
                <w:bCs/>
              </w:rPr>
              <w:t xml:space="preserve">Reaction </w:t>
            </w:r>
            <w:r w:rsidR="00845CF1" w:rsidRPr="0062331A">
              <w:rPr>
                <w:rFonts w:ascii="Times New Roman" w:hAnsi="Times New Roman" w:cs="Times New Roman"/>
                <w:b/>
                <w:bCs/>
              </w:rPr>
              <w:t>Produced</w:t>
            </w:r>
          </w:p>
        </w:tc>
      </w:tr>
      <w:tr w:rsidR="000B3555" w:rsidRPr="0062331A" w14:paraId="12B8F829" w14:textId="77777777" w:rsidTr="007E6CA4">
        <w:tc>
          <w:tcPr>
            <w:tcW w:w="3116" w:type="dxa"/>
            <w:tcBorders>
              <w:top w:val="single" w:sz="4" w:space="0" w:color="auto"/>
            </w:tcBorders>
          </w:tcPr>
          <w:p w14:paraId="556E268D" w14:textId="0F4B9E04" w:rsidR="000B3555" w:rsidRPr="0062331A" w:rsidRDefault="000B3555" w:rsidP="007E6CA4">
            <w:pPr>
              <w:jc w:val="both"/>
              <w:rPr>
                <w:rFonts w:ascii="Times New Roman" w:hAnsi="Times New Roman" w:cs="Times New Roman"/>
              </w:rPr>
            </w:pPr>
            <w:r w:rsidRPr="0062331A">
              <w:rPr>
                <w:rFonts w:ascii="Times New Roman" w:hAnsi="Times New Roman" w:cs="Times New Roman"/>
              </w:rPr>
              <w:t>Alkaloid</w:t>
            </w:r>
            <w:r w:rsidR="00A83FAD" w:rsidRPr="0062331A">
              <w:rPr>
                <w:rFonts w:ascii="Times New Roman" w:hAnsi="Times New Roman" w:cs="Times New Roman"/>
              </w:rPr>
              <w:t>s</w:t>
            </w:r>
          </w:p>
        </w:tc>
        <w:tc>
          <w:tcPr>
            <w:tcW w:w="1699" w:type="dxa"/>
            <w:tcBorders>
              <w:top w:val="single" w:sz="4" w:space="0" w:color="auto"/>
            </w:tcBorders>
          </w:tcPr>
          <w:p w14:paraId="7DC9D186" w14:textId="72B8404D" w:rsidR="000B3555" w:rsidRPr="0062331A" w:rsidRDefault="00A83FAD" w:rsidP="007E6CA4">
            <w:pPr>
              <w:jc w:val="center"/>
              <w:rPr>
                <w:rFonts w:ascii="Times New Roman" w:hAnsi="Times New Roman" w:cs="Times New Roman"/>
              </w:rPr>
            </w:pPr>
            <w:r w:rsidRPr="0062331A">
              <w:rPr>
                <w:rFonts w:ascii="Times New Roman" w:hAnsi="Times New Roman" w:cs="Times New Roman"/>
              </w:rPr>
              <w:t>Positive</w:t>
            </w:r>
            <w:r w:rsidR="000B3555" w:rsidRPr="0062331A">
              <w:rPr>
                <w:rFonts w:ascii="Times New Roman" w:hAnsi="Times New Roman" w:cs="Times New Roman"/>
              </w:rPr>
              <w:t xml:space="preserve"> (+)</w:t>
            </w:r>
          </w:p>
        </w:tc>
        <w:tc>
          <w:tcPr>
            <w:tcW w:w="4535" w:type="dxa"/>
            <w:tcBorders>
              <w:top w:val="single" w:sz="4" w:space="0" w:color="auto"/>
            </w:tcBorders>
          </w:tcPr>
          <w:p w14:paraId="42780DDF" w14:textId="3B46E45C" w:rsidR="000B3555" w:rsidRPr="0062331A" w:rsidRDefault="00A83FAD" w:rsidP="007E6CA4">
            <w:pPr>
              <w:jc w:val="both"/>
              <w:rPr>
                <w:rFonts w:ascii="Times New Roman" w:hAnsi="Times New Roman" w:cs="Times New Roman"/>
              </w:rPr>
            </w:pPr>
            <w:r w:rsidRPr="0062331A">
              <w:rPr>
                <w:rFonts w:ascii="Times New Roman" w:hAnsi="Times New Roman" w:cs="Times New Roman"/>
              </w:rPr>
              <w:t>Produced a reddish-yellow color</w:t>
            </w:r>
          </w:p>
        </w:tc>
      </w:tr>
      <w:tr w:rsidR="000B3555" w:rsidRPr="0062331A" w14:paraId="77FE53A1" w14:textId="77777777" w:rsidTr="007E6CA4">
        <w:tc>
          <w:tcPr>
            <w:tcW w:w="3116" w:type="dxa"/>
          </w:tcPr>
          <w:p w14:paraId="5D14EFB2" w14:textId="62F9AAD6" w:rsidR="000B3555" w:rsidRPr="0062331A" w:rsidRDefault="000B3555" w:rsidP="007E6CA4">
            <w:pPr>
              <w:jc w:val="both"/>
              <w:rPr>
                <w:rFonts w:ascii="Times New Roman" w:hAnsi="Times New Roman" w:cs="Times New Roman"/>
              </w:rPr>
            </w:pPr>
            <w:r w:rsidRPr="0062331A">
              <w:rPr>
                <w:rFonts w:ascii="Times New Roman" w:hAnsi="Times New Roman" w:cs="Times New Roman"/>
              </w:rPr>
              <w:t>Flavonoid</w:t>
            </w:r>
            <w:r w:rsidR="00A83FAD" w:rsidRPr="0062331A">
              <w:rPr>
                <w:rFonts w:ascii="Times New Roman" w:hAnsi="Times New Roman" w:cs="Times New Roman"/>
              </w:rPr>
              <w:t>s</w:t>
            </w:r>
          </w:p>
        </w:tc>
        <w:tc>
          <w:tcPr>
            <w:tcW w:w="1699" w:type="dxa"/>
          </w:tcPr>
          <w:p w14:paraId="073C5F5A" w14:textId="600F5824"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3222B173" w14:textId="4974C5E3" w:rsidR="000B3555" w:rsidRPr="0062331A" w:rsidRDefault="00A83FAD" w:rsidP="007E6CA4">
            <w:pPr>
              <w:jc w:val="both"/>
              <w:rPr>
                <w:rFonts w:ascii="Times New Roman" w:hAnsi="Times New Roman" w:cs="Times New Roman"/>
              </w:rPr>
            </w:pPr>
            <w:r w:rsidRPr="0062331A">
              <w:rPr>
                <w:rFonts w:ascii="Times New Roman" w:hAnsi="Times New Roman" w:cs="Times New Roman"/>
              </w:rPr>
              <w:t>Produced a yellow color</w:t>
            </w:r>
          </w:p>
        </w:tc>
      </w:tr>
      <w:tr w:rsidR="000B3555" w:rsidRPr="0062331A" w14:paraId="1257D58C" w14:textId="77777777" w:rsidTr="007E6CA4">
        <w:tc>
          <w:tcPr>
            <w:tcW w:w="3116" w:type="dxa"/>
          </w:tcPr>
          <w:p w14:paraId="72DB32EF" w14:textId="4F8EEBA9" w:rsidR="000B3555" w:rsidRPr="0062331A" w:rsidRDefault="000B3555" w:rsidP="007E6CA4">
            <w:pPr>
              <w:jc w:val="both"/>
              <w:rPr>
                <w:rFonts w:ascii="Times New Roman" w:hAnsi="Times New Roman" w:cs="Times New Roman"/>
              </w:rPr>
            </w:pPr>
            <w:r w:rsidRPr="0062331A">
              <w:rPr>
                <w:rFonts w:ascii="Times New Roman" w:hAnsi="Times New Roman" w:cs="Times New Roman"/>
              </w:rPr>
              <w:t>Ta</w:t>
            </w:r>
            <w:r w:rsidR="00A83FAD" w:rsidRPr="0062331A">
              <w:rPr>
                <w:rFonts w:ascii="Times New Roman" w:hAnsi="Times New Roman" w:cs="Times New Roman"/>
              </w:rPr>
              <w:t>nnins</w:t>
            </w:r>
          </w:p>
        </w:tc>
        <w:tc>
          <w:tcPr>
            <w:tcW w:w="1699" w:type="dxa"/>
          </w:tcPr>
          <w:p w14:paraId="5E3DE6F2" w14:textId="1C06FCF2"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07D1AFF4" w14:textId="0449CF35" w:rsidR="000B3555" w:rsidRPr="0062331A" w:rsidRDefault="00A83FAD" w:rsidP="007E6CA4">
            <w:pPr>
              <w:jc w:val="both"/>
              <w:rPr>
                <w:rFonts w:ascii="Times New Roman" w:hAnsi="Times New Roman" w:cs="Times New Roman"/>
              </w:rPr>
            </w:pPr>
            <w:r w:rsidRPr="0062331A">
              <w:rPr>
                <w:rFonts w:ascii="Times New Roman" w:hAnsi="Times New Roman" w:cs="Times New Roman"/>
              </w:rPr>
              <w:t xml:space="preserve">Produced a white </w:t>
            </w:r>
            <w:r w:rsidR="00B62C84" w:rsidRPr="0062331A">
              <w:rPr>
                <w:rFonts w:ascii="Times New Roman" w:hAnsi="Times New Roman" w:cs="Times New Roman"/>
              </w:rPr>
              <w:t>precipitate</w:t>
            </w:r>
          </w:p>
        </w:tc>
      </w:tr>
      <w:tr w:rsidR="000B3555" w:rsidRPr="0062331A" w14:paraId="29265571" w14:textId="77777777" w:rsidTr="007E6CA4">
        <w:tc>
          <w:tcPr>
            <w:tcW w:w="3116" w:type="dxa"/>
          </w:tcPr>
          <w:p w14:paraId="4EA80E49" w14:textId="344A7251" w:rsidR="000B3555" w:rsidRPr="0062331A" w:rsidRDefault="00A83FAD" w:rsidP="007E6CA4">
            <w:pPr>
              <w:jc w:val="both"/>
              <w:rPr>
                <w:rFonts w:ascii="Times New Roman" w:hAnsi="Times New Roman" w:cs="Times New Roman"/>
              </w:rPr>
            </w:pPr>
            <w:r w:rsidRPr="0062331A">
              <w:rPr>
                <w:rFonts w:ascii="Times New Roman" w:hAnsi="Times New Roman" w:cs="Times New Roman"/>
              </w:rPr>
              <w:t>Phenols</w:t>
            </w:r>
          </w:p>
        </w:tc>
        <w:tc>
          <w:tcPr>
            <w:tcW w:w="1699" w:type="dxa"/>
          </w:tcPr>
          <w:p w14:paraId="2038E9BA" w14:textId="4F71FA14"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426B4AEE" w14:textId="3876CCB7" w:rsidR="000B3555" w:rsidRPr="0062331A" w:rsidRDefault="00B62C84" w:rsidP="007E6CA4">
            <w:pPr>
              <w:jc w:val="both"/>
              <w:rPr>
                <w:rFonts w:ascii="Times New Roman" w:hAnsi="Times New Roman" w:cs="Times New Roman"/>
              </w:rPr>
            </w:pPr>
            <w:r w:rsidRPr="0062331A">
              <w:rPr>
                <w:rFonts w:ascii="Times New Roman" w:hAnsi="Times New Roman" w:cs="Times New Roman"/>
              </w:rPr>
              <w:t>Produced a green color</w:t>
            </w:r>
          </w:p>
        </w:tc>
      </w:tr>
      <w:tr w:rsidR="000B3555" w:rsidRPr="0062331A" w14:paraId="0099848B" w14:textId="77777777" w:rsidTr="007E6CA4">
        <w:tc>
          <w:tcPr>
            <w:tcW w:w="3116" w:type="dxa"/>
          </w:tcPr>
          <w:p w14:paraId="3EA8A6BE" w14:textId="27105C7A" w:rsidR="000B3555" w:rsidRPr="0062331A" w:rsidRDefault="000B3555" w:rsidP="007E6CA4">
            <w:pPr>
              <w:jc w:val="both"/>
              <w:rPr>
                <w:rFonts w:ascii="Times New Roman" w:hAnsi="Times New Roman" w:cs="Times New Roman"/>
              </w:rPr>
            </w:pPr>
            <w:r w:rsidRPr="0062331A">
              <w:rPr>
                <w:rFonts w:ascii="Times New Roman" w:hAnsi="Times New Roman" w:cs="Times New Roman"/>
              </w:rPr>
              <w:t>Saponin</w:t>
            </w:r>
            <w:r w:rsidR="00A83FAD" w:rsidRPr="0062331A">
              <w:rPr>
                <w:rFonts w:ascii="Times New Roman" w:hAnsi="Times New Roman" w:cs="Times New Roman"/>
              </w:rPr>
              <w:t>s</w:t>
            </w:r>
          </w:p>
        </w:tc>
        <w:tc>
          <w:tcPr>
            <w:tcW w:w="1699" w:type="dxa"/>
          </w:tcPr>
          <w:p w14:paraId="6711A6EE" w14:textId="4B674F5D"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2B3DE57C" w14:textId="4AF42068" w:rsidR="000B3555" w:rsidRPr="0062331A" w:rsidRDefault="00B62C84" w:rsidP="007E6CA4">
            <w:pPr>
              <w:jc w:val="both"/>
              <w:rPr>
                <w:rFonts w:ascii="Times New Roman" w:hAnsi="Times New Roman" w:cs="Times New Roman"/>
              </w:rPr>
            </w:pPr>
            <w:r w:rsidRPr="0062331A">
              <w:rPr>
                <w:rFonts w:ascii="Times New Roman" w:hAnsi="Times New Roman" w:cs="Times New Roman"/>
              </w:rPr>
              <w:t>Produced stable foam</w:t>
            </w:r>
          </w:p>
        </w:tc>
      </w:tr>
      <w:tr w:rsidR="000B3555" w:rsidRPr="0062331A" w14:paraId="315A5687" w14:textId="77777777" w:rsidTr="007E6CA4">
        <w:tc>
          <w:tcPr>
            <w:tcW w:w="3116" w:type="dxa"/>
          </w:tcPr>
          <w:p w14:paraId="1C7E6858" w14:textId="5C4B42BA" w:rsidR="000B3555" w:rsidRPr="0062331A" w:rsidRDefault="000B3555" w:rsidP="007E6CA4">
            <w:pPr>
              <w:jc w:val="both"/>
              <w:rPr>
                <w:rFonts w:ascii="Times New Roman" w:hAnsi="Times New Roman" w:cs="Times New Roman"/>
              </w:rPr>
            </w:pPr>
            <w:r w:rsidRPr="0062331A">
              <w:rPr>
                <w:rFonts w:ascii="Times New Roman" w:hAnsi="Times New Roman" w:cs="Times New Roman"/>
              </w:rPr>
              <w:t>Triterpenoid</w:t>
            </w:r>
            <w:r w:rsidR="00A83FAD" w:rsidRPr="0062331A">
              <w:rPr>
                <w:rFonts w:ascii="Times New Roman" w:hAnsi="Times New Roman" w:cs="Times New Roman"/>
              </w:rPr>
              <w:t>s</w:t>
            </w:r>
          </w:p>
        </w:tc>
        <w:tc>
          <w:tcPr>
            <w:tcW w:w="1699" w:type="dxa"/>
          </w:tcPr>
          <w:p w14:paraId="3875B304" w14:textId="235A41DC"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16616487" w14:textId="321E50F0" w:rsidR="000B3555" w:rsidRPr="0062331A" w:rsidRDefault="00B62C84" w:rsidP="007E6CA4">
            <w:pPr>
              <w:jc w:val="both"/>
              <w:rPr>
                <w:rFonts w:ascii="Times New Roman" w:hAnsi="Times New Roman" w:cs="Times New Roman"/>
              </w:rPr>
            </w:pPr>
            <w:r w:rsidRPr="0062331A">
              <w:rPr>
                <w:rFonts w:ascii="Times New Roman" w:hAnsi="Times New Roman" w:cs="Times New Roman"/>
              </w:rPr>
              <w:t>Produced a purple color</w:t>
            </w:r>
          </w:p>
        </w:tc>
      </w:tr>
      <w:tr w:rsidR="000B3555" w:rsidRPr="0062331A" w14:paraId="30A8BFE1" w14:textId="77777777" w:rsidTr="007E6CA4">
        <w:tc>
          <w:tcPr>
            <w:tcW w:w="3116" w:type="dxa"/>
          </w:tcPr>
          <w:p w14:paraId="71B63775" w14:textId="4E4BD414" w:rsidR="000B3555" w:rsidRPr="0062331A" w:rsidRDefault="000B3555" w:rsidP="007E6CA4">
            <w:pPr>
              <w:jc w:val="both"/>
              <w:rPr>
                <w:rFonts w:ascii="Times New Roman" w:hAnsi="Times New Roman" w:cs="Times New Roman"/>
              </w:rPr>
            </w:pPr>
            <w:r w:rsidRPr="0062331A">
              <w:rPr>
                <w:rFonts w:ascii="Times New Roman" w:hAnsi="Times New Roman" w:cs="Times New Roman"/>
              </w:rPr>
              <w:t>Steroid</w:t>
            </w:r>
            <w:r w:rsidR="00A83FAD" w:rsidRPr="0062331A">
              <w:rPr>
                <w:rFonts w:ascii="Times New Roman" w:hAnsi="Times New Roman" w:cs="Times New Roman"/>
              </w:rPr>
              <w:t>s</w:t>
            </w:r>
          </w:p>
        </w:tc>
        <w:tc>
          <w:tcPr>
            <w:tcW w:w="1699" w:type="dxa"/>
          </w:tcPr>
          <w:p w14:paraId="767A691B" w14:textId="216DD512" w:rsidR="000B3555" w:rsidRPr="0062331A" w:rsidRDefault="00A83FAD" w:rsidP="007E6CA4">
            <w:pPr>
              <w:jc w:val="center"/>
              <w:rPr>
                <w:rFonts w:ascii="Times New Roman" w:hAnsi="Times New Roman" w:cs="Times New Roman"/>
              </w:rPr>
            </w:pPr>
            <w:r w:rsidRPr="0062331A">
              <w:rPr>
                <w:rFonts w:ascii="Times New Roman" w:hAnsi="Times New Roman" w:cs="Times New Roman"/>
              </w:rPr>
              <w:t>Neg</w:t>
            </w:r>
            <w:r w:rsidR="00133346" w:rsidRPr="0062331A">
              <w:rPr>
                <w:rFonts w:ascii="Times New Roman" w:hAnsi="Times New Roman" w:cs="Times New Roman"/>
              </w:rPr>
              <w:t>a</w:t>
            </w:r>
            <w:r w:rsidRPr="0062331A">
              <w:rPr>
                <w:rFonts w:ascii="Times New Roman" w:hAnsi="Times New Roman" w:cs="Times New Roman"/>
              </w:rPr>
              <w:t>tive</w:t>
            </w:r>
            <w:r w:rsidR="000B3555" w:rsidRPr="0062331A">
              <w:rPr>
                <w:rFonts w:ascii="Times New Roman" w:hAnsi="Times New Roman" w:cs="Times New Roman"/>
              </w:rPr>
              <w:t xml:space="preserve"> (-)</w:t>
            </w:r>
          </w:p>
        </w:tc>
        <w:tc>
          <w:tcPr>
            <w:tcW w:w="4535" w:type="dxa"/>
          </w:tcPr>
          <w:p w14:paraId="511F1656" w14:textId="70BE09DC" w:rsidR="000B3555" w:rsidRPr="0062331A" w:rsidRDefault="00B62C84" w:rsidP="007E6CA4">
            <w:pPr>
              <w:jc w:val="both"/>
              <w:rPr>
                <w:rFonts w:ascii="Times New Roman" w:hAnsi="Times New Roman" w:cs="Times New Roman"/>
              </w:rPr>
            </w:pPr>
            <w:r w:rsidRPr="0062331A">
              <w:rPr>
                <w:rFonts w:ascii="Times New Roman" w:hAnsi="Times New Roman" w:cs="Times New Roman"/>
              </w:rPr>
              <w:t>No blue or green color formed</w:t>
            </w:r>
          </w:p>
        </w:tc>
      </w:tr>
      <w:tr w:rsidR="000B3555" w:rsidRPr="0062331A" w14:paraId="4AB05575" w14:textId="77777777" w:rsidTr="007E6CA4">
        <w:tc>
          <w:tcPr>
            <w:tcW w:w="3116" w:type="dxa"/>
          </w:tcPr>
          <w:p w14:paraId="54D5DE06" w14:textId="3D21C978" w:rsidR="000B3555" w:rsidRPr="0062331A" w:rsidRDefault="00A83FAD" w:rsidP="007E6CA4">
            <w:pPr>
              <w:jc w:val="both"/>
              <w:rPr>
                <w:rFonts w:ascii="Times New Roman" w:hAnsi="Times New Roman" w:cs="Times New Roman"/>
              </w:rPr>
            </w:pPr>
            <w:r w:rsidRPr="0062331A">
              <w:rPr>
                <w:rFonts w:ascii="Times New Roman" w:hAnsi="Times New Roman" w:cs="Times New Roman"/>
              </w:rPr>
              <w:t>Glycosides</w:t>
            </w:r>
          </w:p>
        </w:tc>
        <w:tc>
          <w:tcPr>
            <w:tcW w:w="1699" w:type="dxa"/>
          </w:tcPr>
          <w:p w14:paraId="2BB36A5E" w14:textId="52B79570"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1D0457FD" w14:textId="088F0D32" w:rsidR="000B3555" w:rsidRPr="0062331A" w:rsidRDefault="00B62C84" w:rsidP="007E6CA4">
            <w:pPr>
              <w:jc w:val="both"/>
              <w:rPr>
                <w:rFonts w:ascii="Times New Roman" w:hAnsi="Times New Roman" w:cs="Times New Roman"/>
              </w:rPr>
            </w:pPr>
            <w:r w:rsidRPr="0062331A">
              <w:rPr>
                <w:rFonts w:ascii="Times New Roman" w:hAnsi="Times New Roman" w:cs="Times New Roman"/>
              </w:rPr>
              <w:t>Formed a reddish-purple ring</w:t>
            </w:r>
          </w:p>
        </w:tc>
      </w:tr>
    </w:tbl>
    <w:p w14:paraId="3767672F" w14:textId="275806A6" w:rsidR="000B3555" w:rsidRPr="0062331A" w:rsidRDefault="00B62C84" w:rsidP="000B3555">
      <w:pPr>
        <w:spacing w:before="240" w:after="0"/>
        <w:jc w:val="both"/>
        <w:rPr>
          <w:rFonts w:ascii="Times New Roman" w:hAnsi="Times New Roman" w:cs="Times New Roman"/>
          <w:b/>
          <w:bCs/>
        </w:rPr>
      </w:pPr>
      <w:r w:rsidRPr="0062331A">
        <w:rPr>
          <w:rFonts w:ascii="Times New Roman" w:hAnsi="Times New Roman" w:cs="Times New Roman"/>
          <w:b/>
          <w:bCs/>
        </w:rPr>
        <w:lastRenderedPageBreak/>
        <w:t xml:space="preserve">Antibacterial Activity of </w:t>
      </w:r>
      <w:proofErr w:type="spellStart"/>
      <w:proofErr w:type="gramStart"/>
      <w:r w:rsidRPr="0062331A">
        <w:rPr>
          <w:rFonts w:ascii="Times New Roman" w:hAnsi="Times New Roman" w:cs="Times New Roman"/>
          <w:b/>
          <w:bCs/>
          <w:i/>
          <w:iCs/>
        </w:rPr>
        <w:t>V.parahaemolyticus</w:t>
      </w:r>
      <w:proofErr w:type="spellEnd"/>
      <w:proofErr w:type="gramEnd"/>
      <w:r w:rsidRPr="0062331A">
        <w:rPr>
          <w:rFonts w:ascii="Times New Roman" w:hAnsi="Times New Roman" w:cs="Times New Roman"/>
          <w:b/>
          <w:bCs/>
        </w:rPr>
        <w:t xml:space="preserve"> Inhibited by </w:t>
      </w:r>
      <w:r w:rsidR="002949E1" w:rsidRPr="00C47D5C">
        <w:rPr>
          <w:rFonts w:ascii="Times New Roman" w:hAnsi="Times New Roman" w:cs="Times New Roman"/>
          <w:b/>
          <w:bCs/>
          <w:i/>
          <w:iCs/>
        </w:rPr>
        <w:t>P. indica</w:t>
      </w:r>
      <w:r w:rsidRPr="0062331A">
        <w:rPr>
          <w:rFonts w:ascii="Times New Roman" w:hAnsi="Times New Roman" w:cs="Times New Roman"/>
          <w:b/>
          <w:bCs/>
        </w:rPr>
        <w:t xml:space="preserve"> Leaf Extract</w:t>
      </w:r>
    </w:p>
    <w:p w14:paraId="5ECD248E" w14:textId="36BE7396" w:rsidR="00B62C84" w:rsidRPr="0062331A" w:rsidRDefault="00B62C84" w:rsidP="00A562FF">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results showed that bacterial inhibition of </w:t>
      </w:r>
      <w:r w:rsidRPr="0062331A">
        <w:rPr>
          <w:rFonts w:ascii="Times New Roman" w:hAnsi="Times New Roman" w:cs="Times New Roman"/>
          <w:i/>
          <w:iCs/>
        </w:rPr>
        <w:t>V. parahaemolyticus</w:t>
      </w:r>
      <w:r w:rsidRPr="0062331A">
        <w:rPr>
          <w:rFonts w:ascii="Times New Roman" w:hAnsi="Times New Roman" w:cs="Times New Roman"/>
        </w:rPr>
        <w:t xml:space="preserve"> by </w:t>
      </w:r>
      <w:r w:rsidR="002949E1" w:rsidRPr="002949E1">
        <w:rPr>
          <w:rFonts w:ascii="Times New Roman" w:hAnsi="Times New Roman" w:cs="Times New Roman"/>
        </w:rPr>
        <w:t>P. indica</w:t>
      </w:r>
      <w:r w:rsidRPr="0062331A">
        <w:rPr>
          <w:rFonts w:ascii="Times New Roman" w:hAnsi="Times New Roman" w:cs="Times New Roman"/>
        </w:rPr>
        <w:t xml:space="preserve"> leaf extract began to appear at a concentration of 1%, which was still categorized as weak. Increasing the concentration of </w:t>
      </w:r>
      <w:r w:rsidR="002949E1" w:rsidRPr="002949E1">
        <w:rPr>
          <w:rFonts w:ascii="Times New Roman" w:hAnsi="Times New Roman" w:cs="Times New Roman"/>
        </w:rPr>
        <w:t>P. indica</w:t>
      </w:r>
      <w:r w:rsidRPr="0062331A">
        <w:rPr>
          <w:rFonts w:ascii="Times New Roman" w:hAnsi="Times New Roman" w:cs="Times New Roman"/>
        </w:rPr>
        <w:t xml:space="preserve"> leaf extract resulted in stronger antibacterial activity. These findings are presented in Table 3.</w:t>
      </w:r>
    </w:p>
    <w:p w14:paraId="11604D8D" w14:textId="77777777" w:rsidR="00133346" w:rsidRPr="0062331A" w:rsidRDefault="00133346" w:rsidP="000B3555">
      <w:pPr>
        <w:spacing w:after="0" w:line="240" w:lineRule="auto"/>
        <w:jc w:val="both"/>
        <w:rPr>
          <w:rFonts w:ascii="Times New Roman" w:hAnsi="Times New Roman" w:cs="Times New Roman"/>
        </w:rPr>
      </w:pPr>
    </w:p>
    <w:p w14:paraId="26E1295B" w14:textId="17DF28AD" w:rsidR="00133346" w:rsidRPr="0062331A" w:rsidRDefault="00133346" w:rsidP="000B3555">
      <w:pPr>
        <w:spacing w:after="0" w:line="240" w:lineRule="auto"/>
        <w:jc w:val="both"/>
        <w:rPr>
          <w:rFonts w:ascii="Times New Roman" w:hAnsi="Times New Roman" w:cs="Times New Roman"/>
        </w:rPr>
      </w:pPr>
      <w:r w:rsidRPr="0062331A">
        <w:rPr>
          <w:rFonts w:ascii="Times New Roman" w:hAnsi="Times New Roman" w:cs="Times New Roman"/>
        </w:rPr>
        <w:t xml:space="preserve">Table 3. </w:t>
      </w:r>
      <w:r w:rsidR="000C04F5" w:rsidRPr="0062331A">
        <w:rPr>
          <w:rFonts w:ascii="Times New Roman" w:hAnsi="Times New Roman" w:cs="Times New Roman"/>
        </w:rPr>
        <w:t xml:space="preserve">The </w:t>
      </w:r>
      <w:proofErr w:type="spellStart"/>
      <w:r w:rsidR="000C04F5" w:rsidRPr="0062331A">
        <w:rPr>
          <w:rFonts w:ascii="Times New Roman" w:hAnsi="Times New Roman" w:cs="Times New Roman"/>
        </w:rPr>
        <w:t>Inhibiton</w:t>
      </w:r>
      <w:proofErr w:type="spellEnd"/>
      <w:r w:rsidR="000C04F5" w:rsidRPr="0062331A">
        <w:rPr>
          <w:rFonts w:ascii="Times New Roman" w:hAnsi="Times New Roman" w:cs="Times New Roman"/>
        </w:rPr>
        <w:t xml:space="preserve"> Zone of </w:t>
      </w:r>
      <w:r w:rsidR="002949E1" w:rsidRPr="00C47D5C">
        <w:rPr>
          <w:rFonts w:ascii="Times New Roman" w:hAnsi="Times New Roman" w:cs="Times New Roman"/>
          <w:i/>
          <w:iCs/>
        </w:rPr>
        <w:t>P. indica</w:t>
      </w:r>
      <w:r w:rsidR="000C04F5" w:rsidRPr="0062331A">
        <w:rPr>
          <w:rFonts w:ascii="Times New Roman" w:hAnsi="Times New Roman" w:cs="Times New Roman"/>
        </w:rPr>
        <w:t xml:space="preserve"> Leaf Extract </w:t>
      </w:r>
    </w:p>
    <w:tbl>
      <w:tblPr>
        <w:tblStyle w:val="TableGrid"/>
        <w:tblW w:w="793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2126"/>
      </w:tblGrid>
      <w:tr w:rsidR="00133346" w:rsidRPr="0062331A" w14:paraId="64686B9B" w14:textId="77777777" w:rsidTr="002E3A32">
        <w:tc>
          <w:tcPr>
            <w:tcW w:w="3402" w:type="dxa"/>
            <w:tcBorders>
              <w:top w:val="single" w:sz="4" w:space="0" w:color="auto"/>
              <w:bottom w:val="single" w:sz="4" w:space="0" w:color="auto"/>
            </w:tcBorders>
          </w:tcPr>
          <w:p w14:paraId="00B9C6B5" w14:textId="50963104" w:rsidR="00133346" w:rsidRPr="0062331A" w:rsidRDefault="00133346" w:rsidP="002E3A32">
            <w:pPr>
              <w:jc w:val="center"/>
              <w:rPr>
                <w:rFonts w:asciiTheme="majorBidi" w:hAnsiTheme="majorBidi" w:cstheme="majorBidi"/>
                <w:b/>
                <w:bCs/>
                <w:lang w:val="id-ID"/>
              </w:rPr>
            </w:pPr>
            <w:r w:rsidRPr="0062331A">
              <w:rPr>
                <w:rFonts w:asciiTheme="majorBidi" w:hAnsiTheme="majorBidi" w:cstheme="majorBidi"/>
                <w:b/>
                <w:bCs/>
                <w:lang w:val="id-ID"/>
              </w:rPr>
              <w:t>Treatment</w:t>
            </w:r>
            <w:r w:rsidR="000C04F5" w:rsidRPr="0062331A">
              <w:rPr>
                <w:rFonts w:asciiTheme="majorBidi" w:hAnsiTheme="majorBidi" w:cstheme="majorBidi"/>
                <w:b/>
                <w:bCs/>
                <w:lang w:val="id-ID"/>
              </w:rPr>
              <w:t>s</w:t>
            </w:r>
          </w:p>
        </w:tc>
        <w:tc>
          <w:tcPr>
            <w:tcW w:w="2410" w:type="dxa"/>
            <w:tcBorders>
              <w:top w:val="single" w:sz="4" w:space="0" w:color="auto"/>
              <w:bottom w:val="single" w:sz="4" w:space="0" w:color="auto"/>
            </w:tcBorders>
          </w:tcPr>
          <w:p w14:paraId="7208C20D" w14:textId="7A637B2B" w:rsidR="00133346" w:rsidRPr="0062331A" w:rsidRDefault="00133346" w:rsidP="002E3A32">
            <w:pPr>
              <w:jc w:val="center"/>
              <w:rPr>
                <w:rFonts w:asciiTheme="majorBidi" w:hAnsiTheme="majorBidi" w:cstheme="majorBidi"/>
                <w:b/>
                <w:bCs/>
                <w:lang w:val="id-ID"/>
              </w:rPr>
            </w:pPr>
            <w:r w:rsidRPr="0062331A">
              <w:rPr>
                <w:rFonts w:asciiTheme="majorBidi" w:hAnsiTheme="majorBidi" w:cstheme="majorBidi"/>
                <w:b/>
                <w:bCs/>
                <w:lang w:val="id-ID"/>
              </w:rPr>
              <w:t>Average ± SD</w:t>
            </w:r>
          </w:p>
        </w:tc>
        <w:tc>
          <w:tcPr>
            <w:tcW w:w="2126" w:type="dxa"/>
            <w:tcBorders>
              <w:top w:val="single" w:sz="4" w:space="0" w:color="auto"/>
              <w:bottom w:val="single" w:sz="4" w:space="0" w:color="auto"/>
            </w:tcBorders>
          </w:tcPr>
          <w:p w14:paraId="550964AF" w14:textId="5AF13071" w:rsidR="00133346" w:rsidRPr="0062331A" w:rsidRDefault="00133346" w:rsidP="002E3A32">
            <w:pPr>
              <w:jc w:val="center"/>
              <w:rPr>
                <w:rFonts w:asciiTheme="majorBidi" w:hAnsiTheme="majorBidi" w:cstheme="majorBidi"/>
                <w:b/>
                <w:bCs/>
                <w:lang w:val="id-ID"/>
              </w:rPr>
            </w:pPr>
            <w:r w:rsidRPr="0062331A">
              <w:rPr>
                <w:rFonts w:asciiTheme="majorBidi" w:hAnsiTheme="majorBidi" w:cstheme="majorBidi"/>
                <w:b/>
                <w:bCs/>
                <w:lang w:val="id-ID"/>
              </w:rPr>
              <w:t>Interpretation</w:t>
            </w:r>
          </w:p>
        </w:tc>
      </w:tr>
      <w:tr w:rsidR="00133346" w:rsidRPr="0062331A" w14:paraId="209B7EE7" w14:textId="77777777" w:rsidTr="002E3A32">
        <w:tc>
          <w:tcPr>
            <w:tcW w:w="3402" w:type="dxa"/>
            <w:tcBorders>
              <w:top w:val="single" w:sz="4" w:space="0" w:color="auto"/>
            </w:tcBorders>
          </w:tcPr>
          <w:p w14:paraId="14F517F1" w14:textId="37DC0070"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Oxytetracyclin (positive control)</w:t>
            </w:r>
          </w:p>
        </w:tc>
        <w:tc>
          <w:tcPr>
            <w:tcW w:w="2410" w:type="dxa"/>
            <w:tcBorders>
              <w:top w:val="single" w:sz="4" w:space="0" w:color="auto"/>
            </w:tcBorders>
          </w:tcPr>
          <w:p w14:paraId="19A42AFB"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16.65 ± 1.58</w:t>
            </w:r>
            <w:r w:rsidRPr="0062331A">
              <w:rPr>
                <w:rFonts w:asciiTheme="majorBidi" w:hAnsiTheme="majorBidi" w:cstheme="majorBidi"/>
                <w:vertAlign w:val="superscript"/>
                <w:lang w:val="id-ID"/>
              </w:rPr>
              <w:t>e</w:t>
            </w:r>
          </w:p>
        </w:tc>
        <w:tc>
          <w:tcPr>
            <w:tcW w:w="2126" w:type="dxa"/>
            <w:tcBorders>
              <w:top w:val="single" w:sz="4" w:space="0" w:color="auto"/>
            </w:tcBorders>
          </w:tcPr>
          <w:p w14:paraId="4A119C06" w14:textId="1B55428D" w:rsidR="00133346" w:rsidRPr="0062331A" w:rsidRDefault="00133346" w:rsidP="002E3A32">
            <w:pPr>
              <w:jc w:val="center"/>
              <w:rPr>
                <w:rFonts w:asciiTheme="majorBidi" w:hAnsiTheme="majorBidi" w:cstheme="majorBidi"/>
                <w:lang w:val="id-ID"/>
              </w:rPr>
            </w:pPr>
            <w:r w:rsidRPr="0062331A">
              <w:rPr>
                <w:rFonts w:ascii="Times New Roman" w:hAnsi="Times New Roman" w:cs="Times New Roman"/>
              </w:rPr>
              <w:t>Strong</w:t>
            </w:r>
          </w:p>
        </w:tc>
      </w:tr>
      <w:tr w:rsidR="00133346" w:rsidRPr="0062331A" w14:paraId="492182C4" w14:textId="77777777" w:rsidTr="002E3A32">
        <w:tc>
          <w:tcPr>
            <w:tcW w:w="3402" w:type="dxa"/>
          </w:tcPr>
          <w:p w14:paraId="08602CE7"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100%</w:t>
            </w:r>
          </w:p>
        </w:tc>
        <w:tc>
          <w:tcPr>
            <w:tcW w:w="2410" w:type="dxa"/>
          </w:tcPr>
          <w:p w14:paraId="6CA74A3F"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13.72 ± 1.09</w:t>
            </w:r>
            <w:r w:rsidRPr="0062331A">
              <w:rPr>
                <w:rFonts w:asciiTheme="majorBidi" w:hAnsiTheme="majorBidi" w:cstheme="majorBidi"/>
                <w:vertAlign w:val="superscript"/>
                <w:lang w:val="id-ID"/>
              </w:rPr>
              <w:t>d</w:t>
            </w:r>
          </w:p>
        </w:tc>
        <w:tc>
          <w:tcPr>
            <w:tcW w:w="2126" w:type="dxa"/>
          </w:tcPr>
          <w:p w14:paraId="68D832CB" w14:textId="2551AFA3" w:rsidR="00133346" w:rsidRPr="0062331A" w:rsidRDefault="00133346" w:rsidP="002E3A32">
            <w:pPr>
              <w:jc w:val="center"/>
              <w:rPr>
                <w:rFonts w:asciiTheme="majorBidi" w:hAnsiTheme="majorBidi" w:cstheme="majorBidi"/>
                <w:lang w:val="id-ID"/>
              </w:rPr>
            </w:pPr>
            <w:r w:rsidRPr="0062331A">
              <w:rPr>
                <w:rFonts w:ascii="Times New Roman" w:hAnsi="Times New Roman" w:cs="Times New Roman"/>
              </w:rPr>
              <w:t>Strong</w:t>
            </w:r>
          </w:p>
        </w:tc>
      </w:tr>
      <w:tr w:rsidR="00133346" w:rsidRPr="0062331A" w14:paraId="371D209F" w14:textId="77777777" w:rsidTr="002E3A32">
        <w:tc>
          <w:tcPr>
            <w:tcW w:w="3402" w:type="dxa"/>
          </w:tcPr>
          <w:p w14:paraId="25A27E0F"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10%</w:t>
            </w:r>
          </w:p>
        </w:tc>
        <w:tc>
          <w:tcPr>
            <w:tcW w:w="2410" w:type="dxa"/>
          </w:tcPr>
          <w:p w14:paraId="65CACBA8"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8.53 ± 0.58</w:t>
            </w:r>
            <w:r w:rsidRPr="0062331A">
              <w:rPr>
                <w:rFonts w:asciiTheme="majorBidi" w:hAnsiTheme="majorBidi" w:cstheme="majorBidi"/>
                <w:vertAlign w:val="superscript"/>
                <w:lang w:val="id-ID"/>
              </w:rPr>
              <w:t>c</w:t>
            </w:r>
          </w:p>
        </w:tc>
        <w:tc>
          <w:tcPr>
            <w:tcW w:w="2126" w:type="dxa"/>
          </w:tcPr>
          <w:p w14:paraId="2FF3CD70" w14:textId="4083CC91" w:rsidR="00133346" w:rsidRPr="0062331A" w:rsidRDefault="00133346" w:rsidP="002E3A32">
            <w:pPr>
              <w:jc w:val="center"/>
              <w:rPr>
                <w:rFonts w:asciiTheme="majorBidi" w:hAnsiTheme="majorBidi" w:cstheme="majorBidi"/>
                <w:lang w:val="id-ID"/>
              </w:rPr>
            </w:pPr>
            <w:r w:rsidRPr="0062331A">
              <w:rPr>
                <w:rFonts w:ascii="Times New Roman" w:hAnsi="Times New Roman" w:cs="Times New Roman"/>
              </w:rPr>
              <w:t>Moderate</w:t>
            </w:r>
          </w:p>
        </w:tc>
      </w:tr>
      <w:tr w:rsidR="00133346" w:rsidRPr="0062331A" w14:paraId="74472DDF" w14:textId="77777777" w:rsidTr="002E3A32">
        <w:tc>
          <w:tcPr>
            <w:tcW w:w="3402" w:type="dxa"/>
          </w:tcPr>
          <w:p w14:paraId="737952EB"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1%</w:t>
            </w:r>
          </w:p>
        </w:tc>
        <w:tc>
          <w:tcPr>
            <w:tcW w:w="2410" w:type="dxa"/>
          </w:tcPr>
          <w:p w14:paraId="106EF570"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1.01 ± 0.43</w:t>
            </w:r>
            <w:r w:rsidRPr="0062331A">
              <w:rPr>
                <w:rFonts w:asciiTheme="majorBidi" w:hAnsiTheme="majorBidi" w:cstheme="majorBidi"/>
                <w:vertAlign w:val="superscript"/>
                <w:lang w:val="id-ID"/>
              </w:rPr>
              <w:t>b</w:t>
            </w:r>
          </w:p>
        </w:tc>
        <w:tc>
          <w:tcPr>
            <w:tcW w:w="2126" w:type="dxa"/>
          </w:tcPr>
          <w:p w14:paraId="0BCA8B1A" w14:textId="697ACDA9" w:rsidR="00133346" w:rsidRPr="0062331A" w:rsidRDefault="00133346" w:rsidP="002E3A32">
            <w:pPr>
              <w:jc w:val="center"/>
              <w:rPr>
                <w:rFonts w:asciiTheme="majorBidi" w:hAnsiTheme="majorBidi" w:cstheme="majorBidi"/>
                <w:lang w:val="id-ID"/>
              </w:rPr>
            </w:pPr>
            <w:r w:rsidRPr="0062331A">
              <w:rPr>
                <w:rFonts w:ascii="Times New Roman" w:hAnsi="Times New Roman" w:cs="Times New Roman"/>
              </w:rPr>
              <w:t>Weak</w:t>
            </w:r>
          </w:p>
        </w:tc>
      </w:tr>
      <w:tr w:rsidR="00133346" w:rsidRPr="0062331A" w14:paraId="40DBB360" w14:textId="77777777" w:rsidTr="002E3A32">
        <w:tc>
          <w:tcPr>
            <w:tcW w:w="3402" w:type="dxa"/>
          </w:tcPr>
          <w:p w14:paraId="69B7C483"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0.1%</w:t>
            </w:r>
          </w:p>
        </w:tc>
        <w:tc>
          <w:tcPr>
            <w:tcW w:w="2410" w:type="dxa"/>
          </w:tcPr>
          <w:p w14:paraId="49FAC336"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0.00 ± 0.00</w:t>
            </w:r>
            <w:r w:rsidRPr="0062331A">
              <w:rPr>
                <w:rFonts w:asciiTheme="majorBidi" w:hAnsiTheme="majorBidi" w:cstheme="majorBidi"/>
                <w:vertAlign w:val="superscript"/>
                <w:lang w:val="id-ID"/>
              </w:rPr>
              <w:t>a</w:t>
            </w:r>
          </w:p>
        </w:tc>
        <w:tc>
          <w:tcPr>
            <w:tcW w:w="2126" w:type="dxa"/>
          </w:tcPr>
          <w:p w14:paraId="341FBE7E"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r w:rsidR="00133346" w:rsidRPr="0062331A" w14:paraId="4D63B2C4" w14:textId="77777777" w:rsidTr="002E3A32">
        <w:tc>
          <w:tcPr>
            <w:tcW w:w="3402" w:type="dxa"/>
          </w:tcPr>
          <w:p w14:paraId="477D4E47"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0.01%</w:t>
            </w:r>
          </w:p>
        </w:tc>
        <w:tc>
          <w:tcPr>
            <w:tcW w:w="2410" w:type="dxa"/>
          </w:tcPr>
          <w:p w14:paraId="2D30E2EB"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0.00 ± 0.00</w:t>
            </w:r>
            <w:r w:rsidRPr="0062331A">
              <w:rPr>
                <w:rFonts w:asciiTheme="majorBidi" w:hAnsiTheme="majorBidi" w:cstheme="majorBidi"/>
                <w:vertAlign w:val="superscript"/>
                <w:lang w:val="id-ID"/>
              </w:rPr>
              <w:t>a</w:t>
            </w:r>
          </w:p>
        </w:tc>
        <w:tc>
          <w:tcPr>
            <w:tcW w:w="2126" w:type="dxa"/>
          </w:tcPr>
          <w:p w14:paraId="477E2524"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r w:rsidR="00133346" w:rsidRPr="0062331A" w14:paraId="613E7293" w14:textId="77777777" w:rsidTr="002E3A32">
        <w:tc>
          <w:tcPr>
            <w:tcW w:w="3402" w:type="dxa"/>
          </w:tcPr>
          <w:p w14:paraId="04CDD722"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0.001%</w:t>
            </w:r>
          </w:p>
        </w:tc>
        <w:tc>
          <w:tcPr>
            <w:tcW w:w="2410" w:type="dxa"/>
          </w:tcPr>
          <w:p w14:paraId="67C2E33B"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0.00 ± 0.00</w:t>
            </w:r>
            <w:r w:rsidRPr="0062331A">
              <w:rPr>
                <w:rFonts w:asciiTheme="majorBidi" w:hAnsiTheme="majorBidi" w:cstheme="majorBidi"/>
                <w:vertAlign w:val="superscript"/>
                <w:lang w:val="id-ID"/>
              </w:rPr>
              <w:t>a</w:t>
            </w:r>
          </w:p>
        </w:tc>
        <w:tc>
          <w:tcPr>
            <w:tcW w:w="2126" w:type="dxa"/>
          </w:tcPr>
          <w:p w14:paraId="3A942AE5"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r w:rsidR="00133346" w:rsidRPr="0062331A" w14:paraId="71A7CB88" w14:textId="77777777" w:rsidTr="002E3A32">
        <w:tc>
          <w:tcPr>
            <w:tcW w:w="3402" w:type="dxa"/>
          </w:tcPr>
          <w:p w14:paraId="33BE5402"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0.0001%</w:t>
            </w:r>
          </w:p>
        </w:tc>
        <w:tc>
          <w:tcPr>
            <w:tcW w:w="2410" w:type="dxa"/>
          </w:tcPr>
          <w:p w14:paraId="27A9AC11"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0.00 ± 0.00</w:t>
            </w:r>
            <w:r w:rsidRPr="0062331A">
              <w:rPr>
                <w:rFonts w:asciiTheme="majorBidi" w:hAnsiTheme="majorBidi" w:cstheme="majorBidi"/>
                <w:vertAlign w:val="superscript"/>
                <w:lang w:val="id-ID"/>
              </w:rPr>
              <w:t>a</w:t>
            </w:r>
          </w:p>
        </w:tc>
        <w:tc>
          <w:tcPr>
            <w:tcW w:w="2126" w:type="dxa"/>
          </w:tcPr>
          <w:p w14:paraId="333ACBC3"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r w:rsidR="00133346" w:rsidRPr="0062331A" w14:paraId="2CEE83A5" w14:textId="77777777" w:rsidTr="002E3A32">
        <w:tc>
          <w:tcPr>
            <w:tcW w:w="3402" w:type="dxa"/>
          </w:tcPr>
          <w:p w14:paraId="4D381C7D" w14:textId="1495C950"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Ethanol (negative control)</w:t>
            </w:r>
          </w:p>
        </w:tc>
        <w:tc>
          <w:tcPr>
            <w:tcW w:w="2410" w:type="dxa"/>
          </w:tcPr>
          <w:p w14:paraId="7CA9B974"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0.00 ± 0.00</w:t>
            </w:r>
          </w:p>
        </w:tc>
        <w:tc>
          <w:tcPr>
            <w:tcW w:w="2126" w:type="dxa"/>
          </w:tcPr>
          <w:p w14:paraId="163C9360"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bl>
    <w:p w14:paraId="361E9072" w14:textId="29871126" w:rsidR="00133346" w:rsidRPr="0062331A" w:rsidRDefault="000C04F5" w:rsidP="000B3555">
      <w:pPr>
        <w:spacing w:after="0" w:line="240" w:lineRule="auto"/>
        <w:jc w:val="both"/>
        <w:rPr>
          <w:rFonts w:ascii="Times New Roman" w:hAnsi="Times New Roman" w:cs="Times New Roman"/>
          <w:i/>
          <w:iCs/>
        </w:rPr>
      </w:pPr>
      <w:r w:rsidRPr="0062331A">
        <w:rPr>
          <w:rFonts w:ascii="Times New Roman" w:hAnsi="Times New Roman" w:cs="Times New Roman"/>
        </w:rPr>
        <w:t xml:space="preserve">Note: different notation </w:t>
      </w:r>
      <w:proofErr w:type="gramStart"/>
      <w:r w:rsidRPr="0062331A">
        <w:rPr>
          <w:rFonts w:ascii="Times New Roman" w:hAnsi="Times New Roman" w:cs="Times New Roman"/>
        </w:rPr>
        <w:t>indicate</w:t>
      </w:r>
      <w:proofErr w:type="gramEnd"/>
      <w:r w:rsidRPr="0062331A">
        <w:rPr>
          <w:rFonts w:ascii="Times New Roman" w:hAnsi="Times New Roman" w:cs="Times New Roman"/>
        </w:rPr>
        <w:t xml:space="preserve"> significant differences among treatments (</w:t>
      </w:r>
      <w:r w:rsidRPr="0062331A">
        <w:rPr>
          <w:rFonts w:ascii="Times New Roman" w:hAnsi="Times New Roman" w:cs="Times New Roman"/>
          <w:i/>
          <w:iCs/>
        </w:rPr>
        <w:t>p&lt;0.05)</w:t>
      </w:r>
    </w:p>
    <w:p w14:paraId="1A01AFE3" w14:textId="77777777" w:rsidR="000B3555" w:rsidRPr="0062331A" w:rsidRDefault="000B3555" w:rsidP="000B3555">
      <w:pPr>
        <w:spacing w:after="0"/>
        <w:jc w:val="both"/>
        <w:rPr>
          <w:rFonts w:ascii="Times New Roman" w:hAnsi="Times New Roman" w:cs="Times New Roman"/>
          <w:b/>
          <w:bCs/>
        </w:rPr>
      </w:pPr>
    </w:p>
    <w:p w14:paraId="380547E2" w14:textId="0BED3AD3" w:rsidR="000B3555" w:rsidRPr="0062331A" w:rsidRDefault="00075D24" w:rsidP="000B3555">
      <w:pPr>
        <w:spacing w:after="0"/>
        <w:jc w:val="both"/>
        <w:rPr>
          <w:rFonts w:ascii="Times New Roman" w:hAnsi="Times New Roman" w:cs="Times New Roman"/>
          <w:b/>
          <w:bCs/>
        </w:rPr>
      </w:pPr>
      <w:r w:rsidRPr="0062331A">
        <w:rPr>
          <w:rFonts w:ascii="Times New Roman" w:hAnsi="Times New Roman" w:cs="Times New Roman"/>
          <w:b/>
          <w:bCs/>
        </w:rPr>
        <w:t xml:space="preserve">Antioxidant Activity of </w:t>
      </w:r>
      <w:r w:rsidR="002949E1" w:rsidRPr="002949E1">
        <w:rPr>
          <w:rFonts w:ascii="Times New Roman" w:hAnsi="Times New Roman" w:cs="Times New Roman"/>
          <w:b/>
          <w:bCs/>
        </w:rPr>
        <w:t>P. indica</w:t>
      </w:r>
      <w:r w:rsidRPr="0062331A">
        <w:rPr>
          <w:rFonts w:ascii="Times New Roman" w:hAnsi="Times New Roman" w:cs="Times New Roman"/>
          <w:b/>
          <w:bCs/>
        </w:rPr>
        <w:t xml:space="preserve"> Leaf Extract</w:t>
      </w:r>
    </w:p>
    <w:p w14:paraId="12ED169F" w14:textId="587434BE" w:rsidR="00075D24" w:rsidRPr="0062331A" w:rsidRDefault="00075D24" w:rsidP="000B3555">
      <w:pPr>
        <w:jc w:val="both"/>
        <w:rPr>
          <w:rFonts w:ascii="Times New Roman" w:hAnsi="Times New Roman" w:cs="Times New Roman"/>
        </w:rPr>
      </w:pPr>
      <w:r w:rsidRPr="0062331A">
        <w:rPr>
          <w:rFonts w:ascii="Times New Roman" w:hAnsi="Times New Roman" w:cs="Times New Roman"/>
        </w:rPr>
        <w:t xml:space="preserve">The results of the linear regression analysis of the % inhibition, based on the sample absorbance readings, indicate that </w:t>
      </w:r>
      <w:r w:rsidR="002949E1" w:rsidRPr="002949E1">
        <w:rPr>
          <w:rFonts w:ascii="Times New Roman" w:hAnsi="Times New Roman" w:cs="Times New Roman"/>
        </w:rPr>
        <w:t>P. indica</w:t>
      </w:r>
      <w:r w:rsidRPr="0062331A">
        <w:rPr>
          <w:rFonts w:ascii="Times New Roman" w:hAnsi="Times New Roman" w:cs="Times New Roman"/>
        </w:rPr>
        <w:t xml:space="preserve"> leaf extract exhibits a strong antioxidant activity. These results are summarized in Table 4.</w:t>
      </w:r>
    </w:p>
    <w:p w14:paraId="460E1BC6" w14:textId="24E68EFE" w:rsidR="000B3555" w:rsidRPr="0062331A" w:rsidRDefault="00075D24" w:rsidP="000B3555">
      <w:pPr>
        <w:spacing w:after="0" w:line="240" w:lineRule="auto"/>
        <w:jc w:val="both"/>
        <w:rPr>
          <w:rFonts w:ascii="Times New Roman" w:hAnsi="Times New Roman" w:cs="Times New Roman"/>
        </w:rPr>
      </w:pPr>
      <w:r w:rsidRPr="0062331A">
        <w:rPr>
          <w:rFonts w:ascii="Times New Roman" w:hAnsi="Times New Roman" w:cs="Times New Roman"/>
        </w:rPr>
        <w:t xml:space="preserve">Table </w:t>
      </w:r>
      <w:r w:rsidR="000B3555" w:rsidRPr="0062331A">
        <w:rPr>
          <w:rFonts w:ascii="Times New Roman" w:hAnsi="Times New Roman" w:cs="Times New Roman"/>
        </w:rPr>
        <w:t xml:space="preserve">4. EC50 </w:t>
      </w:r>
      <w:r w:rsidRPr="0062331A">
        <w:rPr>
          <w:rFonts w:ascii="Times New Roman" w:hAnsi="Times New Roman" w:cs="Times New Roman"/>
        </w:rPr>
        <w:t xml:space="preserve">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2902"/>
        <w:gridCol w:w="1940"/>
        <w:gridCol w:w="2794"/>
      </w:tblGrid>
      <w:tr w:rsidR="000B3555" w:rsidRPr="0062331A" w14:paraId="1ED1B1D9" w14:textId="77777777" w:rsidTr="007E6CA4">
        <w:trPr>
          <w:trHeight w:val="601"/>
        </w:trPr>
        <w:tc>
          <w:tcPr>
            <w:tcW w:w="0" w:type="auto"/>
            <w:tcBorders>
              <w:top w:val="single" w:sz="4" w:space="0" w:color="auto"/>
              <w:bottom w:val="single" w:sz="4" w:space="0" w:color="auto"/>
            </w:tcBorders>
            <w:vAlign w:val="center"/>
          </w:tcPr>
          <w:p w14:paraId="264C4DBA" w14:textId="1CB73B21" w:rsidR="000B3555" w:rsidRPr="0062331A" w:rsidRDefault="00075D24" w:rsidP="007E6CA4">
            <w:pPr>
              <w:jc w:val="center"/>
              <w:rPr>
                <w:rFonts w:ascii="Times New Roman" w:hAnsi="Times New Roman" w:cs="Times New Roman"/>
                <w:b/>
                <w:bCs/>
              </w:rPr>
            </w:pPr>
            <w:r w:rsidRPr="0062331A">
              <w:rPr>
                <w:rFonts w:ascii="Times New Roman" w:hAnsi="Times New Roman" w:cs="Times New Roman"/>
                <w:b/>
                <w:bCs/>
              </w:rPr>
              <w:t>Replication</w:t>
            </w:r>
          </w:p>
        </w:tc>
        <w:tc>
          <w:tcPr>
            <w:tcW w:w="0" w:type="auto"/>
            <w:tcBorders>
              <w:top w:val="single" w:sz="4" w:space="0" w:color="auto"/>
              <w:bottom w:val="single" w:sz="4" w:space="0" w:color="auto"/>
            </w:tcBorders>
            <w:vAlign w:val="center"/>
          </w:tcPr>
          <w:p w14:paraId="584EA765" w14:textId="7601AC9F" w:rsidR="000B3555" w:rsidRPr="0062331A" w:rsidRDefault="00075D24" w:rsidP="007E6CA4">
            <w:pPr>
              <w:jc w:val="center"/>
              <w:rPr>
                <w:rFonts w:ascii="Times New Roman" w:hAnsi="Times New Roman" w:cs="Times New Roman"/>
                <w:b/>
                <w:bCs/>
              </w:rPr>
            </w:pPr>
            <w:r w:rsidRPr="0062331A">
              <w:rPr>
                <w:rFonts w:ascii="Times New Roman" w:hAnsi="Times New Roman" w:cs="Times New Roman"/>
                <w:b/>
                <w:bCs/>
              </w:rPr>
              <w:t>Linier Regression Equation</w:t>
            </w:r>
          </w:p>
        </w:tc>
        <w:tc>
          <w:tcPr>
            <w:tcW w:w="0" w:type="auto"/>
            <w:tcBorders>
              <w:top w:val="single" w:sz="4" w:space="0" w:color="auto"/>
              <w:bottom w:val="single" w:sz="4" w:space="0" w:color="auto"/>
            </w:tcBorders>
            <w:vAlign w:val="center"/>
          </w:tcPr>
          <w:p w14:paraId="5C78AAD3" w14:textId="4B283813" w:rsidR="000B3555" w:rsidRPr="0062331A" w:rsidRDefault="000B3555" w:rsidP="007E6CA4">
            <w:pPr>
              <w:jc w:val="center"/>
              <w:rPr>
                <w:rFonts w:ascii="Times New Roman" w:hAnsi="Times New Roman" w:cs="Times New Roman"/>
                <w:b/>
                <w:bCs/>
              </w:rPr>
            </w:pPr>
            <w:r w:rsidRPr="0062331A">
              <w:rPr>
                <w:rFonts w:ascii="Times New Roman" w:hAnsi="Times New Roman" w:cs="Times New Roman"/>
                <w:b/>
                <w:bCs/>
              </w:rPr>
              <w:t>EC</w:t>
            </w:r>
            <w:r w:rsidRPr="0062331A">
              <w:rPr>
                <w:rFonts w:ascii="Times New Roman" w:hAnsi="Times New Roman" w:cs="Times New Roman"/>
                <w:b/>
                <w:bCs/>
                <w:vertAlign w:val="subscript"/>
              </w:rPr>
              <w:t>50</w:t>
            </w:r>
            <w:r w:rsidRPr="0062331A">
              <w:rPr>
                <w:rFonts w:ascii="Times New Roman" w:hAnsi="Times New Roman" w:cs="Times New Roman"/>
                <w:b/>
                <w:bCs/>
              </w:rPr>
              <w:t xml:space="preserve"> </w:t>
            </w:r>
            <w:r w:rsidR="00075D24" w:rsidRPr="0062331A">
              <w:rPr>
                <w:rFonts w:ascii="Times New Roman" w:hAnsi="Times New Roman" w:cs="Times New Roman"/>
                <w:b/>
                <w:bCs/>
              </w:rPr>
              <w:t xml:space="preserve">Value </w:t>
            </w:r>
            <w:r w:rsidRPr="0062331A">
              <w:rPr>
                <w:rFonts w:ascii="Times New Roman" w:hAnsi="Times New Roman" w:cs="Times New Roman"/>
                <w:b/>
                <w:bCs/>
              </w:rPr>
              <w:t>(ppm)</w:t>
            </w:r>
          </w:p>
        </w:tc>
        <w:tc>
          <w:tcPr>
            <w:tcW w:w="0" w:type="auto"/>
            <w:tcBorders>
              <w:top w:val="single" w:sz="4" w:space="0" w:color="auto"/>
              <w:bottom w:val="single" w:sz="4" w:space="0" w:color="auto"/>
            </w:tcBorders>
            <w:vAlign w:val="center"/>
          </w:tcPr>
          <w:p w14:paraId="1C3E5864" w14:textId="1CE7DE98" w:rsidR="000B3555" w:rsidRPr="0062331A" w:rsidRDefault="00075D24" w:rsidP="007E6CA4">
            <w:pPr>
              <w:jc w:val="center"/>
              <w:rPr>
                <w:rFonts w:ascii="Times New Roman" w:hAnsi="Times New Roman" w:cs="Times New Roman"/>
                <w:b/>
                <w:bCs/>
              </w:rPr>
            </w:pPr>
            <w:r w:rsidRPr="0062331A">
              <w:rPr>
                <w:rFonts w:ascii="Times New Roman" w:hAnsi="Times New Roman" w:cs="Times New Roman"/>
                <w:b/>
                <w:bCs/>
              </w:rPr>
              <w:t xml:space="preserve">Average </w:t>
            </w:r>
            <w:r w:rsidR="000B3555" w:rsidRPr="0062331A">
              <w:rPr>
                <w:rFonts w:ascii="Times New Roman" w:hAnsi="Times New Roman" w:cs="Times New Roman"/>
                <w:b/>
                <w:bCs/>
              </w:rPr>
              <w:t>EC</w:t>
            </w:r>
            <w:r w:rsidR="000B3555" w:rsidRPr="0062331A">
              <w:rPr>
                <w:rFonts w:ascii="Times New Roman" w:hAnsi="Times New Roman" w:cs="Times New Roman"/>
                <w:b/>
                <w:bCs/>
                <w:vertAlign w:val="subscript"/>
              </w:rPr>
              <w:t>50</w:t>
            </w:r>
            <w:r w:rsidRPr="0062331A">
              <w:rPr>
                <w:rFonts w:ascii="Times New Roman" w:hAnsi="Times New Roman" w:cs="Times New Roman"/>
                <w:b/>
                <w:bCs/>
                <w:vertAlign w:val="subscript"/>
              </w:rPr>
              <w:t xml:space="preserve"> </w:t>
            </w:r>
            <w:r w:rsidRPr="0062331A">
              <w:rPr>
                <w:rFonts w:ascii="Times New Roman" w:hAnsi="Times New Roman" w:cs="Times New Roman"/>
                <w:b/>
                <w:bCs/>
              </w:rPr>
              <w:t>Value</w:t>
            </w:r>
            <w:r w:rsidR="000B3555" w:rsidRPr="0062331A">
              <w:rPr>
                <w:rFonts w:ascii="Times New Roman" w:hAnsi="Times New Roman" w:cs="Times New Roman"/>
                <w:b/>
                <w:bCs/>
              </w:rPr>
              <w:t xml:space="preserve"> (ppm)</w:t>
            </w:r>
          </w:p>
        </w:tc>
      </w:tr>
      <w:tr w:rsidR="000B3555" w:rsidRPr="0062331A" w14:paraId="0C810639" w14:textId="77777777" w:rsidTr="007E6CA4">
        <w:trPr>
          <w:trHeight w:val="292"/>
        </w:trPr>
        <w:tc>
          <w:tcPr>
            <w:tcW w:w="0" w:type="auto"/>
            <w:tcBorders>
              <w:top w:val="single" w:sz="4" w:space="0" w:color="auto"/>
            </w:tcBorders>
          </w:tcPr>
          <w:p w14:paraId="6DA08A2D"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I</w:t>
            </w:r>
          </w:p>
        </w:tc>
        <w:tc>
          <w:tcPr>
            <w:tcW w:w="0" w:type="auto"/>
            <w:tcBorders>
              <w:top w:val="single" w:sz="4" w:space="0" w:color="auto"/>
            </w:tcBorders>
          </w:tcPr>
          <w:p w14:paraId="42E1D0F7"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0,1225X +39,751</w:t>
            </w:r>
          </w:p>
        </w:tc>
        <w:tc>
          <w:tcPr>
            <w:tcW w:w="0" w:type="auto"/>
            <w:tcBorders>
              <w:top w:val="single" w:sz="4" w:space="0" w:color="auto"/>
            </w:tcBorders>
            <w:vAlign w:val="center"/>
          </w:tcPr>
          <w:p w14:paraId="6C1A6DDE"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83,665</w:t>
            </w:r>
          </w:p>
        </w:tc>
        <w:tc>
          <w:tcPr>
            <w:tcW w:w="0" w:type="auto"/>
            <w:vMerge w:val="restart"/>
            <w:tcBorders>
              <w:top w:val="single" w:sz="4" w:space="0" w:color="auto"/>
            </w:tcBorders>
            <w:vAlign w:val="center"/>
          </w:tcPr>
          <w:p w14:paraId="4CF5CB31"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82,630±2.76</w:t>
            </w:r>
          </w:p>
        </w:tc>
      </w:tr>
      <w:tr w:rsidR="000B3555" w:rsidRPr="0062331A" w14:paraId="47F671E3" w14:textId="77777777" w:rsidTr="007E6CA4">
        <w:trPr>
          <w:trHeight w:val="307"/>
        </w:trPr>
        <w:tc>
          <w:tcPr>
            <w:tcW w:w="0" w:type="auto"/>
          </w:tcPr>
          <w:p w14:paraId="4CD87001"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II</w:t>
            </w:r>
          </w:p>
        </w:tc>
        <w:tc>
          <w:tcPr>
            <w:tcW w:w="0" w:type="auto"/>
          </w:tcPr>
          <w:p w14:paraId="264DB227"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- 0,3562X +78,583</w:t>
            </w:r>
          </w:p>
        </w:tc>
        <w:tc>
          <w:tcPr>
            <w:tcW w:w="0" w:type="auto"/>
            <w:vAlign w:val="center"/>
          </w:tcPr>
          <w:p w14:paraId="0DB84934"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80,244</w:t>
            </w:r>
          </w:p>
        </w:tc>
        <w:tc>
          <w:tcPr>
            <w:tcW w:w="0" w:type="auto"/>
            <w:vMerge/>
            <w:vAlign w:val="center"/>
          </w:tcPr>
          <w:p w14:paraId="71DD0ADB" w14:textId="77777777" w:rsidR="000B3555" w:rsidRPr="0062331A" w:rsidRDefault="000B3555" w:rsidP="007E6CA4">
            <w:pPr>
              <w:jc w:val="both"/>
              <w:rPr>
                <w:rFonts w:ascii="Times New Roman" w:hAnsi="Times New Roman" w:cs="Times New Roman"/>
              </w:rPr>
            </w:pPr>
          </w:p>
        </w:tc>
      </w:tr>
      <w:tr w:rsidR="000B3555" w:rsidRPr="0062331A" w14:paraId="26577A9C" w14:textId="77777777" w:rsidTr="007E6CA4">
        <w:trPr>
          <w:trHeight w:val="292"/>
        </w:trPr>
        <w:tc>
          <w:tcPr>
            <w:tcW w:w="0" w:type="auto"/>
          </w:tcPr>
          <w:p w14:paraId="547BF4E5"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III</w:t>
            </w:r>
          </w:p>
        </w:tc>
        <w:tc>
          <w:tcPr>
            <w:tcW w:w="0" w:type="auto"/>
          </w:tcPr>
          <w:p w14:paraId="326ED075"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0,5962X +2,276</w:t>
            </w:r>
          </w:p>
        </w:tc>
        <w:tc>
          <w:tcPr>
            <w:tcW w:w="0" w:type="auto"/>
            <w:vAlign w:val="center"/>
          </w:tcPr>
          <w:p w14:paraId="603FD51F"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80,047</w:t>
            </w:r>
          </w:p>
        </w:tc>
        <w:tc>
          <w:tcPr>
            <w:tcW w:w="0" w:type="auto"/>
            <w:vMerge/>
            <w:vAlign w:val="center"/>
          </w:tcPr>
          <w:p w14:paraId="0BDFDE15" w14:textId="77777777" w:rsidR="000B3555" w:rsidRPr="0062331A" w:rsidRDefault="000B3555" w:rsidP="007E6CA4">
            <w:pPr>
              <w:jc w:val="both"/>
              <w:rPr>
                <w:rFonts w:ascii="Times New Roman" w:hAnsi="Times New Roman" w:cs="Times New Roman"/>
              </w:rPr>
            </w:pPr>
          </w:p>
        </w:tc>
      </w:tr>
      <w:tr w:rsidR="000B3555" w:rsidRPr="0062331A" w14:paraId="6516C69D" w14:textId="77777777" w:rsidTr="007E6CA4">
        <w:trPr>
          <w:trHeight w:val="307"/>
        </w:trPr>
        <w:tc>
          <w:tcPr>
            <w:tcW w:w="0" w:type="auto"/>
          </w:tcPr>
          <w:p w14:paraId="0507883E"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IV</w:t>
            </w:r>
          </w:p>
        </w:tc>
        <w:tc>
          <w:tcPr>
            <w:tcW w:w="0" w:type="auto"/>
          </w:tcPr>
          <w:p w14:paraId="0D0276A3"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- 0,0247X +52,143</w:t>
            </w:r>
          </w:p>
        </w:tc>
        <w:tc>
          <w:tcPr>
            <w:tcW w:w="0" w:type="auto"/>
            <w:vAlign w:val="center"/>
          </w:tcPr>
          <w:p w14:paraId="328E02F6"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86,761</w:t>
            </w:r>
          </w:p>
        </w:tc>
        <w:tc>
          <w:tcPr>
            <w:tcW w:w="0" w:type="auto"/>
            <w:vMerge/>
            <w:vAlign w:val="center"/>
          </w:tcPr>
          <w:p w14:paraId="0D14769B" w14:textId="77777777" w:rsidR="000B3555" w:rsidRPr="0062331A" w:rsidRDefault="000B3555" w:rsidP="007E6CA4">
            <w:pPr>
              <w:jc w:val="both"/>
              <w:rPr>
                <w:rFonts w:ascii="Times New Roman" w:hAnsi="Times New Roman" w:cs="Times New Roman"/>
              </w:rPr>
            </w:pPr>
          </w:p>
        </w:tc>
      </w:tr>
      <w:tr w:rsidR="000B3555" w:rsidRPr="0062331A" w14:paraId="392C318B" w14:textId="77777777" w:rsidTr="007E6CA4">
        <w:trPr>
          <w:trHeight w:val="292"/>
        </w:trPr>
        <w:tc>
          <w:tcPr>
            <w:tcW w:w="0" w:type="auto"/>
          </w:tcPr>
          <w:p w14:paraId="35CE589E"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V</w:t>
            </w:r>
          </w:p>
        </w:tc>
        <w:tc>
          <w:tcPr>
            <w:tcW w:w="0" w:type="auto"/>
          </w:tcPr>
          <w:p w14:paraId="482A683C"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0,1935X +34,049</w:t>
            </w:r>
          </w:p>
        </w:tc>
        <w:tc>
          <w:tcPr>
            <w:tcW w:w="0" w:type="auto"/>
            <w:vAlign w:val="center"/>
          </w:tcPr>
          <w:p w14:paraId="1DEDA08A"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82,434</w:t>
            </w:r>
          </w:p>
        </w:tc>
        <w:tc>
          <w:tcPr>
            <w:tcW w:w="0" w:type="auto"/>
            <w:vMerge/>
            <w:vAlign w:val="center"/>
          </w:tcPr>
          <w:p w14:paraId="40348056" w14:textId="77777777" w:rsidR="000B3555" w:rsidRPr="0062331A" w:rsidRDefault="000B3555" w:rsidP="007E6CA4">
            <w:pPr>
              <w:jc w:val="both"/>
              <w:rPr>
                <w:rFonts w:ascii="Times New Roman" w:hAnsi="Times New Roman" w:cs="Times New Roman"/>
              </w:rPr>
            </w:pPr>
          </w:p>
        </w:tc>
      </w:tr>
    </w:tbl>
    <w:p w14:paraId="6F757437" w14:textId="77777777" w:rsidR="000B3555" w:rsidRPr="0062331A" w:rsidRDefault="000B3555" w:rsidP="000B3555">
      <w:pPr>
        <w:jc w:val="both"/>
        <w:rPr>
          <w:rFonts w:ascii="Times New Roman" w:hAnsi="Times New Roman" w:cs="Times New Roman"/>
        </w:rPr>
      </w:pPr>
    </w:p>
    <w:p w14:paraId="07F85034" w14:textId="7AF33650" w:rsidR="000B3555" w:rsidRPr="0062331A" w:rsidRDefault="005B5C02" w:rsidP="00A562FF">
      <w:pPr>
        <w:spacing w:after="0"/>
        <w:jc w:val="both"/>
        <w:rPr>
          <w:rFonts w:ascii="Times New Roman" w:hAnsi="Times New Roman" w:cs="Times New Roman"/>
          <w:b/>
          <w:bCs/>
        </w:rPr>
      </w:pPr>
      <w:r w:rsidRPr="0062331A">
        <w:rPr>
          <w:rFonts w:ascii="Times New Roman" w:hAnsi="Times New Roman" w:cs="Times New Roman"/>
          <w:b/>
          <w:bCs/>
        </w:rPr>
        <w:t xml:space="preserve">Toxicity of </w:t>
      </w:r>
      <w:r w:rsidR="002949E1" w:rsidRPr="00C47D5C">
        <w:rPr>
          <w:rFonts w:ascii="Times New Roman" w:hAnsi="Times New Roman" w:cs="Times New Roman"/>
          <w:b/>
          <w:bCs/>
          <w:i/>
          <w:iCs/>
        </w:rPr>
        <w:t>P. indica</w:t>
      </w:r>
      <w:r w:rsidRPr="00C47D5C">
        <w:rPr>
          <w:rFonts w:ascii="Times New Roman" w:hAnsi="Times New Roman" w:cs="Times New Roman"/>
          <w:b/>
          <w:bCs/>
          <w:i/>
          <w:iCs/>
        </w:rPr>
        <w:t xml:space="preserve"> </w:t>
      </w:r>
      <w:r w:rsidRPr="0062331A">
        <w:rPr>
          <w:rFonts w:ascii="Times New Roman" w:hAnsi="Times New Roman" w:cs="Times New Roman"/>
          <w:b/>
          <w:bCs/>
        </w:rPr>
        <w:t xml:space="preserve">Leaf Extract on </w:t>
      </w:r>
      <w:proofErr w:type="spellStart"/>
      <w:r w:rsidR="00C47D5C" w:rsidRPr="00C47D5C">
        <w:rPr>
          <w:rFonts w:ascii="Times New Roman" w:hAnsi="Times New Roman" w:cs="Times New Roman"/>
          <w:b/>
          <w:bCs/>
        </w:rPr>
        <w:t>Whiteleg</w:t>
      </w:r>
      <w:r w:rsidRPr="0062331A">
        <w:rPr>
          <w:rFonts w:ascii="Times New Roman" w:hAnsi="Times New Roman" w:cs="Times New Roman"/>
          <w:b/>
          <w:bCs/>
        </w:rPr>
        <w:t>i</w:t>
      </w:r>
      <w:proofErr w:type="spellEnd"/>
      <w:r w:rsidRPr="0062331A">
        <w:rPr>
          <w:rFonts w:ascii="Times New Roman" w:hAnsi="Times New Roman" w:cs="Times New Roman"/>
          <w:b/>
          <w:bCs/>
        </w:rPr>
        <w:t xml:space="preserve"> Shrimp</w:t>
      </w:r>
    </w:p>
    <w:p w14:paraId="31AD742B" w14:textId="0A6D0997" w:rsidR="000C04F5" w:rsidRPr="0062331A" w:rsidRDefault="005B5C02" w:rsidP="00F82F80">
      <w:pPr>
        <w:spacing w:after="0"/>
        <w:ind w:firstLine="567"/>
        <w:jc w:val="both"/>
        <w:rPr>
          <w:rFonts w:ascii="Times New Roman" w:hAnsi="Times New Roman" w:cs="Times New Roman"/>
        </w:rPr>
      </w:pPr>
      <w:r w:rsidRPr="0062331A">
        <w:rPr>
          <w:rFonts w:ascii="Times New Roman" w:hAnsi="Times New Roman" w:cs="Times New Roman"/>
        </w:rPr>
        <w:t xml:space="preserve">The results of the preliminary test on the mortality rate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over 2 x 24 hours are presented in Table 5. </w:t>
      </w:r>
    </w:p>
    <w:p w14:paraId="0CBDBC98" w14:textId="77777777" w:rsidR="006E31F0" w:rsidRPr="0062331A" w:rsidRDefault="006E31F0" w:rsidP="006E31F0">
      <w:pPr>
        <w:spacing w:after="0"/>
        <w:jc w:val="both"/>
        <w:rPr>
          <w:rFonts w:ascii="Times New Roman" w:hAnsi="Times New Roman" w:cs="Times New Roman"/>
        </w:rPr>
      </w:pPr>
    </w:p>
    <w:p w14:paraId="130576AF" w14:textId="77777777" w:rsidR="006E31F0" w:rsidRPr="0062331A" w:rsidRDefault="006E31F0" w:rsidP="006E31F0">
      <w:pPr>
        <w:spacing w:after="0"/>
        <w:jc w:val="both"/>
        <w:rPr>
          <w:rFonts w:ascii="Times New Roman" w:hAnsi="Times New Roman" w:cs="Times New Roman"/>
        </w:rPr>
      </w:pPr>
    </w:p>
    <w:p w14:paraId="44211CDB" w14:textId="14158FE5" w:rsidR="006E31F0" w:rsidRPr="0062331A" w:rsidRDefault="006E31F0" w:rsidP="006E31F0">
      <w:pPr>
        <w:spacing w:after="0"/>
        <w:jc w:val="both"/>
        <w:rPr>
          <w:rFonts w:ascii="Times New Roman" w:hAnsi="Times New Roman" w:cs="Times New Roman"/>
        </w:rPr>
      </w:pPr>
      <w:r w:rsidRPr="0062331A">
        <w:rPr>
          <w:rFonts w:ascii="Times New Roman" w:hAnsi="Times New Roman" w:cs="Times New Roman"/>
        </w:rPr>
        <w:t xml:space="preserve">Table 5. Mortality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in Preliminary Test</w:t>
      </w:r>
    </w:p>
    <w:tbl>
      <w:tblPr>
        <w:tblStyle w:val="TableGrid"/>
        <w:tblW w:w="8823"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5"/>
        <w:gridCol w:w="1535"/>
        <w:gridCol w:w="1324"/>
        <w:gridCol w:w="1226"/>
        <w:gridCol w:w="1388"/>
        <w:gridCol w:w="1355"/>
      </w:tblGrid>
      <w:tr w:rsidR="000C04F5" w:rsidRPr="0062331A" w14:paraId="332DC5DD" w14:textId="77777777" w:rsidTr="002E3A32">
        <w:trPr>
          <w:trHeight w:val="551"/>
        </w:trPr>
        <w:tc>
          <w:tcPr>
            <w:tcW w:w="1995" w:type="dxa"/>
            <w:vMerge w:val="restart"/>
            <w:vAlign w:val="center"/>
          </w:tcPr>
          <w:p w14:paraId="57AC6FBB" w14:textId="1FAD94C2" w:rsidR="000C04F5" w:rsidRPr="0062331A" w:rsidRDefault="006E31F0" w:rsidP="006E31F0">
            <w:pPr>
              <w:jc w:val="center"/>
              <w:rPr>
                <w:rFonts w:asciiTheme="majorBidi" w:hAnsiTheme="majorBidi" w:cstheme="majorBidi"/>
                <w:b/>
                <w:bCs/>
              </w:rPr>
            </w:pPr>
            <w:r w:rsidRPr="006E31F0">
              <w:rPr>
                <w:rFonts w:asciiTheme="majorBidi" w:hAnsiTheme="majorBidi" w:cstheme="majorBidi"/>
                <w:b/>
                <w:bCs/>
                <w:lang w:val="en"/>
              </w:rPr>
              <w:t xml:space="preserve">Concentration of </w:t>
            </w:r>
            <w:r w:rsidR="002949E1" w:rsidRPr="00C47D5C">
              <w:rPr>
                <w:rFonts w:asciiTheme="majorBidi" w:hAnsiTheme="majorBidi" w:cstheme="majorBidi"/>
                <w:b/>
                <w:bCs/>
                <w:i/>
                <w:iCs/>
                <w:lang w:val="en"/>
              </w:rPr>
              <w:t>P. indica</w:t>
            </w:r>
            <w:r w:rsidRPr="006E31F0">
              <w:rPr>
                <w:rFonts w:asciiTheme="majorBidi" w:hAnsiTheme="majorBidi" w:cstheme="majorBidi"/>
                <w:b/>
                <w:bCs/>
                <w:lang w:val="en"/>
              </w:rPr>
              <w:t xml:space="preserve"> Leaf Extract</w:t>
            </w:r>
          </w:p>
        </w:tc>
        <w:tc>
          <w:tcPr>
            <w:tcW w:w="1535" w:type="dxa"/>
            <w:vMerge w:val="restart"/>
            <w:vAlign w:val="center"/>
          </w:tcPr>
          <w:p w14:paraId="0D472DD5" w14:textId="51EBE8EB" w:rsidR="000C04F5" w:rsidRPr="0062331A" w:rsidRDefault="006E31F0" w:rsidP="002E3A32">
            <w:pPr>
              <w:jc w:val="center"/>
              <w:rPr>
                <w:rFonts w:asciiTheme="majorBidi" w:hAnsiTheme="majorBidi" w:cstheme="majorBidi"/>
                <w:b/>
                <w:bCs/>
                <w:lang w:val="id-ID"/>
              </w:rPr>
            </w:pPr>
            <w:r w:rsidRPr="0062331A">
              <w:rPr>
                <w:rFonts w:asciiTheme="majorBidi" w:hAnsiTheme="majorBidi" w:cstheme="majorBidi"/>
                <w:b/>
                <w:bCs/>
                <w:lang w:val="id-ID"/>
              </w:rPr>
              <w:t>Initial Spread</w:t>
            </w:r>
            <w:r w:rsidR="000C04F5" w:rsidRPr="0062331A">
              <w:rPr>
                <w:rFonts w:asciiTheme="majorBidi" w:hAnsiTheme="majorBidi" w:cstheme="majorBidi"/>
                <w:b/>
                <w:bCs/>
                <w:lang w:val="id-ID"/>
              </w:rPr>
              <w:t xml:space="preserve"> (</w:t>
            </w:r>
            <w:r w:rsidRPr="0062331A">
              <w:rPr>
                <w:rFonts w:asciiTheme="majorBidi" w:hAnsiTheme="majorBidi" w:cstheme="majorBidi"/>
                <w:b/>
                <w:bCs/>
                <w:lang w:val="id-ID"/>
              </w:rPr>
              <w:t>head</w:t>
            </w:r>
            <w:r w:rsidR="000C04F5" w:rsidRPr="0062331A">
              <w:rPr>
                <w:rFonts w:asciiTheme="majorBidi" w:hAnsiTheme="majorBidi" w:cstheme="majorBidi"/>
                <w:b/>
                <w:bCs/>
                <w:lang w:val="id-ID"/>
              </w:rPr>
              <w:t>)</w:t>
            </w:r>
          </w:p>
        </w:tc>
        <w:tc>
          <w:tcPr>
            <w:tcW w:w="2550" w:type="dxa"/>
            <w:gridSpan w:val="2"/>
            <w:tcBorders>
              <w:bottom w:val="single" w:sz="4" w:space="0" w:color="auto"/>
            </w:tcBorders>
            <w:vAlign w:val="center"/>
          </w:tcPr>
          <w:p w14:paraId="7EB5F022" w14:textId="71B122D0" w:rsidR="000C04F5" w:rsidRPr="0062331A" w:rsidRDefault="006E31F0" w:rsidP="006E31F0">
            <w:pPr>
              <w:jc w:val="center"/>
              <w:rPr>
                <w:rFonts w:asciiTheme="majorBidi" w:hAnsiTheme="majorBidi" w:cstheme="majorBidi"/>
                <w:b/>
                <w:bCs/>
              </w:rPr>
            </w:pPr>
            <w:r w:rsidRPr="006E31F0">
              <w:rPr>
                <w:rFonts w:asciiTheme="majorBidi" w:hAnsiTheme="majorBidi" w:cstheme="majorBidi"/>
                <w:b/>
                <w:bCs/>
                <w:lang w:val="en"/>
              </w:rPr>
              <w:t>Mortality Observations</w:t>
            </w:r>
          </w:p>
        </w:tc>
        <w:tc>
          <w:tcPr>
            <w:tcW w:w="1388" w:type="dxa"/>
            <w:vMerge w:val="restart"/>
            <w:vAlign w:val="center"/>
          </w:tcPr>
          <w:p w14:paraId="24CA4B8E" w14:textId="4577A815" w:rsidR="000C04F5" w:rsidRPr="0062331A" w:rsidRDefault="00923D23" w:rsidP="002E3A32">
            <w:pPr>
              <w:jc w:val="center"/>
              <w:rPr>
                <w:rFonts w:asciiTheme="majorBidi" w:hAnsiTheme="majorBidi" w:cstheme="majorBidi"/>
                <w:b/>
                <w:bCs/>
                <w:lang w:val="id-ID"/>
              </w:rPr>
            </w:pPr>
            <w:r w:rsidRPr="0062331A">
              <w:rPr>
                <w:rFonts w:asciiTheme="majorBidi" w:hAnsiTheme="majorBidi" w:cstheme="majorBidi"/>
                <w:b/>
                <w:bCs/>
                <w:lang w:val="id-ID"/>
              </w:rPr>
              <w:t>Total Number of Deaths</w:t>
            </w:r>
            <w:r w:rsidR="000C04F5" w:rsidRPr="0062331A">
              <w:rPr>
                <w:rFonts w:asciiTheme="majorBidi" w:hAnsiTheme="majorBidi" w:cstheme="majorBidi"/>
                <w:b/>
                <w:bCs/>
                <w:lang w:val="id-ID"/>
              </w:rPr>
              <w:t xml:space="preserve"> (</w:t>
            </w:r>
            <w:r w:rsidR="006E31F0" w:rsidRPr="0062331A">
              <w:rPr>
                <w:rFonts w:asciiTheme="majorBidi" w:hAnsiTheme="majorBidi" w:cstheme="majorBidi"/>
                <w:b/>
                <w:bCs/>
                <w:lang w:val="id-ID"/>
              </w:rPr>
              <w:t>head</w:t>
            </w:r>
            <w:r w:rsidR="000C04F5" w:rsidRPr="0062331A">
              <w:rPr>
                <w:rFonts w:asciiTheme="majorBidi" w:hAnsiTheme="majorBidi" w:cstheme="majorBidi"/>
                <w:b/>
                <w:bCs/>
                <w:lang w:val="id-ID"/>
              </w:rPr>
              <w:t>)</w:t>
            </w:r>
          </w:p>
        </w:tc>
        <w:tc>
          <w:tcPr>
            <w:tcW w:w="1355" w:type="dxa"/>
            <w:vMerge w:val="restart"/>
            <w:vAlign w:val="center"/>
          </w:tcPr>
          <w:p w14:paraId="7FC13C28" w14:textId="1CF11BCA" w:rsidR="000C04F5" w:rsidRPr="0062331A" w:rsidRDefault="00923D23" w:rsidP="002E3A32">
            <w:pPr>
              <w:jc w:val="center"/>
              <w:rPr>
                <w:rFonts w:asciiTheme="majorBidi" w:hAnsiTheme="majorBidi" w:cstheme="majorBidi"/>
                <w:b/>
                <w:bCs/>
                <w:lang w:val="id-ID"/>
              </w:rPr>
            </w:pPr>
            <w:r w:rsidRPr="0062331A">
              <w:rPr>
                <w:rFonts w:asciiTheme="majorBidi" w:hAnsiTheme="majorBidi" w:cstheme="majorBidi"/>
                <w:b/>
                <w:bCs/>
                <w:lang w:val="id-ID"/>
              </w:rPr>
              <w:t>Mortality Rate</w:t>
            </w:r>
            <w:r w:rsidR="000C04F5" w:rsidRPr="0062331A">
              <w:rPr>
                <w:rFonts w:asciiTheme="majorBidi" w:hAnsiTheme="majorBidi" w:cstheme="majorBidi"/>
                <w:b/>
                <w:bCs/>
                <w:lang w:val="id-ID"/>
              </w:rPr>
              <w:t xml:space="preserve"> (%)</w:t>
            </w:r>
          </w:p>
        </w:tc>
      </w:tr>
      <w:tr w:rsidR="000C04F5" w:rsidRPr="0062331A" w14:paraId="1CB230F4" w14:textId="77777777" w:rsidTr="002E3A32">
        <w:trPr>
          <w:trHeight w:val="146"/>
        </w:trPr>
        <w:tc>
          <w:tcPr>
            <w:tcW w:w="1995" w:type="dxa"/>
            <w:vMerge/>
            <w:tcBorders>
              <w:bottom w:val="single" w:sz="4" w:space="0" w:color="auto"/>
            </w:tcBorders>
          </w:tcPr>
          <w:p w14:paraId="7E0C8885" w14:textId="77777777" w:rsidR="000C04F5" w:rsidRPr="0062331A" w:rsidRDefault="000C04F5" w:rsidP="002E3A32">
            <w:pPr>
              <w:jc w:val="both"/>
              <w:rPr>
                <w:rFonts w:asciiTheme="majorBidi" w:hAnsiTheme="majorBidi" w:cstheme="majorBidi"/>
                <w:lang w:val="id-ID"/>
              </w:rPr>
            </w:pPr>
          </w:p>
        </w:tc>
        <w:tc>
          <w:tcPr>
            <w:tcW w:w="1535" w:type="dxa"/>
            <w:vMerge/>
            <w:tcBorders>
              <w:bottom w:val="single" w:sz="4" w:space="0" w:color="auto"/>
            </w:tcBorders>
          </w:tcPr>
          <w:p w14:paraId="41DE6355" w14:textId="77777777" w:rsidR="000C04F5" w:rsidRPr="0062331A" w:rsidRDefault="000C04F5" w:rsidP="002E3A32">
            <w:pPr>
              <w:jc w:val="both"/>
              <w:rPr>
                <w:rFonts w:asciiTheme="majorBidi" w:hAnsiTheme="majorBidi" w:cstheme="majorBidi"/>
                <w:lang w:val="id-ID"/>
              </w:rPr>
            </w:pPr>
          </w:p>
        </w:tc>
        <w:tc>
          <w:tcPr>
            <w:tcW w:w="1324" w:type="dxa"/>
            <w:tcBorders>
              <w:top w:val="single" w:sz="4" w:space="0" w:color="auto"/>
              <w:bottom w:val="single" w:sz="4" w:space="0" w:color="auto"/>
            </w:tcBorders>
            <w:vAlign w:val="center"/>
          </w:tcPr>
          <w:p w14:paraId="0B958807" w14:textId="4648333E" w:rsidR="000C04F5" w:rsidRPr="0062331A" w:rsidRDefault="000C04F5" w:rsidP="002E3A32">
            <w:pPr>
              <w:jc w:val="center"/>
              <w:rPr>
                <w:rFonts w:asciiTheme="majorBidi" w:hAnsiTheme="majorBidi" w:cstheme="majorBidi"/>
                <w:b/>
                <w:bCs/>
                <w:lang w:val="id-ID"/>
              </w:rPr>
            </w:pPr>
            <w:r w:rsidRPr="0062331A">
              <w:rPr>
                <w:rFonts w:asciiTheme="majorBidi" w:hAnsiTheme="majorBidi" w:cstheme="majorBidi"/>
                <w:b/>
                <w:bCs/>
                <w:lang w:val="id-ID"/>
              </w:rPr>
              <w:t xml:space="preserve">24 </w:t>
            </w:r>
            <w:r w:rsidR="006E31F0" w:rsidRPr="0062331A">
              <w:rPr>
                <w:rFonts w:asciiTheme="majorBidi" w:hAnsiTheme="majorBidi" w:cstheme="majorBidi"/>
                <w:b/>
                <w:bCs/>
                <w:lang w:val="id-ID"/>
              </w:rPr>
              <w:t>hours</w:t>
            </w:r>
          </w:p>
        </w:tc>
        <w:tc>
          <w:tcPr>
            <w:tcW w:w="1226" w:type="dxa"/>
            <w:tcBorders>
              <w:top w:val="single" w:sz="4" w:space="0" w:color="auto"/>
              <w:bottom w:val="single" w:sz="4" w:space="0" w:color="auto"/>
            </w:tcBorders>
            <w:vAlign w:val="center"/>
          </w:tcPr>
          <w:p w14:paraId="02902759" w14:textId="051E3E0B" w:rsidR="000C04F5" w:rsidRPr="0062331A" w:rsidRDefault="000C04F5" w:rsidP="002E3A32">
            <w:pPr>
              <w:jc w:val="center"/>
              <w:rPr>
                <w:rFonts w:asciiTheme="majorBidi" w:hAnsiTheme="majorBidi" w:cstheme="majorBidi"/>
                <w:b/>
                <w:bCs/>
                <w:lang w:val="id-ID"/>
              </w:rPr>
            </w:pPr>
            <w:r w:rsidRPr="0062331A">
              <w:rPr>
                <w:rFonts w:asciiTheme="majorBidi" w:hAnsiTheme="majorBidi" w:cstheme="majorBidi"/>
                <w:b/>
                <w:bCs/>
                <w:lang w:val="id-ID"/>
              </w:rPr>
              <w:t xml:space="preserve">48 </w:t>
            </w:r>
            <w:r w:rsidR="006E31F0" w:rsidRPr="0062331A">
              <w:rPr>
                <w:rFonts w:asciiTheme="majorBidi" w:hAnsiTheme="majorBidi" w:cstheme="majorBidi"/>
                <w:b/>
                <w:bCs/>
                <w:lang w:val="id-ID"/>
              </w:rPr>
              <w:t>hours</w:t>
            </w:r>
          </w:p>
        </w:tc>
        <w:tc>
          <w:tcPr>
            <w:tcW w:w="1388" w:type="dxa"/>
            <w:vMerge/>
            <w:tcBorders>
              <w:bottom w:val="single" w:sz="4" w:space="0" w:color="auto"/>
            </w:tcBorders>
          </w:tcPr>
          <w:p w14:paraId="6F423AA6" w14:textId="77777777" w:rsidR="000C04F5" w:rsidRPr="0062331A" w:rsidRDefault="000C04F5" w:rsidP="002E3A32">
            <w:pPr>
              <w:jc w:val="both"/>
              <w:rPr>
                <w:rFonts w:asciiTheme="majorBidi" w:hAnsiTheme="majorBidi" w:cstheme="majorBidi"/>
                <w:lang w:val="id-ID"/>
              </w:rPr>
            </w:pPr>
          </w:p>
        </w:tc>
        <w:tc>
          <w:tcPr>
            <w:tcW w:w="1355" w:type="dxa"/>
            <w:vMerge/>
            <w:tcBorders>
              <w:bottom w:val="single" w:sz="4" w:space="0" w:color="auto"/>
            </w:tcBorders>
          </w:tcPr>
          <w:p w14:paraId="5AD0F0C9" w14:textId="77777777" w:rsidR="000C04F5" w:rsidRPr="0062331A" w:rsidRDefault="000C04F5" w:rsidP="002E3A32">
            <w:pPr>
              <w:jc w:val="both"/>
              <w:rPr>
                <w:rFonts w:asciiTheme="majorBidi" w:hAnsiTheme="majorBidi" w:cstheme="majorBidi"/>
                <w:lang w:val="id-ID"/>
              </w:rPr>
            </w:pPr>
          </w:p>
        </w:tc>
      </w:tr>
      <w:tr w:rsidR="000C04F5" w:rsidRPr="0062331A" w14:paraId="0A673685" w14:textId="77777777" w:rsidTr="002E3A32">
        <w:trPr>
          <w:trHeight w:val="275"/>
        </w:trPr>
        <w:tc>
          <w:tcPr>
            <w:tcW w:w="1995" w:type="dxa"/>
            <w:tcBorders>
              <w:top w:val="single" w:sz="4" w:space="0" w:color="auto"/>
              <w:bottom w:val="nil"/>
            </w:tcBorders>
          </w:tcPr>
          <w:p w14:paraId="7B0CC3A0" w14:textId="2891D35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t>0 ppm (</w:t>
            </w:r>
            <w:r w:rsidR="006E31F0" w:rsidRPr="0062331A">
              <w:rPr>
                <w:rFonts w:asciiTheme="majorBidi" w:hAnsiTheme="majorBidi" w:cstheme="majorBidi"/>
                <w:lang w:val="id-ID"/>
              </w:rPr>
              <w:t>C</w:t>
            </w:r>
            <w:r w:rsidRPr="0062331A">
              <w:rPr>
                <w:rFonts w:asciiTheme="majorBidi" w:hAnsiTheme="majorBidi" w:cstheme="majorBidi"/>
                <w:lang w:val="id-ID"/>
              </w:rPr>
              <w:t>ontrol)</w:t>
            </w:r>
          </w:p>
        </w:tc>
        <w:tc>
          <w:tcPr>
            <w:tcW w:w="1535" w:type="dxa"/>
            <w:tcBorders>
              <w:top w:val="single" w:sz="4" w:space="0" w:color="auto"/>
              <w:bottom w:val="nil"/>
            </w:tcBorders>
          </w:tcPr>
          <w:p w14:paraId="33B9B9CD"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Borders>
              <w:top w:val="single" w:sz="4" w:space="0" w:color="auto"/>
              <w:bottom w:val="nil"/>
            </w:tcBorders>
          </w:tcPr>
          <w:p w14:paraId="7719BDDE"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226" w:type="dxa"/>
            <w:tcBorders>
              <w:top w:val="single" w:sz="4" w:space="0" w:color="auto"/>
              <w:bottom w:val="nil"/>
            </w:tcBorders>
          </w:tcPr>
          <w:p w14:paraId="3195EA0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88" w:type="dxa"/>
            <w:tcBorders>
              <w:top w:val="single" w:sz="4" w:space="0" w:color="auto"/>
              <w:bottom w:val="nil"/>
            </w:tcBorders>
          </w:tcPr>
          <w:p w14:paraId="5F3FFC76"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55" w:type="dxa"/>
            <w:tcBorders>
              <w:top w:val="single" w:sz="4" w:space="0" w:color="auto"/>
              <w:bottom w:val="nil"/>
            </w:tcBorders>
          </w:tcPr>
          <w:p w14:paraId="34C5269D"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C04F5" w:rsidRPr="0062331A" w14:paraId="4AB5AC58" w14:textId="77777777" w:rsidTr="002E3A32">
        <w:trPr>
          <w:trHeight w:val="289"/>
        </w:trPr>
        <w:tc>
          <w:tcPr>
            <w:tcW w:w="1995" w:type="dxa"/>
            <w:tcBorders>
              <w:top w:val="nil"/>
              <w:bottom w:val="nil"/>
            </w:tcBorders>
          </w:tcPr>
          <w:p w14:paraId="34A34BDB" w14:textId="7777777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t>1 ppm</w:t>
            </w:r>
          </w:p>
        </w:tc>
        <w:tc>
          <w:tcPr>
            <w:tcW w:w="1535" w:type="dxa"/>
            <w:tcBorders>
              <w:top w:val="nil"/>
              <w:bottom w:val="nil"/>
            </w:tcBorders>
          </w:tcPr>
          <w:p w14:paraId="77A1EB9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Borders>
              <w:top w:val="nil"/>
              <w:bottom w:val="nil"/>
            </w:tcBorders>
          </w:tcPr>
          <w:p w14:paraId="19D81AA9"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226" w:type="dxa"/>
            <w:tcBorders>
              <w:top w:val="nil"/>
              <w:bottom w:val="nil"/>
            </w:tcBorders>
          </w:tcPr>
          <w:p w14:paraId="1283835D"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88" w:type="dxa"/>
            <w:tcBorders>
              <w:top w:val="nil"/>
              <w:bottom w:val="nil"/>
            </w:tcBorders>
          </w:tcPr>
          <w:p w14:paraId="5A534294"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55" w:type="dxa"/>
            <w:tcBorders>
              <w:top w:val="nil"/>
              <w:bottom w:val="nil"/>
            </w:tcBorders>
          </w:tcPr>
          <w:p w14:paraId="472DFFA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C04F5" w:rsidRPr="0062331A" w14:paraId="6114885D" w14:textId="77777777" w:rsidTr="002E3A32">
        <w:trPr>
          <w:trHeight w:val="275"/>
        </w:trPr>
        <w:tc>
          <w:tcPr>
            <w:tcW w:w="1995" w:type="dxa"/>
            <w:tcBorders>
              <w:top w:val="nil"/>
            </w:tcBorders>
          </w:tcPr>
          <w:p w14:paraId="36A17D6B" w14:textId="7777777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t>10 ppm</w:t>
            </w:r>
          </w:p>
        </w:tc>
        <w:tc>
          <w:tcPr>
            <w:tcW w:w="1535" w:type="dxa"/>
            <w:tcBorders>
              <w:top w:val="nil"/>
            </w:tcBorders>
          </w:tcPr>
          <w:p w14:paraId="6C55365A"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Borders>
              <w:top w:val="nil"/>
            </w:tcBorders>
          </w:tcPr>
          <w:p w14:paraId="1C131BA6"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226" w:type="dxa"/>
            <w:tcBorders>
              <w:top w:val="nil"/>
            </w:tcBorders>
          </w:tcPr>
          <w:p w14:paraId="24187A03"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88" w:type="dxa"/>
            <w:tcBorders>
              <w:top w:val="nil"/>
            </w:tcBorders>
          </w:tcPr>
          <w:p w14:paraId="5A0D7C3C"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55" w:type="dxa"/>
            <w:tcBorders>
              <w:top w:val="nil"/>
            </w:tcBorders>
          </w:tcPr>
          <w:p w14:paraId="5263FE03"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C04F5" w:rsidRPr="0062331A" w14:paraId="67556EC5" w14:textId="77777777" w:rsidTr="002E3A32">
        <w:trPr>
          <w:trHeight w:val="275"/>
        </w:trPr>
        <w:tc>
          <w:tcPr>
            <w:tcW w:w="1995" w:type="dxa"/>
          </w:tcPr>
          <w:p w14:paraId="6BC0385E" w14:textId="7777777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t>100 ppm</w:t>
            </w:r>
          </w:p>
        </w:tc>
        <w:tc>
          <w:tcPr>
            <w:tcW w:w="1535" w:type="dxa"/>
          </w:tcPr>
          <w:p w14:paraId="483F4D2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Pr>
          <w:p w14:paraId="3F7FDDA9"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226" w:type="dxa"/>
          </w:tcPr>
          <w:p w14:paraId="276765FA"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88" w:type="dxa"/>
          </w:tcPr>
          <w:p w14:paraId="44BFE98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55" w:type="dxa"/>
          </w:tcPr>
          <w:p w14:paraId="116EEBB6"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C04F5" w:rsidRPr="0062331A" w14:paraId="06ADB502" w14:textId="77777777" w:rsidTr="002E3A32">
        <w:trPr>
          <w:trHeight w:val="275"/>
        </w:trPr>
        <w:tc>
          <w:tcPr>
            <w:tcW w:w="1995" w:type="dxa"/>
          </w:tcPr>
          <w:p w14:paraId="53876A9C" w14:textId="7777777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lastRenderedPageBreak/>
              <w:t>1000 ppm</w:t>
            </w:r>
          </w:p>
        </w:tc>
        <w:tc>
          <w:tcPr>
            <w:tcW w:w="1535" w:type="dxa"/>
          </w:tcPr>
          <w:p w14:paraId="0D11C3DB"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Pr>
          <w:p w14:paraId="7D937296"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2</w:t>
            </w:r>
          </w:p>
        </w:tc>
        <w:tc>
          <w:tcPr>
            <w:tcW w:w="1226" w:type="dxa"/>
          </w:tcPr>
          <w:p w14:paraId="1C9FD004"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4</w:t>
            </w:r>
          </w:p>
        </w:tc>
        <w:tc>
          <w:tcPr>
            <w:tcW w:w="1388" w:type="dxa"/>
          </w:tcPr>
          <w:p w14:paraId="39FBF61B"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6</w:t>
            </w:r>
          </w:p>
        </w:tc>
        <w:tc>
          <w:tcPr>
            <w:tcW w:w="1355" w:type="dxa"/>
          </w:tcPr>
          <w:p w14:paraId="121D3CAF"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60%</w:t>
            </w:r>
          </w:p>
        </w:tc>
      </w:tr>
    </w:tbl>
    <w:p w14:paraId="6895A4DE" w14:textId="77777777" w:rsidR="000C04F5" w:rsidRPr="0062331A" w:rsidRDefault="000C04F5" w:rsidP="000C04F5">
      <w:pPr>
        <w:spacing w:after="0"/>
        <w:jc w:val="both"/>
        <w:rPr>
          <w:rFonts w:ascii="Times New Roman" w:hAnsi="Times New Roman" w:cs="Times New Roman"/>
        </w:rPr>
      </w:pPr>
    </w:p>
    <w:p w14:paraId="28F88286" w14:textId="425B25C4" w:rsidR="00F82F80" w:rsidRPr="0062331A" w:rsidRDefault="005B5C02" w:rsidP="00923D23">
      <w:pPr>
        <w:spacing w:after="0"/>
        <w:ind w:firstLine="567"/>
        <w:jc w:val="both"/>
        <w:rPr>
          <w:rFonts w:ascii="Times New Roman" w:hAnsi="Times New Roman" w:cs="Times New Roman"/>
        </w:rPr>
      </w:pPr>
      <w:r w:rsidRPr="0062331A">
        <w:rPr>
          <w:rFonts w:ascii="Times New Roman" w:hAnsi="Times New Roman" w:cs="Times New Roman"/>
        </w:rPr>
        <w:t xml:space="preserve">Based on Table 5, the lower threshold value (n) was determined to be 100 ppm, and the upper threshold value (N) was 1000 ppm. These values were used as reference points for the </w:t>
      </w:r>
      <w:r w:rsidRPr="0062331A">
        <w:rPr>
          <w:rFonts w:ascii="Times New Roman" w:hAnsi="Times New Roman" w:cs="Times New Roman"/>
          <w:lang w:val="id-ID"/>
        </w:rPr>
        <w:t>LC</w:t>
      </w:r>
      <w:r w:rsidRPr="0062331A">
        <w:rPr>
          <w:rFonts w:ascii="Times New Roman" w:hAnsi="Times New Roman" w:cs="Times New Roman"/>
          <w:vertAlign w:val="subscript"/>
          <w:lang w:val="id-ID"/>
        </w:rPr>
        <w:t>50</w:t>
      </w:r>
      <w:r w:rsidRPr="0062331A">
        <w:rPr>
          <w:rFonts w:ascii="Times New Roman" w:hAnsi="Times New Roman" w:cs="Times New Roman"/>
          <w:lang w:val="id-ID"/>
        </w:rPr>
        <w:t>-96</w:t>
      </w:r>
      <w:r w:rsidRPr="0062331A">
        <w:rPr>
          <w:rFonts w:ascii="Times New Roman" w:hAnsi="Times New Roman" w:cs="Times New Roman"/>
        </w:rPr>
        <w:t xml:space="preserve"> hour</w:t>
      </w:r>
      <w:r w:rsidR="00F82F80" w:rsidRPr="0062331A">
        <w:rPr>
          <w:rFonts w:ascii="Times New Roman" w:hAnsi="Times New Roman" w:cs="Times New Roman"/>
        </w:rPr>
        <w:t>s</w:t>
      </w:r>
      <w:r w:rsidRPr="0062331A">
        <w:rPr>
          <w:rFonts w:ascii="Times New Roman" w:hAnsi="Times New Roman" w:cs="Times New Roman"/>
        </w:rPr>
        <w:t xml:space="preserve"> lethal toxicity test. Logarithmic calculations using the Quantal Response method,</w:t>
      </w:r>
      <w:r w:rsidR="00F82F80" w:rsidRPr="0062331A">
        <w:rPr>
          <w:rFonts w:ascii="Times New Roman" w:hAnsi="Times New Roman" w:cs="Times New Roman"/>
        </w:rPr>
        <w:t xml:space="preserve"> the results of preliminary tests produce </w:t>
      </w:r>
      <w:r w:rsidR="002949E1" w:rsidRPr="002949E1">
        <w:rPr>
          <w:rFonts w:ascii="Times New Roman" w:hAnsi="Times New Roman" w:cs="Times New Roman"/>
        </w:rPr>
        <w:t>P. indica</w:t>
      </w:r>
      <w:r w:rsidR="00F82F80" w:rsidRPr="0062331A">
        <w:rPr>
          <w:rFonts w:ascii="Times New Roman" w:hAnsi="Times New Roman" w:cs="Times New Roman"/>
        </w:rPr>
        <w:t xml:space="preserve"> leaf extract concentrations used for lethal toxicity tests that can be observed in Table 6 and the average mortality rate of </w:t>
      </w:r>
      <w:proofErr w:type="spellStart"/>
      <w:r w:rsidR="00C47D5C" w:rsidRPr="00C47D5C">
        <w:rPr>
          <w:rFonts w:ascii="Times New Roman" w:hAnsi="Times New Roman" w:cs="Times New Roman"/>
        </w:rPr>
        <w:t>whiteleg</w:t>
      </w:r>
      <w:proofErr w:type="spellEnd"/>
      <w:r w:rsidR="00F82F80" w:rsidRPr="0062331A">
        <w:rPr>
          <w:rFonts w:ascii="Times New Roman" w:hAnsi="Times New Roman" w:cs="Times New Roman"/>
        </w:rPr>
        <w:t xml:space="preserve"> shrimp from 5 repetitions of lethal toxicity tests (</w:t>
      </w:r>
      <w:r w:rsidR="00F82F80" w:rsidRPr="0062331A">
        <w:rPr>
          <w:rFonts w:ascii="Times New Roman" w:hAnsi="Times New Roman" w:cs="Times New Roman"/>
          <w:lang w:val="id-ID"/>
        </w:rPr>
        <w:t>LC</w:t>
      </w:r>
      <w:r w:rsidR="00F82F80" w:rsidRPr="0062331A">
        <w:rPr>
          <w:rFonts w:ascii="Times New Roman" w:hAnsi="Times New Roman" w:cs="Times New Roman"/>
          <w:vertAlign w:val="subscript"/>
          <w:lang w:val="id-ID"/>
        </w:rPr>
        <w:t>50</w:t>
      </w:r>
      <w:r w:rsidR="00F82F80" w:rsidRPr="0062331A">
        <w:rPr>
          <w:rFonts w:ascii="Times New Roman" w:hAnsi="Times New Roman" w:cs="Times New Roman"/>
          <w:lang w:val="id-ID"/>
        </w:rPr>
        <w:t>-96</w:t>
      </w:r>
      <w:r w:rsidR="00F82F80" w:rsidRPr="0062331A">
        <w:rPr>
          <w:rFonts w:ascii="Times New Roman" w:hAnsi="Times New Roman" w:cs="Times New Roman"/>
        </w:rPr>
        <w:t xml:space="preserve"> hours) of </w:t>
      </w:r>
      <w:r w:rsidR="002949E1" w:rsidRPr="002949E1">
        <w:rPr>
          <w:rFonts w:ascii="Times New Roman" w:hAnsi="Times New Roman" w:cs="Times New Roman"/>
        </w:rPr>
        <w:t>P. indica</w:t>
      </w:r>
      <w:r w:rsidR="00F82F80" w:rsidRPr="0062331A">
        <w:rPr>
          <w:rFonts w:ascii="Times New Roman" w:hAnsi="Times New Roman" w:cs="Times New Roman"/>
        </w:rPr>
        <w:t xml:space="preserve"> leaf extract can be observed in Table 7.</w:t>
      </w:r>
    </w:p>
    <w:p w14:paraId="2BD8F2B5" w14:textId="77777777" w:rsidR="00027AF0" w:rsidRPr="0062331A" w:rsidRDefault="00027AF0" w:rsidP="00027AF0">
      <w:pPr>
        <w:spacing w:after="0"/>
        <w:jc w:val="both"/>
        <w:rPr>
          <w:rFonts w:ascii="Times New Roman" w:hAnsi="Times New Roman" w:cs="Times New Roman"/>
        </w:rPr>
      </w:pPr>
    </w:p>
    <w:p w14:paraId="4272B7AE" w14:textId="77777777" w:rsidR="00027AF0" w:rsidRPr="0062331A" w:rsidRDefault="00027AF0" w:rsidP="00027AF0">
      <w:pPr>
        <w:spacing w:after="0" w:line="240" w:lineRule="auto"/>
        <w:jc w:val="both"/>
        <w:rPr>
          <w:rFonts w:ascii="Times New Roman" w:hAnsi="Times New Roman" w:cs="Times New Roman"/>
        </w:rPr>
      </w:pPr>
      <w:r w:rsidRPr="0062331A">
        <w:rPr>
          <w:rFonts w:ascii="Times New Roman" w:hAnsi="Times New Roman" w:cs="Times New Roman"/>
        </w:rPr>
        <w:t xml:space="preserve">Table 6. </w:t>
      </w:r>
      <w:r w:rsidRPr="0062331A">
        <w:rPr>
          <w:rFonts w:ascii="Times New Roman" w:hAnsi="Times New Roman" w:cs="Times New Roman"/>
          <w:lang w:val="en"/>
        </w:rPr>
        <w:t>Post-Calculation Concentration Changes</w:t>
      </w:r>
    </w:p>
    <w:tbl>
      <w:tblPr>
        <w:tblStyle w:val="TableGrid"/>
        <w:tblW w:w="924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498"/>
      </w:tblGrid>
      <w:tr w:rsidR="00027AF0" w:rsidRPr="0062331A" w14:paraId="4ADD5304" w14:textId="77777777" w:rsidTr="002E3A32">
        <w:trPr>
          <w:trHeight w:val="264"/>
          <w:jc w:val="center"/>
        </w:trPr>
        <w:tc>
          <w:tcPr>
            <w:tcW w:w="4749" w:type="dxa"/>
            <w:tcBorders>
              <w:top w:val="single" w:sz="4" w:space="0" w:color="auto"/>
              <w:bottom w:val="single" w:sz="4" w:space="0" w:color="auto"/>
            </w:tcBorders>
          </w:tcPr>
          <w:p w14:paraId="7422E775" w14:textId="414EE437"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Initial Concentration</w:t>
            </w:r>
          </w:p>
        </w:tc>
        <w:tc>
          <w:tcPr>
            <w:tcW w:w="4498" w:type="dxa"/>
            <w:tcBorders>
              <w:top w:val="single" w:sz="4" w:space="0" w:color="auto"/>
              <w:bottom w:val="single" w:sz="4" w:space="0" w:color="auto"/>
            </w:tcBorders>
          </w:tcPr>
          <w:p w14:paraId="7A1676ED" w14:textId="7677B4C3"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Final Concentration</w:t>
            </w:r>
          </w:p>
        </w:tc>
      </w:tr>
      <w:tr w:rsidR="00027AF0" w:rsidRPr="0062331A" w14:paraId="3039CFA2" w14:textId="77777777" w:rsidTr="002E3A32">
        <w:trPr>
          <w:trHeight w:val="277"/>
          <w:jc w:val="center"/>
        </w:trPr>
        <w:tc>
          <w:tcPr>
            <w:tcW w:w="4749" w:type="dxa"/>
            <w:tcBorders>
              <w:top w:val="single" w:sz="4" w:space="0" w:color="auto"/>
            </w:tcBorders>
          </w:tcPr>
          <w:p w14:paraId="27C6901B" w14:textId="6C26330D"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 ppm (control)</w:t>
            </w:r>
          </w:p>
        </w:tc>
        <w:tc>
          <w:tcPr>
            <w:tcW w:w="4498" w:type="dxa"/>
            <w:tcBorders>
              <w:top w:val="single" w:sz="4" w:space="0" w:color="auto"/>
            </w:tcBorders>
          </w:tcPr>
          <w:p w14:paraId="07931283" w14:textId="4F4C8C28"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 ppm (control)</w:t>
            </w:r>
          </w:p>
        </w:tc>
      </w:tr>
      <w:tr w:rsidR="00027AF0" w:rsidRPr="0062331A" w14:paraId="7D2E5529" w14:textId="77777777" w:rsidTr="002E3A32">
        <w:trPr>
          <w:trHeight w:val="264"/>
          <w:jc w:val="center"/>
        </w:trPr>
        <w:tc>
          <w:tcPr>
            <w:tcW w:w="4749" w:type="dxa"/>
          </w:tcPr>
          <w:p w14:paraId="34DF3B7D"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 ppm</w:t>
            </w:r>
          </w:p>
        </w:tc>
        <w:tc>
          <w:tcPr>
            <w:tcW w:w="4498" w:type="dxa"/>
          </w:tcPr>
          <w:p w14:paraId="72FA08BE"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177.83 ppm</w:t>
            </w:r>
          </w:p>
        </w:tc>
      </w:tr>
      <w:tr w:rsidR="00027AF0" w:rsidRPr="0062331A" w14:paraId="2869B4D1" w14:textId="77777777" w:rsidTr="002E3A32">
        <w:trPr>
          <w:trHeight w:val="277"/>
          <w:jc w:val="center"/>
        </w:trPr>
        <w:tc>
          <w:tcPr>
            <w:tcW w:w="4749" w:type="dxa"/>
          </w:tcPr>
          <w:p w14:paraId="7585F4B6"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 ppm</w:t>
            </w:r>
          </w:p>
        </w:tc>
        <w:tc>
          <w:tcPr>
            <w:tcW w:w="4498" w:type="dxa"/>
          </w:tcPr>
          <w:p w14:paraId="2F09DCD5"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316.23 ppm</w:t>
            </w:r>
          </w:p>
        </w:tc>
      </w:tr>
      <w:tr w:rsidR="00027AF0" w:rsidRPr="0062331A" w14:paraId="02287B81" w14:textId="77777777" w:rsidTr="002E3A32">
        <w:trPr>
          <w:trHeight w:val="264"/>
          <w:jc w:val="center"/>
        </w:trPr>
        <w:tc>
          <w:tcPr>
            <w:tcW w:w="4749" w:type="dxa"/>
          </w:tcPr>
          <w:p w14:paraId="7A4A7CCE"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100 ppm</w:t>
            </w:r>
          </w:p>
        </w:tc>
        <w:tc>
          <w:tcPr>
            <w:tcW w:w="4498" w:type="dxa"/>
          </w:tcPr>
          <w:p w14:paraId="16A2E499"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562.33 ppm</w:t>
            </w:r>
          </w:p>
        </w:tc>
      </w:tr>
      <w:tr w:rsidR="00027AF0" w:rsidRPr="0062331A" w14:paraId="476B4555" w14:textId="77777777" w:rsidTr="002E3A32">
        <w:trPr>
          <w:trHeight w:val="264"/>
          <w:jc w:val="center"/>
        </w:trPr>
        <w:tc>
          <w:tcPr>
            <w:tcW w:w="4749" w:type="dxa"/>
          </w:tcPr>
          <w:p w14:paraId="6616C6FF"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1000 ppm</w:t>
            </w:r>
          </w:p>
        </w:tc>
        <w:tc>
          <w:tcPr>
            <w:tcW w:w="4498" w:type="dxa"/>
          </w:tcPr>
          <w:p w14:paraId="12DD1B41"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1000 ppm</w:t>
            </w:r>
          </w:p>
        </w:tc>
      </w:tr>
    </w:tbl>
    <w:p w14:paraId="4690479B" w14:textId="77777777" w:rsidR="00027AF0" w:rsidRPr="0062331A" w:rsidRDefault="00027AF0" w:rsidP="00027AF0">
      <w:pPr>
        <w:spacing w:after="0"/>
        <w:jc w:val="both"/>
        <w:rPr>
          <w:rFonts w:ascii="Times New Roman" w:hAnsi="Times New Roman" w:cs="Times New Roman"/>
        </w:rPr>
      </w:pPr>
    </w:p>
    <w:p w14:paraId="773D14E5" w14:textId="3BA28658" w:rsidR="00027AF0" w:rsidRPr="0062331A" w:rsidRDefault="00027AF0" w:rsidP="00027AF0">
      <w:pPr>
        <w:spacing w:after="0"/>
        <w:jc w:val="both"/>
        <w:rPr>
          <w:rFonts w:ascii="Times New Roman" w:hAnsi="Times New Roman" w:cs="Times New Roman"/>
        </w:rPr>
      </w:pPr>
      <w:r w:rsidRPr="0062331A">
        <w:rPr>
          <w:rFonts w:ascii="Times New Roman" w:hAnsi="Times New Roman" w:cs="Times New Roman"/>
        </w:rPr>
        <w:t xml:space="preserve">Table 7. Mortality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Shrimps </w:t>
      </w:r>
      <w:r w:rsidRPr="0062331A">
        <w:rPr>
          <w:rFonts w:ascii="Times New Roman" w:hAnsi="Times New Roman" w:cs="Times New Roman"/>
          <w:kern w:val="0"/>
          <w:lang w:val="id-ID"/>
          <w14:ligatures w14:val="none"/>
        </w:rPr>
        <w:t>LC</w:t>
      </w:r>
      <w:r w:rsidRPr="0062331A">
        <w:rPr>
          <w:rFonts w:ascii="Times New Roman" w:hAnsi="Times New Roman" w:cs="Times New Roman"/>
          <w:kern w:val="0"/>
          <w:vertAlign w:val="subscript"/>
          <w:lang w:val="id-ID"/>
          <w14:ligatures w14:val="none"/>
        </w:rPr>
        <w:t>50</w:t>
      </w:r>
      <w:r w:rsidRPr="0062331A">
        <w:rPr>
          <w:rFonts w:ascii="Times New Roman" w:hAnsi="Times New Roman" w:cs="Times New Roman"/>
        </w:rPr>
        <w:t>-</w:t>
      </w:r>
      <w:r w:rsidRPr="0062331A">
        <w:rPr>
          <w:rFonts w:ascii="Times New Roman" w:hAnsi="Times New Roman" w:cs="Times New Roman"/>
          <w:lang w:val="id-ID"/>
        </w:rPr>
        <w:t>96 hour</w:t>
      </w:r>
      <w:r w:rsidRPr="0062331A">
        <w:rPr>
          <w:rFonts w:ascii="Times New Roman" w:hAnsi="Times New Roman" w:cs="Times New Roman"/>
        </w:rPr>
        <w:t>s</w:t>
      </w:r>
    </w:p>
    <w:tbl>
      <w:tblPr>
        <w:tblStyle w:val="TableGrid"/>
        <w:tblW w:w="875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0"/>
        <w:gridCol w:w="1076"/>
        <w:gridCol w:w="1005"/>
        <w:gridCol w:w="839"/>
        <w:gridCol w:w="839"/>
        <w:gridCol w:w="875"/>
        <w:gridCol w:w="1330"/>
        <w:gridCol w:w="1146"/>
      </w:tblGrid>
      <w:tr w:rsidR="00027AF0" w:rsidRPr="0062331A" w14:paraId="3ADDDD93" w14:textId="77777777" w:rsidTr="002E3A32">
        <w:trPr>
          <w:trHeight w:val="272"/>
        </w:trPr>
        <w:tc>
          <w:tcPr>
            <w:tcW w:w="1640" w:type="dxa"/>
            <w:vMerge w:val="restart"/>
            <w:tcBorders>
              <w:top w:val="single" w:sz="4" w:space="0" w:color="auto"/>
              <w:bottom w:val="single" w:sz="4" w:space="0" w:color="auto"/>
            </w:tcBorders>
            <w:vAlign w:val="center"/>
          </w:tcPr>
          <w:p w14:paraId="34D99115" w14:textId="711466B4" w:rsidR="00027AF0" w:rsidRPr="0062331A" w:rsidRDefault="00027AF0" w:rsidP="002E3A32">
            <w:pPr>
              <w:jc w:val="center"/>
              <w:rPr>
                <w:rFonts w:asciiTheme="majorBidi" w:hAnsiTheme="majorBidi" w:cstheme="majorBidi"/>
                <w:b/>
                <w:bCs/>
                <w:lang w:val="id-ID"/>
              </w:rPr>
            </w:pPr>
            <w:r w:rsidRPr="006E31F0">
              <w:rPr>
                <w:rFonts w:asciiTheme="majorBidi" w:hAnsiTheme="majorBidi" w:cstheme="majorBidi"/>
                <w:b/>
                <w:bCs/>
                <w:lang w:val="en"/>
              </w:rPr>
              <w:t xml:space="preserve">Concentration of </w:t>
            </w:r>
            <w:r w:rsidR="002949E1" w:rsidRPr="00C47D5C">
              <w:rPr>
                <w:rFonts w:asciiTheme="majorBidi" w:hAnsiTheme="majorBidi" w:cstheme="majorBidi"/>
                <w:b/>
                <w:bCs/>
                <w:i/>
                <w:iCs/>
                <w:lang w:val="en"/>
              </w:rPr>
              <w:t>P. indica</w:t>
            </w:r>
            <w:r w:rsidRPr="006E31F0">
              <w:rPr>
                <w:rFonts w:asciiTheme="majorBidi" w:hAnsiTheme="majorBidi" w:cstheme="majorBidi"/>
                <w:b/>
                <w:bCs/>
                <w:lang w:val="en"/>
              </w:rPr>
              <w:t xml:space="preserve"> Leaf Extract</w:t>
            </w:r>
          </w:p>
        </w:tc>
        <w:tc>
          <w:tcPr>
            <w:tcW w:w="1076" w:type="dxa"/>
            <w:vMerge w:val="restart"/>
            <w:tcBorders>
              <w:top w:val="single" w:sz="4" w:space="0" w:color="auto"/>
              <w:bottom w:val="single" w:sz="4" w:space="0" w:color="auto"/>
            </w:tcBorders>
            <w:vAlign w:val="center"/>
          </w:tcPr>
          <w:p w14:paraId="199F995D" w14:textId="5E42F49A"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Initial Spread (head)</w:t>
            </w:r>
          </w:p>
        </w:tc>
        <w:tc>
          <w:tcPr>
            <w:tcW w:w="3558" w:type="dxa"/>
            <w:gridSpan w:val="4"/>
            <w:tcBorders>
              <w:top w:val="single" w:sz="4" w:space="0" w:color="auto"/>
              <w:bottom w:val="single" w:sz="4" w:space="0" w:color="auto"/>
            </w:tcBorders>
            <w:vAlign w:val="center"/>
          </w:tcPr>
          <w:p w14:paraId="1ACB4A3F" w14:textId="39D879EC" w:rsidR="00027AF0" w:rsidRPr="0062331A" w:rsidRDefault="007E7821" w:rsidP="002E3A32">
            <w:pPr>
              <w:jc w:val="center"/>
              <w:rPr>
                <w:rFonts w:asciiTheme="majorBidi" w:hAnsiTheme="majorBidi" w:cstheme="majorBidi"/>
                <w:b/>
                <w:bCs/>
                <w:lang w:val="id-ID"/>
              </w:rPr>
            </w:pPr>
            <w:r>
              <w:rPr>
                <w:rFonts w:asciiTheme="majorBidi" w:hAnsiTheme="majorBidi" w:cstheme="majorBidi"/>
                <w:b/>
                <w:bCs/>
                <w:lang w:val="en"/>
              </w:rPr>
              <w:t xml:space="preserve">Average </w:t>
            </w:r>
            <w:r w:rsidR="00027AF0" w:rsidRPr="006E31F0">
              <w:rPr>
                <w:rFonts w:asciiTheme="majorBidi" w:hAnsiTheme="majorBidi" w:cstheme="majorBidi"/>
                <w:b/>
                <w:bCs/>
                <w:lang w:val="en"/>
              </w:rPr>
              <w:t>Mortality Observations</w:t>
            </w:r>
          </w:p>
        </w:tc>
        <w:tc>
          <w:tcPr>
            <w:tcW w:w="1330" w:type="dxa"/>
            <w:vMerge w:val="restart"/>
            <w:tcBorders>
              <w:top w:val="single" w:sz="4" w:space="0" w:color="auto"/>
              <w:bottom w:val="single" w:sz="4" w:space="0" w:color="auto"/>
            </w:tcBorders>
            <w:vAlign w:val="center"/>
          </w:tcPr>
          <w:p w14:paraId="03EC14FA" w14:textId="4E67CFB4" w:rsidR="00027AF0" w:rsidRPr="0062331A" w:rsidRDefault="007E7821" w:rsidP="002E3A32">
            <w:pPr>
              <w:jc w:val="center"/>
              <w:rPr>
                <w:rFonts w:asciiTheme="majorBidi" w:hAnsiTheme="majorBidi" w:cstheme="majorBidi"/>
                <w:b/>
                <w:bCs/>
                <w:lang w:val="id-ID"/>
              </w:rPr>
            </w:pPr>
            <w:r>
              <w:rPr>
                <w:rFonts w:asciiTheme="majorBidi" w:hAnsiTheme="majorBidi" w:cstheme="majorBidi"/>
                <w:b/>
                <w:bCs/>
                <w:lang w:val="id-ID"/>
              </w:rPr>
              <w:t xml:space="preserve">Average </w:t>
            </w:r>
            <w:r w:rsidR="00027AF0" w:rsidRPr="0062331A">
              <w:rPr>
                <w:rFonts w:asciiTheme="majorBidi" w:hAnsiTheme="majorBidi" w:cstheme="majorBidi"/>
                <w:b/>
                <w:bCs/>
                <w:lang w:val="id-ID"/>
              </w:rPr>
              <w:t>Total Number of Deaths (head)</w:t>
            </w:r>
          </w:p>
        </w:tc>
        <w:tc>
          <w:tcPr>
            <w:tcW w:w="1146" w:type="dxa"/>
            <w:vMerge w:val="restart"/>
            <w:tcBorders>
              <w:top w:val="single" w:sz="4" w:space="0" w:color="auto"/>
              <w:bottom w:val="single" w:sz="4" w:space="0" w:color="auto"/>
            </w:tcBorders>
            <w:vAlign w:val="center"/>
          </w:tcPr>
          <w:p w14:paraId="12ED763E" w14:textId="789D1593"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Mortality Rate (%)</w:t>
            </w:r>
          </w:p>
        </w:tc>
      </w:tr>
      <w:tr w:rsidR="00027AF0" w:rsidRPr="0062331A" w14:paraId="0D6D052F" w14:textId="77777777" w:rsidTr="002E3A32">
        <w:trPr>
          <w:trHeight w:val="144"/>
        </w:trPr>
        <w:tc>
          <w:tcPr>
            <w:tcW w:w="1640" w:type="dxa"/>
            <w:vMerge/>
            <w:tcBorders>
              <w:top w:val="single" w:sz="4" w:space="0" w:color="auto"/>
              <w:bottom w:val="single" w:sz="4" w:space="0" w:color="auto"/>
            </w:tcBorders>
            <w:vAlign w:val="center"/>
          </w:tcPr>
          <w:p w14:paraId="6C8A1AF4" w14:textId="77777777" w:rsidR="00027AF0" w:rsidRPr="0062331A" w:rsidRDefault="00027AF0" w:rsidP="002E3A32">
            <w:pPr>
              <w:jc w:val="center"/>
              <w:rPr>
                <w:rFonts w:asciiTheme="majorBidi" w:hAnsiTheme="majorBidi" w:cstheme="majorBidi"/>
                <w:lang w:val="id-ID"/>
              </w:rPr>
            </w:pPr>
          </w:p>
        </w:tc>
        <w:tc>
          <w:tcPr>
            <w:tcW w:w="1076" w:type="dxa"/>
            <w:vMerge/>
            <w:tcBorders>
              <w:top w:val="single" w:sz="4" w:space="0" w:color="auto"/>
              <w:bottom w:val="single" w:sz="4" w:space="0" w:color="auto"/>
            </w:tcBorders>
          </w:tcPr>
          <w:p w14:paraId="0938F895" w14:textId="77777777" w:rsidR="00027AF0" w:rsidRPr="0062331A" w:rsidRDefault="00027AF0" w:rsidP="002E3A32">
            <w:pPr>
              <w:jc w:val="both"/>
              <w:rPr>
                <w:rFonts w:asciiTheme="majorBidi" w:hAnsiTheme="majorBidi" w:cstheme="majorBidi"/>
                <w:lang w:val="id-ID"/>
              </w:rPr>
            </w:pPr>
          </w:p>
        </w:tc>
        <w:tc>
          <w:tcPr>
            <w:tcW w:w="1005" w:type="dxa"/>
            <w:tcBorders>
              <w:top w:val="single" w:sz="4" w:space="0" w:color="auto"/>
              <w:bottom w:val="single" w:sz="4" w:space="0" w:color="auto"/>
            </w:tcBorders>
            <w:vAlign w:val="center"/>
          </w:tcPr>
          <w:p w14:paraId="69A51C02" w14:textId="77777777"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 xml:space="preserve">24 </w:t>
            </w:r>
          </w:p>
          <w:p w14:paraId="7E30552F" w14:textId="5A21F8FD"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hours</w:t>
            </w:r>
          </w:p>
        </w:tc>
        <w:tc>
          <w:tcPr>
            <w:tcW w:w="839" w:type="dxa"/>
            <w:tcBorders>
              <w:top w:val="single" w:sz="4" w:space="0" w:color="auto"/>
              <w:bottom w:val="single" w:sz="4" w:space="0" w:color="auto"/>
            </w:tcBorders>
            <w:vAlign w:val="center"/>
          </w:tcPr>
          <w:p w14:paraId="1F40F1D3" w14:textId="6E12CA5C"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48 hours</w:t>
            </w:r>
          </w:p>
        </w:tc>
        <w:tc>
          <w:tcPr>
            <w:tcW w:w="839" w:type="dxa"/>
            <w:tcBorders>
              <w:top w:val="single" w:sz="4" w:space="0" w:color="auto"/>
              <w:bottom w:val="single" w:sz="4" w:space="0" w:color="auto"/>
            </w:tcBorders>
            <w:vAlign w:val="center"/>
          </w:tcPr>
          <w:p w14:paraId="1989E7F9" w14:textId="1F1170E1"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72 hours</w:t>
            </w:r>
          </w:p>
        </w:tc>
        <w:tc>
          <w:tcPr>
            <w:tcW w:w="874" w:type="dxa"/>
            <w:tcBorders>
              <w:top w:val="single" w:sz="4" w:space="0" w:color="auto"/>
              <w:bottom w:val="single" w:sz="4" w:space="0" w:color="auto"/>
            </w:tcBorders>
            <w:vAlign w:val="center"/>
          </w:tcPr>
          <w:p w14:paraId="5A94F766" w14:textId="6BF4CBD7"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96 hours</w:t>
            </w:r>
          </w:p>
        </w:tc>
        <w:tc>
          <w:tcPr>
            <w:tcW w:w="1330" w:type="dxa"/>
            <w:vMerge/>
            <w:tcBorders>
              <w:top w:val="single" w:sz="4" w:space="0" w:color="auto"/>
              <w:bottom w:val="single" w:sz="4" w:space="0" w:color="auto"/>
            </w:tcBorders>
            <w:vAlign w:val="center"/>
          </w:tcPr>
          <w:p w14:paraId="1FE3E9E2" w14:textId="77777777" w:rsidR="00027AF0" w:rsidRPr="0062331A" w:rsidRDefault="00027AF0" w:rsidP="002E3A32">
            <w:pPr>
              <w:jc w:val="center"/>
              <w:rPr>
                <w:rFonts w:asciiTheme="majorBidi" w:hAnsiTheme="majorBidi" w:cstheme="majorBidi"/>
                <w:lang w:val="id-ID"/>
              </w:rPr>
            </w:pPr>
          </w:p>
        </w:tc>
        <w:tc>
          <w:tcPr>
            <w:tcW w:w="1146" w:type="dxa"/>
            <w:vMerge/>
            <w:tcBorders>
              <w:top w:val="single" w:sz="4" w:space="0" w:color="auto"/>
              <w:bottom w:val="single" w:sz="4" w:space="0" w:color="auto"/>
            </w:tcBorders>
            <w:vAlign w:val="center"/>
          </w:tcPr>
          <w:p w14:paraId="0590572D" w14:textId="77777777" w:rsidR="00027AF0" w:rsidRPr="0062331A" w:rsidRDefault="00027AF0" w:rsidP="002E3A32">
            <w:pPr>
              <w:jc w:val="center"/>
              <w:rPr>
                <w:rFonts w:asciiTheme="majorBidi" w:hAnsiTheme="majorBidi" w:cstheme="majorBidi"/>
                <w:lang w:val="id-ID"/>
              </w:rPr>
            </w:pPr>
          </w:p>
        </w:tc>
      </w:tr>
      <w:tr w:rsidR="00027AF0" w:rsidRPr="0062331A" w14:paraId="5F593E94" w14:textId="77777777" w:rsidTr="002E3A32">
        <w:trPr>
          <w:trHeight w:val="286"/>
        </w:trPr>
        <w:tc>
          <w:tcPr>
            <w:tcW w:w="1640" w:type="dxa"/>
            <w:tcBorders>
              <w:top w:val="single" w:sz="4" w:space="0" w:color="auto"/>
              <w:bottom w:val="nil"/>
            </w:tcBorders>
          </w:tcPr>
          <w:p w14:paraId="2A6C9984"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 xml:space="preserve">0 ppm </w:t>
            </w:r>
          </w:p>
        </w:tc>
        <w:tc>
          <w:tcPr>
            <w:tcW w:w="1076" w:type="dxa"/>
            <w:tcBorders>
              <w:top w:val="single" w:sz="4" w:space="0" w:color="auto"/>
              <w:bottom w:val="nil"/>
            </w:tcBorders>
          </w:tcPr>
          <w:p w14:paraId="234A34B2"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Borders>
              <w:top w:val="single" w:sz="4" w:space="0" w:color="auto"/>
              <w:bottom w:val="nil"/>
            </w:tcBorders>
          </w:tcPr>
          <w:p w14:paraId="70D45F09"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Borders>
              <w:top w:val="single" w:sz="4" w:space="0" w:color="auto"/>
              <w:bottom w:val="nil"/>
            </w:tcBorders>
          </w:tcPr>
          <w:p w14:paraId="1E4EDC53"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Borders>
              <w:top w:val="single" w:sz="4" w:space="0" w:color="auto"/>
              <w:bottom w:val="nil"/>
            </w:tcBorders>
          </w:tcPr>
          <w:p w14:paraId="52671FF6"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74" w:type="dxa"/>
            <w:tcBorders>
              <w:top w:val="single" w:sz="4" w:space="0" w:color="auto"/>
              <w:bottom w:val="nil"/>
            </w:tcBorders>
          </w:tcPr>
          <w:p w14:paraId="594208F7"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30" w:type="dxa"/>
            <w:tcBorders>
              <w:top w:val="single" w:sz="4" w:space="0" w:color="auto"/>
              <w:bottom w:val="nil"/>
            </w:tcBorders>
          </w:tcPr>
          <w:p w14:paraId="555EDB73"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146" w:type="dxa"/>
            <w:tcBorders>
              <w:top w:val="single" w:sz="4" w:space="0" w:color="auto"/>
              <w:bottom w:val="nil"/>
            </w:tcBorders>
          </w:tcPr>
          <w:p w14:paraId="33159DF3"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27AF0" w:rsidRPr="0062331A" w14:paraId="731246FC" w14:textId="77777777" w:rsidTr="002E3A32">
        <w:trPr>
          <w:trHeight w:val="272"/>
        </w:trPr>
        <w:tc>
          <w:tcPr>
            <w:tcW w:w="1640" w:type="dxa"/>
            <w:tcBorders>
              <w:top w:val="nil"/>
            </w:tcBorders>
          </w:tcPr>
          <w:p w14:paraId="7DC2A2A8"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177.83 ppm</w:t>
            </w:r>
          </w:p>
        </w:tc>
        <w:tc>
          <w:tcPr>
            <w:tcW w:w="1076" w:type="dxa"/>
            <w:tcBorders>
              <w:top w:val="nil"/>
            </w:tcBorders>
          </w:tcPr>
          <w:p w14:paraId="2EE700A4"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Borders>
              <w:top w:val="nil"/>
            </w:tcBorders>
          </w:tcPr>
          <w:p w14:paraId="6F1065EC"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Borders>
              <w:top w:val="nil"/>
            </w:tcBorders>
          </w:tcPr>
          <w:p w14:paraId="63230079"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Borders>
              <w:top w:val="nil"/>
            </w:tcBorders>
          </w:tcPr>
          <w:p w14:paraId="50D617F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0.2</w:t>
            </w:r>
          </w:p>
        </w:tc>
        <w:tc>
          <w:tcPr>
            <w:tcW w:w="874" w:type="dxa"/>
            <w:tcBorders>
              <w:top w:val="nil"/>
            </w:tcBorders>
          </w:tcPr>
          <w:p w14:paraId="4062622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0.6</w:t>
            </w:r>
          </w:p>
        </w:tc>
        <w:tc>
          <w:tcPr>
            <w:tcW w:w="1330" w:type="dxa"/>
            <w:tcBorders>
              <w:top w:val="nil"/>
            </w:tcBorders>
          </w:tcPr>
          <w:p w14:paraId="195C62F0"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0.8</w:t>
            </w:r>
          </w:p>
        </w:tc>
        <w:tc>
          <w:tcPr>
            <w:tcW w:w="1146" w:type="dxa"/>
            <w:tcBorders>
              <w:top w:val="nil"/>
            </w:tcBorders>
          </w:tcPr>
          <w:p w14:paraId="084C52D4"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8%</w:t>
            </w:r>
          </w:p>
        </w:tc>
      </w:tr>
      <w:tr w:rsidR="00027AF0" w:rsidRPr="0062331A" w14:paraId="69574C76" w14:textId="77777777" w:rsidTr="002E3A32">
        <w:trPr>
          <w:trHeight w:val="272"/>
        </w:trPr>
        <w:tc>
          <w:tcPr>
            <w:tcW w:w="1640" w:type="dxa"/>
          </w:tcPr>
          <w:p w14:paraId="1F3A25B0"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316.23 ppm</w:t>
            </w:r>
          </w:p>
        </w:tc>
        <w:tc>
          <w:tcPr>
            <w:tcW w:w="1076" w:type="dxa"/>
          </w:tcPr>
          <w:p w14:paraId="14C49965"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Pr>
          <w:p w14:paraId="553D83F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Pr>
          <w:p w14:paraId="33FC977D"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0.6</w:t>
            </w:r>
          </w:p>
        </w:tc>
        <w:tc>
          <w:tcPr>
            <w:tcW w:w="839" w:type="dxa"/>
          </w:tcPr>
          <w:p w14:paraId="7C4C5A71"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1.2</w:t>
            </w:r>
          </w:p>
        </w:tc>
        <w:tc>
          <w:tcPr>
            <w:tcW w:w="874" w:type="dxa"/>
          </w:tcPr>
          <w:p w14:paraId="18369E8F"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1.8</w:t>
            </w:r>
          </w:p>
        </w:tc>
        <w:tc>
          <w:tcPr>
            <w:tcW w:w="1330" w:type="dxa"/>
          </w:tcPr>
          <w:p w14:paraId="026D9105"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3.6</w:t>
            </w:r>
          </w:p>
        </w:tc>
        <w:tc>
          <w:tcPr>
            <w:tcW w:w="1146" w:type="dxa"/>
          </w:tcPr>
          <w:p w14:paraId="406121B7"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36%</w:t>
            </w:r>
          </w:p>
        </w:tc>
      </w:tr>
      <w:tr w:rsidR="00027AF0" w:rsidRPr="0062331A" w14:paraId="3C6CBD6E" w14:textId="77777777" w:rsidTr="002E3A32">
        <w:trPr>
          <w:trHeight w:val="286"/>
        </w:trPr>
        <w:tc>
          <w:tcPr>
            <w:tcW w:w="1640" w:type="dxa"/>
          </w:tcPr>
          <w:p w14:paraId="551D39AF"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562.33 ppm</w:t>
            </w:r>
          </w:p>
        </w:tc>
        <w:tc>
          <w:tcPr>
            <w:tcW w:w="1076" w:type="dxa"/>
          </w:tcPr>
          <w:p w14:paraId="5D3AE137"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Pr>
          <w:p w14:paraId="36DED160"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0.6</w:t>
            </w:r>
          </w:p>
        </w:tc>
        <w:tc>
          <w:tcPr>
            <w:tcW w:w="839" w:type="dxa"/>
          </w:tcPr>
          <w:p w14:paraId="1D1313EA"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w:t>
            </w:r>
          </w:p>
        </w:tc>
        <w:tc>
          <w:tcPr>
            <w:tcW w:w="839" w:type="dxa"/>
          </w:tcPr>
          <w:p w14:paraId="7FEFA8C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2</w:t>
            </w:r>
          </w:p>
        </w:tc>
        <w:tc>
          <w:tcPr>
            <w:tcW w:w="874" w:type="dxa"/>
          </w:tcPr>
          <w:p w14:paraId="282B0A60"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2.2</w:t>
            </w:r>
          </w:p>
        </w:tc>
        <w:tc>
          <w:tcPr>
            <w:tcW w:w="1330" w:type="dxa"/>
          </w:tcPr>
          <w:p w14:paraId="1639D952"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5.8</w:t>
            </w:r>
          </w:p>
        </w:tc>
        <w:tc>
          <w:tcPr>
            <w:tcW w:w="1146" w:type="dxa"/>
          </w:tcPr>
          <w:p w14:paraId="4452ED77"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58%</w:t>
            </w:r>
          </w:p>
        </w:tc>
      </w:tr>
      <w:tr w:rsidR="00027AF0" w:rsidRPr="0062331A" w14:paraId="11050133" w14:textId="77777777" w:rsidTr="002E3A32">
        <w:trPr>
          <w:trHeight w:val="272"/>
        </w:trPr>
        <w:tc>
          <w:tcPr>
            <w:tcW w:w="1640" w:type="dxa"/>
          </w:tcPr>
          <w:p w14:paraId="32ABFE94"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1000 ppm</w:t>
            </w:r>
          </w:p>
        </w:tc>
        <w:tc>
          <w:tcPr>
            <w:tcW w:w="1076" w:type="dxa"/>
          </w:tcPr>
          <w:p w14:paraId="0B523089"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Pr>
          <w:p w14:paraId="6B1CB72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2</w:t>
            </w:r>
          </w:p>
        </w:tc>
        <w:tc>
          <w:tcPr>
            <w:tcW w:w="839" w:type="dxa"/>
          </w:tcPr>
          <w:p w14:paraId="47AB6CFF"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w:t>
            </w:r>
          </w:p>
        </w:tc>
        <w:tc>
          <w:tcPr>
            <w:tcW w:w="839" w:type="dxa"/>
          </w:tcPr>
          <w:p w14:paraId="1681490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w:t>
            </w:r>
          </w:p>
        </w:tc>
        <w:tc>
          <w:tcPr>
            <w:tcW w:w="874" w:type="dxa"/>
          </w:tcPr>
          <w:p w14:paraId="78DB7BF0"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0.8</w:t>
            </w:r>
          </w:p>
        </w:tc>
        <w:tc>
          <w:tcPr>
            <w:tcW w:w="1330" w:type="dxa"/>
          </w:tcPr>
          <w:p w14:paraId="172EA3B2"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9.2</w:t>
            </w:r>
          </w:p>
        </w:tc>
        <w:tc>
          <w:tcPr>
            <w:tcW w:w="1146" w:type="dxa"/>
          </w:tcPr>
          <w:p w14:paraId="734AA0BA"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92%</w:t>
            </w:r>
          </w:p>
        </w:tc>
      </w:tr>
    </w:tbl>
    <w:p w14:paraId="2C6FC4F9" w14:textId="77777777" w:rsidR="00027AF0" w:rsidRPr="0062331A" w:rsidRDefault="00027AF0" w:rsidP="00027AF0">
      <w:pPr>
        <w:spacing w:after="0"/>
        <w:jc w:val="both"/>
        <w:rPr>
          <w:rFonts w:ascii="Times New Roman" w:hAnsi="Times New Roman" w:cs="Times New Roman"/>
        </w:rPr>
      </w:pPr>
    </w:p>
    <w:p w14:paraId="7A86C01B" w14:textId="1A3DF3D9" w:rsidR="00923D23" w:rsidRPr="0062331A" w:rsidRDefault="00F82F80" w:rsidP="002073E2">
      <w:pPr>
        <w:spacing w:after="0"/>
        <w:ind w:firstLine="567"/>
        <w:jc w:val="both"/>
        <w:rPr>
          <w:rFonts w:ascii="Times New Roman" w:hAnsi="Times New Roman" w:cs="Times New Roman"/>
          <w:lang w:val="id-ID"/>
        </w:rPr>
      </w:pPr>
      <w:r w:rsidRPr="0062331A">
        <w:rPr>
          <w:rFonts w:ascii="Times New Roman" w:hAnsi="Times New Roman" w:cs="Times New Roman"/>
          <w:lang w:val="id-ID"/>
        </w:rPr>
        <w:t>Based on the results in the table</w:t>
      </w:r>
      <w:r w:rsidR="00923D23" w:rsidRPr="0062331A">
        <w:rPr>
          <w:rFonts w:ascii="Times New Roman" w:hAnsi="Times New Roman" w:cs="Times New Roman"/>
          <w:lang w:val="id-ID"/>
        </w:rPr>
        <w:t xml:space="preserve"> 7</w:t>
      </w:r>
      <w:r w:rsidRPr="0062331A">
        <w:rPr>
          <w:rFonts w:ascii="Times New Roman" w:hAnsi="Times New Roman" w:cs="Times New Roman"/>
          <w:lang w:val="id-ID"/>
        </w:rPr>
        <w:t xml:space="preserve">, the concentration of </w:t>
      </w:r>
      <w:r w:rsidR="002949E1" w:rsidRPr="00C47D5C">
        <w:rPr>
          <w:rFonts w:ascii="Times New Roman" w:hAnsi="Times New Roman" w:cs="Times New Roman"/>
          <w:i/>
          <w:iCs/>
          <w:lang w:val="id-ID"/>
        </w:rPr>
        <w:t>P. indica</w:t>
      </w:r>
      <w:r w:rsidRPr="0062331A">
        <w:rPr>
          <w:rFonts w:ascii="Times New Roman" w:hAnsi="Times New Roman" w:cs="Times New Roman"/>
          <w:lang w:val="id-ID"/>
        </w:rPr>
        <w:t xml:space="preserve"> leaf extract that caused approximately 50% mortality in </w:t>
      </w:r>
      <w:r w:rsidR="00C47D5C" w:rsidRPr="00C47D5C">
        <w:rPr>
          <w:rFonts w:ascii="Times New Roman" w:hAnsi="Times New Roman" w:cs="Times New Roman"/>
          <w:lang w:val="id-ID"/>
        </w:rPr>
        <w:t>whiteleg</w:t>
      </w:r>
      <w:r w:rsidRPr="0062331A">
        <w:rPr>
          <w:rFonts w:ascii="Times New Roman" w:hAnsi="Times New Roman" w:cs="Times New Roman"/>
          <w:lang w:val="id-ID"/>
        </w:rPr>
        <w:t xml:space="preserve"> shrimp was 316.23 ppm. Furthermore, the nearest concentration causing greater than 50% mortality was 562.33 ppm. Therefore, the </w:t>
      </w:r>
      <w:r w:rsidRPr="0062331A">
        <w:rPr>
          <w:rFonts w:ascii="Times New Roman" w:hAnsi="Times New Roman" w:cs="Times New Roman"/>
          <w:kern w:val="0"/>
          <w:lang w:val="id-ID"/>
          <w14:ligatures w14:val="none"/>
        </w:rPr>
        <w:t>LC</w:t>
      </w:r>
      <w:r w:rsidRPr="0062331A">
        <w:rPr>
          <w:rFonts w:ascii="Times New Roman" w:hAnsi="Times New Roman" w:cs="Times New Roman"/>
          <w:kern w:val="0"/>
          <w:vertAlign w:val="subscript"/>
          <w:lang w:val="id-ID"/>
          <w14:ligatures w14:val="none"/>
        </w:rPr>
        <w:t>50</w:t>
      </w:r>
      <w:r w:rsidRPr="0062331A">
        <w:rPr>
          <w:rFonts w:ascii="Times New Roman" w:hAnsi="Times New Roman" w:cs="Times New Roman"/>
          <w:lang w:val="id-ID"/>
        </w:rPr>
        <w:t xml:space="preserve"> value for </w:t>
      </w:r>
      <w:r w:rsidR="002949E1" w:rsidRPr="00C47D5C">
        <w:rPr>
          <w:rFonts w:ascii="Times New Roman" w:hAnsi="Times New Roman" w:cs="Times New Roman"/>
          <w:i/>
          <w:iCs/>
          <w:lang w:val="id-ID"/>
        </w:rPr>
        <w:t>P. indica</w:t>
      </w:r>
      <w:r w:rsidRPr="00C47D5C">
        <w:rPr>
          <w:rFonts w:ascii="Times New Roman" w:hAnsi="Times New Roman" w:cs="Times New Roman"/>
          <w:i/>
          <w:iCs/>
          <w:lang w:val="id-ID"/>
        </w:rPr>
        <w:t xml:space="preserve"> </w:t>
      </w:r>
      <w:r w:rsidRPr="0062331A">
        <w:rPr>
          <w:rFonts w:ascii="Times New Roman" w:hAnsi="Times New Roman" w:cs="Times New Roman"/>
          <w:lang w:val="id-ID"/>
        </w:rPr>
        <w:t>leaf extract lies between 316.23 and 562.33 ppm.</w:t>
      </w:r>
      <w:r w:rsidR="002073E2" w:rsidRPr="0062331A">
        <w:rPr>
          <w:rFonts w:ascii="Times New Roman" w:hAnsi="Times New Roman" w:cs="Times New Roman"/>
        </w:rPr>
        <w:t xml:space="preserve"> </w:t>
      </w:r>
      <w:r w:rsidRPr="0062331A">
        <w:rPr>
          <w:rFonts w:ascii="Times New Roman" w:hAnsi="Times New Roman" w:cs="Times New Roman"/>
          <w:lang w:val="id-ID"/>
        </w:rPr>
        <w:t xml:space="preserve">Probit analysis produced a regression equation of Y = 3608X − 45111, as illustrated in Figure 1. </w:t>
      </w:r>
    </w:p>
    <w:p w14:paraId="6714E686" w14:textId="6B8BEE32" w:rsidR="00923D23" w:rsidRPr="0062331A" w:rsidRDefault="00923D23" w:rsidP="00923D23">
      <w:pPr>
        <w:spacing w:after="0"/>
        <w:jc w:val="center"/>
        <w:rPr>
          <w:rFonts w:ascii="Times New Roman" w:hAnsi="Times New Roman" w:cs="Times New Roman"/>
          <w:lang w:val="id-ID"/>
        </w:rPr>
      </w:pPr>
      <w:r w:rsidRPr="0062331A">
        <w:rPr>
          <w:rFonts w:asciiTheme="minorBidi" w:hAnsiTheme="minorBidi"/>
          <w:noProof/>
        </w:rPr>
        <w:drawing>
          <wp:inline distT="0" distB="0" distL="0" distR="0" wp14:anchorId="723DF749" wp14:editId="2C87C982">
            <wp:extent cx="3234690" cy="1657350"/>
            <wp:effectExtent l="0" t="0" r="3810" b="0"/>
            <wp:docPr id="2109654462" name="Chart 1">
              <a:extLst xmlns:a="http://schemas.openxmlformats.org/drawingml/2006/main">
                <a:ext uri="{FF2B5EF4-FFF2-40B4-BE49-F238E27FC236}">
                  <a16:creationId xmlns:a16="http://schemas.microsoft.com/office/drawing/2014/main" id="{54E52D03-C3ED-52F0-66F3-16EB7785EB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B4CB5D" w14:textId="756E91F8" w:rsidR="00027AF0" w:rsidRPr="0062331A" w:rsidRDefault="00923D23" w:rsidP="00027AF0">
      <w:pPr>
        <w:jc w:val="center"/>
        <w:rPr>
          <w:rFonts w:ascii="Times New Roman" w:hAnsi="Times New Roman" w:cs="Times New Roman"/>
        </w:rPr>
      </w:pPr>
      <w:r w:rsidRPr="0062331A">
        <w:rPr>
          <w:rFonts w:ascii="Times New Roman" w:hAnsi="Times New Roman" w:cs="Times New Roman"/>
          <w:lang w:val="id-ID"/>
        </w:rPr>
        <w:t xml:space="preserve">Figure 1. </w:t>
      </w:r>
      <w:r w:rsidR="00027AF0" w:rsidRPr="0062331A">
        <w:rPr>
          <w:rFonts w:ascii="Times New Roman" w:hAnsi="Times New Roman" w:cs="Times New Roman"/>
          <w:lang w:val="en"/>
        </w:rPr>
        <w:t xml:space="preserve">Regression Equation of </w:t>
      </w:r>
      <w:r w:rsidR="002949E1" w:rsidRPr="00C80D32">
        <w:rPr>
          <w:rFonts w:ascii="Times New Roman" w:hAnsi="Times New Roman" w:cs="Times New Roman"/>
          <w:i/>
          <w:iCs/>
          <w:lang w:val="en"/>
        </w:rPr>
        <w:t>P. indica</w:t>
      </w:r>
      <w:r w:rsidR="00027AF0" w:rsidRPr="0062331A">
        <w:rPr>
          <w:rFonts w:ascii="Times New Roman" w:hAnsi="Times New Roman" w:cs="Times New Roman"/>
          <w:lang w:val="en"/>
        </w:rPr>
        <w:t xml:space="preserve"> Leaf Extract Concentration</w:t>
      </w:r>
    </w:p>
    <w:p w14:paraId="5C0B1348" w14:textId="20A1D85C" w:rsidR="00F82F80" w:rsidRPr="0062331A" w:rsidRDefault="00F82F80" w:rsidP="00C80D32">
      <w:pPr>
        <w:spacing w:after="240" w:line="240" w:lineRule="auto"/>
        <w:jc w:val="both"/>
        <w:rPr>
          <w:rFonts w:ascii="Times New Roman" w:hAnsi="Times New Roman" w:cs="Times New Roman"/>
        </w:rPr>
      </w:pPr>
      <w:r w:rsidRPr="0062331A">
        <w:rPr>
          <w:rFonts w:ascii="Times New Roman" w:hAnsi="Times New Roman" w:cs="Times New Roman"/>
          <w:lang w:val="id-ID"/>
        </w:rPr>
        <w:lastRenderedPageBreak/>
        <w:t xml:space="preserve">Based on this regression model, the </w:t>
      </w:r>
      <w:r w:rsidR="002073E2" w:rsidRPr="0062331A">
        <w:rPr>
          <w:rFonts w:ascii="Times New Roman" w:hAnsi="Times New Roman" w:cs="Times New Roman"/>
          <w:kern w:val="0"/>
          <w:lang w:val="id-ID"/>
          <w14:ligatures w14:val="none"/>
        </w:rPr>
        <w:t>LC</w:t>
      </w:r>
      <w:r w:rsidR="002073E2" w:rsidRPr="0062331A">
        <w:rPr>
          <w:rFonts w:ascii="Times New Roman" w:hAnsi="Times New Roman" w:cs="Times New Roman"/>
          <w:kern w:val="0"/>
          <w:vertAlign w:val="subscript"/>
          <w:lang w:val="id-ID"/>
          <w14:ligatures w14:val="none"/>
        </w:rPr>
        <w:t>50</w:t>
      </w:r>
      <w:r w:rsidR="002073E2" w:rsidRPr="0062331A">
        <w:rPr>
          <w:rFonts w:ascii="Times New Roman" w:hAnsi="Times New Roman" w:cs="Times New Roman"/>
        </w:rPr>
        <w:t>-</w:t>
      </w:r>
      <w:r w:rsidRPr="0062331A">
        <w:rPr>
          <w:rFonts w:ascii="Times New Roman" w:hAnsi="Times New Roman" w:cs="Times New Roman"/>
          <w:lang w:val="id-ID"/>
        </w:rPr>
        <w:t>96 hour</w:t>
      </w:r>
      <w:r w:rsidR="002073E2" w:rsidRPr="0062331A">
        <w:rPr>
          <w:rFonts w:ascii="Times New Roman" w:hAnsi="Times New Roman" w:cs="Times New Roman"/>
        </w:rPr>
        <w:t>s</w:t>
      </w:r>
      <w:r w:rsidRPr="0062331A">
        <w:rPr>
          <w:rFonts w:ascii="Times New Roman" w:hAnsi="Times New Roman" w:cs="Times New Roman"/>
          <w:lang w:val="id-ID"/>
        </w:rPr>
        <w:t xml:space="preserve"> value of </w:t>
      </w:r>
      <w:r w:rsidR="002949E1" w:rsidRPr="00C47D5C">
        <w:rPr>
          <w:rFonts w:ascii="Times New Roman" w:hAnsi="Times New Roman" w:cs="Times New Roman"/>
          <w:i/>
          <w:iCs/>
          <w:lang w:val="id-ID"/>
        </w:rPr>
        <w:t>P. indica</w:t>
      </w:r>
      <w:r w:rsidRPr="0062331A">
        <w:rPr>
          <w:rFonts w:ascii="Times New Roman" w:hAnsi="Times New Roman" w:cs="Times New Roman"/>
          <w:lang w:val="id-ID"/>
        </w:rPr>
        <w:t xml:space="preserve"> leaf extract for </w:t>
      </w:r>
      <w:r w:rsidR="00C47D5C" w:rsidRPr="00C47D5C">
        <w:rPr>
          <w:rFonts w:ascii="Times New Roman" w:hAnsi="Times New Roman" w:cs="Times New Roman"/>
          <w:lang w:val="id-ID"/>
        </w:rPr>
        <w:t>whiteleg</w:t>
      </w:r>
      <w:r w:rsidRPr="0062331A">
        <w:rPr>
          <w:rFonts w:ascii="Times New Roman" w:hAnsi="Times New Roman" w:cs="Times New Roman"/>
          <w:lang w:val="id-ID"/>
        </w:rPr>
        <w:t>i shrimp was calculated to be 432.51 ppm.</w:t>
      </w:r>
    </w:p>
    <w:p w14:paraId="510E658A" w14:textId="347B0AFD" w:rsidR="000B3555" w:rsidRPr="0062331A" w:rsidRDefault="00A562FF" w:rsidP="00A562FF">
      <w:pPr>
        <w:spacing w:line="240" w:lineRule="auto"/>
        <w:jc w:val="center"/>
        <w:rPr>
          <w:rFonts w:ascii="Times New Roman" w:hAnsi="Times New Roman" w:cs="Times New Roman"/>
          <w:b/>
          <w:bCs/>
        </w:rPr>
      </w:pPr>
      <w:r w:rsidRPr="0062331A">
        <w:rPr>
          <w:rFonts w:ascii="Times New Roman" w:hAnsi="Times New Roman" w:cs="Times New Roman"/>
          <w:b/>
          <w:bCs/>
        </w:rPr>
        <w:t>DISCUSSION</w:t>
      </w:r>
    </w:p>
    <w:p w14:paraId="305A506D" w14:textId="7233070B" w:rsidR="000B3555" w:rsidRPr="0062331A" w:rsidRDefault="002073E2" w:rsidP="000B3555">
      <w:pPr>
        <w:spacing w:after="0" w:line="240" w:lineRule="auto"/>
        <w:jc w:val="both"/>
        <w:rPr>
          <w:rFonts w:ascii="Times New Roman" w:hAnsi="Times New Roman" w:cs="Times New Roman"/>
          <w:b/>
          <w:bCs/>
        </w:rPr>
      </w:pPr>
      <w:r w:rsidRPr="0062331A">
        <w:rPr>
          <w:rFonts w:ascii="Times New Roman" w:hAnsi="Times New Roman" w:cs="Times New Roman"/>
          <w:b/>
          <w:bCs/>
        </w:rPr>
        <w:t>Antibacterial Activity</w:t>
      </w:r>
    </w:p>
    <w:p w14:paraId="3D553D94" w14:textId="4CABAD42" w:rsidR="008B3724" w:rsidRPr="0062331A" w:rsidRDefault="002073E2" w:rsidP="008B3724">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result of the inhibition zone test 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began to form an average inhibition zone against </w:t>
      </w:r>
      <w:r w:rsidRPr="0062331A">
        <w:rPr>
          <w:rFonts w:ascii="Times New Roman" w:hAnsi="Times New Roman" w:cs="Times New Roman"/>
          <w:i/>
          <w:iCs/>
        </w:rPr>
        <w:t>V. parahaemolyticus</w:t>
      </w:r>
      <w:r w:rsidRPr="0062331A">
        <w:rPr>
          <w:rFonts w:ascii="Times New Roman" w:hAnsi="Times New Roman" w:cs="Times New Roman"/>
        </w:rPr>
        <w:t xml:space="preserve"> bacteria of </w:t>
      </w:r>
      <w:r w:rsidR="00B17ADD" w:rsidRPr="0062331A">
        <w:rPr>
          <w:rFonts w:ascii="Times New Roman" w:hAnsi="Times New Roman" w:cs="Times New Roman"/>
          <w:lang w:val="id-ID"/>
        </w:rPr>
        <w:t>1.01±0.45</w:t>
      </w:r>
      <w:r w:rsidRPr="0062331A">
        <w:rPr>
          <w:rFonts w:ascii="Times New Roman" w:hAnsi="Times New Roman" w:cs="Times New Roman"/>
        </w:rPr>
        <w:t xml:space="preserve"> mm at a concentration of 1% solution which is still categorized as weak but the higher the concentration of </w:t>
      </w:r>
      <w:r w:rsidR="002949E1" w:rsidRPr="002949E1">
        <w:rPr>
          <w:rFonts w:ascii="Times New Roman" w:hAnsi="Times New Roman" w:cs="Times New Roman"/>
        </w:rPr>
        <w:t>P. indica</w:t>
      </w:r>
      <w:r w:rsidRPr="0062331A">
        <w:rPr>
          <w:rFonts w:ascii="Times New Roman" w:hAnsi="Times New Roman" w:cs="Times New Roman"/>
        </w:rPr>
        <w:t xml:space="preserve"> leaf extract used the higher the inhibition zone formed, namely at a concentration of 10% solution the inhibition zone formed an average of </w:t>
      </w:r>
      <w:r w:rsidR="00B17ADD" w:rsidRPr="0062331A">
        <w:rPr>
          <w:rFonts w:ascii="Times New Roman" w:hAnsi="Times New Roman" w:cs="Times New Roman"/>
          <w:lang w:val="id-ID"/>
        </w:rPr>
        <w:t>8.53±0.58</w:t>
      </w:r>
      <w:r w:rsidRPr="0062331A">
        <w:rPr>
          <w:rFonts w:ascii="Times New Roman" w:hAnsi="Times New Roman" w:cs="Times New Roman"/>
        </w:rPr>
        <w:t xml:space="preserve"> mm with a moderate category and increased the average inhibition zone to a strong category at a concentration of 100% solution with an average of </w:t>
      </w:r>
      <w:r w:rsidR="00B17ADD" w:rsidRPr="0062331A">
        <w:rPr>
          <w:rFonts w:ascii="Times New Roman" w:hAnsi="Times New Roman" w:cs="Times New Roman"/>
          <w:lang w:val="id-ID"/>
        </w:rPr>
        <w:t>13.72±1.09</w:t>
      </w:r>
      <w:r w:rsidRPr="0062331A">
        <w:rPr>
          <w:rFonts w:ascii="Times New Roman" w:hAnsi="Times New Roman" w:cs="Times New Roman"/>
        </w:rPr>
        <w:t xml:space="preserve"> mm.</w:t>
      </w:r>
      <w:r w:rsidR="00B17ADD" w:rsidRPr="0062331A">
        <w:rPr>
          <w:rFonts w:ascii="Times New Roman" w:hAnsi="Times New Roman" w:cs="Times New Roman"/>
        </w:rPr>
        <w:t xml:space="preserve"> These results are still lower than those reported by Wahyuni et al. (2024), who observed inhibition zones against </w:t>
      </w:r>
      <w:r w:rsidR="00B17ADD" w:rsidRPr="0062331A">
        <w:rPr>
          <w:rFonts w:ascii="Times New Roman" w:hAnsi="Times New Roman" w:cs="Times New Roman"/>
          <w:i/>
          <w:iCs/>
        </w:rPr>
        <w:t>E. coli</w:t>
      </w:r>
      <w:r w:rsidR="00B17ADD" w:rsidRPr="0062331A">
        <w:rPr>
          <w:rFonts w:ascii="Times New Roman" w:hAnsi="Times New Roman" w:cs="Times New Roman"/>
        </w:rPr>
        <w:t xml:space="preserve"> and </w:t>
      </w:r>
      <w:r w:rsidR="00B17ADD" w:rsidRPr="0062331A">
        <w:rPr>
          <w:rFonts w:ascii="Times New Roman" w:hAnsi="Times New Roman" w:cs="Times New Roman"/>
          <w:i/>
          <w:iCs/>
        </w:rPr>
        <w:t>B. subtilis</w:t>
      </w:r>
      <w:r w:rsidR="00B17ADD" w:rsidRPr="0062331A">
        <w:rPr>
          <w:rFonts w:ascii="Times New Roman" w:hAnsi="Times New Roman" w:cs="Times New Roman"/>
        </w:rPr>
        <w:t xml:space="preserve"> with average diameters of 31,86 mm and 21,09 mm, respectively, using a 50% </w:t>
      </w:r>
      <w:r w:rsidR="002949E1" w:rsidRPr="002949E1">
        <w:rPr>
          <w:rFonts w:ascii="Times New Roman" w:hAnsi="Times New Roman" w:cs="Times New Roman"/>
        </w:rPr>
        <w:t>P. indica</w:t>
      </w:r>
      <w:r w:rsidR="00B17ADD" w:rsidRPr="0062331A">
        <w:rPr>
          <w:rFonts w:ascii="Times New Roman" w:hAnsi="Times New Roman" w:cs="Times New Roman"/>
        </w:rPr>
        <w:t xml:space="preserve"> leaf extract concentration. However, the present study demonstrates better antibacterial activity than the findings of Lestari et al. (2020), which reported inhibition zones of only 5,4 mm and 4,8 mm against </w:t>
      </w:r>
      <w:r w:rsidR="00B17ADD" w:rsidRPr="0062331A">
        <w:rPr>
          <w:rFonts w:ascii="Times New Roman" w:hAnsi="Times New Roman" w:cs="Times New Roman"/>
          <w:i/>
          <w:iCs/>
        </w:rPr>
        <w:t>E. coli</w:t>
      </w:r>
      <w:r w:rsidR="00B17ADD" w:rsidRPr="0062331A">
        <w:rPr>
          <w:rFonts w:ascii="Times New Roman" w:hAnsi="Times New Roman" w:cs="Times New Roman"/>
        </w:rPr>
        <w:t xml:space="preserve"> and </w:t>
      </w:r>
      <w:r w:rsidR="00B17ADD" w:rsidRPr="0062331A">
        <w:rPr>
          <w:rFonts w:ascii="Times New Roman" w:hAnsi="Times New Roman" w:cs="Times New Roman"/>
          <w:i/>
          <w:iCs/>
        </w:rPr>
        <w:t>B. subtilis</w:t>
      </w:r>
      <w:r w:rsidR="00B17ADD" w:rsidRPr="0062331A">
        <w:rPr>
          <w:rFonts w:ascii="Times New Roman" w:hAnsi="Times New Roman" w:cs="Times New Roman"/>
        </w:rPr>
        <w:t xml:space="preserve">, respectively, using a maximum concentration of 0,25% </w:t>
      </w:r>
      <w:r w:rsidR="002949E1" w:rsidRPr="00C47D5C">
        <w:rPr>
          <w:rFonts w:ascii="Times New Roman" w:hAnsi="Times New Roman" w:cs="Times New Roman"/>
          <w:i/>
          <w:iCs/>
        </w:rPr>
        <w:t>P. indica</w:t>
      </w:r>
      <w:r w:rsidR="00B17ADD" w:rsidRPr="0062331A">
        <w:rPr>
          <w:rFonts w:ascii="Times New Roman" w:hAnsi="Times New Roman" w:cs="Times New Roman"/>
        </w:rPr>
        <w:t xml:space="preserve"> leaf extract. </w:t>
      </w:r>
      <w:r w:rsidR="008B3724" w:rsidRPr="0062331A">
        <w:rPr>
          <w:rFonts w:ascii="Times New Roman" w:hAnsi="Times New Roman" w:cs="Times New Roman"/>
        </w:rPr>
        <w:t xml:space="preserve">The difference in antibacterial ability is due to several factors from the concentration of the ingredients used. </w:t>
      </w:r>
      <w:r w:rsidR="00B17ADD" w:rsidRPr="0062331A">
        <w:rPr>
          <w:rFonts w:ascii="Times New Roman" w:hAnsi="Times New Roman" w:cs="Times New Roman"/>
        </w:rPr>
        <w:t xml:space="preserve">According to Kovács et al. (2022), the effectiveness of an antibacterial agent generally increases with concentration, up to a certain threshold. Additionally, differences in species, strains, and bacterial loads affect sensitivity to antibacterial agents (Li </w:t>
      </w:r>
      <w:r w:rsidR="00A562FF" w:rsidRPr="00A562FF">
        <w:rPr>
          <w:rFonts w:ascii="Times New Roman" w:hAnsi="Times New Roman" w:cs="Times New Roman"/>
          <w:i/>
          <w:iCs/>
        </w:rPr>
        <w:t>et al.,</w:t>
      </w:r>
      <w:r w:rsidR="00B17ADD" w:rsidRPr="0062331A">
        <w:rPr>
          <w:rFonts w:ascii="Times New Roman" w:hAnsi="Times New Roman" w:cs="Times New Roman"/>
        </w:rPr>
        <w:t xml:space="preserve"> 2017). </w:t>
      </w:r>
      <w:r w:rsidR="008B3724" w:rsidRPr="0062331A">
        <w:rPr>
          <w:rFonts w:ascii="Times New Roman" w:hAnsi="Times New Roman" w:cs="Times New Roman"/>
        </w:rPr>
        <w:t>The living environment of antibacterial agents determines the effectiveness of antibacterial agents because different environmental conditions affect the amount and type of active compounds (</w:t>
      </w:r>
      <w:proofErr w:type="spellStart"/>
      <w:r w:rsidR="008B3724" w:rsidRPr="0062331A">
        <w:rPr>
          <w:rFonts w:ascii="Times New Roman" w:hAnsi="Times New Roman" w:cs="Times New Roman"/>
        </w:rPr>
        <w:t>Lavaee</w:t>
      </w:r>
      <w:proofErr w:type="spellEnd"/>
      <w:r w:rsidR="008B3724" w:rsidRPr="0062331A">
        <w:rPr>
          <w:rFonts w:ascii="Times New Roman" w:hAnsi="Times New Roman" w:cs="Times New Roman"/>
        </w:rPr>
        <w:t xml:space="preserve"> </w:t>
      </w:r>
      <w:r w:rsidR="00A562FF" w:rsidRPr="00A562FF">
        <w:rPr>
          <w:rFonts w:ascii="Times New Roman" w:hAnsi="Times New Roman" w:cs="Times New Roman"/>
          <w:i/>
          <w:iCs/>
        </w:rPr>
        <w:t>et al.,</w:t>
      </w:r>
      <w:r w:rsidR="008B3724" w:rsidRPr="0062331A">
        <w:rPr>
          <w:rFonts w:ascii="Times New Roman" w:hAnsi="Times New Roman" w:cs="Times New Roman"/>
        </w:rPr>
        <w:t xml:space="preserve"> 2021).</w:t>
      </w:r>
    </w:p>
    <w:p w14:paraId="37BC2A83" w14:textId="5A2B3D20" w:rsidR="00F1596B" w:rsidRPr="0062331A" w:rsidRDefault="00F1596B" w:rsidP="008B3724">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results of secondary metabolite screening 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revealed the presence of flavonoids, alkaloids, tannins, saponins, phenolics, terpenoids, and glycosides. Alkaloids have broad antibacterial properties with good antibacterial effects against common clinical strains, including drug-resistant bacteria (Yan </w:t>
      </w:r>
      <w:r w:rsidR="00A562FF" w:rsidRPr="00A562FF">
        <w:rPr>
          <w:rFonts w:ascii="Times New Roman" w:hAnsi="Times New Roman" w:cs="Times New Roman"/>
          <w:i/>
          <w:iCs/>
        </w:rPr>
        <w:t>et al.,</w:t>
      </w:r>
      <w:r w:rsidRPr="0062331A">
        <w:rPr>
          <w:rFonts w:ascii="Times New Roman" w:hAnsi="Times New Roman" w:cs="Times New Roman"/>
        </w:rPr>
        <w:t xml:space="preserve"> 2021). In addition, </w:t>
      </w:r>
      <w:r w:rsidR="00C8748E" w:rsidRPr="0062331A">
        <w:rPr>
          <w:rFonts w:ascii="Times New Roman" w:hAnsi="Times New Roman" w:cs="Times New Roman"/>
        </w:rPr>
        <w:t xml:space="preserve">their antibacterial mechanisms include inhibition of nucleic acid synthesis, disruption of peptidoglycan and protein components in bacterial cells, interference with bacterial efflux pump functions, inhibition of metabolic pathways, and modification of bacterial cell membrane permeability. These actions result in structural damage to the bacterial cell wall and membrane, ultimately compromising cell integrity </w:t>
      </w:r>
      <w:r w:rsidRPr="0062331A">
        <w:rPr>
          <w:rFonts w:ascii="Times New Roman" w:hAnsi="Times New Roman" w:cs="Times New Roman"/>
        </w:rPr>
        <w:t xml:space="preserve">(Zhang </w:t>
      </w:r>
      <w:r w:rsidR="00A562FF" w:rsidRPr="00A562FF">
        <w:rPr>
          <w:rFonts w:ascii="Times New Roman" w:hAnsi="Times New Roman" w:cs="Times New Roman"/>
          <w:i/>
          <w:iCs/>
        </w:rPr>
        <w:t>et al.,</w:t>
      </w:r>
      <w:r w:rsidRPr="0062331A">
        <w:rPr>
          <w:rFonts w:ascii="Times New Roman" w:hAnsi="Times New Roman" w:cs="Times New Roman"/>
        </w:rPr>
        <w:t xml:space="preserve"> 2020). The bacterial efflux pump functions to expel toxic substances from the cell, and its inhibition can enhance antibacterial efficacy (Salas-Orozco </w:t>
      </w:r>
      <w:r w:rsidR="00A562FF" w:rsidRPr="00A562FF">
        <w:rPr>
          <w:rFonts w:ascii="Times New Roman" w:hAnsi="Times New Roman" w:cs="Times New Roman"/>
          <w:i/>
          <w:iCs/>
        </w:rPr>
        <w:t>et al.,</w:t>
      </w:r>
      <w:r w:rsidRPr="0062331A">
        <w:rPr>
          <w:rFonts w:ascii="Times New Roman" w:hAnsi="Times New Roman" w:cs="Times New Roman"/>
        </w:rPr>
        <w:t xml:space="preserve"> 2024).</w:t>
      </w:r>
    </w:p>
    <w:p w14:paraId="4C51F87A" w14:textId="3C2CDB40" w:rsidR="005025AB" w:rsidRPr="0062331A" w:rsidRDefault="00C8748E" w:rsidP="00C8748E">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Flavonoids become antibacterial agents by weakening bacterial pathogenicity and disrupting the cell membrane through protein denaturation, leading to structural changes such as porin alteration and inhibition of energy metabolism (Xie </w:t>
      </w:r>
      <w:r w:rsidR="00A562FF" w:rsidRPr="00A562FF">
        <w:rPr>
          <w:rFonts w:ascii="Times New Roman" w:hAnsi="Times New Roman" w:cs="Times New Roman"/>
          <w:i/>
          <w:iCs/>
        </w:rPr>
        <w:t>et al.,</w:t>
      </w:r>
      <w:r w:rsidRPr="0062331A">
        <w:rPr>
          <w:rFonts w:ascii="Times New Roman" w:hAnsi="Times New Roman" w:cs="Times New Roman"/>
        </w:rPr>
        <w:t xml:space="preserve"> 2015). They also serve as antibiofilm agents, further preventing bacterial growth (Lopes </w:t>
      </w:r>
      <w:r w:rsidR="00A562FF" w:rsidRPr="00A562FF">
        <w:rPr>
          <w:rFonts w:ascii="Times New Roman" w:hAnsi="Times New Roman" w:cs="Times New Roman"/>
          <w:i/>
          <w:iCs/>
        </w:rPr>
        <w:t>et al.,</w:t>
      </w:r>
      <w:r w:rsidRPr="0062331A">
        <w:rPr>
          <w:rFonts w:ascii="Times New Roman" w:hAnsi="Times New Roman" w:cs="Times New Roman"/>
        </w:rPr>
        <w:t xml:space="preserve"> 2017). Additionally, flavonoids can inhibit nucleic acid synthesis by targeting key enzymes such as helicase, dihydrofolate reductase (DHFR), and topoisomerase/gyrase (</w:t>
      </w:r>
      <w:proofErr w:type="spellStart"/>
      <w:r w:rsidRPr="0062331A">
        <w:rPr>
          <w:rFonts w:ascii="Times New Roman" w:hAnsi="Times New Roman" w:cs="Times New Roman"/>
        </w:rPr>
        <w:t>Górniak</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2018). </w:t>
      </w:r>
    </w:p>
    <w:p w14:paraId="123A8F3E" w14:textId="4D50FDBA" w:rsidR="005025AB" w:rsidRPr="0062331A" w:rsidRDefault="00C8748E" w:rsidP="00C8748E">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Some other phenol compounds such as tannins also function in disrupting the rate of bacterial cell protein transport by inhibiting the bacterial fatty acid biosynthesis pathway and tannins also function to weaken virulence factors from bacteria such as toxicity, motility, enzymes, adhesins, and biofilms (Farha </w:t>
      </w:r>
      <w:r w:rsidR="00A562FF" w:rsidRPr="00A562FF">
        <w:rPr>
          <w:rFonts w:ascii="Times New Roman" w:hAnsi="Times New Roman" w:cs="Times New Roman"/>
          <w:i/>
          <w:iCs/>
        </w:rPr>
        <w:t>et al.,</w:t>
      </w:r>
      <w:r w:rsidRPr="0062331A">
        <w:rPr>
          <w:rFonts w:ascii="Times New Roman" w:hAnsi="Times New Roman" w:cs="Times New Roman"/>
        </w:rPr>
        <w:t xml:space="preserve"> 2020).</w:t>
      </w:r>
      <w:r w:rsidR="005025AB" w:rsidRPr="0062331A">
        <w:rPr>
          <w:rFonts w:ascii="Times New Roman" w:hAnsi="Times New Roman" w:cs="Times New Roman"/>
        </w:rPr>
        <w:t xml:space="preserve"> They can also penetrate the bacterial cell wall and membrane,</w:t>
      </w:r>
      <w:r w:rsidR="00133346" w:rsidRPr="0062331A">
        <w:rPr>
          <w:rFonts w:ascii="Times New Roman" w:hAnsi="Times New Roman" w:cs="Times New Roman"/>
        </w:rPr>
        <w:t xml:space="preserve"> </w:t>
      </w:r>
      <w:r w:rsidR="005025AB" w:rsidRPr="0062331A">
        <w:rPr>
          <w:rFonts w:ascii="Times New Roman" w:hAnsi="Times New Roman" w:cs="Times New Roman"/>
        </w:rPr>
        <w:t>disrupting</w:t>
      </w:r>
      <w:r w:rsidR="00133346" w:rsidRPr="0062331A">
        <w:rPr>
          <w:rFonts w:ascii="Times New Roman" w:hAnsi="Times New Roman" w:cs="Times New Roman"/>
        </w:rPr>
        <w:t xml:space="preserve"> </w:t>
      </w:r>
      <w:r w:rsidR="005025AB" w:rsidRPr="0062331A">
        <w:rPr>
          <w:rFonts w:ascii="Times New Roman" w:hAnsi="Times New Roman" w:cs="Times New Roman"/>
        </w:rPr>
        <w:t xml:space="preserve">cellular metabolism and causing membrane damage (Kaczmarek, 2020). Similarly, other phenolic compounds such as preventing enzyme performance, biofilm formation to damage the bacterial cell membrane. Phenolics are able to penetrate to damage bacterial DNA to reach the DNA helix so that they can carry out mechanisms such as replication, recombination to transcription in bacterial DNA and phenolics </w:t>
      </w:r>
      <w:r w:rsidR="005025AB" w:rsidRPr="0062331A">
        <w:rPr>
          <w:rFonts w:ascii="Times New Roman" w:hAnsi="Times New Roman" w:cs="Times New Roman"/>
        </w:rPr>
        <w:lastRenderedPageBreak/>
        <w:t>are able to interact with proteins and cell walls and damage the cytoplasm resulting in inhibition of energy metabolism in bacterial cells (</w:t>
      </w:r>
      <w:proofErr w:type="spellStart"/>
      <w:r w:rsidR="005025AB" w:rsidRPr="0062331A">
        <w:rPr>
          <w:rFonts w:ascii="Times New Roman" w:hAnsi="Times New Roman" w:cs="Times New Roman"/>
        </w:rPr>
        <w:t>Lubiuc</w:t>
      </w:r>
      <w:proofErr w:type="spellEnd"/>
      <w:r w:rsidR="005025AB" w:rsidRPr="0062331A">
        <w:rPr>
          <w:rFonts w:ascii="Times New Roman" w:hAnsi="Times New Roman" w:cs="Times New Roman"/>
        </w:rPr>
        <w:t xml:space="preserve"> </w:t>
      </w:r>
      <w:r w:rsidR="00A562FF" w:rsidRPr="00A562FF">
        <w:rPr>
          <w:rFonts w:ascii="Times New Roman" w:hAnsi="Times New Roman" w:cs="Times New Roman"/>
          <w:i/>
          <w:iCs/>
        </w:rPr>
        <w:t>et al.,</w:t>
      </w:r>
      <w:r w:rsidR="005025AB" w:rsidRPr="0062331A">
        <w:rPr>
          <w:rFonts w:ascii="Times New Roman" w:hAnsi="Times New Roman" w:cs="Times New Roman"/>
        </w:rPr>
        <w:t xml:space="preserve"> 2023). </w:t>
      </w:r>
    </w:p>
    <w:p w14:paraId="59FF5D3D" w14:textId="4E00CEDD" w:rsidR="000B3555" w:rsidRPr="0062331A" w:rsidRDefault="005025AB" w:rsidP="00AD08FD">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Saponins present in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contribute to </w:t>
      </w:r>
      <w:r w:rsidR="00AD08FD" w:rsidRPr="0062331A">
        <w:rPr>
          <w:rFonts w:ascii="Times New Roman" w:hAnsi="Times New Roman" w:cs="Times New Roman"/>
        </w:rPr>
        <w:t>damage cell membrane permeability and denature proteins and enzymes of bacterial cells, because saponins have basic properties such as detergents that can erode or reduce the surface tension of bacterial cell walls and result in leakage of proteins and enzymes from the cell and can facilitate the entry of other antibiotic substances into cells through cell wall membranes</w:t>
      </w:r>
      <w:r w:rsidR="000B3555" w:rsidRPr="0062331A">
        <w:rPr>
          <w:rFonts w:ascii="Times New Roman" w:hAnsi="Times New Roman" w:cs="Times New Roman"/>
        </w:rPr>
        <w:t xml:space="preserve"> (Putri </w:t>
      </w:r>
      <w:r w:rsidR="00A562FF" w:rsidRPr="00A562FF">
        <w:rPr>
          <w:rFonts w:ascii="Times New Roman" w:hAnsi="Times New Roman" w:cs="Times New Roman"/>
          <w:i/>
          <w:iCs/>
        </w:rPr>
        <w:t>et al.,</w:t>
      </w:r>
      <w:r w:rsidR="000B3555" w:rsidRPr="0062331A">
        <w:rPr>
          <w:rFonts w:ascii="Times New Roman" w:hAnsi="Times New Roman" w:cs="Times New Roman"/>
        </w:rPr>
        <w:t xml:space="preserve"> 2023).</w:t>
      </w:r>
    </w:p>
    <w:p w14:paraId="631D9737" w14:textId="54D6C41C" w:rsidR="00AD08FD" w:rsidRPr="0062331A" w:rsidRDefault="00AD08FD"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Terpenoids in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act as antibacterial agents by interacting with porins in the bacterial cell membrane, forming strong polymers that destroy porins and reduce membrane permeability. This disruption impairs the transport of essential nutrients such as proteins and enzymes, leading to bacterial malnutrition, inhibited growth, or cell death (</w:t>
      </w:r>
      <w:proofErr w:type="spellStart"/>
      <w:r w:rsidRPr="0062331A">
        <w:rPr>
          <w:rFonts w:ascii="Times New Roman" w:hAnsi="Times New Roman" w:cs="Times New Roman"/>
        </w:rPr>
        <w:t>Aulia</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2023). According to Huang et al. (2022), the lipophilic nature of terpenoids allows them to pass through the phospholipid bilayer of bacterial membranes, leading to further structural disruption. Terpenoids can also inhibit essential bacterial enzymes (</w:t>
      </w:r>
      <w:proofErr w:type="spellStart"/>
      <w:r w:rsidRPr="0062331A">
        <w:rPr>
          <w:rFonts w:ascii="Times New Roman" w:hAnsi="Times New Roman" w:cs="Times New Roman"/>
        </w:rPr>
        <w:t>Mahizan</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2019), oxidatively damage nucleic acids and proteins, and inactivate bacterial protein functions (Yang </w:t>
      </w:r>
      <w:r w:rsidR="00A562FF" w:rsidRPr="00A562FF">
        <w:rPr>
          <w:rFonts w:ascii="Times New Roman" w:hAnsi="Times New Roman" w:cs="Times New Roman"/>
          <w:i/>
          <w:iCs/>
        </w:rPr>
        <w:t>et al.,</w:t>
      </w:r>
      <w:r w:rsidRPr="0062331A">
        <w:rPr>
          <w:rFonts w:ascii="Times New Roman" w:hAnsi="Times New Roman" w:cs="Times New Roman"/>
        </w:rPr>
        <w:t xml:space="preserve"> 2021). Additionally, terpenoids are known to inhibit quorum sensing, a bacterial communication system that contributes to antibiotic resistance (Huang </w:t>
      </w:r>
      <w:r w:rsidR="00A562FF" w:rsidRPr="00A562FF">
        <w:rPr>
          <w:rFonts w:ascii="Times New Roman" w:hAnsi="Times New Roman" w:cs="Times New Roman"/>
          <w:i/>
          <w:iCs/>
        </w:rPr>
        <w:t>et al.,</w:t>
      </w:r>
      <w:r w:rsidRPr="0062331A">
        <w:rPr>
          <w:rFonts w:ascii="Times New Roman" w:hAnsi="Times New Roman" w:cs="Times New Roman"/>
        </w:rPr>
        <w:t xml:space="preserve"> 2022). </w:t>
      </w:r>
    </w:p>
    <w:p w14:paraId="244711A3" w14:textId="5F1587DD" w:rsidR="000B3555" w:rsidRPr="0062331A" w:rsidRDefault="00AD08FD" w:rsidP="00AD08FD">
      <w:pPr>
        <w:spacing w:after="0" w:line="240" w:lineRule="auto"/>
        <w:ind w:firstLine="567"/>
        <w:jc w:val="both"/>
        <w:rPr>
          <w:rFonts w:ascii="Times New Roman" w:hAnsi="Times New Roman" w:cs="Times New Roman"/>
        </w:rPr>
      </w:pPr>
      <w:r w:rsidRPr="0062331A">
        <w:rPr>
          <w:rFonts w:ascii="Times New Roman" w:hAnsi="Times New Roman" w:cs="Times New Roman"/>
        </w:rPr>
        <w:t>Glycoside compounds in</w:t>
      </w:r>
      <w:r w:rsidRPr="00C47D5C">
        <w:rPr>
          <w:rFonts w:ascii="Times New Roman" w:hAnsi="Times New Roman" w:cs="Times New Roman"/>
          <w:i/>
          <w:iCs/>
        </w:rPr>
        <w:t xml:space="preserve">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exhibit antibacterial activity by disrupting the bacterial cytoplasm and causing cell lysis. Glycosides can penetrate and degrade the structure of bacterial cell walls by altering membrane permeability, which results in the leakage of cellular components and loss of cell integrity (</w:t>
      </w:r>
      <w:proofErr w:type="spellStart"/>
      <w:r w:rsidRPr="0062331A">
        <w:rPr>
          <w:rFonts w:ascii="Times New Roman" w:hAnsi="Times New Roman" w:cs="Times New Roman"/>
        </w:rPr>
        <w:t>Tagousop</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2018).</w:t>
      </w:r>
    </w:p>
    <w:p w14:paraId="3D6E19AE" w14:textId="77777777" w:rsidR="00AD08FD" w:rsidRPr="0062331A" w:rsidRDefault="00AD08FD" w:rsidP="00AD08FD">
      <w:pPr>
        <w:spacing w:after="0" w:line="240" w:lineRule="auto"/>
        <w:ind w:firstLine="567"/>
        <w:jc w:val="both"/>
        <w:rPr>
          <w:rFonts w:ascii="Times New Roman" w:hAnsi="Times New Roman" w:cs="Times New Roman"/>
        </w:rPr>
      </w:pPr>
    </w:p>
    <w:p w14:paraId="557C4F43" w14:textId="54CC7791" w:rsidR="000B3555" w:rsidRPr="0062331A" w:rsidRDefault="00837458" w:rsidP="000B3555">
      <w:pPr>
        <w:spacing w:after="0" w:line="240" w:lineRule="auto"/>
        <w:jc w:val="both"/>
        <w:rPr>
          <w:rFonts w:ascii="Times New Roman" w:hAnsi="Times New Roman" w:cs="Times New Roman"/>
          <w:b/>
          <w:bCs/>
        </w:rPr>
      </w:pPr>
      <w:r w:rsidRPr="0062331A">
        <w:rPr>
          <w:rFonts w:ascii="Times New Roman" w:hAnsi="Times New Roman" w:cs="Times New Roman"/>
          <w:b/>
          <w:bCs/>
        </w:rPr>
        <w:t>Antioxidant Activity</w:t>
      </w:r>
    </w:p>
    <w:p w14:paraId="4B9EA4CD" w14:textId="647506AA" w:rsidR="00837458" w:rsidRPr="0062331A" w:rsidRDefault="00837458" w:rsidP="00A85303">
      <w:pPr>
        <w:spacing w:after="0" w:line="240" w:lineRule="auto"/>
        <w:ind w:firstLine="567"/>
        <w:jc w:val="both"/>
        <w:rPr>
          <w:rFonts w:ascii="Times New Roman" w:hAnsi="Times New Roman" w:cs="Times New Roman"/>
          <w:lang w:val="en-ID"/>
        </w:rPr>
      </w:pPr>
      <w:r w:rsidRPr="0062331A">
        <w:rPr>
          <w:rFonts w:ascii="Times New Roman" w:hAnsi="Times New Roman" w:cs="Times New Roman"/>
          <w:lang w:val="en-ID"/>
        </w:rPr>
        <w:t xml:space="preserve">The antioxidant activity of </w:t>
      </w:r>
      <w:r w:rsidR="002949E1" w:rsidRPr="00C47D5C">
        <w:rPr>
          <w:rFonts w:ascii="Times New Roman" w:hAnsi="Times New Roman" w:cs="Times New Roman"/>
          <w:i/>
          <w:iCs/>
          <w:lang w:val="en-ID"/>
        </w:rPr>
        <w:t>P. indica</w:t>
      </w:r>
      <w:r w:rsidRPr="0062331A">
        <w:rPr>
          <w:rFonts w:ascii="Times New Roman" w:hAnsi="Times New Roman" w:cs="Times New Roman"/>
          <w:lang w:val="en-ID"/>
        </w:rPr>
        <w:t xml:space="preserve"> leaf extract was measured using the DPPH method</w:t>
      </w:r>
      <w:r w:rsidR="00207F2D">
        <w:rPr>
          <w:rFonts w:ascii="Times New Roman" w:hAnsi="Times New Roman" w:cs="Times New Roman"/>
          <w:lang w:val="en-ID"/>
        </w:rPr>
        <w:t xml:space="preserve"> (</w:t>
      </w:r>
      <w:proofErr w:type="spellStart"/>
      <w:r w:rsidR="00207F2D">
        <w:rPr>
          <w:rFonts w:ascii="Times New Roman" w:hAnsi="Times New Roman" w:cs="Times New Roman"/>
          <w:lang w:val="en-ID"/>
        </w:rPr>
        <w:t>Baliyan</w:t>
      </w:r>
      <w:proofErr w:type="spellEnd"/>
      <w:r w:rsidR="00207F2D">
        <w:rPr>
          <w:rFonts w:ascii="Times New Roman" w:hAnsi="Times New Roman" w:cs="Times New Roman"/>
          <w:lang w:val="en-ID"/>
        </w:rPr>
        <w:t xml:space="preserve"> </w:t>
      </w:r>
      <w:r w:rsidR="00207F2D">
        <w:rPr>
          <w:rFonts w:ascii="Times New Roman" w:hAnsi="Times New Roman" w:cs="Times New Roman"/>
          <w:i/>
          <w:iCs/>
          <w:lang w:val="en-ID"/>
        </w:rPr>
        <w:t>et al.,</w:t>
      </w:r>
      <w:r w:rsidR="00207F2D">
        <w:rPr>
          <w:rFonts w:ascii="Times New Roman" w:hAnsi="Times New Roman" w:cs="Times New Roman"/>
          <w:lang w:val="en-ID"/>
        </w:rPr>
        <w:t xml:space="preserve"> 2022)</w:t>
      </w:r>
      <w:r w:rsidRPr="0062331A">
        <w:rPr>
          <w:rFonts w:ascii="Times New Roman" w:hAnsi="Times New Roman" w:cs="Times New Roman"/>
          <w:lang w:val="en-ID"/>
        </w:rPr>
        <w:t xml:space="preserve">. After incubation in a dark room for 30 minutes, absorbance was measured with a UV-Vis spectrophotometer. The results showed that the </w:t>
      </w:r>
      <w:r w:rsidR="002949E1" w:rsidRPr="002949E1">
        <w:rPr>
          <w:rFonts w:ascii="Times New Roman" w:hAnsi="Times New Roman" w:cs="Times New Roman"/>
          <w:lang w:val="en-ID"/>
        </w:rPr>
        <w:t>P. indica</w:t>
      </w:r>
      <w:r w:rsidRPr="0062331A">
        <w:rPr>
          <w:rFonts w:ascii="Times New Roman" w:hAnsi="Times New Roman" w:cs="Times New Roman"/>
          <w:lang w:val="en-ID"/>
        </w:rPr>
        <w:t xml:space="preserve"> leaf extract had an average </w:t>
      </w:r>
      <w:r w:rsidR="00C80D32">
        <w:rPr>
          <w:rFonts w:ascii="Times New Roman" w:hAnsi="Times New Roman" w:cs="Times New Roman"/>
          <w:lang w:val="en-ID"/>
        </w:rPr>
        <w:t>E</w:t>
      </w:r>
      <w:r w:rsidRPr="0062331A">
        <w:rPr>
          <w:rFonts w:ascii="Times New Roman" w:hAnsi="Times New Roman" w:cs="Times New Roman"/>
          <w:lang w:val="en-ID"/>
        </w:rPr>
        <w:t xml:space="preserve">C₅₀ value of 82.630 ± 2.76 ppm, which falls into the strong antioxidant category, indicating it is quite effective in scavenging free radicals. According to </w:t>
      </w:r>
      <w:proofErr w:type="spellStart"/>
      <w:r w:rsidRPr="0062331A">
        <w:rPr>
          <w:rFonts w:ascii="Times New Roman" w:hAnsi="Times New Roman" w:cs="Times New Roman"/>
          <w:lang w:val="en-ID"/>
        </w:rPr>
        <w:t>Fitrasyah</w:t>
      </w:r>
      <w:proofErr w:type="spellEnd"/>
      <w:r w:rsidRPr="0062331A">
        <w:rPr>
          <w:rFonts w:ascii="Times New Roman" w:hAnsi="Times New Roman" w:cs="Times New Roman"/>
          <w:lang w:val="en-ID"/>
        </w:rPr>
        <w:t xml:space="preserve"> </w:t>
      </w:r>
      <w:r w:rsidRPr="00207F2D">
        <w:rPr>
          <w:rFonts w:ascii="Times New Roman" w:hAnsi="Times New Roman" w:cs="Times New Roman"/>
          <w:i/>
          <w:iCs/>
          <w:lang w:val="en-ID"/>
        </w:rPr>
        <w:t>et al.</w:t>
      </w:r>
      <w:r w:rsidR="00207F2D" w:rsidRPr="00207F2D">
        <w:rPr>
          <w:rFonts w:ascii="Times New Roman" w:hAnsi="Times New Roman" w:cs="Times New Roman"/>
          <w:i/>
          <w:iCs/>
          <w:lang w:val="en-ID"/>
        </w:rPr>
        <w:t>,</w:t>
      </w:r>
      <w:r w:rsidRPr="0062331A">
        <w:rPr>
          <w:rFonts w:ascii="Times New Roman" w:hAnsi="Times New Roman" w:cs="Times New Roman"/>
          <w:lang w:val="en-ID"/>
        </w:rPr>
        <w:t xml:space="preserve"> (2025), an </w:t>
      </w:r>
      <w:r w:rsidR="00C80D32">
        <w:rPr>
          <w:rFonts w:ascii="Times New Roman" w:hAnsi="Times New Roman" w:cs="Times New Roman"/>
          <w:lang w:val="en-ID"/>
        </w:rPr>
        <w:t>E</w:t>
      </w:r>
      <w:r w:rsidRPr="0062331A">
        <w:rPr>
          <w:rFonts w:ascii="Times New Roman" w:hAnsi="Times New Roman" w:cs="Times New Roman"/>
          <w:lang w:val="en-ID"/>
        </w:rPr>
        <w:t>C₅₀ value between 50–100 ppm is classified as a strong antioxidant, while values below 50 ppm are categorized as very strong (highly effective).</w:t>
      </w:r>
      <w:r w:rsidR="00A85303" w:rsidRPr="0062331A">
        <w:rPr>
          <w:rFonts w:ascii="Times New Roman" w:hAnsi="Times New Roman" w:cs="Times New Roman"/>
          <w:lang w:val="en-ID"/>
        </w:rPr>
        <w:t xml:space="preserve"> </w:t>
      </w:r>
      <w:r w:rsidRPr="0062331A">
        <w:rPr>
          <w:rFonts w:ascii="Times New Roman" w:hAnsi="Times New Roman" w:cs="Times New Roman"/>
          <w:lang w:val="en-ID"/>
        </w:rPr>
        <w:t xml:space="preserve">Several previous studies have reported varying </w:t>
      </w:r>
      <w:r w:rsidR="00C47D5C">
        <w:rPr>
          <w:rFonts w:ascii="Times New Roman" w:hAnsi="Times New Roman" w:cs="Times New Roman"/>
          <w:lang w:val="en-ID"/>
        </w:rPr>
        <w:t>E</w:t>
      </w:r>
      <w:r w:rsidRPr="0062331A">
        <w:rPr>
          <w:rFonts w:ascii="Times New Roman" w:hAnsi="Times New Roman" w:cs="Times New Roman"/>
          <w:lang w:val="en-ID"/>
        </w:rPr>
        <w:t xml:space="preserve">C₅₀ values for </w:t>
      </w:r>
      <w:r w:rsidR="002949E1" w:rsidRPr="00C47D5C">
        <w:rPr>
          <w:rFonts w:ascii="Times New Roman" w:hAnsi="Times New Roman" w:cs="Times New Roman"/>
          <w:i/>
          <w:iCs/>
          <w:lang w:val="en-ID"/>
        </w:rPr>
        <w:t>P. indica</w:t>
      </w:r>
      <w:r w:rsidRPr="0062331A">
        <w:rPr>
          <w:rFonts w:ascii="Times New Roman" w:hAnsi="Times New Roman" w:cs="Times New Roman"/>
          <w:lang w:val="en-ID"/>
        </w:rPr>
        <w:t xml:space="preserve"> leaf extract using the same solvent, including 37.25 ppm (Wanita, 2018), 40.52 ppm (</w:t>
      </w:r>
      <w:proofErr w:type="spellStart"/>
      <w:r w:rsidRPr="0062331A">
        <w:rPr>
          <w:rFonts w:ascii="Times New Roman" w:hAnsi="Times New Roman" w:cs="Times New Roman"/>
          <w:lang w:val="en-ID"/>
        </w:rPr>
        <w:t>Isromarina</w:t>
      </w:r>
      <w:proofErr w:type="spellEnd"/>
      <w:r w:rsidRPr="0062331A">
        <w:rPr>
          <w:rFonts w:ascii="Times New Roman" w:hAnsi="Times New Roman" w:cs="Times New Roman"/>
          <w:lang w:val="en-ID"/>
        </w:rPr>
        <w:t xml:space="preserve"> </w:t>
      </w:r>
      <w:r w:rsidR="00A562FF" w:rsidRPr="00A562FF">
        <w:rPr>
          <w:rFonts w:ascii="Times New Roman" w:hAnsi="Times New Roman" w:cs="Times New Roman"/>
          <w:i/>
          <w:iCs/>
          <w:lang w:val="en-ID"/>
        </w:rPr>
        <w:t>et al.,</w:t>
      </w:r>
      <w:r w:rsidRPr="0062331A">
        <w:rPr>
          <w:rFonts w:ascii="Times New Roman" w:hAnsi="Times New Roman" w:cs="Times New Roman"/>
          <w:lang w:val="en-ID"/>
        </w:rPr>
        <w:t xml:space="preserve"> 2025), and 94.06 ppm (Sari </w:t>
      </w:r>
      <w:r w:rsidR="00A562FF" w:rsidRPr="00A562FF">
        <w:rPr>
          <w:rFonts w:ascii="Times New Roman" w:hAnsi="Times New Roman" w:cs="Times New Roman"/>
          <w:i/>
          <w:iCs/>
          <w:lang w:val="en-ID"/>
        </w:rPr>
        <w:t>et al.,</w:t>
      </w:r>
      <w:r w:rsidRPr="0062331A">
        <w:rPr>
          <w:rFonts w:ascii="Times New Roman" w:hAnsi="Times New Roman" w:cs="Times New Roman"/>
          <w:lang w:val="en-ID"/>
        </w:rPr>
        <w:t xml:space="preserve"> 2024).</w:t>
      </w:r>
    </w:p>
    <w:p w14:paraId="40C3FD7B" w14:textId="7FCFE024" w:rsidR="004F20A7" w:rsidRPr="0062331A" w:rsidRDefault="004F20A7" w:rsidP="00C80D32">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Variations in the </w:t>
      </w:r>
      <w:r w:rsidR="00C47D5C">
        <w:rPr>
          <w:rFonts w:ascii="Times New Roman" w:hAnsi="Times New Roman" w:cs="Times New Roman"/>
          <w:lang w:val="id-ID"/>
        </w:rPr>
        <w:t>E</w:t>
      </w:r>
      <w:r w:rsidRPr="0062331A">
        <w:rPr>
          <w:rFonts w:ascii="Times New Roman" w:hAnsi="Times New Roman" w:cs="Times New Roman"/>
          <w:lang w:val="id-ID"/>
        </w:rPr>
        <w:t>C</w:t>
      </w:r>
      <w:r w:rsidRPr="0062331A">
        <w:rPr>
          <w:rFonts w:ascii="Times New Roman" w:hAnsi="Times New Roman" w:cs="Times New Roman"/>
          <w:vertAlign w:val="subscript"/>
          <w:lang w:val="id-ID"/>
        </w:rPr>
        <w:t>50</w:t>
      </w:r>
      <w:r w:rsidRPr="0062331A">
        <w:rPr>
          <w:rFonts w:ascii="Times New Roman" w:hAnsi="Times New Roman" w:cs="Times New Roman"/>
        </w:rPr>
        <w:t xml:space="preserve"> values of </w:t>
      </w:r>
      <w:r w:rsidR="002949E1" w:rsidRPr="002949E1">
        <w:rPr>
          <w:rFonts w:ascii="Times New Roman" w:hAnsi="Times New Roman" w:cs="Times New Roman"/>
        </w:rPr>
        <w:t>P. indica</w:t>
      </w:r>
      <w:r w:rsidRPr="0062331A">
        <w:rPr>
          <w:rFonts w:ascii="Times New Roman" w:hAnsi="Times New Roman" w:cs="Times New Roman"/>
        </w:rPr>
        <w:t xml:space="preserve"> leaf extracts can be attributed to several factors, including environmental conditions, plant genetics, and the extraction process. </w:t>
      </w:r>
      <w:proofErr w:type="spellStart"/>
      <w:r w:rsidRPr="0062331A">
        <w:rPr>
          <w:rFonts w:ascii="Times New Roman" w:hAnsi="Times New Roman" w:cs="Times New Roman"/>
        </w:rPr>
        <w:t>Phytobiotic</w:t>
      </w:r>
      <w:proofErr w:type="spellEnd"/>
      <w:r w:rsidRPr="0062331A">
        <w:rPr>
          <w:rFonts w:ascii="Times New Roman" w:hAnsi="Times New Roman" w:cs="Times New Roman"/>
        </w:rPr>
        <w:t xml:space="preserve"> compounds produced by plants serve as adaptive responses to environmental stress and as part of their defense mechanisms (Alum, 2024). Therefore, factors such as climate, water availability, sunlight exposure, humidity, and geographical location significantly influence the accumulation of these </w:t>
      </w:r>
      <w:proofErr w:type="spellStart"/>
      <w:r w:rsidRPr="0062331A">
        <w:rPr>
          <w:rFonts w:ascii="Times New Roman" w:hAnsi="Times New Roman" w:cs="Times New Roman"/>
        </w:rPr>
        <w:t>phytobiotic</w:t>
      </w:r>
      <w:proofErr w:type="spellEnd"/>
      <w:r w:rsidRPr="0062331A">
        <w:rPr>
          <w:rFonts w:ascii="Times New Roman" w:hAnsi="Times New Roman" w:cs="Times New Roman"/>
        </w:rPr>
        <w:t xml:space="preserve"> compounds (</w:t>
      </w:r>
      <w:proofErr w:type="spellStart"/>
      <w:r w:rsidRPr="0062331A">
        <w:rPr>
          <w:rFonts w:ascii="Times New Roman" w:hAnsi="Times New Roman" w:cs="Times New Roman"/>
        </w:rPr>
        <w:t>Vaou</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2022). In addition, genetic factors and the extraction process affect the stability and accumulation of the compounds produced (Tran </w:t>
      </w:r>
      <w:r w:rsidR="00A562FF" w:rsidRPr="00A562FF">
        <w:rPr>
          <w:rFonts w:ascii="Times New Roman" w:hAnsi="Times New Roman" w:cs="Times New Roman"/>
          <w:i/>
          <w:iCs/>
        </w:rPr>
        <w:t>et al.,</w:t>
      </w:r>
      <w:r w:rsidRPr="0062331A">
        <w:rPr>
          <w:rFonts w:ascii="Times New Roman" w:hAnsi="Times New Roman" w:cs="Times New Roman"/>
        </w:rPr>
        <w:t xml:space="preserve"> 2020). Antioxidant activity is particularly associated with the presence of polyphenolic compounds (</w:t>
      </w:r>
      <w:proofErr w:type="spellStart"/>
      <w:r w:rsidRPr="0062331A">
        <w:rPr>
          <w:rFonts w:ascii="Times New Roman" w:hAnsi="Times New Roman" w:cs="Times New Roman"/>
        </w:rPr>
        <w:t>Baliyan</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2022). </w:t>
      </w:r>
      <w:r w:rsidR="002949E1" w:rsidRPr="00C80D32">
        <w:rPr>
          <w:rFonts w:ascii="Times New Roman" w:hAnsi="Times New Roman" w:cs="Times New Roman"/>
          <w:i/>
          <w:iCs/>
        </w:rPr>
        <w:t>P. indica</w:t>
      </w:r>
      <w:r w:rsidRPr="00C80D32">
        <w:rPr>
          <w:rFonts w:ascii="Times New Roman" w:hAnsi="Times New Roman" w:cs="Times New Roman"/>
          <w:i/>
          <w:iCs/>
        </w:rPr>
        <w:t xml:space="preserve"> </w:t>
      </w:r>
      <w:r w:rsidRPr="0062331A">
        <w:rPr>
          <w:rFonts w:ascii="Times New Roman" w:hAnsi="Times New Roman" w:cs="Times New Roman"/>
        </w:rPr>
        <w:t>leaf extract was detected to contain polyphenolic compounds such as flavonoids, tannins, and phenolics. Polyphenols are known for their abundance of electrons, making them highly reactive hydrogen donors, which enables them to effectively scavenge DPPH free radicals (</w:t>
      </w:r>
      <w:proofErr w:type="spellStart"/>
      <w:r w:rsidRPr="0062331A">
        <w:rPr>
          <w:rFonts w:ascii="Times New Roman" w:hAnsi="Times New Roman" w:cs="Times New Roman"/>
        </w:rPr>
        <w:t>Gulcin</w:t>
      </w:r>
      <w:proofErr w:type="spellEnd"/>
      <w:r w:rsidRPr="0062331A">
        <w:rPr>
          <w:rFonts w:ascii="Times New Roman" w:hAnsi="Times New Roman" w:cs="Times New Roman"/>
        </w:rPr>
        <w:t xml:space="preserve"> &amp; </w:t>
      </w:r>
      <w:proofErr w:type="spellStart"/>
      <w:r w:rsidRPr="0062331A">
        <w:rPr>
          <w:rFonts w:ascii="Times New Roman" w:hAnsi="Times New Roman" w:cs="Times New Roman"/>
        </w:rPr>
        <w:t>Alwasel</w:t>
      </w:r>
      <w:proofErr w:type="spellEnd"/>
      <w:r w:rsidRPr="0062331A">
        <w:rPr>
          <w:rFonts w:ascii="Times New Roman" w:hAnsi="Times New Roman" w:cs="Times New Roman"/>
        </w:rPr>
        <w:t xml:space="preserve">, 2023). These compounds typically contain more than one hydroxyl group (-OH), allowing them to bind to multiple aromatic rings and readily interact with DPPH radicals. Free radicals are known to damage essential biomolecules, including proteins and nucleic acids, through oxidative mechanisms (Hayyan </w:t>
      </w:r>
      <w:r w:rsidR="00A562FF" w:rsidRPr="00A562FF">
        <w:rPr>
          <w:rFonts w:ascii="Times New Roman" w:hAnsi="Times New Roman" w:cs="Times New Roman"/>
          <w:i/>
          <w:iCs/>
        </w:rPr>
        <w:t>et al.,</w:t>
      </w:r>
      <w:r w:rsidRPr="0062331A">
        <w:rPr>
          <w:rFonts w:ascii="Times New Roman" w:hAnsi="Times New Roman" w:cs="Times New Roman"/>
        </w:rPr>
        <w:t xml:space="preserve"> 2016).</w:t>
      </w:r>
      <w:r w:rsidR="00E35C8C" w:rsidRPr="0062331A">
        <w:rPr>
          <w:rFonts w:ascii="Times New Roman" w:hAnsi="Times New Roman" w:cs="Times New Roman"/>
        </w:rPr>
        <w:t xml:space="preserve"> Polyphenolic compounds neutralize free radicals and interrupt the oxidation process by donating a single electron, followed by proton transfer or hydrogen atom </w:t>
      </w:r>
      <w:r w:rsidR="00E35C8C" w:rsidRPr="0062331A">
        <w:rPr>
          <w:rFonts w:ascii="Times New Roman" w:hAnsi="Times New Roman" w:cs="Times New Roman"/>
        </w:rPr>
        <w:lastRenderedPageBreak/>
        <w:t xml:space="preserve">donation. This mechanism helps halt the chain reaction of free radical formation, thereby protecting cellular components from oxidative stress (Charlton </w:t>
      </w:r>
      <w:r w:rsidR="00A562FF" w:rsidRPr="00A562FF">
        <w:rPr>
          <w:rFonts w:ascii="Times New Roman" w:hAnsi="Times New Roman" w:cs="Times New Roman"/>
          <w:i/>
          <w:iCs/>
        </w:rPr>
        <w:t>et al.,</w:t>
      </w:r>
      <w:r w:rsidR="00E35C8C" w:rsidRPr="0062331A">
        <w:rPr>
          <w:rFonts w:ascii="Times New Roman" w:hAnsi="Times New Roman" w:cs="Times New Roman"/>
        </w:rPr>
        <w:t xml:space="preserve"> 2023; Li </w:t>
      </w:r>
      <w:r w:rsidR="00A562FF" w:rsidRPr="00A562FF">
        <w:rPr>
          <w:rFonts w:ascii="Times New Roman" w:hAnsi="Times New Roman" w:cs="Times New Roman"/>
          <w:i/>
          <w:iCs/>
        </w:rPr>
        <w:t>et al.,</w:t>
      </w:r>
      <w:r w:rsidR="00E35C8C" w:rsidRPr="0062331A">
        <w:rPr>
          <w:rFonts w:ascii="Times New Roman" w:hAnsi="Times New Roman" w:cs="Times New Roman"/>
        </w:rPr>
        <w:t xml:space="preserve"> 2022). </w:t>
      </w:r>
    </w:p>
    <w:p w14:paraId="38729C51" w14:textId="77777777" w:rsidR="000B3555" w:rsidRPr="0062331A" w:rsidRDefault="000B3555" w:rsidP="000B3555">
      <w:pPr>
        <w:spacing w:after="0" w:line="240" w:lineRule="auto"/>
        <w:jc w:val="both"/>
        <w:rPr>
          <w:rFonts w:ascii="Times New Roman" w:hAnsi="Times New Roman" w:cs="Times New Roman"/>
        </w:rPr>
      </w:pPr>
    </w:p>
    <w:p w14:paraId="1FE39DF4" w14:textId="280B52D9" w:rsidR="000B3555" w:rsidRPr="0062331A" w:rsidRDefault="00D93850" w:rsidP="000B3555">
      <w:pPr>
        <w:spacing w:after="0" w:line="240" w:lineRule="auto"/>
        <w:jc w:val="both"/>
        <w:rPr>
          <w:rFonts w:ascii="Times New Roman" w:hAnsi="Times New Roman" w:cs="Times New Roman"/>
          <w:b/>
          <w:bCs/>
        </w:rPr>
      </w:pPr>
      <w:r w:rsidRPr="0062331A">
        <w:rPr>
          <w:rFonts w:ascii="Times New Roman" w:hAnsi="Times New Roman" w:cs="Times New Roman"/>
          <w:b/>
          <w:bCs/>
        </w:rPr>
        <w:t xml:space="preserve">Toxicity Level of </w:t>
      </w:r>
      <w:r w:rsidR="002949E1" w:rsidRPr="002949E1">
        <w:rPr>
          <w:rFonts w:ascii="Times New Roman" w:hAnsi="Times New Roman" w:cs="Times New Roman"/>
          <w:b/>
          <w:bCs/>
        </w:rPr>
        <w:t>P. indica</w:t>
      </w:r>
      <w:r w:rsidRPr="0062331A">
        <w:rPr>
          <w:rFonts w:ascii="Times New Roman" w:hAnsi="Times New Roman" w:cs="Times New Roman"/>
          <w:b/>
          <w:bCs/>
        </w:rPr>
        <w:t xml:space="preserve"> Leaf Extract Against </w:t>
      </w:r>
      <w:proofErr w:type="spellStart"/>
      <w:r w:rsidR="00C47D5C" w:rsidRPr="00C47D5C">
        <w:rPr>
          <w:rFonts w:ascii="Times New Roman" w:hAnsi="Times New Roman" w:cs="Times New Roman"/>
          <w:b/>
          <w:bCs/>
        </w:rPr>
        <w:t>Whiteleg</w:t>
      </w:r>
      <w:proofErr w:type="spellEnd"/>
      <w:r w:rsidRPr="0062331A">
        <w:rPr>
          <w:rFonts w:ascii="Times New Roman" w:hAnsi="Times New Roman" w:cs="Times New Roman"/>
          <w:b/>
          <w:bCs/>
        </w:rPr>
        <w:t xml:space="preserve"> Shrimp</w:t>
      </w:r>
    </w:p>
    <w:p w14:paraId="409321E8" w14:textId="15FA9067" w:rsidR="0091502B" w:rsidRPr="0062331A" w:rsidRDefault="00D93850" w:rsidP="00DD07CE">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average mortality rate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following the toxicity test of </w:t>
      </w:r>
      <w:r w:rsidR="002949E1" w:rsidRPr="00C80D32">
        <w:rPr>
          <w:rFonts w:ascii="Times New Roman" w:hAnsi="Times New Roman" w:cs="Times New Roman"/>
          <w:i/>
          <w:iCs/>
        </w:rPr>
        <w:t>P. indica</w:t>
      </w:r>
      <w:r w:rsidRPr="0062331A">
        <w:rPr>
          <w:rFonts w:ascii="Times New Roman" w:hAnsi="Times New Roman" w:cs="Times New Roman"/>
        </w:rPr>
        <w:t xml:space="preserve"> leaf extract reached its highest at 92% mortality at a concentration of 1000 ppm, followed by 58% at 562.33 ppm, 36% at 316.23 ppm, 8% at 177.83 ppm, and 0% in the control group (0 ppm). </w:t>
      </w:r>
      <w:r w:rsidR="00A62222" w:rsidRPr="0062331A">
        <w:rPr>
          <w:rFonts w:ascii="Times New Roman" w:hAnsi="Times New Roman" w:cs="Times New Roman"/>
        </w:rPr>
        <w:t>The results of probit analysis resulted in a regression equation</w:t>
      </w:r>
      <w:r w:rsidRPr="0062331A">
        <w:rPr>
          <w:rFonts w:ascii="Times New Roman" w:hAnsi="Times New Roman" w:cs="Times New Roman"/>
        </w:rPr>
        <w:t xml:space="preserve"> y = 3.608x − 4.5111 (Figure 1)</w:t>
      </w:r>
      <w:r w:rsidR="00A62222" w:rsidRPr="0062331A">
        <w:rPr>
          <w:rFonts w:ascii="Times New Roman" w:hAnsi="Times New Roman" w:cs="Times New Roman"/>
        </w:rPr>
        <w:t xml:space="preserve">. This regression equation results in a 96-hour </w:t>
      </w:r>
      <w:r w:rsidR="00A62222" w:rsidRPr="0062331A">
        <w:rPr>
          <w:rFonts w:ascii="Times New Roman" w:hAnsi="Times New Roman" w:cs="Times New Roman"/>
          <w:lang w:val="id-ID"/>
        </w:rPr>
        <w:t>LC</w:t>
      </w:r>
      <w:r w:rsidR="00A62222" w:rsidRPr="0062331A">
        <w:rPr>
          <w:rFonts w:ascii="Times New Roman" w:hAnsi="Times New Roman" w:cs="Times New Roman"/>
          <w:vertAlign w:val="subscript"/>
          <w:lang w:val="id-ID"/>
        </w:rPr>
        <w:t>50</w:t>
      </w:r>
      <w:r w:rsidR="00A62222" w:rsidRPr="0062331A">
        <w:rPr>
          <w:rFonts w:ascii="Times New Roman" w:hAnsi="Times New Roman" w:cs="Times New Roman"/>
        </w:rPr>
        <w:t xml:space="preserve"> value of </w:t>
      </w:r>
      <w:r w:rsidR="002949E1" w:rsidRPr="002949E1">
        <w:rPr>
          <w:rFonts w:ascii="Times New Roman" w:hAnsi="Times New Roman" w:cs="Times New Roman"/>
        </w:rPr>
        <w:t>P. indica</w:t>
      </w:r>
      <w:r w:rsidR="00A62222" w:rsidRPr="0062331A">
        <w:rPr>
          <w:rFonts w:ascii="Times New Roman" w:hAnsi="Times New Roman" w:cs="Times New Roman"/>
        </w:rPr>
        <w:t xml:space="preserve"> leaf extract against </w:t>
      </w:r>
      <w:proofErr w:type="spellStart"/>
      <w:r w:rsidR="00C47D5C" w:rsidRPr="00C47D5C">
        <w:rPr>
          <w:rFonts w:ascii="Times New Roman" w:hAnsi="Times New Roman" w:cs="Times New Roman"/>
        </w:rPr>
        <w:t>whiteleg</w:t>
      </w:r>
      <w:proofErr w:type="spellEnd"/>
      <w:r w:rsidR="00A62222" w:rsidRPr="0062331A">
        <w:rPr>
          <w:rFonts w:ascii="Times New Roman" w:hAnsi="Times New Roman" w:cs="Times New Roman"/>
        </w:rPr>
        <w:t xml:space="preserve"> shrimp is 432.51 ppm. The </w:t>
      </w:r>
      <w:r w:rsidR="00A62222" w:rsidRPr="0062331A">
        <w:rPr>
          <w:rFonts w:ascii="Times New Roman" w:hAnsi="Times New Roman" w:cs="Times New Roman"/>
          <w:lang w:val="id-ID"/>
        </w:rPr>
        <w:t>LC</w:t>
      </w:r>
      <w:r w:rsidR="00A62222" w:rsidRPr="0062331A">
        <w:rPr>
          <w:rFonts w:ascii="Times New Roman" w:hAnsi="Times New Roman" w:cs="Times New Roman"/>
          <w:vertAlign w:val="subscript"/>
          <w:lang w:val="id-ID"/>
        </w:rPr>
        <w:t>50</w:t>
      </w:r>
      <w:r w:rsidR="00A62222" w:rsidRPr="0062331A">
        <w:rPr>
          <w:rFonts w:ascii="Times New Roman" w:hAnsi="Times New Roman" w:cs="Times New Roman"/>
          <w:lang w:val="id-ID"/>
        </w:rPr>
        <w:t xml:space="preserve"> </w:t>
      </w:r>
      <w:r w:rsidR="00A62222" w:rsidRPr="0062331A">
        <w:rPr>
          <w:rFonts w:ascii="Times New Roman" w:hAnsi="Times New Roman" w:cs="Times New Roman"/>
        </w:rPr>
        <w:t xml:space="preserve">value brought to 1000 ppm makes </w:t>
      </w:r>
      <w:r w:rsidR="002949E1" w:rsidRPr="002949E1">
        <w:rPr>
          <w:rFonts w:ascii="Times New Roman" w:hAnsi="Times New Roman" w:cs="Times New Roman"/>
        </w:rPr>
        <w:t>P. indica</w:t>
      </w:r>
      <w:r w:rsidR="00A62222" w:rsidRPr="0062331A">
        <w:rPr>
          <w:rFonts w:ascii="Times New Roman" w:hAnsi="Times New Roman" w:cs="Times New Roman"/>
        </w:rPr>
        <w:t xml:space="preserve"> leaf extract potentially toxic to </w:t>
      </w:r>
      <w:proofErr w:type="spellStart"/>
      <w:r w:rsidR="00C47D5C" w:rsidRPr="00C47D5C">
        <w:rPr>
          <w:rFonts w:ascii="Times New Roman" w:hAnsi="Times New Roman" w:cs="Times New Roman"/>
        </w:rPr>
        <w:t>whiteleg</w:t>
      </w:r>
      <w:proofErr w:type="spellEnd"/>
      <w:r w:rsidR="00A62222" w:rsidRPr="0062331A">
        <w:rPr>
          <w:rFonts w:ascii="Times New Roman" w:hAnsi="Times New Roman" w:cs="Times New Roman"/>
        </w:rPr>
        <w:t xml:space="preserve"> shrimp because according to </w:t>
      </w:r>
      <w:proofErr w:type="spellStart"/>
      <w:r w:rsidR="00A62222" w:rsidRPr="0062331A">
        <w:rPr>
          <w:rFonts w:ascii="Times New Roman" w:hAnsi="Times New Roman" w:cs="Times New Roman"/>
        </w:rPr>
        <w:t>Setianingsih</w:t>
      </w:r>
      <w:proofErr w:type="spellEnd"/>
      <w:r w:rsidR="00A62222" w:rsidRPr="0062331A">
        <w:rPr>
          <w:rFonts w:ascii="Times New Roman" w:hAnsi="Times New Roman" w:cs="Times New Roman"/>
        </w:rPr>
        <w:t xml:space="preserve"> </w:t>
      </w:r>
      <w:r w:rsidR="00A562FF" w:rsidRPr="00A562FF">
        <w:rPr>
          <w:rFonts w:ascii="Times New Roman" w:hAnsi="Times New Roman" w:cs="Times New Roman"/>
          <w:i/>
          <w:iCs/>
        </w:rPr>
        <w:t>et al.,</w:t>
      </w:r>
      <w:r w:rsidR="00A62222" w:rsidRPr="0062331A">
        <w:rPr>
          <w:rFonts w:ascii="Times New Roman" w:hAnsi="Times New Roman" w:cs="Times New Roman"/>
        </w:rPr>
        <w:t xml:space="preserve"> (2023) the smaller the </w:t>
      </w:r>
      <w:r w:rsidR="00A62222" w:rsidRPr="0062331A">
        <w:rPr>
          <w:rFonts w:ascii="Times New Roman" w:hAnsi="Times New Roman" w:cs="Times New Roman"/>
          <w:lang w:val="id-ID"/>
        </w:rPr>
        <w:t>LC</w:t>
      </w:r>
      <w:r w:rsidR="00A62222" w:rsidRPr="0062331A">
        <w:rPr>
          <w:rFonts w:ascii="Times New Roman" w:hAnsi="Times New Roman" w:cs="Times New Roman"/>
          <w:vertAlign w:val="subscript"/>
          <w:lang w:val="id-ID"/>
        </w:rPr>
        <w:t>50</w:t>
      </w:r>
      <w:r w:rsidR="00A62222" w:rsidRPr="0062331A">
        <w:rPr>
          <w:rFonts w:ascii="Times New Roman" w:hAnsi="Times New Roman" w:cs="Times New Roman"/>
        </w:rPr>
        <w:t xml:space="preserve"> value, the higher the toxic level of a compound.</w:t>
      </w:r>
    </w:p>
    <w:p w14:paraId="4557826B" w14:textId="4056856A" w:rsidR="00D475C2" w:rsidRPr="0062331A" w:rsidRDefault="00D00A6E" w:rsidP="00D00A6E">
      <w:pPr>
        <w:spacing w:after="0" w:line="240" w:lineRule="auto"/>
        <w:ind w:firstLine="567"/>
        <w:jc w:val="both"/>
        <w:rPr>
          <w:rFonts w:ascii="Times New Roman" w:hAnsi="Times New Roman" w:cs="Times New Roman"/>
        </w:rPr>
      </w:pPr>
      <w:proofErr w:type="spellStart"/>
      <w:r w:rsidRPr="0062331A">
        <w:rPr>
          <w:rFonts w:ascii="Times New Roman" w:hAnsi="Times New Roman" w:cs="Times New Roman"/>
        </w:rPr>
        <w:t>Bioactives</w:t>
      </w:r>
      <w:proofErr w:type="spellEnd"/>
      <w:r w:rsidRPr="0062331A">
        <w:rPr>
          <w:rFonts w:ascii="Times New Roman" w:hAnsi="Times New Roman" w:cs="Times New Roman"/>
        </w:rPr>
        <w:t xml:space="preserve"> derived from plants </w:t>
      </w:r>
      <w:r w:rsidR="0091502B" w:rsidRPr="0062331A">
        <w:rPr>
          <w:rFonts w:ascii="Times New Roman" w:hAnsi="Times New Roman" w:cs="Times New Roman"/>
        </w:rPr>
        <w:t xml:space="preserve">do have antibacterial, anti-inflammatory, antioxidant, and other therapeutic qualities, but when taken in excessive amounts that the host cannot handle, the bioactive becomes toxic to the host body system. </w:t>
      </w:r>
      <w:r w:rsidRPr="0062331A">
        <w:rPr>
          <w:rFonts w:ascii="Times New Roman" w:hAnsi="Times New Roman" w:cs="Times New Roman"/>
        </w:rPr>
        <w:t>The potential toxicity of flavonoids, in particular, has been reported in association with enzyme interference affecting carcinogenic and mutagenic activity, liver and kidney function, thyroid and reproductive systems, and gastrointestinal health (Tang &amp; Zhang, 2021). At high concentrations, flavonoids may also become harmful due to their ability to bind iron, lipids, and proteins, which poses risks especially for elderly individuals prone to iron deficiency (Birt &amp; Jeffery, 2013).</w:t>
      </w:r>
    </w:p>
    <w:p w14:paraId="7DC7E3DC" w14:textId="0146CA1C" w:rsidR="005349BA" w:rsidRPr="0062331A" w:rsidRDefault="005349BA" w:rsidP="000B3555">
      <w:pPr>
        <w:spacing w:after="0" w:line="240" w:lineRule="auto"/>
        <w:ind w:firstLine="567"/>
        <w:jc w:val="both"/>
        <w:rPr>
          <w:rFonts w:ascii="Times New Roman" w:hAnsi="Times New Roman" w:cs="Times New Roman"/>
          <w:lang w:val="id-ID"/>
        </w:rPr>
      </w:pPr>
      <w:r w:rsidRPr="0062331A">
        <w:rPr>
          <w:rFonts w:ascii="Times New Roman" w:hAnsi="Times New Roman" w:cs="Times New Roman"/>
          <w:lang w:val="id-ID"/>
        </w:rPr>
        <w:t xml:space="preserve">Alkaloids are secondary metabolic compounds produced by plants that may exhibit toxic effects on both animals and humans, depending on the dosage, duration of exposure, and the specific type of alkaloid involved (Azzeme &amp; Zaman, 2019). The toxicological impact of alkaloids can include disruption of the respiratory and circulatory systems, as well as damage to vital organs such as the liver, nerves, heart, and lungs. In some cases, alkaloids may also act as carcinogenic agents (Shan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2024).</w:t>
      </w:r>
    </w:p>
    <w:p w14:paraId="46C3772E" w14:textId="0EAFA810" w:rsidR="00335639" w:rsidRPr="0062331A" w:rsidRDefault="00335639" w:rsidP="000B3555">
      <w:pPr>
        <w:spacing w:after="0" w:line="240" w:lineRule="auto"/>
        <w:ind w:firstLine="567"/>
        <w:jc w:val="both"/>
        <w:rPr>
          <w:rFonts w:ascii="Times New Roman" w:hAnsi="Times New Roman" w:cs="Times New Roman"/>
          <w:lang w:val="id-ID"/>
        </w:rPr>
      </w:pPr>
      <w:r w:rsidRPr="0062331A">
        <w:rPr>
          <w:rFonts w:ascii="Times New Roman" w:hAnsi="Times New Roman" w:cs="Times New Roman"/>
          <w:lang w:val="id-ID"/>
        </w:rPr>
        <w:t xml:space="preserve">Saponins are another group of bioactive compounds with strong biological activity. These compounds are characterized by a bitter taste and high molecular weight, and they can significantly reduce the surface tension of water, which may interfere with gill function in aquatic organisms (Yasir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2021). At elevated concentrations, saponins have been reported to decrease appetite and reduce egg production. Additionally, they can irritate the digestive and respiratory tracts, damage erythrocyte membranes, and impair blood circulation (Sharma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2023). In shrimp, excessive doses of saponins may inhibit nutrient absorption and protein digestibility, thereby compromising growth and health.</w:t>
      </w:r>
    </w:p>
    <w:p w14:paraId="0BE0F5DF" w14:textId="09ACFE8B" w:rsidR="000B3555" w:rsidRPr="0062331A" w:rsidRDefault="00A96217" w:rsidP="008767C3">
      <w:pPr>
        <w:spacing w:after="0" w:line="240" w:lineRule="auto"/>
        <w:ind w:firstLine="567"/>
        <w:jc w:val="both"/>
        <w:rPr>
          <w:rFonts w:ascii="Times New Roman" w:hAnsi="Times New Roman" w:cs="Times New Roman"/>
        </w:rPr>
      </w:pPr>
      <w:r w:rsidRPr="0062331A">
        <w:rPr>
          <w:rFonts w:ascii="Times New Roman" w:hAnsi="Times New Roman" w:cs="Times New Roman"/>
          <w:lang w:val="id-ID"/>
        </w:rPr>
        <w:t xml:space="preserve">Other compounds present in </w:t>
      </w:r>
      <w:r w:rsidR="002949E1" w:rsidRPr="002949E1">
        <w:rPr>
          <w:rFonts w:ascii="Times New Roman" w:hAnsi="Times New Roman" w:cs="Times New Roman"/>
          <w:lang w:val="id-ID"/>
        </w:rPr>
        <w:t>P. indica</w:t>
      </w:r>
      <w:r w:rsidRPr="0062331A">
        <w:rPr>
          <w:rFonts w:ascii="Times New Roman" w:hAnsi="Times New Roman" w:cs="Times New Roman"/>
          <w:lang w:val="id-ID"/>
        </w:rPr>
        <w:t xml:space="preserve"> leaf extract, such as tannins, are considered anti-nutritional factors that negatively affect protein utilization and digestibility in shrimp (Bolívar-Ramírez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2022). At high concentrations, tannins have been shown to impair growth performance and may be lethal to shrimp (Zhang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2024b). Tannins can also damage the liver, irritate the gastrointestinal tract, and reduce the availability of bioavailable nutrients in the intestine (Sharma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2021).</w:t>
      </w:r>
      <w:r w:rsidR="008767C3" w:rsidRPr="0062331A">
        <w:rPr>
          <w:rFonts w:ascii="Times New Roman" w:hAnsi="Times New Roman" w:cs="Times New Roman"/>
        </w:rPr>
        <w:t xml:space="preserve"> Phenolic compounds, although known for their antioxidant properties, can also exhibit toxic effects. In high doses, phenols may cause skin burns, respiratory tract irritation, liver damage, and hemolysis (Li </w:t>
      </w:r>
      <w:r w:rsidR="00A562FF" w:rsidRPr="00A562FF">
        <w:rPr>
          <w:rFonts w:ascii="Times New Roman" w:hAnsi="Times New Roman" w:cs="Times New Roman"/>
          <w:i/>
          <w:iCs/>
        </w:rPr>
        <w:t>et al.,</w:t>
      </w:r>
      <w:r w:rsidR="008767C3" w:rsidRPr="0062331A">
        <w:rPr>
          <w:rFonts w:ascii="Times New Roman" w:hAnsi="Times New Roman" w:cs="Times New Roman"/>
        </w:rPr>
        <w:t xml:space="preserve"> 2024). Moreover, excessive phenol exposure can lead to reduced reproductive capacity and increased physiological stress, resulting in behavioral changes and, in severe cases, mortality in aquatic organisms, including shrimp.</w:t>
      </w:r>
      <w:r w:rsidR="008767C3" w:rsidRPr="0062331A">
        <w:rPr>
          <w:rFonts w:ascii="Times New Roman" w:hAnsi="Times New Roman" w:cs="Times New Roman"/>
        </w:rPr>
        <w:tab/>
      </w:r>
    </w:p>
    <w:p w14:paraId="2E1937B0" w14:textId="3EF335BF" w:rsidR="00C97323" w:rsidRPr="0062331A" w:rsidRDefault="008767C3" w:rsidP="00C97323">
      <w:pPr>
        <w:spacing w:after="0" w:line="240" w:lineRule="auto"/>
        <w:ind w:firstLine="567"/>
        <w:jc w:val="both"/>
        <w:rPr>
          <w:rFonts w:ascii="Times New Roman" w:hAnsi="Times New Roman" w:cs="Times New Roman"/>
          <w:lang w:val="id-ID"/>
        </w:rPr>
      </w:pPr>
      <w:r w:rsidRPr="0062331A">
        <w:rPr>
          <w:rFonts w:ascii="Times New Roman" w:hAnsi="Times New Roman" w:cs="Times New Roman"/>
          <w:lang w:val="id-ID"/>
        </w:rPr>
        <w:t xml:space="preserve">Terpenoids are known to possess neurotoxic properties that can disrupt the nervous system, leading to hyperactivity and, ultimately, death (Janskowska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2018). These compounds also serve as part of the plant's chemical defense system by producing volatile organic compounds, which can cause physiological and behavioral disturbances in various organisms due to their toxic nature (Câmara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2024).</w:t>
      </w:r>
      <w:r w:rsidR="00C97323" w:rsidRPr="0062331A">
        <w:rPr>
          <w:rFonts w:ascii="Times New Roman" w:hAnsi="Times New Roman" w:cs="Times New Roman"/>
        </w:rPr>
        <w:t xml:space="preserve"> </w:t>
      </w:r>
      <w:r w:rsidRPr="0062331A">
        <w:rPr>
          <w:rFonts w:ascii="Times New Roman" w:hAnsi="Times New Roman" w:cs="Times New Roman"/>
          <w:lang w:val="id-ID"/>
        </w:rPr>
        <w:t xml:space="preserve">Similarly, glycoside compounds, </w:t>
      </w:r>
      <w:r w:rsidRPr="0062331A">
        <w:rPr>
          <w:rFonts w:ascii="Times New Roman" w:hAnsi="Times New Roman" w:cs="Times New Roman"/>
          <w:lang w:val="id-ID"/>
        </w:rPr>
        <w:lastRenderedPageBreak/>
        <w:t xml:space="preserve">when present in excessive amounts, have been associated with both neurological and gastrointestinal disturbances (Robert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2015).</w:t>
      </w:r>
    </w:p>
    <w:p w14:paraId="19383F67" w14:textId="77777777" w:rsidR="000B3555" w:rsidRPr="0062331A" w:rsidRDefault="000B3555" w:rsidP="000B3555">
      <w:pPr>
        <w:spacing w:after="0" w:line="240" w:lineRule="auto"/>
        <w:jc w:val="both"/>
        <w:rPr>
          <w:rFonts w:ascii="Times New Roman" w:hAnsi="Times New Roman" w:cs="Times New Roman"/>
          <w:lang w:val="id-ID"/>
        </w:rPr>
      </w:pPr>
    </w:p>
    <w:p w14:paraId="1DE51DA6" w14:textId="024219B3" w:rsidR="000B3555" w:rsidRPr="0062331A" w:rsidRDefault="00A562FF" w:rsidP="00A562FF">
      <w:pPr>
        <w:spacing w:line="240" w:lineRule="auto"/>
        <w:jc w:val="center"/>
        <w:rPr>
          <w:rFonts w:ascii="Times New Roman" w:hAnsi="Times New Roman" w:cs="Times New Roman"/>
          <w:b/>
          <w:bCs/>
        </w:rPr>
      </w:pPr>
      <w:r w:rsidRPr="0062331A">
        <w:rPr>
          <w:rFonts w:ascii="Times New Roman" w:hAnsi="Times New Roman" w:cs="Times New Roman"/>
          <w:b/>
          <w:bCs/>
        </w:rPr>
        <w:t>CONCLUSION</w:t>
      </w:r>
    </w:p>
    <w:p w14:paraId="02684F93" w14:textId="5047C3CF" w:rsidR="00454D49" w:rsidRPr="0062331A" w:rsidRDefault="002949E1" w:rsidP="00C80D32">
      <w:pPr>
        <w:spacing w:line="240" w:lineRule="auto"/>
        <w:ind w:firstLine="567"/>
        <w:jc w:val="both"/>
        <w:rPr>
          <w:rFonts w:ascii="Times New Roman" w:hAnsi="Times New Roman" w:cs="Times New Roman"/>
          <w:lang w:val="id-ID"/>
        </w:rPr>
      </w:pPr>
      <w:r w:rsidRPr="00C80D32">
        <w:rPr>
          <w:rFonts w:ascii="Times New Roman" w:hAnsi="Times New Roman" w:cs="Times New Roman"/>
          <w:i/>
          <w:iCs/>
          <w:lang w:val="id-ID"/>
        </w:rPr>
        <w:t>P. indica</w:t>
      </w:r>
      <w:r w:rsidR="00454D49" w:rsidRPr="0062331A">
        <w:rPr>
          <w:rFonts w:ascii="Times New Roman" w:hAnsi="Times New Roman" w:cs="Times New Roman"/>
          <w:lang w:val="id-ID"/>
        </w:rPr>
        <w:t xml:space="preserve"> leaf extract contains phytonutrient compounds that exhibit significant bioactivity. It demonstrated strong antibacterial effects against </w:t>
      </w:r>
      <w:r w:rsidR="00454D49" w:rsidRPr="0062331A">
        <w:rPr>
          <w:rFonts w:ascii="Times New Roman" w:hAnsi="Times New Roman" w:cs="Times New Roman"/>
          <w:i/>
          <w:iCs/>
          <w:lang w:val="id-ID"/>
        </w:rPr>
        <w:t>V.parahaemolyticus</w:t>
      </w:r>
      <w:r w:rsidR="00454D49" w:rsidRPr="0062331A">
        <w:rPr>
          <w:rFonts w:ascii="Times New Roman" w:hAnsi="Times New Roman" w:cs="Times New Roman"/>
          <w:lang w:val="id-ID"/>
        </w:rPr>
        <w:t xml:space="preserve">, with a mean inhibition zone of 13.72 ± 1.09 mm at 100% concentration. The extract also showed strong antioxidant activity, with an average </w:t>
      </w:r>
      <w:r w:rsidR="00CA6CB3" w:rsidRPr="0062331A">
        <w:rPr>
          <w:rFonts w:ascii="Times New Roman" w:hAnsi="Times New Roman" w:cs="Times New Roman"/>
          <w:lang w:val="id-ID"/>
        </w:rPr>
        <w:t>E</w:t>
      </w:r>
      <w:r w:rsidR="00454D49" w:rsidRPr="0062331A">
        <w:rPr>
          <w:rFonts w:ascii="Times New Roman" w:hAnsi="Times New Roman" w:cs="Times New Roman"/>
          <w:lang w:val="id-ID"/>
        </w:rPr>
        <w:t>C</w:t>
      </w:r>
      <w:r w:rsidR="00454D49" w:rsidRPr="0062331A">
        <w:rPr>
          <w:rFonts w:ascii="Times New Roman" w:hAnsi="Times New Roman" w:cs="Times New Roman"/>
          <w:vertAlign w:val="subscript"/>
          <w:lang w:val="id-ID"/>
        </w:rPr>
        <w:t xml:space="preserve">50 </w:t>
      </w:r>
      <w:r w:rsidR="00454D49" w:rsidRPr="0062331A">
        <w:rPr>
          <w:rFonts w:ascii="Times New Roman" w:hAnsi="Times New Roman" w:cs="Times New Roman"/>
          <w:lang w:val="id-ID"/>
        </w:rPr>
        <w:t>value of 82</w:t>
      </w:r>
      <w:r w:rsidR="00454D49" w:rsidRPr="0062331A">
        <w:rPr>
          <w:rFonts w:ascii="Times New Roman" w:hAnsi="Times New Roman" w:cs="Times New Roman"/>
        </w:rPr>
        <w:t>,</w:t>
      </w:r>
      <w:r w:rsidR="00454D49" w:rsidRPr="0062331A">
        <w:rPr>
          <w:rFonts w:ascii="Times New Roman" w:hAnsi="Times New Roman" w:cs="Times New Roman"/>
          <w:lang w:val="id-ID"/>
        </w:rPr>
        <w:t>630 ± 2</w:t>
      </w:r>
      <w:r w:rsidR="00454D49" w:rsidRPr="0062331A">
        <w:rPr>
          <w:rFonts w:ascii="Times New Roman" w:hAnsi="Times New Roman" w:cs="Times New Roman"/>
        </w:rPr>
        <w:t>,</w:t>
      </w:r>
      <w:r w:rsidR="00454D49" w:rsidRPr="0062331A">
        <w:rPr>
          <w:rFonts w:ascii="Times New Roman" w:hAnsi="Times New Roman" w:cs="Times New Roman"/>
          <w:lang w:val="id-ID"/>
        </w:rPr>
        <w:t xml:space="preserve">76 ppm based on the DPPH </w:t>
      </w:r>
      <w:r w:rsidR="006D3D6A" w:rsidRPr="0062331A">
        <w:rPr>
          <w:rFonts w:ascii="Times New Roman" w:hAnsi="Times New Roman" w:cs="Times New Roman"/>
        </w:rPr>
        <w:t>assay</w:t>
      </w:r>
      <w:r w:rsidR="00454D49" w:rsidRPr="0062331A">
        <w:rPr>
          <w:rFonts w:ascii="Times New Roman" w:hAnsi="Times New Roman" w:cs="Times New Roman"/>
          <w:lang w:val="id-ID"/>
        </w:rPr>
        <w:t xml:space="preserve">. However, the extract exhibited moderate toxicity to </w:t>
      </w:r>
      <w:r w:rsidR="00C47D5C" w:rsidRPr="00C47D5C">
        <w:rPr>
          <w:rFonts w:ascii="Times New Roman" w:hAnsi="Times New Roman" w:cs="Times New Roman"/>
          <w:lang w:val="id-ID"/>
        </w:rPr>
        <w:t>whiteleg</w:t>
      </w:r>
      <w:r w:rsidR="00454D49" w:rsidRPr="0062331A">
        <w:rPr>
          <w:rFonts w:ascii="Times New Roman" w:hAnsi="Times New Roman" w:cs="Times New Roman"/>
          <w:lang w:val="id-ID"/>
        </w:rPr>
        <w:t>i shrimp, with an LC</w:t>
      </w:r>
      <w:r w:rsidR="00454D49" w:rsidRPr="0062331A">
        <w:rPr>
          <w:rFonts w:ascii="Times New Roman" w:hAnsi="Times New Roman" w:cs="Times New Roman"/>
          <w:vertAlign w:val="subscript"/>
          <w:lang w:val="id-ID"/>
        </w:rPr>
        <w:t>50</w:t>
      </w:r>
      <w:r w:rsidR="00454D49" w:rsidRPr="0062331A">
        <w:rPr>
          <w:rFonts w:ascii="Times New Roman" w:hAnsi="Times New Roman" w:cs="Times New Roman"/>
          <w:lang w:val="id-ID"/>
        </w:rPr>
        <w:t xml:space="preserve"> value of 432.51 ppm, indicating the importance of dosage regulation in potential aquaculture applications.</w:t>
      </w:r>
    </w:p>
    <w:p w14:paraId="3AA5073E" w14:textId="77777777" w:rsidR="00AC0F6C" w:rsidRDefault="00AC0F6C" w:rsidP="00D54049">
      <w:pPr>
        <w:spacing w:line="240" w:lineRule="auto"/>
        <w:jc w:val="both"/>
        <w:rPr>
          <w:rFonts w:ascii="Times New Roman" w:hAnsi="Times New Roman" w:cs="Times New Roman"/>
          <w:b/>
          <w:bCs/>
        </w:rPr>
      </w:pPr>
    </w:p>
    <w:p w14:paraId="71E39BBE" w14:textId="7C113180" w:rsidR="00190A15" w:rsidRDefault="00190A15" w:rsidP="00D54049">
      <w:pPr>
        <w:spacing w:line="240" w:lineRule="auto"/>
        <w:jc w:val="both"/>
        <w:rPr>
          <w:rFonts w:ascii="Times New Roman" w:hAnsi="Times New Roman" w:cs="Times New Roman"/>
          <w:b/>
          <w:bCs/>
        </w:rPr>
      </w:pPr>
      <w:r>
        <w:rPr>
          <w:rFonts w:ascii="Times New Roman" w:hAnsi="Times New Roman" w:cs="Times New Roman"/>
          <w:b/>
          <w:bCs/>
        </w:rPr>
        <w:t>Disclaimer (Artificial intelligence)</w:t>
      </w:r>
    </w:p>
    <w:p w14:paraId="723D9EF7" w14:textId="77777777" w:rsidR="00190A15" w:rsidRPr="00190A15" w:rsidRDefault="00190A15" w:rsidP="00190A15">
      <w:pPr>
        <w:spacing w:line="240" w:lineRule="auto"/>
        <w:jc w:val="both"/>
        <w:rPr>
          <w:rFonts w:ascii="Times New Roman" w:hAnsi="Times New Roman" w:cs="Times New Roman"/>
        </w:rPr>
      </w:pPr>
      <w:r w:rsidRPr="00190A15">
        <w:rPr>
          <w:rFonts w:ascii="Times New Roman" w:hAnsi="Times New Roman" w:cs="Times New Roman"/>
        </w:rPr>
        <w:t xml:space="preserve">Author(s) hereby declare that NO generative AI technologies such as Large Language Models (ChatGPT, COPILOT, etc.) and text-to-image generators have been used during the writing or editing of this manuscript. </w:t>
      </w:r>
    </w:p>
    <w:p w14:paraId="2A60076B" w14:textId="5DA4EE7D" w:rsidR="0062331A" w:rsidRPr="0062331A" w:rsidRDefault="0062331A" w:rsidP="00D54049">
      <w:pPr>
        <w:spacing w:line="240" w:lineRule="auto"/>
        <w:jc w:val="both"/>
        <w:rPr>
          <w:rFonts w:ascii="Times New Roman" w:hAnsi="Times New Roman" w:cs="Times New Roman"/>
          <w:b/>
          <w:bCs/>
        </w:rPr>
      </w:pPr>
      <w:r w:rsidRPr="0062331A">
        <w:rPr>
          <w:rFonts w:ascii="Times New Roman" w:hAnsi="Times New Roman" w:cs="Times New Roman"/>
          <w:b/>
          <w:bCs/>
        </w:rPr>
        <w:t>References</w:t>
      </w:r>
    </w:p>
    <w:p w14:paraId="544FABE1" w14:textId="3DE757ED"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Abu, O.D., </w:t>
      </w:r>
      <w:proofErr w:type="spellStart"/>
      <w:r w:rsidRPr="00A562FF">
        <w:rPr>
          <w:rFonts w:asciiTheme="majorBidi" w:hAnsiTheme="majorBidi" w:cstheme="majorBidi"/>
        </w:rPr>
        <w:t>Onoagbe</w:t>
      </w:r>
      <w:proofErr w:type="spellEnd"/>
      <w:r w:rsidRPr="00A562FF">
        <w:rPr>
          <w:rFonts w:asciiTheme="majorBidi" w:hAnsiTheme="majorBidi" w:cstheme="majorBidi"/>
        </w:rPr>
        <w:t xml:space="preserve">, I.O., &amp; Ojo, I. (2022). </w:t>
      </w:r>
      <w:r w:rsidR="00190A15">
        <w:rPr>
          <w:rFonts w:asciiTheme="majorBidi" w:hAnsiTheme="majorBidi" w:cstheme="majorBidi"/>
        </w:rPr>
        <w:t>“</w:t>
      </w:r>
      <w:r w:rsidRPr="00A562FF">
        <w:rPr>
          <w:rFonts w:asciiTheme="majorBidi" w:hAnsiTheme="majorBidi" w:cstheme="majorBidi"/>
        </w:rPr>
        <w:t xml:space="preserve">Dose Response Study of Aqueous Extract of </w:t>
      </w:r>
      <w:proofErr w:type="spellStart"/>
      <w:r w:rsidRPr="00A562FF">
        <w:rPr>
          <w:rFonts w:asciiTheme="majorBidi" w:hAnsiTheme="majorBidi" w:cstheme="majorBidi"/>
        </w:rPr>
        <w:t>Dialium</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Guineense</w:t>
      </w:r>
      <w:proofErr w:type="spellEnd"/>
      <w:r w:rsidRPr="00A562FF">
        <w:rPr>
          <w:rFonts w:asciiTheme="majorBidi" w:hAnsiTheme="majorBidi" w:cstheme="majorBidi"/>
        </w:rPr>
        <w:t xml:space="preserve"> Stem Bark</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 xml:space="preserve">Am J Biomed Sci &amp; Res </w:t>
      </w:r>
      <w:r w:rsidRPr="00A562FF">
        <w:rPr>
          <w:rFonts w:asciiTheme="majorBidi" w:hAnsiTheme="majorBidi" w:cstheme="majorBidi"/>
        </w:rPr>
        <w:t>15(2)</w:t>
      </w:r>
      <w:r w:rsidR="00190A15">
        <w:rPr>
          <w:rFonts w:asciiTheme="majorBidi" w:hAnsiTheme="majorBidi" w:cstheme="majorBidi"/>
        </w:rPr>
        <w:t>:</w:t>
      </w:r>
      <w:r w:rsidRPr="00A562FF">
        <w:rPr>
          <w:rFonts w:asciiTheme="majorBidi" w:hAnsiTheme="majorBidi" w:cstheme="majorBidi"/>
        </w:rPr>
        <w:t xml:space="preserve"> 250–252. </w:t>
      </w:r>
      <w:hyperlink r:id="rId8" w:history="1">
        <w:r w:rsidRPr="00A562FF">
          <w:rPr>
            <w:rStyle w:val="Hyperlink"/>
            <w:rFonts w:asciiTheme="majorBidi" w:hAnsiTheme="majorBidi" w:cstheme="majorBidi"/>
          </w:rPr>
          <w:t>http://dx.doi.org/10.34297/AJBSR.2022.15.002099</w:t>
        </w:r>
      </w:hyperlink>
    </w:p>
    <w:p w14:paraId="0F81B23B" w14:textId="1AA93D66"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Abubakar, A. R., &amp; Haque, M. (2020). </w:t>
      </w:r>
      <w:r w:rsidR="00190A15">
        <w:rPr>
          <w:rFonts w:asciiTheme="majorBidi" w:hAnsiTheme="majorBidi" w:cstheme="majorBidi"/>
        </w:rPr>
        <w:t>“</w:t>
      </w:r>
      <w:r w:rsidRPr="00A562FF">
        <w:rPr>
          <w:rFonts w:asciiTheme="majorBidi" w:hAnsiTheme="majorBidi" w:cstheme="majorBidi"/>
        </w:rPr>
        <w:t>Preparation of medicinal plants: Basic extraction and fractionation procedures for experimental purposes</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 xml:space="preserve">Journal of Pharmacy and </w:t>
      </w:r>
      <w:proofErr w:type="spellStart"/>
      <w:r w:rsidRPr="00A562FF">
        <w:rPr>
          <w:rFonts w:asciiTheme="majorBidi" w:hAnsiTheme="majorBidi" w:cstheme="majorBidi"/>
          <w:i/>
          <w:iCs/>
        </w:rPr>
        <w:t>Bioallied</w:t>
      </w:r>
      <w:proofErr w:type="spellEnd"/>
      <w:r w:rsidRPr="00A562FF">
        <w:rPr>
          <w:rFonts w:asciiTheme="majorBidi" w:hAnsiTheme="majorBidi" w:cstheme="majorBidi"/>
          <w:i/>
          <w:iCs/>
        </w:rPr>
        <w:t xml:space="preserve"> Sciences</w:t>
      </w:r>
      <w:r w:rsidRPr="00A562FF">
        <w:rPr>
          <w:rFonts w:asciiTheme="majorBidi" w:hAnsiTheme="majorBidi" w:cstheme="majorBidi"/>
        </w:rPr>
        <w:t> </w:t>
      </w:r>
      <w:r w:rsidRPr="00A562FF">
        <w:rPr>
          <w:rFonts w:asciiTheme="majorBidi" w:hAnsiTheme="majorBidi" w:cstheme="majorBidi"/>
          <w:i/>
          <w:iCs/>
        </w:rPr>
        <w:t>12</w:t>
      </w:r>
      <w:r w:rsidRPr="00A562FF">
        <w:rPr>
          <w:rFonts w:asciiTheme="majorBidi" w:hAnsiTheme="majorBidi" w:cstheme="majorBidi"/>
        </w:rPr>
        <w:t>(1)</w:t>
      </w:r>
      <w:r w:rsidR="00190A15">
        <w:rPr>
          <w:rFonts w:asciiTheme="majorBidi" w:hAnsiTheme="majorBidi" w:cstheme="majorBidi"/>
        </w:rPr>
        <w:t>:</w:t>
      </w:r>
      <w:r w:rsidRPr="00A562FF">
        <w:rPr>
          <w:rFonts w:asciiTheme="majorBidi" w:hAnsiTheme="majorBidi" w:cstheme="majorBidi"/>
        </w:rPr>
        <w:t xml:space="preserve"> 1-10. </w:t>
      </w:r>
      <w:hyperlink r:id="rId9" w:history="1">
        <w:r w:rsidRPr="00A562FF">
          <w:rPr>
            <w:rStyle w:val="Hyperlink"/>
            <w:rFonts w:asciiTheme="majorBidi" w:hAnsiTheme="majorBidi" w:cstheme="majorBidi"/>
          </w:rPr>
          <w:t>https://doi.org/10.4103/jpbs.JPBS_175_19</w:t>
        </w:r>
      </w:hyperlink>
    </w:p>
    <w:p w14:paraId="7D9F2C97" w14:textId="61B2B3C4"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Al-Askar, A.A., Hashem, A.H., </w:t>
      </w:r>
      <w:proofErr w:type="spellStart"/>
      <w:r w:rsidRPr="00A562FF">
        <w:rPr>
          <w:rFonts w:asciiTheme="majorBidi" w:hAnsiTheme="majorBidi" w:cstheme="majorBidi"/>
        </w:rPr>
        <w:t>Elhussieny</w:t>
      </w:r>
      <w:proofErr w:type="spellEnd"/>
      <w:r w:rsidRPr="00A562FF">
        <w:rPr>
          <w:rFonts w:asciiTheme="majorBidi" w:hAnsiTheme="majorBidi" w:cstheme="majorBidi"/>
        </w:rPr>
        <w:t xml:space="preserve">, N.I., &amp; Saied, E. </w:t>
      </w:r>
      <w:r w:rsidR="00190A15">
        <w:rPr>
          <w:rFonts w:asciiTheme="majorBidi" w:hAnsiTheme="majorBidi" w:cstheme="majorBidi"/>
        </w:rPr>
        <w:t>(</w:t>
      </w:r>
      <w:r w:rsidRPr="00A562FF">
        <w:rPr>
          <w:rFonts w:asciiTheme="majorBidi" w:hAnsiTheme="majorBidi" w:cstheme="majorBidi"/>
        </w:rPr>
        <w:t>2023</w:t>
      </w:r>
      <w:r w:rsidR="00190A15">
        <w:rPr>
          <w:rFonts w:asciiTheme="majorBidi" w:hAnsiTheme="majorBidi" w:cstheme="majorBidi"/>
        </w:rPr>
        <w:t>)</w:t>
      </w:r>
      <w:r w:rsidRPr="00A562FF">
        <w:rPr>
          <w:rFonts w:asciiTheme="majorBidi" w:hAnsiTheme="majorBidi" w:cstheme="majorBidi"/>
        </w:rPr>
        <w:t xml:space="preserve">. </w:t>
      </w:r>
      <w:r w:rsidR="00190A15">
        <w:rPr>
          <w:rFonts w:asciiTheme="majorBidi" w:hAnsiTheme="majorBidi" w:cstheme="majorBidi"/>
        </w:rPr>
        <w:t>“</w:t>
      </w:r>
      <w:r w:rsidRPr="00A562FF">
        <w:rPr>
          <w:rFonts w:asciiTheme="majorBidi" w:hAnsiTheme="majorBidi" w:cstheme="majorBidi"/>
        </w:rPr>
        <w:t xml:space="preserve">Green biosynthesis of zinc oxide nanoparticles using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leaf extract: antimicrobial and photocatalytic activities</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xml:space="preserve"> 28(12): 4679. </w:t>
      </w:r>
      <w:hyperlink r:id="rId10" w:history="1">
        <w:r w:rsidRPr="00A562FF">
          <w:rPr>
            <w:rStyle w:val="Hyperlink"/>
            <w:rFonts w:asciiTheme="majorBidi" w:hAnsiTheme="majorBidi" w:cstheme="majorBidi"/>
          </w:rPr>
          <w:t>https://doi.org/10.3390/molecules28124679</w:t>
        </w:r>
      </w:hyperlink>
    </w:p>
    <w:p w14:paraId="5E7E8EAC" w14:textId="20A30E29"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Alum, E. U. (2024). </w:t>
      </w:r>
      <w:r w:rsidR="00190A15">
        <w:rPr>
          <w:rFonts w:asciiTheme="majorBidi" w:hAnsiTheme="majorBidi" w:cstheme="majorBidi"/>
        </w:rPr>
        <w:t>“</w:t>
      </w:r>
      <w:r w:rsidRPr="00A562FF">
        <w:rPr>
          <w:rFonts w:asciiTheme="majorBidi" w:hAnsiTheme="majorBidi" w:cstheme="majorBidi"/>
        </w:rPr>
        <w:t>Climate change and its impact on the bioactive compound profile of medicinal plants: implications for global health.</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Plant Signaling &amp; Behavior</w:t>
      </w:r>
      <w:r w:rsidRPr="00A562FF">
        <w:rPr>
          <w:rFonts w:asciiTheme="majorBidi" w:hAnsiTheme="majorBidi" w:cstheme="majorBidi"/>
        </w:rPr>
        <w:t> </w:t>
      </w:r>
      <w:r w:rsidRPr="00A562FF">
        <w:rPr>
          <w:rFonts w:asciiTheme="majorBidi" w:hAnsiTheme="majorBidi" w:cstheme="majorBidi"/>
          <w:i/>
          <w:iCs/>
        </w:rPr>
        <w:t>19</w:t>
      </w:r>
      <w:r w:rsidRPr="00A562FF">
        <w:rPr>
          <w:rFonts w:asciiTheme="majorBidi" w:hAnsiTheme="majorBidi" w:cstheme="majorBidi"/>
        </w:rPr>
        <w:t xml:space="preserve">(1). </w:t>
      </w:r>
      <w:hyperlink r:id="rId11" w:history="1">
        <w:r w:rsidRPr="00A562FF">
          <w:rPr>
            <w:rStyle w:val="Hyperlink"/>
            <w:rFonts w:asciiTheme="majorBidi" w:hAnsiTheme="majorBidi" w:cstheme="majorBidi"/>
          </w:rPr>
          <w:t>https://doi.org/10.1080/15592324.2024.2419683</w:t>
        </w:r>
      </w:hyperlink>
    </w:p>
    <w:p w14:paraId="38343307" w14:textId="3C847FAC"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Ariadi</w:t>
      </w:r>
      <w:proofErr w:type="spellEnd"/>
      <w:r w:rsidRPr="00A562FF">
        <w:rPr>
          <w:rFonts w:asciiTheme="majorBidi" w:hAnsiTheme="majorBidi" w:cstheme="majorBidi"/>
        </w:rPr>
        <w:t xml:space="preserve">, H., Musa, M., &amp; Mahmudi, M. (2025). </w:t>
      </w:r>
      <w:r w:rsidR="00190A15">
        <w:rPr>
          <w:rFonts w:asciiTheme="majorBidi" w:hAnsiTheme="majorBidi" w:cstheme="majorBidi"/>
        </w:rPr>
        <w:t>“</w:t>
      </w:r>
      <w:r w:rsidRPr="00A562FF">
        <w:rPr>
          <w:rFonts w:asciiTheme="majorBidi" w:hAnsiTheme="majorBidi" w:cstheme="majorBidi"/>
        </w:rPr>
        <w:t xml:space="preserve">Organic Material Solubility and Dynamic Modelling Analysis of Intensive Shrimp Farming Activities in the Coastal Area of </w:t>
      </w:r>
      <w:proofErr w:type="spellStart"/>
      <w:r w:rsidRPr="00A562FF">
        <w:rPr>
          <w:rFonts w:asciiTheme="majorBidi" w:hAnsiTheme="majorBidi" w:cstheme="majorBidi"/>
        </w:rPr>
        <w:t>Pekalongan</w:t>
      </w:r>
      <w:proofErr w:type="spellEnd"/>
      <w:r w:rsidRPr="00A562FF">
        <w:rPr>
          <w:rFonts w:asciiTheme="majorBidi" w:hAnsiTheme="majorBidi" w:cstheme="majorBidi"/>
        </w:rPr>
        <w:t>, Indonesia</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Croatian Journal of Fisheries</w:t>
      </w:r>
      <w:r w:rsidRPr="00A562FF">
        <w:rPr>
          <w:rFonts w:asciiTheme="majorBidi" w:hAnsiTheme="majorBidi" w:cstheme="majorBidi"/>
        </w:rPr>
        <w:t> </w:t>
      </w:r>
      <w:r w:rsidRPr="00A562FF">
        <w:rPr>
          <w:rFonts w:asciiTheme="majorBidi" w:hAnsiTheme="majorBidi" w:cstheme="majorBidi"/>
          <w:i/>
          <w:iCs/>
        </w:rPr>
        <w:t>83</w:t>
      </w:r>
      <w:r w:rsidRPr="00A562FF">
        <w:rPr>
          <w:rFonts w:asciiTheme="majorBidi" w:hAnsiTheme="majorBidi" w:cstheme="majorBidi"/>
        </w:rPr>
        <w:t xml:space="preserve">(2), 71-85. </w:t>
      </w:r>
      <w:hyperlink r:id="rId12" w:history="1">
        <w:r w:rsidRPr="00A562FF">
          <w:rPr>
            <w:rStyle w:val="Hyperlink"/>
            <w:rFonts w:asciiTheme="majorBidi" w:hAnsiTheme="majorBidi" w:cstheme="majorBidi"/>
          </w:rPr>
          <w:t>https://doi.org/10.2478/cjf-2025-0008</w:t>
        </w:r>
      </w:hyperlink>
    </w:p>
    <w:p w14:paraId="45966584" w14:textId="77777777"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Aulia</w:t>
      </w:r>
      <w:proofErr w:type="spellEnd"/>
      <w:r w:rsidRPr="00A562FF">
        <w:rPr>
          <w:rFonts w:asciiTheme="majorBidi" w:hAnsiTheme="majorBidi" w:cstheme="majorBidi"/>
        </w:rPr>
        <w:t xml:space="preserve">, D.U., </w:t>
      </w:r>
      <w:proofErr w:type="spellStart"/>
      <w:r w:rsidRPr="00A562FF">
        <w:rPr>
          <w:rFonts w:asciiTheme="majorBidi" w:hAnsiTheme="majorBidi" w:cstheme="majorBidi"/>
        </w:rPr>
        <w:t>Hidayatu</w:t>
      </w:r>
      <w:proofErr w:type="spellEnd"/>
      <w:r w:rsidRPr="00A562FF">
        <w:rPr>
          <w:rFonts w:asciiTheme="majorBidi" w:hAnsiTheme="majorBidi" w:cstheme="majorBidi"/>
        </w:rPr>
        <w:t xml:space="preserve">, A.R., &amp; Suryani, D. (2023). Antibacterial Activity of </w:t>
      </w:r>
      <w:proofErr w:type="spellStart"/>
      <w:r w:rsidRPr="00A562FF">
        <w:rPr>
          <w:rFonts w:asciiTheme="majorBidi" w:hAnsiTheme="majorBidi" w:cstheme="majorBidi"/>
        </w:rPr>
        <w:t>Metanol</w:t>
      </w:r>
      <w:proofErr w:type="spellEnd"/>
      <w:r w:rsidRPr="00A562FF">
        <w:rPr>
          <w:rFonts w:asciiTheme="majorBidi" w:hAnsiTheme="majorBidi" w:cstheme="majorBidi"/>
        </w:rPr>
        <w:t xml:space="preserve"> Extract and n-Butanol Fraction of Euphorbia </w:t>
      </w:r>
      <w:proofErr w:type="spellStart"/>
      <w:r w:rsidRPr="00A562FF">
        <w:rPr>
          <w:rFonts w:asciiTheme="majorBidi" w:hAnsiTheme="majorBidi" w:cstheme="majorBidi"/>
        </w:rPr>
        <w:t>milii</w:t>
      </w:r>
      <w:proofErr w:type="spellEnd"/>
      <w:r w:rsidRPr="00A562FF">
        <w:rPr>
          <w:rFonts w:asciiTheme="majorBidi" w:hAnsiTheme="majorBidi" w:cstheme="majorBidi"/>
        </w:rPr>
        <w:t xml:space="preserve"> Leaves Against Staphylococcus aureus. </w:t>
      </w:r>
      <w:proofErr w:type="spellStart"/>
      <w:r w:rsidRPr="00A562FF">
        <w:rPr>
          <w:rFonts w:asciiTheme="majorBidi" w:hAnsiTheme="majorBidi" w:cstheme="majorBidi"/>
          <w:i/>
          <w:iCs/>
        </w:rPr>
        <w:t>Jurnal</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Biologi</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Tropis</w:t>
      </w:r>
      <w:proofErr w:type="spellEnd"/>
      <w:r w:rsidRPr="00A562FF">
        <w:rPr>
          <w:rFonts w:asciiTheme="majorBidi" w:hAnsiTheme="majorBidi" w:cstheme="majorBidi"/>
          <w:i/>
          <w:iCs/>
        </w:rPr>
        <w:t xml:space="preserve">, </w:t>
      </w:r>
      <w:r w:rsidRPr="00A562FF">
        <w:rPr>
          <w:rFonts w:asciiTheme="majorBidi" w:hAnsiTheme="majorBidi" w:cstheme="majorBidi"/>
        </w:rPr>
        <w:t xml:space="preserve">23(1), 315–323. </w:t>
      </w:r>
      <w:hyperlink r:id="rId13" w:history="1">
        <w:r w:rsidRPr="00A562FF">
          <w:rPr>
            <w:rStyle w:val="Hyperlink"/>
            <w:rFonts w:asciiTheme="majorBidi" w:hAnsiTheme="majorBidi" w:cstheme="majorBidi"/>
          </w:rPr>
          <w:t>http://dx.doi.org/10.29303/jbt.v23i1.6154</w:t>
        </w:r>
      </w:hyperlink>
    </w:p>
    <w:p w14:paraId="35C147DB" w14:textId="74C98A35"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lang w:val="id-ID"/>
        </w:rPr>
        <w:t xml:space="preserve">Azhari, D., Makisake, A.M., Tomasoa, A.M., Lumiu, G., </w:t>
      </w:r>
      <w:r w:rsidR="00190A15">
        <w:rPr>
          <w:rFonts w:asciiTheme="majorBidi" w:hAnsiTheme="majorBidi" w:cstheme="majorBidi"/>
          <w:lang w:val="id-ID"/>
        </w:rPr>
        <w:t>&amp;</w:t>
      </w:r>
      <w:r w:rsidRPr="00A562FF">
        <w:rPr>
          <w:rFonts w:asciiTheme="majorBidi" w:hAnsiTheme="majorBidi" w:cstheme="majorBidi"/>
          <w:lang w:val="id-ID"/>
        </w:rPr>
        <w:t xml:space="preserve"> Balansa, W. 2018. </w:t>
      </w:r>
      <w:r w:rsidR="00190A15">
        <w:rPr>
          <w:rFonts w:asciiTheme="majorBidi" w:hAnsiTheme="majorBidi" w:cstheme="majorBidi"/>
          <w:lang w:val="id-ID"/>
        </w:rPr>
        <w:t>“</w:t>
      </w:r>
      <w:r w:rsidRPr="00A562FF">
        <w:rPr>
          <w:rFonts w:asciiTheme="majorBidi" w:hAnsiTheme="majorBidi" w:cstheme="majorBidi"/>
          <w:lang w:val="id-ID"/>
        </w:rPr>
        <w:t xml:space="preserve">Aktivitas Antibakteri Ekstrak Kasar Spons </w:t>
      </w:r>
      <w:r w:rsidRPr="00A562FF">
        <w:rPr>
          <w:rFonts w:asciiTheme="majorBidi" w:hAnsiTheme="majorBidi" w:cstheme="majorBidi"/>
          <w:i/>
          <w:iCs/>
          <w:lang w:val="id-ID"/>
        </w:rPr>
        <w:t xml:space="preserve">Agelas clathrodes </w:t>
      </w:r>
      <w:r w:rsidRPr="00A562FF">
        <w:rPr>
          <w:rFonts w:asciiTheme="majorBidi" w:hAnsiTheme="majorBidi" w:cstheme="majorBidi"/>
          <w:lang w:val="id-ID"/>
        </w:rPr>
        <w:t xml:space="preserve">Terhadap Bakteri Patogenik Ikan </w:t>
      </w:r>
      <w:r w:rsidRPr="00A562FF">
        <w:rPr>
          <w:rFonts w:asciiTheme="majorBidi" w:hAnsiTheme="majorBidi" w:cstheme="majorBidi"/>
          <w:i/>
          <w:iCs/>
          <w:lang w:val="id-ID"/>
        </w:rPr>
        <w:t>Vibrio parahemolyticus</w:t>
      </w:r>
      <w:r w:rsidR="00190A15">
        <w:rPr>
          <w:rFonts w:asciiTheme="majorBidi" w:hAnsiTheme="majorBidi" w:cstheme="majorBidi"/>
          <w:i/>
          <w:iCs/>
          <w:lang w:val="id-ID"/>
        </w:rPr>
        <w:t>.”</w:t>
      </w:r>
      <w:r w:rsidRPr="00A562FF">
        <w:rPr>
          <w:rFonts w:asciiTheme="majorBidi" w:hAnsiTheme="majorBidi" w:cstheme="majorBidi"/>
          <w:lang w:val="id-ID"/>
        </w:rPr>
        <w:t xml:space="preserve"> </w:t>
      </w:r>
      <w:r w:rsidRPr="00A562FF">
        <w:rPr>
          <w:rFonts w:asciiTheme="majorBidi" w:hAnsiTheme="majorBidi" w:cstheme="majorBidi"/>
          <w:i/>
          <w:iCs/>
          <w:lang w:val="id-ID"/>
        </w:rPr>
        <w:t xml:space="preserve">Jurnal Ilmiah Tindalung </w:t>
      </w:r>
      <w:r w:rsidRPr="00A562FF">
        <w:rPr>
          <w:rFonts w:asciiTheme="majorBidi" w:hAnsiTheme="majorBidi" w:cstheme="majorBidi"/>
          <w:lang w:val="id-ID"/>
        </w:rPr>
        <w:t>4</w:t>
      </w:r>
      <w:r w:rsidR="00190A15">
        <w:rPr>
          <w:rFonts w:asciiTheme="majorBidi" w:hAnsiTheme="majorBidi" w:cstheme="majorBidi"/>
          <w:lang w:val="id-ID"/>
        </w:rPr>
        <w:t xml:space="preserve"> </w:t>
      </w:r>
      <w:r w:rsidRPr="00A562FF">
        <w:rPr>
          <w:rFonts w:asciiTheme="majorBidi" w:hAnsiTheme="majorBidi" w:cstheme="majorBidi"/>
          <w:lang w:val="id-ID"/>
        </w:rPr>
        <w:t xml:space="preserve">(2): 53–56. </w:t>
      </w:r>
      <w:hyperlink r:id="rId14" w:history="1">
        <w:r w:rsidRPr="00A562FF">
          <w:rPr>
            <w:rStyle w:val="Hyperlink"/>
            <w:rFonts w:asciiTheme="majorBidi" w:hAnsiTheme="majorBidi" w:cstheme="majorBidi"/>
            <w:lang w:val="id-ID"/>
          </w:rPr>
          <w:t>http://www.e-journal.polnustar.ac.id/jit/article/view/136</w:t>
        </w:r>
      </w:hyperlink>
    </w:p>
    <w:p w14:paraId="52EE5A4C" w14:textId="7F1852D6"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Azzeme</w:t>
      </w:r>
      <w:proofErr w:type="spellEnd"/>
      <w:r w:rsidRPr="00A562FF">
        <w:rPr>
          <w:rFonts w:asciiTheme="majorBidi" w:hAnsiTheme="majorBidi" w:cstheme="majorBidi"/>
        </w:rPr>
        <w:t xml:space="preserve">, A., &amp; Zaman, M.A.K. (2019). </w:t>
      </w:r>
      <w:r w:rsidR="00190A15">
        <w:rPr>
          <w:rFonts w:asciiTheme="majorBidi" w:hAnsiTheme="majorBidi" w:cstheme="majorBidi"/>
        </w:rPr>
        <w:t>“</w:t>
      </w:r>
      <w:r w:rsidRPr="00A562FF">
        <w:rPr>
          <w:rFonts w:asciiTheme="majorBidi" w:hAnsiTheme="majorBidi" w:cstheme="majorBidi"/>
        </w:rPr>
        <w:t>Plant toxins: alkaloids and their toxicities</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GSC Biological and Pharmaceutical Sciences</w:t>
      </w:r>
      <w:r w:rsidRPr="00A562FF">
        <w:rPr>
          <w:rFonts w:asciiTheme="majorBidi" w:hAnsiTheme="majorBidi" w:cstheme="majorBidi"/>
        </w:rPr>
        <w:t xml:space="preserve"> </w:t>
      </w:r>
      <w:r w:rsidRPr="00190A15">
        <w:rPr>
          <w:rFonts w:asciiTheme="majorBidi" w:hAnsiTheme="majorBidi" w:cstheme="majorBidi"/>
          <w:i/>
          <w:iCs/>
        </w:rPr>
        <w:t>6</w:t>
      </w:r>
      <w:r w:rsidR="00190A15">
        <w:rPr>
          <w:rFonts w:asciiTheme="majorBidi" w:hAnsiTheme="majorBidi" w:cstheme="majorBidi"/>
        </w:rPr>
        <w:t xml:space="preserve"> </w:t>
      </w:r>
      <w:r w:rsidRPr="00A562FF">
        <w:rPr>
          <w:rFonts w:asciiTheme="majorBidi" w:hAnsiTheme="majorBidi" w:cstheme="majorBidi"/>
        </w:rPr>
        <w:t>(2)</w:t>
      </w:r>
      <w:r w:rsidR="00190A15">
        <w:rPr>
          <w:rFonts w:asciiTheme="majorBidi" w:hAnsiTheme="majorBidi" w:cstheme="majorBidi"/>
        </w:rPr>
        <w:t>:</w:t>
      </w:r>
      <w:r w:rsidRPr="00A562FF">
        <w:rPr>
          <w:rFonts w:asciiTheme="majorBidi" w:hAnsiTheme="majorBidi" w:cstheme="majorBidi"/>
        </w:rPr>
        <w:t xml:space="preserve"> 21–29. </w:t>
      </w:r>
      <w:hyperlink r:id="rId15" w:history="1">
        <w:r w:rsidRPr="00A562FF">
          <w:rPr>
            <w:rStyle w:val="Hyperlink"/>
            <w:rFonts w:asciiTheme="majorBidi" w:hAnsiTheme="majorBidi" w:cstheme="majorBidi"/>
          </w:rPr>
          <w:t>http://dx.doi.org/10.30574/gscbps.2019.6.2.0003</w:t>
        </w:r>
      </w:hyperlink>
    </w:p>
    <w:p w14:paraId="1D0B093A" w14:textId="3C66A858"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Baliyan</w:t>
      </w:r>
      <w:proofErr w:type="spellEnd"/>
      <w:r w:rsidRPr="00A562FF">
        <w:rPr>
          <w:rFonts w:asciiTheme="majorBidi" w:hAnsiTheme="majorBidi" w:cstheme="majorBidi"/>
        </w:rPr>
        <w:t xml:space="preserve">, S., Mukherjee, R., Priyadarshini, A., Vibhuti, A., Gupta, A., Pandey, R.P., &amp; Chang, C.M. (2022). </w:t>
      </w:r>
      <w:r w:rsidR="00190A15">
        <w:rPr>
          <w:rFonts w:asciiTheme="majorBidi" w:hAnsiTheme="majorBidi" w:cstheme="majorBidi"/>
        </w:rPr>
        <w:t>“</w:t>
      </w:r>
      <w:r w:rsidRPr="00A562FF">
        <w:rPr>
          <w:rFonts w:asciiTheme="majorBidi" w:hAnsiTheme="majorBidi" w:cstheme="majorBidi"/>
        </w:rPr>
        <w:t xml:space="preserve">Determination of antioxidants by DPPH radical scavenging activity and </w:t>
      </w:r>
      <w:r w:rsidRPr="00A562FF">
        <w:rPr>
          <w:rFonts w:asciiTheme="majorBidi" w:hAnsiTheme="majorBidi" w:cstheme="majorBidi"/>
        </w:rPr>
        <w:lastRenderedPageBreak/>
        <w:t>quantitative phytochemical analysis of Ficus religiosa</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w:t>
      </w:r>
      <w:r w:rsidRPr="00A562FF">
        <w:rPr>
          <w:rFonts w:asciiTheme="majorBidi" w:hAnsiTheme="majorBidi" w:cstheme="majorBidi"/>
          <w:i/>
          <w:iCs/>
        </w:rPr>
        <w:t>27</w:t>
      </w:r>
      <w:r w:rsidR="00190A15">
        <w:rPr>
          <w:rFonts w:asciiTheme="majorBidi" w:hAnsiTheme="majorBidi" w:cstheme="majorBidi"/>
          <w:i/>
          <w:iCs/>
        </w:rPr>
        <w:t xml:space="preserve"> </w:t>
      </w:r>
      <w:r w:rsidRPr="00A562FF">
        <w:rPr>
          <w:rFonts w:asciiTheme="majorBidi" w:hAnsiTheme="majorBidi" w:cstheme="majorBidi"/>
        </w:rPr>
        <w:t>(4)</w:t>
      </w:r>
      <w:r w:rsidR="00190A15">
        <w:rPr>
          <w:rFonts w:asciiTheme="majorBidi" w:hAnsiTheme="majorBidi" w:cstheme="majorBidi"/>
        </w:rPr>
        <w:t>:</w:t>
      </w:r>
      <w:r w:rsidRPr="00A562FF">
        <w:rPr>
          <w:rFonts w:asciiTheme="majorBidi" w:hAnsiTheme="majorBidi" w:cstheme="majorBidi"/>
        </w:rPr>
        <w:t xml:space="preserve"> 1326. </w:t>
      </w:r>
      <w:hyperlink r:id="rId16" w:history="1">
        <w:r w:rsidRPr="00A562FF">
          <w:rPr>
            <w:rStyle w:val="Hyperlink"/>
            <w:rFonts w:asciiTheme="majorBidi" w:hAnsiTheme="majorBidi" w:cstheme="majorBidi"/>
          </w:rPr>
          <w:t>https://doi.org/10.3390/molecules27041326</w:t>
        </w:r>
      </w:hyperlink>
    </w:p>
    <w:p w14:paraId="4B6DB3F6" w14:textId="43D854B9"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Birt, D., &amp; Jeffery, E. (2013). </w:t>
      </w:r>
      <w:r w:rsidR="00190A15">
        <w:rPr>
          <w:rFonts w:asciiTheme="majorBidi" w:hAnsiTheme="majorBidi" w:cstheme="majorBidi"/>
        </w:rPr>
        <w:t>“</w:t>
      </w:r>
      <w:r w:rsidRPr="00A562FF">
        <w:rPr>
          <w:rFonts w:asciiTheme="majorBidi" w:hAnsiTheme="majorBidi" w:cstheme="majorBidi"/>
        </w:rPr>
        <w:t>Flavonoids.</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 xml:space="preserve">Adv </w:t>
      </w:r>
      <w:proofErr w:type="spellStart"/>
      <w:r w:rsidRPr="00A562FF">
        <w:rPr>
          <w:rFonts w:asciiTheme="majorBidi" w:hAnsiTheme="majorBidi" w:cstheme="majorBidi"/>
          <w:i/>
          <w:iCs/>
        </w:rPr>
        <w:t>Nutr</w:t>
      </w:r>
      <w:proofErr w:type="spellEnd"/>
      <w:r w:rsidR="00190A15">
        <w:rPr>
          <w:rFonts w:asciiTheme="majorBidi" w:hAnsiTheme="majorBidi" w:cstheme="majorBidi"/>
          <w:i/>
          <w:iCs/>
        </w:rPr>
        <w:t>.</w:t>
      </w:r>
      <w:r w:rsidRPr="00A562FF">
        <w:rPr>
          <w:rFonts w:asciiTheme="majorBidi" w:hAnsiTheme="majorBidi" w:cstheme="majorBidi"/>
        </w:rPr>
        <w:t xml:space="preserve"> </w:t>
      </w:r>
      <w:r w:rsidRPr="00190A15">
        <w:rPr>
          <w:rFonts w:asciiTheme="majorBidi" w:hAnsiTheme="majorBidi" w:cstheme="majorBidi"/>
          <w:i/>
          <w:iCs/>
        </w:rPr>
        <w:t>4</w:t>
      </w:r>
      <w:r w:rsidR="00190A15">
        <w:rPr>
          <w:rFonts w:asciiTheme="majorBidi" w:hAnsiTheme="majorBidi" w:cstheme="majorBidi"/>
        </w:rPr>
        <w:t xml:space="preserve"> </w:t>
      </w:r>
      <w:r w:rsidRPr="00A562FF">
        <w:rPr>
          <w:rFonts w:asciiTheme="majorBidi" w:hAnsiTheme="majorBidi" w:cstheme="majorBidi"/>
        </w:rPr>
        <w:t>(5)</w:t>
      </w:r>
      <w:r w:rsidR="00190A15">
        <w:rPr>
          <w:rFonts w:asciiTheme="majorBidi" w:hAnsiTheme="majorBidi" w:cstheme="majorBidi"/>
        </w:rPr>
        <w:t>:</w:t>
      </w:r>
      <w:r w:rsidRPr="00A562FF">
        <w:rPr>
          <w:rFonts w:asciiTheme="majorBidi" w:hAnsiTheme="majorBidi" w:cstheme="majorBidi"/>
        </w:rPr>
        <w:t xml:space="preserve"> 576–577. </w:t>
      </w:r>
      <w:hyperlink r:id="rId17" w:history="1">
        <w:r w:rsidRPr="00A562FF">
          <w:rPr>
            <w:rStyle w:val="Hyperlink"/>
            <w:rFonts w:asciiTheme="majorBidi" w:hAnsiTheme="majorBidi" w:cstheme="majorBidi"/>
          </w:rPr>
          <w:t>https://doi.org/10.3945/an.113.004465</w:t>
        </w:r>
      </w:hyperlink>
    </w:p>
    <w:p w14:paraId="4A9DBF8E" w14:textId="2D9DD65C"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Bolívar-Ramírez, N.C., Mallmann, A.S., Schleder, D.D., Machado, C., Seiffert, W.Q., &amp; do Nascimento Vieira, F. (2022). </w:t>
      </w:r>
      <w:r w:rsidR="00190A15">
        <w:rPr>
          <w:rFonts w:asciiTheme="majorBidi" w:hAnsiTheme="majorBidi" w:cstheme="majorBidi"/>
        </w:rPr>
        <w:t>“</w:t>
      </w:r>
      <w:r w:rsidRPr="00A562FF">
        <w:rPr>
          <w:rFonts w:asciiTheme="majorBidi" w:hAnsiTheme="majorBidi" w:cstheme="majorBidi"/>
        </w:rPr>
        <w:t>Tannins as a food additive in pacific white shrimp diet.</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Aquaculture</w:t>
      </w:r>
      <w:r w:rsidRPr="00A562FF">
        <w:rPr>
          <w:rFonts w:asciiTheme="majorBidi" w:hAnsiTheme="majorBidi" w:cstheme="majorBidi"/>
        </w:rPr>
        <w:t> </w:t>
      </w:r>
      <w:r w:rsidRPr="00A562FF">
        <w:rPr>
          <w:rFonts w:asciiTheme="majorBidi" w:hAnsiTheme="majorBidi" w:cstheme="majorBidi"/>
          <w:i/>
          <w:iCs/>
        </w:rPr>
        <w:t>556</w:t>
      </w:r>
      <w:r w:rsidR="00190A15">
        <w:rPr>
          <w:rFonts w:asciiTheme="majorBidi" w:hAnsiTheme="majorBidi" w:cstheme="majorBidi"/>
        </w:rPr>
        <w:t>:</w:t>
      </w:r>
      <w:r w:rsidRPr="00A562FF">
        <w:rPr>
          <w:rFonts w:asciiTheme="majorBidi" w:hAnsiTheme="majorBidi" w:cstheme="majorBidi"/>
        </w:rPr>
        <w:t xml:space="preserve"> 738232. </w:t>
      </w:r>
      <w:hyperlink r:id="rId18" w:history="1">
        <w:r w:rsidRPr="00A562FF">
          <w:rPr>
            <w:rStyle w:val="Hyperlink"/>
            <w:rFonts w:asciiTheme="majorBidi" w:hAnsiTheme="majorBidi" w:cstheme="majorBidi"/>
          </w:rPr>
          <w:t>https://doi.org/10.1016/j.aquaculture.2022.738232</w:t>
        </w:r>
      </w:hyperlink>
    </w:p>
    <w:p w14:paraId="20CA869A" w14:textId="29B3657B"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Câmara, J. S., Perestrelo, R., Ferreira, R., Berenguer, C.V., Pereira, J.A., &amp; Castilho, P.C. (2024). </w:t>
      </w:r>
      <w:r w:rsidR="00190A15">
        <w:rPr>
          <w:rFonts w:asciiTheme="majorBidi" w:hAnsiTheme="majorBidi" w:cstheme="majorBidi"/>
        </w:rPr>
        <w:t>“</w:t>
      </w:r>
      <w:r w:rsidRPr="00A562FF">
        <w:rPr>
          <w:rFonts w:asciiTheme="majorBidi" w:hAnsiTheme="majorBidi" w:cstheme="majorBidi"/>
        </w:rPr>
        <w:t>Plant-derived terpenoids: A plethora of bioactive compounds with several health functions and industrial applications—A comprehensive overview.</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w:t>
      </w:r>
      <w:r w:rsidRPr="00A562FF">
        <w:rPr>
          <w:rFonts w:asciiTheme="majorBidi" w:hAnsiTheme="majorBidi" w:cstheme="majorBidi"/>
          <w:i/>
          <w:iCs/>
        </w:rPr>
        <w:t>29</w:t>
      </w:r>
      <w:r w:rsidR="00190A15">
        <w:rPr>
          <w:rFonts w:asciiTheme="majorBidi" w:hAnsiTheme="majorBidi" w:cstheme="majorBidi"/>
          <w:i/>
          <w:iCs/>
        </w:rPr>
        <w:t xml:space="preserve"> </w:t>
      </w:r>
      <w:r w:rsidRPr="00A562FF">
        <w:rPr>
          <w:rFonts w:asciiTheme="majorBidi" w:hAnsiTheme="majorBidi" w:cstheme="majorBidi"/>
        </w:rPr>
        <w:t>(16)</w:t>
      </w:r>
      <w:r w:rsidR="00190A15">
        <w:rPr>
          <w:rFonts w:asciiTheme="majorBidi" w:hAnsiTheme="majorBidi" w:cstheme="majorBidi"/>
        </w:rPr>
        <w:t>:</w:t>
      </w:r>
      <w:r w:rsidRPr="00A562FF">
        <w:rPr>
          <w:rFonts w:asciiTheme="majorBidi" w:hAnsiTheme="majorBidi" w:cstheme="majorBidi"/>
        </w:rPr>
        <w:t xml:space="preserve"> 3861. </w:t>
      </w:r>
      <w:hyperlink r:id="rId19" w:history="1">
        <w:r w:rsidRPr="00A562FF">
          <w:rPr>
            <w:rStyle w:val="Hyperlink"/>
            <w:rFonts w:asciiTheme="majorBidi" w:hAnsiTheme="majorBidi" w:cstheme="majorBidi"/>
          </w:rPr>
          <w:t>https://doi.org/10.1016/j.pestbp.2019.04.013</w:t>
        </w:r>
      </w:hyperlink>
    </w:p>
    <w:p w14:paraId="149A7786" w14:textId="263D6581"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Charlton, N. C., </w:t>
      </w:r>
      <w:proofErr w:type="spellStart"/>
      <w:r w:rsidRPr="00A562FF">
        <w:rPr>
          <w:rFonts w:asciiTheme="majorBidi" w:hAnsiTheme="majorBidi" w:cstheme="majorBidi"/>
        </w:rPr>
        <w:t>Mastyugin</w:t>
      </w:r>
      <w:proofErr w:type="spellEnd"/>
      <w:r w:rsidRPr="00A562FF">
        <w:rPr>
          <w:rFonts w:asciiTheme="majorBidi" w:hAnsiTheme="majorBidi" w:cstheme="majorBidi"/>
        </w:rPr>
        <w:t xml:space="preserve">, M., Török, B., &amp; Török, M. (2023). </w:t>
      </w:r>
      <w:r w:rsidR="00190A15">
        <w:rPr>
          <w:rFonts w:asciiTheme="majorBidi" w:hAnsiTheme="majorBidi" w:cstheme="majorBidi"/>
        </w:rPr>
        <w:t>“</w:t>
      </w:r>
      <w:r w:rsidRPr="00A562FF">
        <w:rPr>
          <w:rFonts w:asciiTheme="majorBidi" w:hAnsiTheme="majorBidi" w:cstheme="majorBidi"/>
        </w:rPr>
        <w:t>Structural features of small molecule antioxidants and strategic modifications to improve potential bioactivity.</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w:t>
      </w:r>
      <w:r w:rsidRPr="00A562FF">
        <w:rPr>
          <w:rFonts w:asciiTheme="majorBidi" w:hAnsiTheme="majorBidi" w:cstheme="majorBidi"/>
          <w:i/>
          <w:iCs/>
        </w:rPr>
        <w:t>28</w:t>
      </w:r>
      <w:r w:rsidR="00190A15">
        <w:rPr>
          <w:rFonts w:asciiTheme="majorBidi" w:hAnsiTheme="majorBidi" w:cstheme="majorBidi"/>
          <w:i/>
          <w:iCs/>
        </w:rPr>
        <w:t xml:space="preserve"> </w:t>
      </w:r>
      <w:r w:rsidRPr="00A562FF">
        <w:rPr>
          <w:rFonts w:asciiTheme="majorBidi" w:hAnsiTheme="majorBidi" w:cstheme="majorBidi"/>
        </w:rPr>
        <w:t>(3)</w:t>
      </w:r>
      <w:r w:rsidR="00190A15">
        <w:rPr>
          <w:rFonts w:asciiTheme="majorBidi" w:hAnsiTheme="majorBidi" w:cstheme="majorBidi"/>
        </w:rPr>
        <w:t>:</w:t>
      </w:r>
      <w:r w:rsidRPr="00A562FF">
        <w:rPr>
          <w:rFonts w:asciiTheme="majorBidi" w:hAnsiTheme="majorBidi" w:cstheme="majorBidi"/>
        </w:rPr>
        <w:t xml:space="preserve"> 1057. </w:t>
      </w:r>
      <w:hyperlink r:id="rId20" w:history="1">
        <w:r w:rsidRPr="00A562FF">
          <w:rPr>
            <w:rStyle w:val="Hyperlink"/>
            <w:rFonts w:asciiTheme="majorBidi" w:hAnsiTheme="majorBidi" w:cstheme="majorBidi"/>
          </w:rPr>
          <w:t>https://doi.org/10.3390/molecules28031057</w:t>
        </w:r>
      </w:hyperlink>
    </w:p>
    <w:p w14:paraId="04E7FE4A" w14:textId="2CAE6112"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Chen, C., Xu, C., Qian, D., Yu, Q., Huang, M., Zhou, L., Qin, J.G., Chen, L., &amp; Li, E. (2020). </w:t>
      </w:r>
      <w:r w:rsidR="00190A15">
        <w:rPr>
          <w:rFonts w:asciiTheme="majorBidi" w:hAnsiTheme="majorBidi" w:cstheme="majorBidi"/>
        </w:rPr>
        <w:t>“</w:t>
      </w:r>
      <w:r w:rsidRPr="00A562FF">
        <w:rPr>
          <w:rFonts w:asciiTheme="majorBidi" w:hAnsiTheme="majorBidi" w:cstheme="majorBidi"/>
        </w:rPr>
        <w:t xml:space="preserve">Growth and health status of Pacific white shrimp, </w:t>
      </w:r>
      <w:proofErr w:type="spellStart"/>
      <w:r w:rsidRPr="00A562FF">
        <w:rPr>
          <w:rFonts w:asciiTheme="majorBidi" w:hAnsiTheme="majorBidi" w:cstheme="majorBidi"/>
        </w:rPr>
        <w:t>Litopenaeus</w:t>
      </w:r>
      <w:proofErr w:type="spellEnd"/>
      <w:r w:rsidRPr="00A562FF">
        <w:rPr>
          <w:rFonts w:asciiTheme="majorBidi" w:hAnsiTheme="majorBidi" w:cstheme="majorBidi"/>
        </w:rPr>
        <w:t xml:space="preserve"> </w:t>
      </w:r>
      <w:proofErr w:type="spellStart"/>
      <w:r w:rsidR="00C47D5C" w:rsidRPr="00C47D5C">
        <w:rPr>
          <w:rFonts w:asciiTheme="majorBidi" w:hAnsiTheme="majorBidi" w:cstheme="majorBidi"/>
        </w:rPr>
        <w:t>whiteleg</w:t>
      </w:r>
      <w:r w:rsidRPr="00A562FF">
        <w:rPr>
          <w:rFonts w:asciiTheme="majorBidi" w:hAnsiTheme="majorBidi" w:cstheme="majorBidi"/>
        </w:rPr>
        <w:t>i</w:t>
      </w:r>
      <w:proofErr w:type="spellEnd"/>
      <w:r w:rsidRPr="00A562FF">
        <w:rPr>
          <w:rFonts w:asciiTheme="majorBidi" w:hAnsiTheme="majorBidi" w:cstheme="majorBidi"/>
        </w:rPr>
        <w:t>, exposed to chronic water born cobalt.</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Fish &amp; Shellfish Immunology</w:t>
      </w:r>
      <w:r w:rsidRPr="00A562FF">
        <w:rPr>
          <w:rFonts w:asciiTheme="majorBidi" w:hAnsiTheme="majorBidi" w:cstheme="majorBidi"/>
        </w:rPr>
        <w:t> </w:t>
      </w:r>
      <w:r w:rsidRPr="00A562FF">
        <w:rPr>
          <w:rFonts w:asciiTheme="majorBidi" w:hAnsiTheme="majorBidi" w:cstheme="majorBidi"/>
          <w:i/>
          <w:iCs/>
        </w:rPr>
        <w:t>100</w:t>
      </w:r>
      <w:r w:rsidR="00190A15">
        <w:rPr>
          <w:rFonts w:asciiTheme="majorBidi" w:hAnsiTheme="majorBidi" w:cstheme="majorBidi"/>
        </w:rPr>
        <w:t>:</w:t>
      </w:r>
      <w:r w:rsidRPr="00A562FF">
        <w:rPr>
          <w:rFonts w:asciiTheme="majorBidi" w:hAnsiTheme="majorBidi" w:cstheme="majorBidi"/>
        </w:rPr>
        <w:t xml:space="preserve"> 137-145. </w:t>
      </w:r>
      <w:hyperlink r:id="rId21" w:history="1">
        <w:r w:rsidRPr="00A562FF">
          <w:rPr>
            <w:rStyle w:val="Hyperlink"/>
            <w:rFonts w:asciiTheme="majorBidi" w:hAnsiTheme="majorBidi" w:cstheme="majorBidi"/>
          </w:rPr>
          <w:t>https://doi.org/10.1016/j.fsi.2020.03.011</w:t>
        </w:r>
      </w:hyperlink>
    </w:p>
    <w:p w14:paraId="53130F9C" w14:textId="40CF2A2B"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Cheney, J. (2024). </w:t>
      </w:r>
      <w:r w:rsidR="00190A15">
        <w:rPr>
          <w:rFonts w:asciiTheme="majorBidi" w:hAnsiTheme="majorBidi" w:cstheme="majorBidi"/>
        </w:rPr>
        <w:t>“</w:t>
      </w:r>
      <w:r w:rsidRPr="00A562FF">
        <w:rPr>
          <w:rFonts w:asciiTheme="majorBidi" w:hAnsiTheme="majorBidi" w:cstheme="majorBidi"/>
        </w:rPr>
        <w:t>An Overview of Shrimp and its Sustainability in 2024.</w:t>
      </w:r>
      <w:r w:rsidR="00190A15">
        <w:rPr>
          <w:rFonts w:asciiTheme="majorBidi" w:hAnsiTheme="majorBidi" w:cstheme="majorBidi"/>
        </w:rPr>
        <w:t>”</w:t>
      </w:r>
      <w:r w:rsidRPr="00A562FF">
        <w:rPr>
          <w:rFonts w:asciiTheme="majorBidi" w:hAnsiTheme="majorBidi" w:cstheme="majorBidi"/>
        </w:rPr>
        <w:t xml:space="preserve"> </w:t>
      </w:r>
      <w:hyperlink r:id="rId22" w:history="1">
        <w:r w:rsidRPr="00A562FF">
          <w:rPr>
            <w:rStyle w:val="Hyperlink"/>
            <w:rFonts w:asciiTheme="majorBidi" w:hAnsiTheme="majorBidi" w:cstheme="majorBidi"/>
          </w:rPr>
          <w:t>https://sustainablefisheries-uw.org/shrimp-sustainability-2024/</w:t>
        </w:r>
      </w:hyperlink>
    </w:p>
    <w:p w14:paraId="1D4AAC64" w14:textId="2D421EC0"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lang w:val="id-ID"/>
        </w:rPr>
        <w:t xml:space="preserve">Coelho, J.R., Rosa, K.V., Rocha, J.S., Ramírez, N.C.B., Maraschin, M., &amp; Vieira, F.N. (2021). </w:t>
      </w:r>
      <w:r w:rsidR="00190A15">
        <w:rPr>
          <w:rFonts w:asciiTheme="majorBidi" w:hAnsiTheme="majorBidi" w:cstheme="majorBidi"/>
          <w:lang w:val="id-ID"/>
        </w:rPr>
        <w:t>“</w:t>
      </w:r>
      <w:r w:rsidRPr="00A562FF">
        <w:rPr>
          <w:rFonts w:asciiTheme="majorBidi" w:hAnsiTheme="majorBidi" w:cstheme="majorBidi"/>
        </w:rPr>
        <w:t>In vitro antimicrobial activity of carvacrol against shrimp pathogens and its use as feed additive for the pacific white shrimp.</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Bol. Inst. Pesca</w:t>
      </w:r>
      <w:r w:rsidR="00190A15">
        <w:rPr>
          <w:rFonts w:asciiTheme="majorBidi" w:hAnsiTheme="majorBidi" w:cstheme="majorBidi"/>
          <w:i/>
          <w:iCs/>
        </w:rPr>
        <w:t>.</w:t>
      </w:r>
      <w:r w:rsidRPr="00A562FF">
        <w:rPr>
          <w:rFonts w:asciiTheme="majorBidi" w:hAnsiTheme="majorBidi" w:cstheme="majorBidi"/>
        </w:rPr>
        <w:t xml:space="preserve"> 47</w:t>
      </w:r>
      <w:r w:rsidR="00190A15">
        <w:rPr>
          <w:rFonts w:asciiTheme="majorBidi" w:hAnsiTheme="majorBidi" w:cstheme="majorBidi"/>
        </w:rPr>
        <w:t>:</w:t>
      </w:r>
      <w:r w:rsidRPr="00A562FF">
        <w:rPr>
          <w:rFonts w:asciiTheme="majorBidi" w:hAnsiTheme="majorBidi" w:cstheme="majorBidi"/>
        </w:rPr>
        <w:t xml:space="preserve"> e645. </w:t>
      </w:r>
      <w:hyperlink r:id="rId23" w:history="1">
        <w:r w:rsidRPr="00A562FF">
          <w:rPr>
            <w:rStyle w:val="Hyperlink"/>
            <w:rFonts w:asciiTheme="majorBidi" w:hAnsiTheme="majorBidi" w:cstheme="majorBidi"/>
          </w:rPr>
          <w:t>https://doi.org/10.20950/1678-2305/bip.2021.47.e645</w:t>
        </w:r>
      </w:hyperlink>
    </w:p>
    <w:p w14:paraId="54C42E33" w14:textId="0C9AA321"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Farha, A.K., Yang, Q.Q., Kim, G., Li., H.B., Zhu, F., Liu, H., Gan, R., &amp; Corke, H. (2020). </w:t>
      </w:r>
      <w:r w:rsidR="00190A15">
        <w:rPr>
          <w:rFonts w:asciiTheme="majorBidi" w:hAnsiTheme="majorBidi" w:cstheme="majorBidi"/>
        </w:rPr>
        <w:t>“</w:t>
      </w:r>
      <w:r w:rsidRPr="00A562FF">
        <w:rPr>
          <w:rFonts w:asciiTheme="majorBidi" w:hAnsiTheme="majorBidi" w:cstheme="majorBidi"/>
        </w:rPr>
        <w:t>Tannins as an alternative to antibiotics.</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 xml:space="preserve">Food Bioscience </w:t>
      </w:r>
      <w:r w:rsidRPr="00A562FF">
        <w:rPr>
          <w:rFonts w:asciiTheme="majorBidi" w:hAnsiTheme="majorBidi" w:cstheme="majorBidi"/>
        </w:rPr>
        <w:t>38</w:t>
      </w:r>
      <w:r w:rsidR="00190A15">
        <w:rPr>
          <w:rFonts w:asciiTheme="majorBidi" w:hAnsiTheme="majorBidi" w:cstheme="majorBidi"/>
        </w:rPr>
        <w:t>:</w:t>
      </w:r>
      <w:r w:rsidRPr="00A562FF">
        <w:rPr>
          <w:rFonts w:asciiTheme="majorBidi" w:hAnsiTheme="majorBidi" w:cstheme="majorBidi"/>
        </w:rPr>
        <w:t xml:space="preserve"> 100751. </w:t>
      </w:r>
      <w:hyperlink r:id="rId24" w:history="1">
        <w:r w:rsidRPr="00A562FF">
          <w:rPr>
            <w:rStyle w:val="Hyperlink"/>
            <w:rFonts w:asciiTheme="majorBidi" w:hAnsiTheme="majorBidi" w:cstheme="majorBidi"/>
          </w:rPr>
          <w:t>https://doi.org/10.1016/j.fbio.2020.100751</w:t>
        </w:r>
      </w:hyperlink>
    </w:p>
    <w:p w14:paraId="052D4B60" w14:textId="11FCD419"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Fitrasyah</w:t>
      </w:r>
      <w:proofErr w:type="spellEnd"/>
      <w:r w:rsidRPr="00A562FF">
        <w:rPr>
          <w:rFonts w:asciiTheme="majorBidi" w:hAnsiTheme="majorBidi" w:cstheme="majorBidi"/>
        </w:rPr>
        <w:t xml:space="preserve">, S.I., Ningsih, S., Rahman, N., Rakhman, A., Ariani, A., &amp; Aiman, U. (2025). </w:t>
      </w:r>
      <w:r w:rsidR="00190A15">
        <w:rPr>
          <w:rFonts w:asciiTheme="majorBidi" w:hAnsiTheme="majorBidi" w:cstheme="majorBidi"/>
        </w:rPr>
        <w:t>“</w:t>
      </w:r>
      <w:r w:rsidRPr="00A562FF">
        <w:rPr>
          <w:rFonts w:asciiTheme="majorBidi" w:hAnsiTheme="majorBidi" w:cstheme="majorBidi"/>
        </w:rPr>
        <w:t>Phytochemical compounds, vitamin C levels, and antioxidant activity of soursop leaves (</w:t>
      </w:r>
      <w:r w:rsidRPr="00190A15">
        <w:rPr>
          <w:rFonts w:asciiTheme="majorBidi" w:hAnsiTheme="majorBidi" w:cstheme="majorBidi"/>
          <w:i/>
          <w:iCs/>
        </w:rPr>
        <w:t>Annona muricata</w:t>
      </w:r>
      <w:r w:rsidRPr="00A562FF">
        <w:rPr>
          <w:rFonts w:asciiTheme="majorBidi" w:hAnsiTheme="majorBidi" w:cstheme="majorBidi"/>
        </w:rPr>
        <w:t xml:space="preserve"> Linn) tea powder under various drying durations.</w:t>
      </w:r>
      <w:r w:rsidR="00190A15">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Nutrición</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Clínicay</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Dietética</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Hospitalaria</w:t>
      </w:r>
      <w:proofErr w:type="spellEnd"/>
      <w:r w:rsidRPr="00A562FF">
        <w:rPr>
          <w:rFonts w:asciiTheme="majorBidi" w:hAnsiTheme="majorBidi" w:cstheme="majorBidi"/>
        </w:rPr>
        <w:t> </w:t>
      </w:r>
      <w:r w:rsidRPr="00A562FF">
        <w:rPr>
          <w:rFonts w:asciiTheme="majorBidi" w:hAnsiTheme="majorBidi" w:cstheme="majorBidi"/>
          <w:i/>
          <w:iCs/>
        </w:rPr>
        <w:t>45</w:t>
      </w:r>
      <w:r w:rsidR="00190A15">
        <w:rPr>
          <w:rFonts w:asciiTheme="majorBidi" w:hAnsiTheme="majorBidi" w:cstheme="majorBidi"/>
          <w:i/>
          <w:iCs/>
        </w:rPr>
        <w:t xml:space="preserve"> </w:t>
      </w:r>
      <w:r w:rsidRPr="00A562FF">
        <w:rPr>
          <w:rFonts w:asciiTheme="majorBidi" w:hAnsiTheme="majorBidi" w:cstheme="majorBidi"/>
        </w:rPr>
        <w:t>(1)</w:t>
      </w:r>
      <w:r w:rsidR="00190A15">
        <w:rPr>
          <w:rFonts w:asciiTheme="majorBidi" w:hAnsiTheme="majorBidi" w:cstheme="majorBidi"/>
        </w:rPr>
        <w:t>:</w:t>
      </w:r>
      <w:r w:rsidRPr="00A562FF">
        <w:rPr>
          <w:rFonts w:asciiTheme="majorBidi" w:hAnsiTheme="majorBidi" w:cstheme="majorBidi"/>
        </w:rPr>
        <w:t xml:space="preserve"> 391–399. </w:t>
      </w:r>
      <w:hyperlink r:id="rId25" w:history="1">
        <w:r w:rsidRPr="00A562FF">
          <w:rPr>
            <w:rStyle w:val="Hyperlink"/>
            <w:rFonts w:asciiTheme="majorBidi" w:hAnsiTheme="majorBidi" w:cstheme="majorBidi"/>
          </w:rPr>
          <w:t>https://doi.org/10.12873/451fitrasyah</w:t>
        </w:r>
      </w:hyperlink>
    </w:p>
    <w:p w14:paraId="35B1441E" w14:textId="32C19776"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Górniak</w:t>
      </w:r>
      <w:proofErr w:type="spellEnd"/>
      <w:r w:rsidRPr="00A562FF">
        <w:rPr>
          <w:rFonts w:asciiTheme="majorBidi" w:hAnsiTheme="majorBidi" w:cstheme="majorBidi"/>
        </w:rPr>
        <w:t xml:space="preserve">, I., Bartoszewski, R., &amp; </w:t>
      </w:r>
      <w:proofErr w:type="spellStart"/>
      <w:r w:rsidRPr="00A562FF">
        <w:rPr>
          <w:rFonts w:asciiTheme="majorBidi" w:hAnsiTheme="majorBidi" w:cstheme="majorBidi"/>
        </w:rPr>
        <w:t>Króliczewski</w:t>
      </w:r>
      <w:proofErr w:type="spellEnd"/>
      <w:r w:rsidRPr="00A562FF">
        <w:rPr>
          <w:rFonts w:asciiTheme="majorBidi" w:hAnsiTheme="majorBidi" w:cstheme="majorBidi"/>
        </w:rPr>
        <w:t xml:space="preserve">, J. (2018). </w:t>
      </w:r>
      <w:r w:rsidR="00190A15">
        <w:rPr>
          <w:rFonts w:asciiTheme="majorBidi" w:hAnsiTheme="majorBidi" w:cstheme="majorBidi"/>
        </w:rPr>
        <w:t>“</w:t>
      </w:r>
      <w:r w:rsidRPr="00A562FF">
        <w:rPr>
          <w:rFonts w:asciiTheme="majorBidi" w:hAnsiTheme="majorBidi" w:cstheme="majorBidi"/>
        </w:rPr>
        <w:t>Comprehensive review of antimicrobial activities of plant flavonoids.</w:t>
      </w:r>
      <w:r w:rsidR="00190A15">
        <w:rPr>
          <w:rFonts w:asciiTheme="majorBidi" w:hAnsiTheme="majorBidi" w:cstheme="majorBidi"/>
        </w:rPr>
        <w:t>”</w:t>
      </w:r>
      <w:r w:rsidRPr="00A562FF">
        <w:rPr>
          <w:rFonts w:asciiTheme="majorBidi" w:hAnsiTheme="majorBidi" w:cstheme="majorBidi"/>
        </w:rPr>
        <w:t xml:space="preserve"> </w:t>
      </w:r>
      <w:r w:rsidRPr="00190A15">
        <w:rPr>
          <w:rFonts w:asciiTheme="majorBidi" w:hAnsiTheme="majorBidi" w:cstheme="majorBidi"/>
          <w:i/>
          <w:iCs/>
        </w:rPr>
        <w:t>Phytochemistry Reviews</w:t>
      </w:r>
      <w:r w:rsidRPr="00A562FF">
        <w:rPr>
          <w:rFonts w:asciiTheme="majorBidi" w:hAnsiTheme="majorBidi" w:cstheme="majorBidi"/>
        </w:rPr>
        <w:t xml:space="preserve"> 18</w:t>
      </w:r>
      <w:r w:rsidR="00190A15">
        <w:rPr>
          <w:rFonts w:asciiTheme="majorBidi" w:hAnsiTheme="majorBidi" w:cstheme="majorBidi"/>
        </w:rPr>
        <w:t>:</w:t>
      </w:r>
      <w:r w:rsidRPr="00A562FF">
        <w:rPr>
          <w:rFonts w:asciiTheme="majorBidi" w:hAnsiTheme="majorBidi" w:cstheme="majorBidi"/>
        </w:rPr>
        <w:t xml:space="preserve"> 241–272. </w:t>
      </w:r>
      <w:hyperlink r:id="rId26" w:history="1">
        <w:r w:rsidRPr="00A562FF">
          <w:rPr>
            <w:rStyle w:val="Hyperlink"/>
            <w:rFonts w:asciiTheme="majorBidi" w:hAnsiTheme="majorBidi" w:cstheme="majorBidi"/>
          </w:rPr>
          <w:t>https://doi.org/10.1007/s11101-018-9591-z</w:t>
        </w:r>
      </w:hyperlink>
    </w:p>
    <w:p w14:paraId="6C8F0D1C" w14:textId="7EF25947"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Gulcin</w:t>
      </w:r>
      <w:proofErr w:type="spellEnd"/>
      <w:r w:rsidRPr="00A562FF">
        <w:rPr>
          <w:rFonts w:asciiTheme="majorBidi" w:hAnsiTheme="majorBidi" w:cstheme="majorBidi"/>
        </w:rPr>
        <w:t xml:space="preserve">, I., &amp; </w:t>
      </w:r>
      <w:proofErr w:type="spellStart"/>
      <w:r w:rsidRPr="00A562FF">
        <w:rPr>
          <w:rFonts w:asciiTheme="majorBidi" w:hAnsiTheme="majorBidi" w:cstheme="majorBidi"/>
        </w:rPr>
        <w:t>Alwasel</w:t>
      </w:r>
      <w:proofErr w:type="spellEnd"/>
      <w:r w:rsidRPr="00A562FF">
        <w:rPr>
          <w:rFonts w:asciiTheme="majorBidi" w:hAnsiTheme="majorBidi" w:cstheme="majorBidi"/>
        </w:rPr>
        <w:t xml:space="preserve">, S.H. (2023). </w:t>
      </w:r>
      <w:r w:rsidR="00405C74">
        <w:rPr>
          <w:rFonts w:asciiTheme="majorBidi" w:hAnsiTheme="majorBidi" w:cstheme="majorBidi"/>
        </w:rPr>
        <w:t>“</w:t>
      </w:r>
      <w:r w:rsidRPr="00A562FF">
        <w:rPr>
          <w:rFonts w:asciiTheme="majorBidi" w:hAnsiTheme="majorBidi" w:cstheme="majorBidi"/>
        </w:rPr>
        <w:t>DPPH radical scavenging assay.</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Processes</w:t>
      </w:r>
      <w:r w:rsidRPr="00A562FF">
        <w:rPr>
          <w:rFonts w:asciiTheme="majorBidi" w:hAnsiTheme="majorBidi" w:cstheme="majorBidi"/>
        </w:rPr>
        <w:t> </w:t>
      </w:r>
      <w:r w:rsidRPr="00A562FF">
        <w:rPr>
          <w:rFonts w:asciiTheme="majorBidi" w:hAnsiTheme="majorBidi" w:cstheme="majorBidi"/>
          <w:i/>
          <w:iCs/>
        </w:rPr>
        <w:t>11</w:t>
      </w:r>
      <w:r w:rsidR="00405C74">
        <w:rPr>
          <w:rFonts w:asciiTheme="majorBidi" w:hAnsiTheme="majorBidi" w:cstheme="majorBidi"/>
          <w:i/>
          <w:iCs/>
        </w:rPr>
        <w:t xml:space="preserve"> </w:t>
      </w:r>
      <w:r w:rsidRPr="00A562FF">
        <w:rPr>
          <w:rFonts w:asciiTheme="majorBidi" w:hAnsiTheme="majorBidi" w:cstheme="majorBidi"/>
        </w:rPr>
        <w:t>(8)</w:t>
      </w:r>
      <w:r w:rsidR="00405C74">
        <w:rPr>
          <w:rFonts w:asciiTheme="majorBidi" w:hAnsiTheme="majorBidi" w:cstheme="majorBidi"/>
        </w:rPr>
        <w:t>:</w:t>
      </w:r>
      <w:r w:rsidRPr="00A562FF">
        <w:rPr>
          <w:rFonts w:asciiTheme="majorBidi" w:hAnsiTheme="majorBidi" w:cstheme="majorBidi"/>
        </w:rPr>
        <w:t xml:space="preserve"> 2248. </w:t>
      </w:r>
      <w:hyperlink r:id="rId27" w:history="1">
        <w:r w:rsidRPr="00A562FF">
          <w:rPr>
            <w:rStyle w:val="Hyperlink"/>
            <w:rFonts w:asciiTheme="majorBidi" w:hAnsiTheme="majorBidi" w:cstheme="majorBidi"/>
          </w:rPr>
          <w:t>https://doi.org/10.3390/pr11082248</w:t>
        </w:r>
      </w:hyperlink>
    </w:p>
    <w:p w14:paraId="46F6DFAF" w14:textId="55C34593"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Hayyan, M., Hashim, M.A., &amp; </w:t>
      </w:r>
      <w:proofErr w:type="spellStart"/>
      <w:r w:rsidRPr="00A562FF">
        <w:rPr>
          <w:rFonts w:asciiTheme="majorBidi" w:hAnsiTheme="majorBidi" w:cstheme="majorBidi"/>
        </w:rPr>
        <w:t>AlNashef</w:t>
      </w:r>
      <w:proofErr w:type="spellEnd"/>
      <w:r w:rsidRPr="00A562FF">
        <w:rPr>
          <w:rFonts w:asciiTheme="majorBidi" w:hAnsiTheme="majorBidi" w:cstheme="majorBidi"/>
        </w:rPr>
        <w:t xml:space="preserve">, I.M. (2016). </w:t>
      </w:r>
      <w:r w:rsidR="00405C74">
        <w:rPr>
          <w:rFonts w:asciiTheme="majorBidi" w:hAnsiTheme="majorBidi" w:cstheme="majorBidi"/>
        </w:rPr>
        <w:t>“</w:t>
      </w:r>
      <w:r w:rsidRPr="00A562FF">
        <w:rPr>
          <w:rFonts w:asciiTheme="majorBidi" w:hAnsiTheme="majorBidi" w:cstheme="majorBidi"/>
        </w:rPr>
        <w:t>Superoxide ion: generation and chemical implications.</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Chemical reviews</w:t>
      </w:r>
      <w:r w:rsidRPr="00A562FF">
        <w:rPr>
          <w:rFonts w:asciiTheme="majorBidi" w:hAnsiTheme="majorBidi" w:cstheme="majorBidi"/>
        </w:rPr>
        <w:t> </w:t>
      </w:r>
      <w:r w:rsidRPr="00A562FF">
        <w:rPr>
          <w:rFonts w:asciiTheme="majorBidi" w:hAnsiTheme="majorBidi" w:cstheme="majorBidi"/>
          <w:i/>
          <w:iCs/>
        </w:rPr>
        <w:t>116</w:t>
      </w:r>
      <w:r w:rsidR="00405C74">
        <w:rPr>
          <w:rFonts w:asciiTheme="majorBidi" w:hAnsiTheme="majorBidi" w:cstheme="majorBidi"/>
          <w:i/>
          <w:iCs/>
        </w:rPr>
        <w:t xml:space="preserve"> </w:t>
      </w:r>
      <w:r w:rsidRPr="00A562FF">
        <w:rPr>
          <w:rFonts w:asciiTheme="majorBidi" w:hAnsiTheme="majorBidi" w:cstheme="majorBidi"/>
        </w:rPr>
        <w:t>(5)</w:t>
      </w:r>
      <w:r w:rsidR="00405C74">
        <w:rPr>
          <w:rFonts w:asciiTheme="majorBidi" w:hAnsiTheme="majorBidi" w:cstheme="majorBidi"/>
        </w:rPr>
        <w:t>:</w:t>
      </w:r>
      <w:r w:rsidRPr="00A562FF">
        <w:rPr>
          <w:rFonts w:asciiTheme="majorBidi" w:hAnsiTheme="majorBidi" w:cstheme="majorBidi"/>
        </w:rPr>
        <w:t xml:space="preserve"> 3029-3085. </w:t>
      </w:r>
      <w:hyperlink r:id="rId28" w:history="1">
        <w:r w:rsidRPr="00A562FF">
          <w:rPr>
            <w:rStyle w:val="Hyperlink"/>
            <w:rFonts w:asciiTheme="majorBidi" w:hAnsiTheme="majorBidi" w:cstheme="majorBidi"/>
          </w:rPr>
          <w:t>https://doi.org/10.1021/acs.chemrev.5b00407</w:t>
        </w:r>
      </w:hyperlink>
    </w:p>
    <w:p w14:paraId="07F027CD" w14:textId="32566BC3"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Huang, S., Liu, X., Yang, W., Ma, L., Li, H., Liu, R., Qiu, J., &amp; Li, Y. (2022). </w:t>
      </w:r>
      <w:r w:rsidR="00405C74">
        <w:rPr>
          <w:rFonts w:asciiTheme="majorBidi" w:hAnsiTheme="majorBidi" w:cstheme="majorBidi"/>
        </w:rPr>
        <w:t>“</w:t>
      </w:r>
      <w:r w:rsidRPr="00A562FF">
        <w:rPr>
          <w:rFonts w:asciiTheme="majorBidi" w:hAnsiTheme="majorBidi" w:cstheme="majorBidi"/>
        </w:rPr>
        <w:t>Insights into adaptive mechanisms of extreme acidophiles based on quorum sensing/quenching-related proteins.</w:t>
      </w:r>
      <w:r w:rsidR="00405C74">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Msystems</w:t>
      </w:r>
      <w:proofErr w:type="spellEnd"/>
      <w:r w:rsidRPr="00A562FF">
        <w:rPr>
          <w:rFonts w:asciiTheme="majorBidi" w:hAnsiTheme="majorBidi" w:cstheme="majorBidi"/>
        </w:rPr>
        <w:t> </w:t>
      </w:r>
      <w:r w:rsidRPr="00A562FF">
        <w:rPr>
          <w:rFonts w:asciiTheme="majorBidi" w:hAnsiTheme="majorBidi" w:cstheme="majorBidi"/>
          <w:i/>
          <w:iCs/>
        </w:rPr>
        <w:t>7</w:t>
      </w:r>
      <w:r w:rsidR="00405C74">
        <w:rPr>
          <w:rFonts w:asciiTheme="majorBidi" w:hAnsiTheme="majorBidi" w:cstheme="majorBidi"/>
          <w:i/>
          <w:iCs/>
        </w:rPr>
        <w:t xml:space="preserve"> </w:t>
      </w:r>
      <w:r w:rsidRPr="00A562FF">
        <w:rPr>
          <w:rFonts w:asciiTheme="majorBidi" w:hAnsiTheme="majorBidi" w:cstheme="majorBidi"/>
        </w:rPr>
        <w:t>(2)</w:t>
      </w:r>
      <w:r w:rsidR="00405C74">
        <w:rPr>
          <w:rFonts w:asciiTheme="majorBidi" w:hAnsiTheme="majorBidi" w:cstheme="majorBidi"/>
        </w:rPr>
        <w:t xml:space="preserve">: </w:t>
      </w:r>
      <w:r w:rsidRPr="00A562FF">
        <w:rPr>
          <w:rFonts w:asciiTheme="majorBidi" w:hAnsiTheme="majorBidi" w:cstheme="majorBidi"/>
        </w:rPr>
        <w:t xml:space="preserve">e01491-21. </w:t>
      </w:r>
      <w:hyperlink r:id="rId29" w:history="1">
        <w:r w:rsidRPr="00A562FF">
          <w:rPr>
            <w:rStyle w:val="Hyperlink"/>
            <w:rFonts w:asciiTheme="majorBidi" w:hAnsiTheme="majorBidi" w:cstheme="majorBidi"/>
          </w:rPr>
          <w:t>https://doi.org/10.1128/msystems.01491-21</w:t>
        </w:r>
      </w:hyperlink>
    </w:p>
    <w:p w14:paraId="2333942E" w14:textId="5E62F629"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Indriaty</w:t>
      </w:r>
      <w:proofErr w:type="spellEnd"/>
      <w:r w:rsidRPr="00A562FF">
        <w:rPr>
          <w:rFonts w:asciiTheme="majorBidi" w:hAnsiTheme="majorBidi" w:cstheme="majorBidi"/>
        </w:rPr>
        <w:t xml:space="preserve">, I., </w:t>
      </w:r>
      <w:proofErr w:type="spellStart"/>
      <w:r w:rsidRPr="00A562FF">
        <w:rPr>
          <w:rFonts w:asciiTheme="majorBidi" w:hAnsiTheme="majorBidi" w:cstheme="majorBidi"/>
        </w:rPr>
        <w:t>Djufri</w:t>
      </w:r>
      <w:proofErr w:type="spellEnd"/>
      <w:r w:rsidRPr="00A562FF">
        <w:rPr>
          <w:rFonts w:asciiTheme="majorBidi" w:hAnsiTheme="majorBidi" w:cstheme="majorBidi"/>
        </w:rPr>
        <w:t xml:space="preserve">, D., Ginting, B., &amp; </w:t>
      </w:r>
      <w:proofErr w:type="spellStart"/>
      <w:r w:rsidRPr="00A562FF">
        <w:rPr>
          <w:rFonts w:asciiTheme="majorBidi" w:hAnsiTheme="majorBidi" w:cstheme="majorBidi"/>
        </w:rPr>
        <w:t>Hasballah</w:t>
      </w:r>
      <w:proofErr w:type="spellEnd"/>
      <w:r w:rsidRPr="00A562FF">
        <w:rPr>
          <w:rFonts w:asciiTheme="majorBidi" w:hAnsiTheme="majorBidi" w:cstheme="majorBidi"/>
        </w:rPr>
        <w:t xml:space="preserve">, K. (2023). </w:t>
      </w:r>
      <w:r w:rsidR="00405C74">
        <w:rPr>
          <w:rFonts w:asciiTheme="majorBidi" w:hAnsiTheme="majorBidi" w:cstheme="majorBidi"/>
        </w:rPr>
        <w:t>“</w:t>
      </w:r>
      <w:r w:rsidRPr="00A562FF">
        <w:rPr>
          <w:rFonts w:asciiTheme="majorBidi" w:hAnsiTheme="majorBidi" w:cstheme="majorBidi"/>
        </w:rPr>
        <w:t>Phytochemical screening, phenolic and flavonoid content, and antioxidant activity of Rhizophoraceae methanol extracts from Langsa, Aceh, Indonesia.</w:t>
      </w:r>
      <w:r w:rsidR="00405C74">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Biodiversitas</w:t>
      </w:r>
      <w:proofErr w:type="spellEnd"/>
      <w:r w:rsidRPr="00A562FF">
        <w:rPr>
          <w:rFonts w:asciiTheme="majorBidi" w:hAnsiTheme="majorBidi" w:cstheme="majorBidi"/>
          <w:i/>
          <w:iCs/>
        </w:rPr>
        <w:t xml:space="preserve"> Journal of Biological Diversity</w:t>
      </w:r>
      <w:r w:rsidRPr="00A562FF">
        <w:rPr>
          <w:rFonts w:asciiTheme="majorBidi" w:hAnsiTheme="majorBidi" w:cstheme="majorBidi"/>
        </w:rPr>
        <w:t> </w:t>
      </w:r>
      <w:r w:rsidRPr="00A562FF">
        <w:rPr>
          <w:rFonts w:asciiTheme="majorBidi" w:hAnsiTheme="majorBidi" w:cstheme="majorBidi"/>
          <w:i/>
          <w:iCs/>
        </w:rPr>
        <w:t>24</w:t>
      </w:r>
      <w:r w:rsidR="00405C74">
        <w:rPr>
          <w:rFonts w:asciiTheme="majorBidi" w:hAnsiTheme="majorBidi" w:cstheme="majorBidi"/>
          <w:i/>
          <w:iCs/>
        </w:rPr>
        <w:t xml:space="preserve"> </w:t>
      </w:r>
      <w:r w:rsidRPr="00A562FF">
        <w:rPr>
          <w:rFonts w:asciiTheme="majorBidi" w:hAnsiTheme="majorBidi" w:cstheme="majorBidi"/>
        </w:rPr>
        <w:t>(5)</w:t>
      </w:r>
      <w:r w:rsidR="00405C74">
        <w:rPr>
          <w:rFonts w:asciiTheme="majorBidi" w:hAnsiTheme="majorBidi" w:cstheme="majorBidi"/>
        </w:rPr>
        <w:t>:</w:t>
      </w:r>
      <w:r w:rsidRPr="00A562FF">
        <w:rPr>
          <w:rFonts w:asciiTheme="majorBidi" w:hAnsiTheme="majorBidi" w:cstheme="majorBidi"/>
        </w:rPr>
        <w:t xml:space="preserve"> 2865-76. </w:t>
      </w:r>
      <w:hyperlink r:id="rId30" w:history="1">
        <w:r w:rsidRPr="00A562FF">
          <w:rPr>
            <w:rStyle w:val="Hyperlink"/>
            <w:rFonts w:asciiTheme="majorBidi" w:hAnsiTheme="majorBidi" w:cstheme="majorBidi"/>
          </w:rPr>
          <w:t>https://doi.org/10.13057/biodiv/d240541</w:t>
        </w:r>
      </w:hyperlink>
    </w:p>
    <w:p w14:paraId="0CC85EBD" w14:textId="51645FF1"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Isromarina</w:t>
      </w:r>
      <w:proofErr w:type="spellEnd"/>
      <w:r w:rsidRPr="00A562FF">
        <w:rPr>
          <w:rFonts w:asciiTheme="majorBidi" w:hAnsiTheme="majorBidi" w:cstheme="majorBidi"/>
        </w:rPr>
        <w:t xml:space="preserve">, R., Martha, S., &amp; </w:t>
      </w:r>
      <w:proofErr w:type="spellStart"/>
      <w:r w:rsidRPr="00A562FF">
        <w:rPr>
          <w:rFonts w:asciiTheme="majorBidi" w:hAnsiTheme="majorBidi" w:cstheme="majorBidi"/>
        </w:rPr>
        <w:t>Oktarina</w:t>
      </w:r>
      <w:proofErr w:type="spellEnd"/>
      <w:r w:rsidRPr="00A562FF">
        <w:rPr>
          <w:rFonts w:asciiTheme="majorBidi" w:hAnsiTheme="majorBidi" w:cstheme="majorBidi"/>
        </w:rPr>
        <w:t xml:space="preserve">, T. (2025). </w:t>
      </w:r>
      <w:r w:rsidR="00405C74">
        <w:rPr>
          <w:rFonts w:asciiTheme="majorBidi" w:hAnsiTheme="majorBidi" w:cstheme="majorBidi"/>
        </w:rPr>
        <w:t>“</w:t>
      </w:r>
      <w:proofErr w:type="spellStart"/>
      <w:r w:rsidRPr="00A562FF">
        <w:rPr>
          <w:rFonts w:asciiTheme="majorBidi" w:hAnsiTheme="majorBidi" w:cstheme="majorBidi"/>
        </w:rPr>
        <w:t>Penetapan</w:t>
      </w:r>
      <w:proofErr w:type="spellEnd"/>
      <w:r w:rsidRPr="00A562FF">
        <w:rPr>
          <w:rFonts w:asciiTheme="majorBidi" w:hAnsiTheme="majorBidi" w:cstheme="majorBidi"/>
        </w:rPr>
        <w:t xml:space="preserve"> Kadar Flavonoid dan Uji </w:t>
      </w:r>
      <w:proofErr w:type="spellStart"/>
      <w:r w:rsidRPr="00A562FF">
        <w:rPr>
          <w:rFonts w:asciiTheme="majorBidi" w:hAnsiTheme="majorBidi" w:cstheme="majorBidi"/>
        </w:rPr>
        <w:t>Aktivitas</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Antioksidan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Ekstrak</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Etanol</w:t>
      </w:r>
      <w:proofErr w:type="spellEnd"/>
      <w:r w:rsidRPr="00A562FF">
        <w:rPr>
          <w:rFonts w:asciiTheme="majorBidi" w:hAnsiTheme="majorBidi" w:cstheme="majorBidi"/>
        </w:rPr>
        <w:t xml:space="preserve"> Daun </w:t>
      </w:r>
      <w:r w:rsidR="002949E1" w:rsidRPr="002949E1">
        <w:rPr>
          <w:rFonts w:asciiTheme="majorBidi" w:hAnsiTheme="majorBidi" w:cstheme="majorBidi"/>
        </w:rPr>
        <w:t>P. indica</w:t>
      </w:r>
      <w:r w:rsidRPr="00A562FF">
        <w:rPr>
          <w:rFonts w:asciiTheme="majorBidi" w:hAnsiTheme="majorBidi" w:cstheme="majorBidi"/>
        </w:rPr>
        <w:t xml:space="preserve">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Less).</w:t>
      </w:r>
      <w:r w:rsidR="00405C74">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Jurnal</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Penelitian</w:t>
      </w:r>
      <w:proofErr w:type="spellEnd"/>
      <w:r w:rsidRPr="00A562FF">
        <w:rPr>
          <w:rFonts w:asciiTheme="majorBidi" w:hAnsiTheme="majorBidi" w:cstheme="majorBidi"/>
          <w:i/>
          <w:iCs/>
        </w:rPr>
        <w:t xml:space="preserve"> Sains</w:t>
      </w:r>
      <w:r w:rsidRPr="00A562FF">
        <w:rPr>
          <w:rFonts w:asciiTheme="majorBidi" w:hAnsiTheme="majorBidi" w:cstheme="majorBidi"/>
        </w:rPr>
        <w:t> </w:t>
      </w:r>
      <w:r w:rsidRPr="00A562FF">
        <w:rPr>
          <w:rFonts w:asciiTheme="majorBidi" w:hAnsiTheme="majorBidi" w:cstheme="majorBidi"/>
          <w:i/>
          <w:iCs/>
        </w:rPr>
        <w:t>27</w:t>
      </w:r>
      <w:r w:rsidR="00405C74">
        <w:rPr>
          <w:rFonts w:asciiTheme="majorBidi" w:hAnsiTheme="majorBidi" w:cstheme="majorBidi"/>
          <w:i/>
          <w:iCs/>
        </w:rPr>
        <w:t xml:space="preserve"> </w:t>
      </w:r>
      <w:r w:rsidRPr="00A562FF">
        <w:rPr>
          <w:rFonts w:asciiTheme="majorBidi" w:hAnsiTheme="majorBidi" w:cstheme="majorBidi"/>
        </w:rPr>
        <w:t>(1)</w:t>
      </w:r>
      <w:r w:rsidR="00405C74">
        <w:rPr>
          <w:rFonts w:asciiTheme="majorBidi" w:hAnsiTheme="majorBidi" w:cstheme="majorBidi"/>
        </w:rPr>
        <w:t>:</w:t>
      </w:r>
      <w:r w:rsidRPr="00A562FF">
        <w:rPr>
          <w:rFonts w:asciiTheme="majorBidi" w:hAnsiTheme="majorBidi" w:cstheme="majorBidi"/>
        </w:rPr>
        <w:t xml:space="preserve"> 1-5. </w:t>
      </w:r>
      <w:hyperlink r:id="rId31" w:history="1">
        <w:r w:rsidRPr="00A562FF">
          <w:rPr>
            <w:rStyle w:val="Hyperlink"/>
            <w:rFonts w:asciiTheme="majorBidi" w:hAnsiTheme="majorBidi" w:cstheme="majorBidi"/>
          </w:rPr>
          <w:t>https://doi.org/10.56064/jps.v27i1.1063</w:t>
        </w:r>
      </w:hyperlink>
    </w:p>
    <w:p w14:paraId="7DE72AB5" w14:textId="3E37D650"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lastRenderedPageBreak/>
        <w:t xml:space="preserve">Jankowska, M., Rogalska, J., </w:t>
      </w:r>
      <w:proofErr w:type="spellStart"/>
      <w:r w:rsidRPr="00A562FF">
        <w:rPr>
          <w:rFonts w:asciiTheme="majorBidi" w:hAnsiTheme="majorBidi" w:cstheme="majorBidi"/>
        </w:rPr>
        <w:t>Wyszkowska</w:t>
      </w:r>
      <w:proofErr w:type="spellEnd"/>
      <w:r w:rsidRPr="00A562FF">
        <w:rPr>
          <w:rFonts w:asciiTheme="majorBidi" w:hAnsiTheme="majorBidi" w:cstheme="majorBidi"/>
        </w:rPr>
        <w:t xml:space="preserve">, J., &amp; Stankiewicz, M. (2018). </w:t>
      </w:r>
      <w:r w:rsidR="00405C74">
        <w:rPr>
          <w:rFonts w:asciiTheme="majorBidi" w:hAnsiTheme="majorBidi" w:cstheme="majorBidi"/>
        </w:rPr>
        <w:t>“</w:t>
      </w:r>
      <w:r w:rsidRPr="00A562FF">
        <w:rPr>
          <w:rFonts w:asciiTheme="majorBidi" w:hAnsiTheme="majorBidi" w:cstheme="majorBidi"/>
        </w:rPr>
        <w:t>Molecular targets for components of essential oils in the insect nervous system—a review.</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w:t>
      </w:r>
      <w:r w:rsidRPr="00A562FF">
        <w:rPr>
          <w:rFonts w:asciiTheme="majorBidi" w:hAnsiTheme="majorBidi" w:cstheme="majorBidi"/>
          <w:i/>
          <w:iCs/>
        </w:rPr>
        <w:t>23</w:t>
      </w:r>
      <w:r w:rsidR="00405C74">
        <w:rPr>
          <w:rFonts w:asciiTheme="majorBidi" w:hAnsiTheme="majorBidi" w:cstheme="majorBidi"/>
          <w:i/>
          <w:iCs/>
        </w:rPr>
        <w:t xml:space="preserve"> </w:t>
      </w:r>
      <w:r w:rsidRPr="00A562FF">
        <w:rPr>
          <w:rFonts w:asciiTheme="majorBidi" w:hAnsiTheme="majorBidi" w:cstheme="majorBidi"/>
        </w:rPr>
        <w:t>(1)</w:t>
      </w:r>
      <w:r w:rsidR="00405C74">
        <w:rPr>
          <w:rFonts w:asciiTheme="majorBidi" w:hAnsiTheme="majorBidi" w:cstheme="majorBidi"/>
        </w:rPr>
        <w:t>:</w:t>
      </w:r>
      <w:r w:rsidRPr="00A562FF">
        <w:rPr>
          <w:rFonts w:asciiTheme="majorBidi" w:hAnsiTheme="majorBidi" w:cstheme="majorBidi"/>
        </w:rPr>
        <w:t xml:space="preserve"> 34. </w:t>
      </w:r>
      <w:hyperlink r:id="rId32" w:history="1">
        <w:r w:rsidRPr="00A562FF">
          <w:rPr>
            <w:rStyle w:val="Hyperlink"/>
            <w:rFonts w:asciiTheme="majorBidi" w:hAnsiTheme="majorBidi" w:cstheme="majorBidi"/>
          </w:rPr>
          <w:t>https://doi.org/10.3390/molecules23010034</w:t>
        </w:r>
      </w:hyperlink>
    </w:p>
    <w:p w14:paraId="285E6ED8" w14:textId="33A58C71"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Kaczmarek, B. (2020). </w:t>
      </w:r>
      <w:r w:rsidR="00405C74">
        <w:rPr>
          <w:rFonts w:asciiTheme="majorBidi" w:hAnsiTheme="majorBidi" w:cstheme="majorBidi"/>
        </w:rPr>
        <w:t>“</w:t>
      </w:r>
      <w:r w:rsidRPr="00A562FF">
        <w:rPr>
          <w:rFonts w:asciiTheme="majorBidi" w:hAnsiTheme="majorBidi" w:cstheme="majorBidi"/>
        </w:rPr>
        <w:t>Tannic Acid with Antiviral and Antibacterial Activity as A Promising Component of Biomaterials—A Minireview.</w:t>
      </w:r>
      <w:r w:rsidR="00405C74">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Materials</w:t>
      </w:r>
      <w:r w:rsidRPr="00A562FF">
        <w:rPr>
          <w:rFonts w:asciiTheme="majorBidi" w:hAnsiTheme="majorBidi" w:cstheme="majorBidi"/>
        </w:rPr>
        <w:t xml:space="preserve"> 13</w:t>
      </w:r>
      <w:r w:rsidR="00405C74">
        <w:rPr>
          <w:rFonts w:asciiTheme="majorBidi" w:hAnsiTheme="majorBidi" w:cstheme="majorBidi"/>
        </w:rPr>
        <w:t xml:space="preserve"> </w:t>
      </w:r>
      <w:r w:rsidRPr="00A562FF">
        <w:rPr>
          <w:rFonts w:asciiTheme="majorBidi" w:hAnsiTheme="majorBidi" w:cstheme="majorBidi"/>
        </w:rPr>
        <w:t>(14)</w:t>
      </w:r>
      <w:r w:rsidR="00405C74">
        <w:rPr>
          <w:rFonts w:asciiTheme="majorBidi" w:hAnsiTheme="majorBidi" w:cstheme="majorBidi"/>
        </w:rPr>
        <w:t>:</w:t>
      </w:r>
      <w:r w:rsidRPr="00A562FF">
        <w:rPr>
          <w:rFonts w:asciiTheme="majorBidi" w:hAnsiTheme="majorBidi" w:cstheme="majorBidi"/>
        </w:rPr>
        <w:t xml:space="preserve"> 3224. </w:t>
      </w:r>
      <w:hyperlink r:id="rId33" w:history="1">
        <w:r w:rsidRPr="00A562FF">
          <w:rPr>
            <w:rStyle w:val="Hyperlink"/>
            <w:rFonts w:asciiTheme="majorBidi" w:hAnsiTheme="majorBidi" w:cstheme="majorBidi"/>
          </w:rPr>
          <w:t>https://doi.org/10.3390/ma13143224</w:t>
        </w:r>
      </w:hyperlink>
    </w:p>
    <w:p w14:paraId="49CF2F82" w14:textId="11D9E420"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Kovács, R., Erdélyi, L., Fenyvesi, F., Balla, N., Kovács, F., Vámosi, G., ... &amp; Váradi, J. (2022). </w:t>
      </w:r>
      <w:r w:rsidR="00405C74">
        <w:rPr>
          <w:rFonts w:asciiTheme="majorBidi" w:hAnsiTheme="majorBidi" w:cstheme="majorBidi"/>
        </w:rPr>
        <w:t>“</w:t>
      </w:r>
      <w:r w:rsidRPr="00A562FF">
        <w:rPr>
          <w:rFonts w:asciiTheme="majorBidi" w:hAnsiTheme="majorBidi" w:cstheme="majorBidi"/>
        </w:rPr>
        <w:t>Concentration-dependent antibacterial activity of chitosan on Lactobacillus plantarum.</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Pharmaceutics</w:t>
      </w:r>
      <w:r w:rsidRPr="00A562FF">
        <w:rPr>
          <w:rFonts w:asciiTheme="majorBidi" w:hAnsiTheme="majorBidi" w:cstheme="majorBidi"/>
        </w:rPr>
        <w:t xml:space="preserve"> 15</w:t>
      </w:r>
      <w:r w:rsidR="00405C74">
        <w:rPr>
          <w:rFonts w:asciiTheme="majorBidi" w:hAnsiTheme="majorBidi" w:cstheme="majorBidi"/>
        </w:rPr>
        <w:t xml:space="preserve"> </w:t>
      </w:r>
      <w:r w:rsidRPr="00A562FF">
        <w:rPr>
          <w:rFonts w:asciiTheme="majorBidi" w:hAnsiTheme="majorBidi" w:cstheme="majorBidi"/>
        </w:rPr>
        <w:t>(1)</w:t>
      </w:r>
      <w:r w:rsidR="00405C74">
        <w:rPr>
          <w:rFonts w:asciiTheme="majorBidi" w:hAnsiTheme="majorBidi" w:cstheme="majorBidi"/>
        </w:rPr>
        <w:t>:</w:t>
      </w:r>
      <w:r w:rsidRPr="00A562FF">
        <w:rPr>
          <w:rFonts w:asciiTheme="majorBidi" w:hAnsiTheme="majorBidi" w:cstheme="majorBidi"/>
        </w:rPr>
        <w:t xml:space="preserve"> 18. </w:t>
      </w:r>
      <w:hyperlink r:id="rId34" w:history="1">
        <w:r w:rsidRPr="00A562FF">
          <w:rPr>
            <w:rStyle w:val="Hyperlink"/>
            <w:rFonts w:asciiTheme="majorBidi" w:hAnsiTheme="majorBidi" w:cstheme="majorBidi"/>
          </w:rPr>
          <w:t>https://doi.org/10.3390/pharmaceutics15010018</w:t>
        </w:r>
      </w:hyperlink>
    </w:p>
    <w:p w14:paraId="2C5E5C4E" w14:textId="18A8E25A"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Kumara, P., Sunil, K., &amp; Kumar, B. A. (2018). </w:t>
      </w:r>
      <w:r w:rsidR="00405C74">
        <w:rPr>
          <w:rFonts w:asciiTheme="majorBidi" w:hAnsiTheme="majorBidi" w:cstheme="majorBidi"/>
        </w:rPr>
        <w:t>“</w:t>
      </w:r>
      <w:r w:rsidRPr="00A562FF">
        <w:rPr>
          <w:rFonts w:asciiTheme="majorBidi" w:hAnsiTheme="majorBidi" w:cstheme="majorBidi"/>
        </w:rPr>
        <w:t>Determination of DPPH Free Radical Scavenging Activity by RP-HPLC, Rapid Sensitive Method for the Screening of Berry Fruit Juice Freeze Dried Extract.</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Nat Prod Chem Res</w:t>
      </w:r>
      <w:r w:rsidR="00405C74" w:rsidRPr="00405C74">
        <w:rPr>
          <w:rFonts w:asciiTheme="majorBidi" w:hAnsiTheme="majorBidi" w:cstheme="majorBidi"/>
          <w:i/>
          <w:iCs/>
        </w:rPr>
        <w:t>.</w:t>
      </w:r>
      <w:r w:rsidRPr="00A562FF">
        <w:rPr>
          <w:rFonts w:asciiTheme="majorBidi" w:hAnsiTheme="majorBidi" w:cstheme="majorBidi"/>
        </w:rPr>
        <w:t xml:space="preserve"> 6</w:t>
      </w:r>
      <w:r w:rsidR="00405C74">
        <w:rPr>
          <w:rFonts w:asciiTheme="majorBidi" w:hAnsiTheme="majorBidi" w:cstheme="majorBidi"/>
        </w:rPr>
        <w:t xml:space="preserve"> </w:t>
      </w:r>
      <w:r w:rsidRPr="00A562FF">
        <w:rPr>
          <w:rFonts w:asciiTheme="majorBidi" w:hAnsiTheme="majorBidi" w:cstheme="majorBidi"/>
        </w:rPr>
        <w:t>(5)</w:t>
      </w:r>
      <w:r w:rsidR="00405C74">
        <w:rPr>
          <w:rFonts w:asciiTheme="majorBidi" w:hAnsiTheme="majorBidi" w:cstheme="majorBidi"/>
        </w:rPr>
        <w:t>:</w:t>
      </w:r>
      <w:r w:rsidRPr="00A562FF">
        <w:rPr>
          <w:rFonts w:asciiTheme="majorBidi" w:hAnsiTheme="majorBidi" w:cstheme="majorBidi"/>
        </w:rPr>
        <w:t xml:space="preserve"> 341.</w:t>
      </w:r>
    </w:p>
    <w:p w14:paraId="3B07DA27" w14:textId="5A77431C"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Lavaee</w:t>
      </w:r>
      <w:proofErr w:type="spellEnd"/>
      <w:r w:rsidRPr="00A562FF">
        <w:rPr>
          <w:rFonts w:asciiTheme="majorBidi" w:hAnsiTheme="majorBidi" w:cstheme="majorBidi"/>
        </w:rPr>
        <w:t xml:space="preserve">, F., Ranjbar, Z., </w:t>
      </w:r>
      <w:proofErr w:type="spellStart"/>
      <w:r w:rsidRPr="00A562FF">
        <w:rPr>
          <w:rFonts w:asciiTheme="majorBidi" w:hAnsiTheme="majorBidi" w:cstheme="majorBidi"/>
        </w:rPr>
        <w:t>Modarezi</w:t>
      </w:r>
      <w:proofErr w:type="spellEnd"/>
      <w:r w:rsidRPr="00A562FF">
        <w:rPr>
          <w:rFonts w:asciiTheme="majorBidi" w:hAnsiTheme="majorBidi" w:cstheme="majorBidi"/>
        </w:rPr>
        <w:t xml:space="preserve">, F., &amp; Keshavarz, F. (2021). </w:t>
      </w:r>
      <w:r w:rsidR="00405C74">
        <w:rPr>
          <w:rFonts w:asciiTheme="majorBidi" w:hAnsiTheme="majorBidi" w:cstheme="majorBidi"/>
        </w:rPr>
        <w:t>“</w:t>
      </w:r>
      <w:r w:rsidRPr="00A562FF">
        <w:rPr>
          <w:rFonts w:asciiTheme="majorBidi" w:hAnsiTheme="majorBidi" w:cstheme="majorBidi"/>
        </w:rPr>
        <w:t>The Effect of Gold Nano Particles with Different Sizes on Streptococcus Species.</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Journal of Dentistry 4</w:t>
      </w:r>
      <w:r w:rsidR="00405C74">
        <w:rPr>
          <w:rFonts w:asciiTheme="majorBidi" w:hAnsiTheme="majorBidi" w:cstheme="majorBidi"/>
          <w:i/>
          <w:iCs/>
        </w:rPr>
        <w:t xml:space="preserve"> </w:t>
      </w:r>
      <w:r w:rsidRPr="00A562FF">
        <w:rPr>
          <w:rFonts w:asciiTheme="majorBidi" w:hAnsiTheme="majorBidi" w:cstheme="majorBidi"/>
        </w:rPr>
        <w:t>(73)</w:t>
      </w:r>
      <w:r w:rsidR="00405C74">
        <w:rPr>
          <w:rFonts w:asciiTheme="majorBidi" w:hAnsiTheme="majorBidi" w:cstheme="majorBidi"/>
        </w:rPr>
        <w:t>:</w:t>
      </w:r>
      <w:r w:rsidRPr="00A562FF">
        <w:rPr>
          <w:rFonts w:asciiTheme="majorBidi" w:hAnsiTheme="majorBidi" w:cstheme="majorBidi"/>
        </w:rPr>
        <w:t xml:space="preserve"> 235–242. </w:t>
      </w:r>
      <w:hyperlink r:id="rId35" w:history="1">
        <w:r w:rsidRPr="00A562FF">
          <w:rPr>
            <w:rStyle w:val="Hyperlink"/>
            <w:rFonts w:asciiTheme="majorBidi" w:hAnsiTheme="majorBidi" w:cstheme="majorBidi"/>
          </w:rPr>
          <w:t>https://doi.org/10.30476/DENTJODS.2021.85219.1119</w:t>
        </w:r>
      </w:hyperlink>
    </w:p>
    <w:p w14:paraId="3748DE63" w14:textId="214BAD33"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Lestari, K.A.P., </w:t>
      </w:r>
      <w:proofErr w:type="spellStart"/>
      <w:r w:rsidRPr="00A562FF">
        <w:rPr>
          <w:rFonts w:asciiTheme="majorBidi" w:hAnsiTheme="majorBidi" w:cstheme="majorBidi"/>
        </w:rPr>
        <w:t>Pranoto</w:t>
      </w:r>
      <w:proofErr w:type="spellEnd"/>
      <w:r w:rsidRPr="00A562FF">
        <w:rPr>
          <w:rFonts w:asciiTheme="majorBidi" w:hAnsiTheme="majorBidi" w:cstheme="majorBidi"/>
        </w:rPr>
        <w:t xml:space="preserve">, P.P., </w:t>
      </w:r>
      <w:proofErr w:type="spellStart"/>
      <w:r w:rsidRPr="00A562FF">
        <w:rPr>
          <w:rFonts w:asciiTheme="majorBidi" w:hAnsiTheme="majorBidi" w:cstheme="majorBidi"/>
        </w:rPr>
        <w:t>Musyirah</w:t>
      </w:r>
      <w:proofErr w:type="spellEnd"/>
      <w:r w:rsidRPr="00A562FF">
        <w:rPr>
          <w:rFonts w:asciiTheme="majorBidi" w:hAnsiTheme="majorBidi" w:cstheme="majorBidi"/>
        </w:rPr>
        <w:t xml:space="preserve">, M., &amp; Pratiwi, F.I. (2020). </w:t>
      </w:r>
      <w:r w:rsidR="00405C74">
        <w:rPr>
          <w:rFonts w:asciiTheme="majorBidi" w:hAnsiTheme="majorBidi" w:cstheme="majorBidi"/>
        </w:rPr>
        <w:t>“</w:t>
      </w:r>
      <w:r w:rsidRPr="00A562FF">
        <w:rPr>
          <w:rFonts w:asciiTheme="majorBidi" w:hAnsiTheme="majorBidi" w:cstheme="majorBidi"/>
        </w:rPr>
        <w:t xml:space="preserve">Antibacterial Activity of </w:t>
      </w:r>
      <w:proofErr w:type="spellStart"/>
      <w:r w:rsidR="00405C74">
        <w:rPr>
          <w:rFonts w:asciiTheme="majorBidi" w:hAnsiTheme="majorBidi" w:cstheme="majorBidi"/>
        </w:rPr>
        <w:t>Beluntas</w:t>
      </w:r>
      <w:proofErr w:type="spellEnd"/>
      <w:r w:rsidRPr="00A562FF">
        <w:rPr>
          <w:rFonts w:asciiTheme="majorBidi" w:hAnsiTheme="majorBidi" w:cstheme="majorBidi"/>
        </w:rPr>
        <w:t xml:space="preserve"> (</w:t>
      </w:r>
      <w:proofErr w:type="spellStart"/>
      <w:r w:rsidRPr="00405C74">
        <w:rPr>
          <w:rFonts w:asciiTheme="majorBidi" w:hAnsiTheme="majorBidi" w:cstheme="majorBidi"/>
          <w:i/>
          <w:iCs/>
        </w:rPr>
        <w:t>Pluchea</w:t>
      </w:r>
      <w:proofErr w:type="spellEnd"/>
      <w:r w:rsidRPr="00405C74">
        <w:rPr>
          <w:rFonts w:asciiTheme="majorBidi" w:hAnsiTheme="majorBidi" w:cstheme="majorBidi"/>
          <w:i/>
          <w:iCs/>
        </w:rPr>
        <w:t xml:space="preserve"> indica</w:t>
      </w:r>
      <w:r w:rsidRPr="00A562FF">
        <w:rPr>
          <w:rFonts w:asciiTheme="majorBidi" w:hAnsiTheme="majorBidi" w:cstheme="majorBidi"/>
        </w:rPr>
        <w:t xml:space="preserve"> L.) Leaves Extract using Different Extraction Methods.</w:t>
      </w:r>
      <w:r w:rsidR="00405C74">
        <w:rPr>
          <w:rFonts w:asciiTheme="majorBidi" w:hAnsiTheme="majorBidi" w:cstheme="majorBidi"/>
        </w:rPr>
        <w:t>”</w:t>
      </w:r>
      <w:r w:rsidRPr="00A562FF">
        <w:rPr>
          <w:rFonts w:asciiTheme="majorBidi" w:hAnsiTheme="majorBidi" w:cstheme="majorBidi"/>
        </w:rPr>
        <w:t xml:space="preserve"> </w:t>
      </w:r>
      <w:proofErr w:type="spellStart"/>
      <w:r w:rsidRPr="00405C74">
        <w:rPr>
          <w:rFonts w:asciiTheme="majorBidi" w:hAnsiTheme="majorBidi" w:cstheme="majorBidi"/>
          <w:i/>
          <w:iCs/>
        </w:rPr>
        <w:t>Jurnal</w:t>
      </w:r>
      <w:proofErr w:type="spellEnd"/>
      <w:r w:rsidRPr="00405C74">
        <w:rPr>
          <w:rFonts w:asciiTheme="majorBidi" w:hAnsiTheme="majorBidi" w:cstheme="majorBidi"/>
          <w:i/>
          <w:iCs/>
        </w:rPr>
        <w:t xml:space="preserve"> Riset dan </w:t>
      </w:r>
      <w:proofErr w:type="spellStart"/>
      <w:r w:rsidRPr="00405C74">
        <w:rPr>
          <w:rFonts w:asciiTheme="majorBidi" w:hAnsiTheme="majorBidi" w:cstheme="majorBidi"/>
          <w:i/>
          <w:iCs/>
        </w:rPr>
        <w:t>Aplikasinya</w:t>
      </w:r>
      <w:proofErr w:type="spellEnd"/>
      <w:r w:rsidRPr="00A562FF">
        <w:rPr>
          <w:rFonts w:asciiTheme="majorBidi" w:hAnsiTheme="majorBidi" w:cstheme="majorBidi"/>
        </w:rPr>
        <w:t xml:space="preserve"> 2</w:t>
      </w:r>
      <w:r w:rsidR="00405C74">
        <w:rPr>
          <w:rFonts w:asciiTheme="majorBidi" w:hAnsiTheme="majorBidi" w:cstheme="majorBidi"/>
        </w:rPr>
        <w:t xml:space="preserve"> </w:t>
      </w:r>
      <w:r w:rsidRPr="00A562FF">
        <w:rPr>
          <w:rFonts w:asciiTheme="majorBidi" w:hAnsiTheme="majorBidi" w:cstheme="majorBidi"/>
        </w:rPr>
        <w:t>(2)</w:t>
      </w:r>
      <w:r w:rsidR="00405C74">
        <w:rPr>
          <w:rFonts w:asciiTheme="majorBidi" w:hAnsiTheme="majorBidi" w:cstheme="majorBidi"/>
        </w:rPr>
        <w:t>:</w:t>
      </w:r>
      <w:r w:rsidRPr="00A562FF">
        <w:rPr>
          <w:rFonts w:asciiTheme="majorBidi" w:hAnsiTheme="majorBidi" w:cstheme="majorBidi"/>
        </w:rPr>
        <w:t xml:space="preserve"> 49–54.</w:t>
      </w:r>
    </w:p>
    <w:p w14:paraId="01885C1A" w14:textId="6CD5EA9E"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Li, H., Meng, F., Leng, Y., &amp; Li, A. (2024). </w:t>
      </w:r>
      <w:r w:rsidR="00405C74">
        <w:rPr>
          <w:rFonts w:asciiTheme="majorBidi" w:hAnsiTheme="majorBidi" w:cstheme="majorBidi"/>
        </w:rPr>
        <w:t>“</w:t>
      </w:r>
      <w:r w:rsidRPr="00A562FF">
        <w:rPr>
          <w:rFonts w:asciiTheme="majorBidi" w:hAnsiTheme="majorBidi" w:cstheme="majorBidi"/>
        </w:rPr>
        <w:t>Emergency response to ecological protection in maritime phenol spills: Emergency monitor, ecological risk assessment, and reduction.</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Marine Pollution Bulletin</w:t>
      </w:r>
      <w:r w:rsidRPr="00A562FF">
        <w:rPr>
          <w:rFonts w:asciiTheme="majorBidi" w:hAnsiTheme="majorBidi" w:cstheme="majorBidi"/>
        </w:rPr>
        <w:t> </w:t>
      </w:r>
      <w:r w:rsidRPr="00A562FF">
        <w:rPr>
          <w:rFonts w:asciiTheme="majorBidi" w:hAnsiTheme="majorBidi" w:cstheme="majorBidi"/>
          <w:i/>
          <w:iCs/>
        </w:rPr>
        <w:t>200</w:t>
      </w:r>
      <w:r w:rsidR="00405C74">
        <w:rPr>
          <w:rFonts w:asciiTheme="majorBidi" w:hAnsiTheme="majorBidi" w:cstheme="majorBidi"/>
        </w:rPr>
        <w:t>:</w:t>
      </w:r>
      <w:r w:rsidRPr="00A562FF">
        <w:rPr>
          <w:rFonts w:asciiTheme="majorBidi" w:hAnsiTheme="majorBidi" w:cstheme="majorBidi"/>
        </w:rPr>
        <w:t xml:space="preserve"> 116073. </w:t>
      </w:r>
      <w:hyperlink r:id="rId36" w:history="1">
        <w:r w:rsidRPr="00A562FF">
          <w:rPr>
            <w:rStyle w:val="Hyperlink"/>
            <w:rFonts w:asciiTheme="majorBidi" w:hAnsiTheme="majorBidi" w:cstheme="majorBidi"/>
          </w:rPr>
          <w:t>https://doi.org/10.1016/j.marpolbul.2024.116073</w:t>
        </w:r>
      </w:hyperlink>
    </w:p>
    <w:p w14:paraId="674206A4" w14:textId="74C9803C"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Li, J., Xie, S., Ahmed, S., Wang, F., Gu, Y., Zhang, C., Chai, X., Wu, Y., Cai, J., &amp; Cheng, G. (2017). </w:t>
      </w:r>
      <w:r w:rsidR="00405C74">
        <w:rPr>
          <w:rFonts w:asciiTheme="majorBidi" w:hAnsiTheme="majorBidi" w:cstheme="majorBidi"/>
        </w:rPr>
        <w:t>“</w:t>
      </w:r>
      <w:r w:rsidRPr="00A562FF">
        <w:rPr>
          <w:rFonts w:asciiTheme="majorBidi" w:hAnsiTheme="majorBidi" w:cstheme="majorBidi"/>
        </w:rPr>
        <w:t>Antimicrobial activity and resistance: influencing factors.</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Frontiers in pharmacology 8</w:t>
      </w:r>
      <w:r w:rsidR="00405C74">
        <w:rPr>
          <w:rFonts w:asciiTheme="majorBidi" w:hAnsiTheme="majorBidi" w:cstheme="majorBidi"/>
        </w:rPr>
        <w:t>:</w:t>
      </w:r>
      <w:r w:rsidRPr="00A562FF">
        <w:rPr>
          <w:rFonts w:asciiTheme="majorBidi" w:hAnsiTheme="majorBidi" w:cstheme="majorBidi"/>
        </w:rPr>
        <w:t xml:space="preserve"> 364. </w:t>
      </w:r>
      <w:hyperlink r:id="rId37" w:history="1">
        <w:r w:rsidRPr="00A562FF">
          <w:rPr>
            <w:rStyle w:val="Hyperlink"/>
            <w:rFonts w:asciiTheme="majorBidi" w:hAnsiTheme="majorBidi" w:cstheme="majorBidi"/>
          </w:rPr>
          <w:t>https://doi.org/10.3389/fphar.2017.00364</w:t>
        </w:r>
      </w:hyperlink>
    </w:p>
    <w:p w14:paraId="6B05C06E" w14:textId="21900C0C" w:rsidR="00A562FF" w:rsidRPr="00A562FF" w:rsidRDefault="00A562FF" w:rsidP="00063CD6">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Li, J., Zhong, X., Zhao, Y., Shen, J., </w:t>
      </w:r>
      <w:proofErr w:type="spellStart"/>
      <w:r w:rsidRPr="00A562FF">
        <w:rPr>
          <w:rFonts w:asciiTheme="majorBidi" w:hAnsiTheme="majorBidi" w:cstheme="majorBidi"/>
        </w:rPr>
        <w:t>Pilapong</w:t>
      </w:r>
      <w:proofErr w:type="spellEnd"/>
      <w:r w:rsidRPr="00A562FF">
        <w:rPr>
          <w:rFonts w:asciiTheme="majorBidi" w:hAnsiTheme="majorBidi" w:cstheme="majorBidi"/>
        </w:rPr>
        <w:t xml:space="preserve">, C., &amp; Xiao, Z. (2022). </w:t>
      </w:r>
      <w:r w:rsidR="00063CD6">
        <w:rPr>
          <w:rFonts w:asciiTheme="majorBidi" w:hAnsiTheme="majorBidi" w:cstheme="majorBidi"/>
        </w:rPr>
        <w:t>“</w:t>
      </w:r>
      <w:r w:rsidRPr="00A562FF">
        <w:rPr>
          <w:rFonts w:asciiTheme="majorBidi" w:hAnsiTheme="majorBidi" w:cstheme="majorBidi"/>
        </w:rPr>
        <w:t xml:space="preserve">Polyphenols as lung cancer </w:t>
      </w:r>
      <w:proofErr w:type="spellStart"/>
      <w:r w:rsidRPr="00A562FF">
        <w:rPr>
          <w:rFonts w:asciiTheme="majorBidi" w:hAnsiTheme="majorBidi" w:cstheme="majorBidi"/>
        </w:rPr>
        <w:t>chemopreventive</w:t>
      </w:r>
      <w:proofErr w:type="spellEnd"/>
      <w:r w:rsidRPr="00A562FF">
        <w:rPr>
          <w:rFonts w:asciiTheme="majorBidi" w:hAnsiTheme="majorBidi" w:cstheme="majorBidi"/>
        </w:rPr>
        <w:t xml:space="preserve"> agents by targeting microRNAs.</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00063CD6">
        <w:rPr>
          <w:rFonts w:asciiTheme="majorBidi" w:hAnsiTheme="majorBidi" w:cstheme="majorBidi"/>
        </w:rPr>
        <w:t xml:space="preserve"> </w:t>
      </w:r>
      <w:r w:rsidRPr="00A562FF">
        <w:rPr>
          <w:rFonts w:asciiTheme="majorBidi" w:hAnsiTheme="majorBidi" w:cstheme="majorBidi"/>
          <w:i/>
          <w:iCs/>
        </w:rPr>
        <w:t>27</w:t>
      </w:r>
      <w:r w:rsidR="00063CD6">
        <w:rPr>
          <w:rFonts w:asciiTheme="majorBidi" w:hAnsiTheme="majorBidi" w:cstheme="majorBidi"/>
          <w:i/>
          <w:iCs/>
        </w:rPr>
        <w:t xml:space="preserve"> </w:t>
      </w:r>
      <w:r w:rsidRPr="00A562FF">
        <w:rPr>
          <w:rFonts w:asciiTheme="majorBidi" w:hAnsiTheme="majorBidi" w:cstheme="majorBidi"/>
        </w:rPr>
        <w:t>(18)</w:t>
      </w:r>
      <w:r w:rsidR="00063CD6">
        <w:rPr>
          <w:rFonts w:asciiTheme="majorBidi" w:hAnsiTheme="majorBidi" w:cstheme="majorBidi"/>
        </w:rPr>
        <w:t>:</w:t>
      </w:r>
      <w:r w:rsidRPr="00A562FF">
        <w:rPr>
          <w:rFonts w:asciiTheme="majorBidi" w:hAnsiTheme="majorBidi" w:cstheme="majorBidi"/>
        </w:rPr>
        <w:t xml:space="preserve"> 5903. </w:t>
      </w:r>
      <w:hyperlink r:id="rId38" w:history="1">
        <w:r w:rsidRPr="00A562FF">
          <w:rPr>
            <w:rStyle w:val="Hyperlink"/>
            <w:rFonts w:asciiTheme="majorBidi" w:hAnsiTheme="majorBidi" w:cstheme="majorBidi"/>
          </w:rPr>
          <w:t>https://doi.org/10.3390/molecules27185903</w:t>
        </w:r>
      </w:hyperlink>
    </w:p>
    <w:p w14:paraId="56B4351E" w14:textId="43D2CB2C"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Linayati</w:t>
      </w:r>
      <w:proofErr w:type="spellEnd"/>
      <w:r w:rsidRPr="00A562FF">
        <w:rPr>
          <w:rFonts w:asciiTheme="majorBidi" w:hAnsiTheme="majorBidi" w:cstheme="majorBidi"/>
        </w:rPr>
        <w:t xml:space="preserve">, L., </w:t>
      </w:r>
      <w:proofErr w:type="spellStart"/>
      <w:r w:rsidRPr="00A562FF">
        <w:rPr>
          <w:rFonts w:asciiTheme="majorBidi" w:hAnsiTheme="majorBidi" w:cstheme="majorBidi"/>
        </w:rPr>
        <w:t>Khoiri</w:t>
      </w:r>
      <w:proofErr w:type="spellEnd"/>
      <w:r w:rsidRPr="00A562FF">
        <w:rPr>
          <w:rFonts w:asciiTheme="majorBidi" w:hAnsiTheme="majorBidi" w:cstheme="majorBidi"/>
        </w:rPr>
        <w:t xml:space="preserve">, M.N., </w:t>
      </w:r>
      <w:proofErr w:type="spellStart"/>
      <w:r w:rsidRPr="00A562FF">
        <w:rPr>
          <w:rFonts w:asciiTheme="majorBidi" w:hAnsiTheme="majorBidi" w:cstheme="majorBidi"/>
        </w:rPr>
        <w:t>Mardiana</w:t>
      </w:r>
      <w:proofErr w:type="spellEnd"/>
      <w:r w:rsidRPr="00A562FF">
        <w:rPr>
          <w:rFonts w:asciiTheme="majorBidi" w:hAnsiTheme="majorBidi" w:cstheme="majorBidi"/>
        </w:rPr>
        <w:t xml:space="preserve">, T.Y., &amp; Yahya, M.Z. (2022). </w:t>
      </w:r>
      <w:r w:rsidR="00063CD6">
        <w:rPr>
          <w:rFonts w:asciiTheme="majorBidi" w:hAnsiTheme="majorBidi" w:cstheme="majorBidi"/>
        </w:rPr>
        <w:t>“</w:t>
      </w:r>
      <w:r w:rsidRPr="00A562FF">
        <w:rPr>
          <w:rFonts w:asciiTheme="majorBidi" w:hAnsiTheme="majorBidi" w:cstheme="majorBidi"/>
        </w:rPr>
        <w:t xml:space="preserve">Effect of Indian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Leaf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addition on feed-on growth performance and survival rate of </w:t>
      </w:r>
      <w:proofErr w:type="spellStart"/>
      <w:r w:rsidRPr="00A562FF">
        <w:rPr>
          <w:rFonts w:asciiTheme="majorBidi" w:hAnsiTheme="majorBidi" w:cstheme="majorBidi"/>
        </w:rPr>
        <w:t>Litopenaeus</w:t>
      </w:r>
      <w:proofErr w:type="spellEnd"/>
      <w:r w:rsidRPr="00A562FF">
        <w:rPr>
          <w:rFonts w:asciiTheme="majorBidi" w:hAnsiTheme="majorBidi" w:cstheme="majorBidi"/>
        </w:rPr>
        <w:t xml:space="preserve"> </w:t>
      </w:r>
      <w:proofErr w:type="spellStart"/>
      <w:r w:rsidR="00C47D5C" w:rsidRPr="00C47D5C">
        <w:rPr>
          <w:rFonts w:asciiTheme="majorBidi" w:hAnsiTheme="majorBidi" w:cstheme="majorBidi"/>
        </w:rPr>
        <w:t>whiteleg</w:t>
      </w:r>
      <w:proofErr w:type="spellEnd"/>
      <w:r w:rsidRPr="00A562FF">
        <w:rPr>
          <w:rFonts w:asciiTheme="majorBidi" w:hAnsiTheme="majorBidi" w:cstheme="majorBidi"/>
        </w:rPr>
        <w:t>.</w:t>
      </w:r>
      <w:r w:rsidR="00063CD6">
        <w:rPr>
          <w:rFonts w:asciiTheme="majorBidi" w:hAnsiTheme="majorBidi" w:cstheme="majorBidi"/>
        </w:rPr>
        <w:t>”</w:t>
      </w:r>
      <w:r w:rsidRPr="00A562FF">
        <w:rPr>
          <w:rFonts w:asciiTheme="majorBidi" w:hAnsiTheme="majorBidi" w:cstheme="majorBidi"/>
        </w:rPr>
        <w:t xml:space="preserve"> In </w:t>
      </w:r>
      <w:r w:rsidRPr="00A562FF">
        <w:rPr>
          <w:rFonts w:asciiTheme="majorBidi" w:hAnsiTheme="majorBidi" w:cstheme="majorBidi"/>
          <w:i/>
          <w:iCs/>
        </w:rPr>
        <w:t>IOP Conf. Series: Earth and Environmental Science</w:t>
      </w:r>
      <w:r w:rsidRPr="00A562FF">
        <w:rPr>
          <w:rFonts w:asciiTheme="majorBidi" w:hAnsiTheme="majorBidi" w:cstheme="majorBidi"/>
        </w:rPr>
        <w:t xml:space="preserve"> 1224</w:t>
      </w:r>
      <w:r w:rsidR="00063CD6">
        <w:rPr>
          <w:rFonts w:asciiTheme="majorBidi" w:hAnsiTheme="majorBidi" w:cstheme="majorBidi"/>
        </w:rPr>
        <w:t xml:space="preserve"> </w:t>
      </w:r>
      <w:r w:rsidRPr="00A562FF">
        <w:rPr>
          <w:rFonts w:asciiTheme="majorBidi" w:hAnsiTheme="majorBidi" w:cstheme="majorBidi"/>
        </w:rPr>
        <w:t>(1): 012002</w:t>
      </w:r>
    </w:p>
    <w:p w14:paraId="5A66B529" w14:textId="4DFFCD11"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Lopes, L.A.A., Rodrigues, J.B.S., Magnani, M., de Souza, E.L., &amp; de Siqueira-Júnior, J.P. (2017). </w:t>
      </w:r>
      <w:r w:rsidR="00063CD6">
        <w:rPr>
          <w:rFonts w:asciiTheme="majorBidi" w:hAnsiTheme="majorBidi" w:cstheme="majorBidi"/>
        </w:rPr>
        <w:t>“</w:t>
      </w:r>
      <w:r w:rsidRPr="00A562FF">
        <w:rPr>
          <w:rFonts w:asciiTheme="majorBidi" w:hAnsiTheme="majorBidi" w:cstheme="majorBidi"/>
        </w:rPr>
        <w:t>Inhibitory effects of flavonoids on biofilm formation by Staphylococcus aureus that overexpresses efflux protein genes.</w:t>
      </w:r>
      <w:r w:rsidR="00063CD6">
        <w:rPr>
          <w:rFonts w:asciiTheme="majorBidi" w:hAnsiTheme="majorBidi" w:cstheme="majorBidi"/>
        </w:rPr>
        <w:t>”</w:t>
      </w:r>
      <w:r w:rsidRPr="00A562FF">
        <w:rPr>
          <w:rFonts w:asciiTheme="majorBidi" w:hAnsiTheme="majorBidi" w:cstheme="majorBidi"/>
        </w:rPr>
        <w:t xml:space="preserve"> </w:t>
      </w:r>
      <w:r w:rsidRPr="00063CD6">
        <w:rPr>
          <w:rFonts w:asciiTheme="majorBidi" w:hAnsiTheme="majorBidi" w:cstheme="majorBidi"/>
          <w:i/>
          <w:iCs/>
        </w:rPr>
        <w:t>Microbial Pathogenesis</w:t>
      </w:r>
      <w:r w:rsidRPr="00A562FF">
        <w:rPr>
          <w:rFonts w:asciiTheme="majorBidi" w:hAnsiTheme="majorBidi" w:cstheme="majorBidi"/>
        </w:rPr>
        <w:t xml:space="preserve"> 107</w:t>
      </w:r>
      <w:r w:rsidR="00063CD6">
        <w:rPr>
          <w:rFonts w:asciiTheme="majorBidi" w:hAnsiTheme="majorBidi" w:cstheme="majorBidi"/>
        </w:rPr>
        <w:t>:</w:t>
      </w:r>
      <w:r w:rsidRPr="00A562FF">
        <w:rPr>
          <w:rFonts w:asciiTheme="majorBidi" w:hAnsiTheme="majorBidi" w:cstheme="majorBidi"/>
        </w:rPr>
        <w:t xml:space="preserve"> 193–197. </w:t>
      </w:r>
      <w:hyperlink r:id="rId39" w:history="1">
        <w:r w:rsidRPr="00A562FF">
          <w:rPr>
            <w:rStyle w:val="Hyperlink"/>
            <w:rFonts w:asciiTheme="majorBidi" w:hAnsiTheme="majorBidi" w:cstheme="majorBidi"/>
          </w:rPr>
          <w:t>https://doi.org/10.1016/j.micpath.2017.03.033</w:t>
        </w:r>
      </w:hyperlink>
    </w:p>
    <w:p w14:paraId="3140CA00" w14:textId="00371E7E" w:rsidR="00A562FF" w:rsidRPr="00A562FF" w:rsidRDefault="00A562FF" w:rsidP="0062331A">
      <w:pPr>
        <w:spacing w:after="0" w:line="240" w:lineRule="auto"/>
        <w:ind w:left="567" w:hanging="567"/>
        <w:jc w:val="both"/>
        <w:rPr>
          <w:rFonts w:asciiTheme="majorBidi" w:hAnsiTheme="majorBidi" w:cstheme="majorBidi"/>
        </w:rPr>
      </w:pPr>
      <w:bookmarkStart w:id="1" w:name="_Hlk198493045"/>
      <w:proofErr w:type="spellStart"/>
      <w:r w:rsidRPr="00A562FF">
        <w:rPr>
          <w:rFonts w:asciiTheme="majorBidi" w:hAnsiTheme="majorBidi" w:cstheme="majorBidi"/>
        </w:rPr>
        <w:t>Lubiuc</w:t>
      </w:r>
      <w:proofErr w:type="spellEnd"/>
      <w:r w:rsidRPr="00A562FF">
        <w:rPr>
          <w:rFonts w:asciiTheme="majorBidi" w:hAnsiTheme="majorBidi" w:cstheme="majorBidi"/>
        </w:rPr>
        <w:t xml:space="preserve">, A., </w:t>
      </w:r>
      <w:proofErr w:type="spellStart"/>
      <w:r w:rsidRPr="00A562FF">
        <w:rPr>
          <w:rFonts w:asciiTheme="majorBidi" w:hAnsiTheme="majorBidi" w:cstheme="majorBidi"/>
        </w:rPr>
        <w:t>Pavăl</w:t>
      </w:r>
      <w:proofErr w:type="spellEnd"/>
      <w:r w:rsidRPr="00A562FF">
        <w:rPr>
          <w:rFonts w:asciiTheme="majorBidi" w:hAnsiTheme="majorBidi" w:cstheme="majorBidi"/>
        </w:rPr>
        <w:t xml:space="preserve">, N., </w:t>
      </w:r>
      <w:proofErr w:type="spellStart"/>
      <w:r w:rsidRPr="00A562FF">
        <w:rPr>
          <w:rFonts w:asciiTheme="majorBidi" w:hAnsiTheme="majorBidi" w:cstheme="majorBidi"/>
        </w:rPr>
        <w:t>Mangalagiu</w:t>
      </w:r>
      <w:proofErr w:type="spellEnd"/>
      <w:r w:rsidRPr="00A562FF">
        <w:rPr>
          <w:rFonts w:asciiTheme="majorBidi" w:hAnsiTheme="majorBidi" w:cstheme="majorBidi"/>
        </w:rPr>
        <w:t xml:space="preserve">, I.I., </w:t>
      </w:r>
      <w:proofErr w:type="spellStart"/>
      <w:r w:rsidRPr="00A562FF">
        <w:rPr>
          <w:rFonts w:asciiTheme="majorBidi" w:hAnsiTheme="majorBidi" w:cstheme="majorBidi"/>
        </w:rPr>
        <w:t>Gheorghiță</w:t>
      </w:r>
      <w:proofErr w:type="spellEnd"/>
      <w:r w:rsidRPr="00A562FF">
        <w:rPr>
          <w:rFonts w:asciiTheme="majorBidi" w:hAnsiTheme="majorBidi" w:cstheme="majorBidi"/>
        </w:rPr>
        <w:t xml:space="preserve">, R., </w:t>
      </w:r>
      <w:proofErr w:type="spellStart"/>
      <w:r w:rsidRPr="00A562FF">
        <w:rPr>
          <w:rFonts w:asciiTheme="majorBidi" w:hAnsiTheme="majorBidi" w:cstheme="majorBidi"/>
        </w:rPr>
        <w:t>Teliban</w:t>
      </w:r>
      <w:proofErr w:type="spellEnd"/>
      <w:r w:rsidRPr="00A562FF">
        <w:rPr>
          <w:rFonts w:asciiTheme="majorBidi" w:hAnsiTheme="majorBidi" w:cstheme="majorBidi"/>
        </w:rPr>
        <w:t xml:space="preserve">, G.C., </w:t>
      </w:r>
      <w:proofErr w:type="spellStart"/>
      <w:r w:rsidRPr="00A562FF">
        <w:rPr>
          <w:rFonts w:asciiTheme="majorBidi" w:hAnsiTheme="majorBidi" w:cstheme="majorBidi"/>
        </w:rPr>
        <w:t>Amăriucăi</w:t>
      </w:r>
      <w:proofErr w:type="spellEnd"/>
      <w:r w:rsidRPr="00A562FF">
        <w:rPr>
          <w:rFonts w:asciiTheme="majorBidi" w:hAnsiTheme="majorBidi" w:cstheme="majorBidi"/>
        </w:rPr>
        <w:t xml:space="preserve">-Mantu, D., &amp; </w:t>
      </w:r>
      <w:proofErr w:type="spellStart"/>
      <w:r w:rsidRPr="00A562FF">
        <w:rPr>
          <w:rFonts w:asciiTheme="majorBidi" w:hAnsiTheme="majorBidi" w:cstheme="majorBidi"/>
        </w:rPr>
        <w:t>Stoleru</w:t>
      </w:r>
      <w:proofErr w:type="spellEnd"/>
      <w:r w:rsidRPr="00A562FF">
        <w:rPr>
          <w:rFonts w:asciiTheme="majorBidi" w:hAnsiTheme="majorBidi" w:cstheme="majorBidi"/>
        </w:rPr>
        <w:t xml:space="preserve">, V. (2023). </w:t>
      </w:r>
      <w:r w:rsidR="00063CD6">
        <w:rPr>
          <w:rFonts w:asciiTheme="majorBidi" w:hAnsiTheme="majorBidi" w:cstheme="majorBidi"/>
        </w:rPr>
        <w:t>“</w:t>
      </w:r>
      <w:r w:rsidRPr="00A562FF">
        <w:rPr>
          <w:rFonts w:asciiTheme="majorBidi" w:hAnsiTheme="majorBidi" w:cstheme="majorBidi"/>
        </w:rPr>
        <w:t>Future Antimicrobials: Natural and Functionalized Phenolics.</w:t>
      </w:r>
      <w:r w:rsidR="00063CD6">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Molecules</w:t>
      </w:r>
      <w:r w:rsidRPr="00A562FF">
        <w:rPr>
          <w:rFonts w:asciiTheme="majorBidi" w:hAnsiTheme="majorBidi" w:cstheme="majorBidi"/>
        </w:rPr>
        <w:t xml:space="preserve"> 28</w:t>
      </w:r>
      <w:r w:rsidR="00063CD6">
        <w:rPr>
          <w:rFonts w:asciiTheme="majorBidi" w:hAnsiTheme="majorBidi" w:cstheme="majorBidi"/>
        </w:rPr>
        <w:t xml:space="preserve"> </w:t>
      </w:r>
      <w:r w:rsidRPr="00A562FF">
        <w:rPr>
          <w:rFonts w:asciiTheme="majorBidi" w:hAnsiTheme="majorBidi" w:cstheme="majorBidi"/>
        </w:rPr>
        <w:t>(3)</w:t>
      </w:r>
      <w:r w:rsidR="00063CD6">
        <w:rPr>
          <w:rFonts w:asciiTheme="majorBidi" w:hAnsiTheme="majorBidi" w:cstheme="majorBidi"/>
        </w:rPr>
        <w:t>:</w:t>
      </w:r>
      <w:r w:rsidRPr="00A562FF">
        <w:rPr>
          <w:rFonts w:asciiTheme="majorBidi" w:hAnsiTheme="majorBidi" w:cstheme="majorBidi"/>
        </w:rPr>
        <w:t xml:space="preserve"> 1114. </w:t>
      </w:r>
      <w:hyperlink r:id="rId40" w:history="1">
        <w:r w:rsidRPr="00A562FF">
          <w:rPr>
            <w:rStyle w:val="Hyperlink"/>
            <w:rFonts w:asciiTheme="majorBidi" w:hAnsiTheme="majorBidi" w:cstheme="majorBidi"/>
          </w:rPr>
          <w:t>https://doi.org/10.3390/molecules28031114</w:t>
        </w:r>
      </w:hyperlink>
    </w:p>
    <w:bookmarkEnd w:id="1"/>
    <w:p w14:paraId="1D922F41" w14:textId="676DDBF3"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Mahizan</w:t>
      </w:r>
      <w:proofErr w:type="spellEnd"/>
      <w:r w:rsidRPr="00A562FF">
        <w:rPr>
          <w:rFonts w:asciiTheme="majorBidi" w:hAnsiTheme="majorBidi" w:cstheme="majorBidi"/>
        </w:rPr>
        <w:t>, N.A., Yang, S.K., Moo, C., &amp; Ai-</w:t>
      </w:r>
      <w:proofErr w:type="spellStart"/>
      <w:r w:rsidRPr="00A562FF">
        <w:rPr>
          <w:rFonts w:asciiTheme="majorBidi" w:hAnsiTheme="majorBidi" w:cstheme="majorBidi"/>
        </w:rPr>
        <w:t>lian</w:t>
      </w:r>
      <w:proofErr w:type="spellEnd"/>
      <w:r w:rsidRPr="00A562FF">
        <w:rPr>
          <w:rFonts w:asciiTheme="majorBidi" w:hAnsiTheme="majorBidi" w:cstheme="majorBidi"/>
        </w:rPr>
        <w:t xml:space="preserve">, L.A. (2019). </w:t>
      </w:r>
      <w:r w:rsidR="00063CD6">
        <w:rPr>
          <w:rFonts w:asciiTheme="majorBidi" w:hAnsiTheme="majorBidi" w:cstheme="majorBidi"/>
        </w:rPr>
        <w:t>“</w:t>
      </w:r>
      <w:r w:rsidRPr="00A562FF">
        <w:rPr>
          <w:rFonts w:asciiTheme="majorBidi" w:hAnsiTheme="majorBidi" w:cstheme="majorBidi"/>
        </w:rPr>
        <w:t xml:space="preserve">Terpene derivatives as a potential agent against antimicrobial resistance (AMR) </w:t>
      </w:r>
      <w:proofErr w:type="spellStart"/>
      <w:r w:rsidRPr="00A562FF">
        <w:rPr>
          <w:rFonts w:asciiTheme="majorBidi" w:hAnsiTheme="majorBidi" w:cstheme="majorBidi"/>
        </w:rPr>
        <w:t>Phatogens</w:t>
      </w:r>
      <w:proofErr w:type="spellEnd"/>
      <w:r w:rsidRPr="00A562FF">
        <w:rPr>
          <w:rFonts w:asciiTheme="majorBidi" w:hAnsiTheme="majorBidi" w:cstheme="majorBidi"/>
        </w:rPr>
        <w:t>.</w:t>
      </w:r>
      <w:r w:rsidR="00063CD6">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Molecules</w:t>
      </w:r>
      <w:r w:rsidRPr="00A562FF">
        <w:rPr>
          <w:rFonts w:asciiTheme="majorBidi" w:hAnsiTheme="majorBidi" w:cstheme="majorBidi"/>
        </w:rPr>
        <w:t xml:space="preserve"> 24</w:t>
      </w:r>
      <w:r w:rsidR="00063CD6">
        <w:rPr>
          <w:rFonts w:asciiTheme="majorBidi" w:hAnsiTheme="majorBidi" w:cstheme="majorBidi"/>
        </w:rPr>
        <w:t xml:space="preserve"> </w:t>
      </w:r>
      <w:r w:rsidRPr="00A562FF">
        <w:rPr>
          <w:rFonts w:asciiTheme="majorBidi" w:hAnsiTheme="majorBidi" w:cstheme="majorBidi"/>
        </w:rPr>
        <w:t>(14)</w:t>
      </w:r>
      <w:r w:rsidR="00063CD6">
        <w:rPr>
          <w:rFonts w:asciiTheme="majorBidi" w:hAnsiTheme="majorBidi" w:cstheme="majorBidi"/>
        </w:rPr>
        <w:t>:</w:t>
      </w:r>
      <w:r w:rsidRPr="00A562FF">
        <w:rPr>
          <w:rFonts w:asciiTheme="majorBidi" w:hAnsiTheme="majorBidi" w:cstheme="majorBidi"/>
        </w:rPr>
        <w:t xml:space="preserve"> 2631. </w:t>
      </w:r>
      <w:hyperlink r:id="rId41" w:history="1">
        <w:r w:rsidRPr="00A562FF">
          <w:rPr>
            <w:rStyle w:val="Hyperlink"/>
            <w:rFonts w:asciiTheme="majorBidi" w:hAnsiTheme="majorBidi" w:cstheme="majorBidi"/>
          </w:rPr>
          <w:t>http://dx.doi.org/10.3390/molecules24142631</w:t>
        </w:r>
      </w:hyperlink>
    </w:p>
    <w:p w14:paraId="0C2B8E82" w14:textId="351798E7"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Natrah</w:t>
      </w:r>
      <w:proofErr w:type="spellEnd"/>
      <w:r w:rsidRPr="00A562FF">
        <w:rPr>
          <w:rFonts w:asciiTheme="majorBidi" w:hAnsiTheme="majorBidi" w:cstheme="majorBidi"/>
        </w:rPr>
        <w:t>, I., Muthukrishnan, S., Mohd‐</w:t>
      </w:r>
      <w:proofErr w:type="spellStart"/>
      <w:r w:rsidRPr="00A562FF">
        <w:rPr>
          <w:rFonts w:asciiTheme="majorBidi" w:hAnsiTheme="majorBidi" w:cstheme="majorBidi"/>
        </w:rPr>
        <w:t>Padil</w:t>
      </w:r>
      <w:proofErr w:type="spellEnd"/>
      <w:r w:rsidRPr="00A562FF">
        <w:rPr>
          <w:rFonts w:asciiTheme="majorBidi" w:hAnsiTheme="majorBidi" w:cstheme="majorBidi"/>
        </w:rPr>
        <w:t xml:space="preserve">, H., Mohamad, N., </w:t>
      </w:r>
      <w:proofErr w:type="spellStart"/>
      <w:r w:rsidRPr="00A562FF">
        <w:rPr>
          <w:rFonts w:asciiTheme="majorBidi" w:hAnsiTheme="majorBidi" w:cstheme="majorBidi"/>
        </w:rPr>
        <w:t>Alipiah</w:t>
      </w:r>
      <w:proofErr w:type="spellEnd"/>
      <w:r w:rsidRPr="00A562FF">
        <w:rPr>
          <w:rFonts w:asciiTheme="majorBidi" w:hAnsiTheme="majorBidi" w:cstheme="majorBidi"/>
        </w:rPr>
        <w:t xml:space="preserve">, N. M., Shariff, M., ... &amp; </w:t>
      </w:r>
      <w:proofErr w:type="spellStart"/>
      <w:r w:rsidRPr="00A562FF">
        <w:rPr>
          <w:rFonts w:asciiTheme="majorBidi" w:hAnsiTheme="majorBidi" w:cstheme="majorBidi"/>
        </w:rPr>
        <w:t>Defoirdt</w:t>
      </w:r>
      <w:proofErr w:type="spellEnd"/>
      <w:r w:rsidRPr="00A562FF">
        <w:rPr>
          <w:rFonts w:asciiTheme="majorBidi" w:hAnsiTheme="majorBidi" w:cstheme="majorBidi"/>
        </w:rPr>
        <w:t xml:space="preserve">, T. (2025). </w:t>
      </w:r>
      <w:r w:rsidR="00063CD6">
        <w:rPr>
          <w:rFonts w:asciiTheme="majorBidi" w:hAnsiTheme="majorBidi" w:cstheme="majorBidi"/>
        </w:rPr>
        <w:t>“</w:t>
      </w:r>
      <w:r w:rsidRPr="00A562FF">
        <w:rPr>
          <w:rFonts w:asciiTheme="majorBidi" w:hAnsiTheme="majorBidi" w:cstheme="majorBidi"/>
        </w:rPr>
        <w:t>Antimicrobial resistance in Malaysian shrimp aquaculture and strategies to reduce its occurrence.</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Reviews in Aquaculture</w:t>
      </w:r>
      <w:r w:rsidRPr="00A562FF">
        <w:rPr>
          <w:rFonts w:asciiTheme="majorBidi" w:hAnsiTheme="majorBidi" w:cstheme="majorBidi"/>
        </w:rPr>
        <w:t> </w:t>
      </w:r>
      <w:r w:rsidRPr="00A562FF">
        <w:rPr>
          <w:rFonts w:asciiTheme="majorBidi" w:hAnsiTheme="majorBidi" w:cstheme="majorBidi"/>
          <w:i/>
          <w:iCs/>
        </w:rPr>
        <w:t>17</w:t>
      </w:r>
      <w:r w:rsidR="00063CD6">
        <w:rPr>
          <w:rFonts w:asciiTheme="majorBidi" w:hAnsiTheme="majorBidi" w:cstheme="majorBidi"/>
          <w:i/>
          <w:iCs/>
        </w:rPr>
        <w:t xml:space="preserve"> </w:t>
      </w:r>
      <w:r w:rsidRPr="00A562FF">
        <w:rPr>
          <w:rFonts w:asciiTheme="majorBidi" w:hAnsiTheme="majorBidi" w:cstheme="majorBidi"/>
        </w:rPr>
        <w:t>(3)</w:t>
      </w:r>
      <w:r w:rsidR="00063CD6">
        <w:rPr>
          <w:rFonts w:asciiTheme="majorBidi" w:hAnsiTheme="majorBidi" w:cstheme="majorBidi"/>
        </w:rPr>
        <w:t>:</w:t>
      </w:r>
      <w:r w:rsidRPr="00A562FF">
        <w:rPr>
          <w:rFonts w:asciiTheme="majorBidi" w:hAnsiTheme="majorBidi" w:cstheme="majorBidi"/>
        </w:rPr>
        <w:t xml:space="preserve"> e70020. </w:t>
      </w:r>
      <w:hyperlink r:id="rId42" w:history="1">
        <w:r w:rsidRPr="00A562FF">
          <w:rPr>
            <w:rStyle w:val="Hyperlink"/>
            <w:rFonts w:asciiTheme="majorBidi" w:hAnsiTheme="majorBidi" w:cstheme="majorBidi"/>
          </w:rPr>
          <w:t>https://doi.org/10.1111/raq.70020</w:t>
        </w:r>
      </w:hyperlink>
    </w:p>
    <w:p w14:paraId="7E06C60C" w14:textId="7DDF1296"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Putra, P. W. K., </w:t>
      </w:r>
      <w:proofErr w:type="spellStart"/>
      <w:r w:rsidRPr="00A562FF">
        <w:rPr>
          <w:rFonts w:asciiTheme="majorBidi" w:hAnsiTheme="majorBidi" w:cstheme="majorBidi"/>
        </w:rPr>
        <w:t>Jawi</w:t>
      </w:r>
      <w:proofErr w:type="spellEnd"/>
      <w:r w:rsidRPr="00A562FF">
        <w:rPr>
          <w:rFonts w:asciiTheme="majorBidi" w:hAnsiTheme="majorBidi" w:cstheme="majorBidi"/>
        </w:rPr>
        <w:t xml:space="preserve">, I. M., </w:t>
      </w:r>
      <w:proofErr w:type="spellStart"/>
      <w:r w:rsidRPr="00A562FF">
        <w:rPr>
          <w:rFonts w:asciiTheme="majorBidi" w:hAnsiTheme="majorBidi" w:cstheme="majorBidi"/>
        </w:rPr>
        <w:t>Subawa</w:t>
      </w:r>
      <w:proofErr w:type="spellEnd"/>
      <w:r w:rsidRPr="00A562FF">
        <w:rPr>
          <w:rFonts w:asciiTheme="majorBidi" w:hAnsiTheme="majorBidi" w:cstheme="majorBidi"/>
        </w:rPr>
        <w:t xml:space="preserve">, A. A. N., </w:t>
      </w:r>
      <w:proofErr w:type="spellStart"/>
      <w:r w:rsidRPr="00A562FF">
        <w:rPr>
          <w:rFonts w:asciiTheme="majorBidi" w:hAnsiTheme="majorBidi" w:cstheme="majorBidi"/>
        </w:rPr>
        <w:t>Astawa</w:t>
      </w:r>
      <w:proofErr w:type="spellEnd"/>
      <w:r w:rsidRPr="00A562FF">
        <w:rPr>
          <w:rFonts w:asciiTheme="majorBidi" w:hAnsiTheme="majorBidi" w:cstheme="majorBidi"/>
        </w:rPr>
        <w:t xml:space="preserve">, N. M., Indrayani, A. W., </w:t>
      </w:r>
      <w:proofErr w:type="spellStart"/>
      <w:r w:rsidRPr="00A562FF">
        <w:rPr>
          <w:rFonts w:asciiTheme="majorBidi" w:hAnsiTheme="majorBidi" w:cstheme="majorBidi"/>
        </w:rPr>
        <w:t>Widhiantara</w:t>
      </w:r>
      <w:proofErr w:type="spellEnd"/>
      <w:r w:rsidRPr="00A562FF">
        <w:rPr>
          <w:rFonts w:asciiTheme="majorBidi" w:hAnsiTheme="majorBidi" w:cstheme="majorBidi"/>
        </w:rPr>
        <w:t xml:space="preserve">, I. G., ... &amp; </w:t>
      </w:r>
      <w:proofErr w:type="spellStart"/>
      <w:r w:rsidRPr="00A562FF">
        <w:rPr>
          <w:rFonts w:asciiTheme="majorBidi" w:hAnsiTheme="majorBidi" w:cstheme="majorBidi"/>
        </w:rPr>
        <w:t>Herdiansyah</w:t>
      </w:r>
      <w:proofErr w:type="spellEnd"/>
      <w:r w:rsidRPr="00A562FF">
        <w:rPr>
          <w:rFonts w:asciiTheme="majorBidi" w:hAnsiTheme="majorBidi" w:cstheme="majorBidi"/>
        </w:rPr>
        <w:t xml:space="preserve">, M. A. (2025). </w:t>
      </w:r>
      <w:r w:rsidR="00063CD6">
        <w:rPr>
          <w:rFonts w:asciiTheme="majorBidi" w:hAnsiTheme="majorBidi" w:cstheme="majorBidi"/>
        </w:rPr>
        <w:t>“</w:t>
      </w:r>
      <w:r w:rsidRPr="00A562FF">
        <w:rPr>
          <w:rFonts w:asciiTheme="majorBidi" w:hAnsiTheme="majorBidi" w:cstheme="majorBidi"/>
        </w:rPr>
        <w:t xml:space="preserve">Phytochemicals of </w:t>
      </w:r>
      <w:r w:rsidR="002949E1" w:rsidRPr="002949E1">
        <w:rPr>
          <w:rFonts w:asciiTheme="majorBidi" w:hAnsiTheme="majorBidi" w:cstheme="majorBidi"/>
        </w:rPr>
        <w:t>P. indica</w:t>
      </w:r>
      <w:r w:rsidRPr="00A562FF">
        <w:rPr>
          <w:rFonts w:asciiTheme="majorBidi" w:hAnsiTheme="majorBidi" w:cstheme="majorBidi"/>
        </w:rPr>
        <w:t xml:space="preserve">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Less.) and their health benefits.</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Journal of Applied Pharmaceutical Science</w:t>
      </w:r>
      <w:r w:rsidRPr="00A562FF">
        <w:rPr>
          <w:rFonts w:asciiTheme="majorBidi" w:hAnsiTheme="majorBidi" w:cstheme="majorBidi"/>
        </w:rPr>
        <w:t> </w:t>
      </w:r>
      <w:r w:rsidRPr="00A562FF">
        <w:rPr>
          <w:rFonts w:asciiTheme="majorBidi" w:hAnsiTheme="majorBidi" w:cstheme="majorBidi"/>
          <w:i/>
          <w:iCs/>
        </w:rPr>
        <w:t>15</w:t>
      </w:r>
      <w:r w:rsidR="00063CD6">
        <w:rPr>
          <w:rFonts w:asciiTheme="majorBidi" w:hAnsiTheme="majorBidi" w:cstheme="majorBidi"/>
          <w:i/>
          <w:iCs/>
        </w:rPr>
        <w:t xml:space="preserve"> </w:t>
      </w:r>
      <w:r w:rsidRPr="00A562FF">
        <w:rPr>
          <w:rFonts w:asciiTheme="majorBidi" w:hAnsiTheme="majorBidi" w:cstheme="majorBidi"/>
        </w:rPr>
        <w:t>(7)</w:t>
      </w:r>
      <w:r w:rsidR="00063CD6">
        <w:rPr>
          <w:rFonts w:asciiTheme="majorBidi" w:hAnsiTheme="majorBidi" w:cstheme="majorBidi"/>
        </w:rPr>
        <w:t>:</w:t>
      </w:r>
      <w:r w:rsidRPr="00A562FF">
        <w:rPr>
          <w:rFonts w:asciiTheme="majorBidi" w:hAnsiTheme="majorBidi" w:cstheme="majorBidi"/>
        </w:rPr>
        <w:t xml:space="preserve"> 037-047. </w:t>
      </w:r>
      <w:hyperlink r:id="rId43" w:history="1">
        <w:r w:rsidRPr="00A562FF">
          <w:rPr>
            <w:rStyle w:val="Hyperlink"/>
            <w:rFonts w:asciiTheme="majorBidi" w:hAnsiTheme="majorBidi" w:cstheme="majorBidi"/>
          </w:rPr>
          <w:t>https://doi.org/10.7324/JAPS.2025.237559</w:t>
        </w:r>
      </w:hyperlink>
    </w:p>
    <w:p w14:paraId="64E8BCBC" w14:textId="0D9531F4"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lastRenderedPageBreak/>
        <w:t xml:space="preserve">Putri, P.A., Chatri, M., </w:t>
      </w:r>
      <w:proofErr w:type="spellStart"/>
      <w:r w:rsidRPr="00A562FF">
        <w:rPr>
          <w:rFonts w:asciiTheme="majorBidi" w:hAnsiTheme="majorBidi" w:cstheme="majorBidi"/>
        </w:rPr>
        <w:t>Advinda</w:t>
      </w:r>
      <w:proofErr w:type="spellEnd"/>
      <w:r w:rsidRPr="00A562FF">
        <w:rPr>
          <w:rFonts w:asciiTheme="majorBidi" w:hAnsiTheme="majorBidi" w:cstheme="majorBidi"/>
        </w:rPr>
        <w:t xml:space="preserve">, L., &amp; </w:t>
      </w:r>
      <w:proofErr w:type="spellStart"/>
      <w:r w:rsidRPr="00A562FF">
        <w:rPr>
          <w:rFonts w:asciiTheme="majorBidi" w:hAnsiTheme="majorBidi" w:cstheme="majorBidi"/>
        </w:rPr>
        <w:t>Violita</w:t>
      </w:r>
      <w:proofErr w:type="spellEnd"/>
      <w:r w:rsidRPr="00A562FF">
        <w:rPr>
          <w:rFonts w:asciiTheme="majorBidi" w:hAnsiTheme="majorBidi" w:cstheme="majorBidi"/>
        </w:rPr>
        <w:t xml:space="preserve">. (2023). </w:t>
      </w:r>
      <w:r w:rsidR="00063CD6">
        <w:rPr>
          <w:rFonts w:asciiTheme="majorBidi" w:hAnsiTheme="majorBidi" w:cstheme="majorBidi"/>
        </w:rPr>
        <w:t>“</w:t>
      </w:r>
      <w:r w:rsidRPr="00A562FF">
        <w:rPr>
          <w:rFonts w:asciiTheme="majorBidi" w:hAnsiTheme="majorBidi" w:cstheme="majorBidi"/>
        </w:rPr>
        <w:t>Characteristics of Saponin Secondary Metabolite Compounds in Plants.</w:t>
      </w:r>
      <w:r w:rsidR="00063CD6">
        <w:rPr>
          <w:rFonts w:asciiTheme="majorBidi" w:hAnsiTheme="majorBidi" w:cstheme="majorBidi"/>
        </w:rPr>
        <w:t>”</w:t>
      </w:r>
      <w:r w:rsidRPr="00A562FF">
        <w:rPr>
          <w:rFonts w:asciiTheme="majorBidi" w:hAnsiTheme="majorBidi" w:cstheme="majorBidi"/>
        </w:rPr>
        <w:t xml:space="preserve"> </w:t>
      </w:r>
      <w:proofErr w:type="spellStart"/>
      <w:r w:rsidRPr="00A562FF">
        <w:rPr>
          <w:rFonts w:asciiTheme="majorBidi" w:hAnsiTheme="majorBidi" w:cstheme="majorBidi"/>
          <w:i/>
          <w:iCs/>
        </w:rPr>
        <w:t>Serambi</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Biologi</w:t>
      </w:r>
      <w:proofErr w:type="spellEnd"/>
      <w:r w:rsidR="00063CD6">
        <w:rPr>
          <w:rFonts w:asciiTheme="majorBidi" w:hAnsiTheme="majorBidi" w:cstheme="majorBidi"/>
          <w:i/>
          <w:iCs/>
        </w:rPr>
        <w:t xml:space="preserve"> </w:t>
      </w:r>
      <w:r w:rsidRPr="00A562FF">
        <w:rPr>
          <w:rFonts w:asciiTheme="majorBidi" w:hAnsiTheme="majorBidi" w:cstheme="majorBidi"/>
        </w:rPr>
        <w:t>8</w:t>
      </w:r>
      <w:r w:rsidR="00063CD6">
        <w:rPr>
          <w:rFonts w:asciiTheme="majorBidi" w:hAnsiTheme="majorBidi" w:cstheme="majorBidi"/>
        </w:rPr>
        <w:t xml:space="preserve"> </w:t>
      </w:r>
      <w:r w:rsidRPr="00A562FF">
        <w:rPr>
          <w:rFonts w:asciiTheme="majorBidi" w:hAnsiTheme="majorBidi" w:cstheme="majorBidi"/>
        </w:rPr>
        <w:t>(2)</w:t>
      </w:r>
      <w:r w:rsidR="00063CD6">
        <w:rPr>
          <w:rFonts w:asciiTheme="majorBidi" w:hAnsiTheme="majorBidi" w:cstheme="majorBidi"/>
        </w:rPr>
        <w:t>:</w:t>
      </w:r>
      <w:r w:rsidRPr="00A562FF">
        <w:rPr>
          <w:rFonts w:asciiTheme="majorBidi" w:hAnsiTheme="majorBidi" w:cstheme="majorBidi"/>
        </w:rPr>
        <w:t xml:space="preserve"> 251–258. </w:t>
      </w:r>
    </w:p>
    <w:p w14:paraId="4F9D543C" w14:textId="02D9565C"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Roberts, T., Wilson, J., Guthrie, A., Cookson, K., </w:t>
      </w:r>
      <w:proofErr w:type="spellStart"/>
      <w:r w:rsidRPr="00A562FF">
        <w:rPr>
          <w:rFonts w:asciiTheme="majorBidi" w:hAnsiTheme="majorBidi" w:cstheme="majorBidi"/>
        </w:rPr>
        <w:t>Vancraeynest</w:t>
      </w:r>
      <w:proofErr w:type="spellEnd"/>
      <w:r w:rsidRPr="00A562FF">
        <w:rPr>
          <w:rFonts w:asciiTheme="majorBidi" w:hAnsiTheme="majorBidi" w:cstheme="majorBidi"/>
        </w:rPr>
        <w:t xml:space="preserve">, D., Schaeffer, J., Moody, R., &amp; Clark, S. (2015). </w:t>
      </w:r>
      <w:r w:rsidR="00063CD6">
        <w:rPr>
          <w:rFonts w:asciiTheme="majorBidi" w:hAnsiTheme="majorBidi" w:cstheme="majorBidi"/>
        </w:rPr>
        <w:t>“</w:t>
      </w:r>
      <w:r w:rsidRPr="00A562FF">
        <w:rPr>
          <w:rFonts w:asciiTheme="majorBidi" w:hAnsiTheme="majorBidi" w:cstheme="majorBidi"/>
        </w:rPr>
        <w:t>New issues and science in broiler chicken intestinal health: Emerging technology and alternative interventions.</w:t>
      </w:r>
      <w:r w:rsidR="00063CD6">
        <w:rPr>
          <w:rFonts w:asciiTheme="majorBidi" w:hAnsiTheme="majorBidi" w:cstheme="majorBidi"/>
        </w:rPr>
        <w:t>”</w:t>
      </w:r>
      <w:r w:rsidRPr="00A562FF">
        <w:rPr>
          <w:rFonts w:asciiTheme="majorBidi" w:hAnsiTheme="majorBidi" w:cstheme="majorBidi"/>
        </w:rPr>
        <w:t xml:space="preserve"> </w:t>
      </w:r>
      <w:r w:rsidRPr="00063CD6">
        <w:rPr>
          <w:rFonts w:asciiTheme="majorBidi" w:hAnsiTheme="majorBidi" w:cstheme="majorBidi"/>
          <w:i/>
          <w:iCs/>
        </w:rPr>
        <w:t>Journal of Applied Poultry Research</w:t>
      </w:r>
      <w:r w:rsidRPr="00A562FF">
        <w:rPr>
          <w:rFonts w:asciiTheme="majorBidi" w:hAnsiTheme="majorBidi" w:cstheme="majorBidi"/>
        </w:rPr>
        <w:t xml:space="preserve"> 24</w:t>
      </w:r>
      <w:r w:rsidR="00063CD6">
        <w:rPr>
          <w:rFonts w:asciiTheme="majorBidi" w:hAnsiTheme="majorBidi" w:cstheme="majorBidi"/>
        </w:rPr>
        <w:t xml:space="preserve"> </w:t>
      </w:r>
      <w:r w:rsidRPr="00A562FF">
        <w:rPr>
          <w:rFonts w:asciiTheme="majorBidi" w:hAnsiTheme="majorBidi" w:cstheme="majorBidi"/>
        </w:rPr>
        <w:t>(2)</w:t>
      </w:r>
      <w:r w:rsidR="00063CD6">
        <w:rPr>
          <w:rFonts w:asciiTheme="majorBidi" w:hAnsiTheme="majorBidi" w:cstheme="majorBidi"/>
        </w:rPr>
        <w:t>:</w:t>
      </w:r>
      <w:r w:rsidRPr="00A562FF">
        <w:rPr>
          <w:rFonts w:asciiTheme="majorBidi" w:hAnsiTheme="majorBidi" w:cstheme="majorBidi"/>
        </w:rPr>
        <w:t xml:space="preserve"> 257-266. </w:t>
      </w:r>
      <w:hyperlink r:id="rId44" w:history="1">
        <w:r w:rsidRPr="00A562FF">
          <w:rPr>
            <w:rStyle w:val="Hyperlink"/>
            <w:rFonts w:asciiTheme="majorBidi" w:hAnsiTheme="majorBidi" w:cstheme="majorBidi"/>
          </w:rPr>
          <w:t>https://doi.org/10.3382/japr/pfv023</w:t>
        </w:r>
      </w:hyperlink>
    </w:p>
    <w:p w14:paraId="61B556C4" w14:textId="38E88715"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Salas-Orozco, M. F., Lorenzo-Leal, A. C., de Alba Montero, I., Marín, N. P., Santana, M.A.C., &amp; Bach, H. (2024). </w:t>
      </w:r>
      <w:r w:rsidR="00063CD6">
        <w:rPr>
          <w:rFonts w:asciiTheme="majorBidi" w:hAnsiTheme="majorBidi" w:cstheme="majorBidi"/>
        </w:rPr>
        <w:t>“</w:t>
      </w:r>
      <w:r w:rsidRPr="00A562FF">
        <w:rPr>
          <w:rFonts w:asciiTheme="majorBidi" w:hAnsiTheme="majorBidi" w:cstheme="majorBidi"/>
        </w:rPr>
        <w:t>Mechanism of escape from the antibacterial activity of metal-based nanoparticles in clinically relevant bacteria: A systematic review.</w:t>
      </w:r>
      <w:r w:rsidR="00063CD6">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 xml:space="preserve">Nanomedicine: Nanotechnology, Biology and Medicine </w:t>
      </w:r>
      <w:r w:rsidRPr="00A562FF">
        <w:rPr>
          <w:rFonts w:asciiTheme="majorBidi" w:hAnsiTheme="majorBidi" w:cstheme="majorBidi"/>
        </w:rPr>
        <w:t>55</w:t>
      </w:r>
      <w:r w:rsidR="00063CD6">
        <w:rPr>
          <w:rFonts w:asciiTheme="majorBidi" w:hAnsiTheme="majorBidi" w:cstheme="majorBidi"/>
        </w:rPr>
        <w:t>:</w:t>
      </w:r>
      <w:r w:rsidRPr="00A562FF">
        <w:rPr>
          <w:rFonts w:asciiTheme="majorBidi" w:hAnsiTheme="majorBidi" w:cstheme="majorBidi"/>
        </w:rPr>
        <w:t xml:space="preserve"> 102715. </w:t>
      </w:r>
      <w:hyperlink r:id="rId45" w:history="1">
        <w:r w:rsidRPr="00A562FF">
          <w:rPr>
            <w:rStyle w:val="Hyperlink"/>
            <w:rFonts w:asciiTheme="majorBidi" w:hAnsiTheme="majorBidi" w:cstheme="majorBidi"/>
          </w:rPr>
          <w:t>https://doi.org/10.1016/j.nano.2023.102715</w:t>
        </w:r>
      </w:hyperlink>
    </w:p>
    <w:p w14:paraId="04CE764C" w14:textId="25883087"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Sari, F., </w:t>
      </w:r>
      <w:proofErr w:type="spellStart"/>
      <w:r w:rsidRPr="00A562FF">
        <w:rPr>
          <w:rFonts w:asciiTheme="majorBidi" w:hAnsiTheme="majorBidi" w:cstheme="majorBidi"/>
        </w:rPr>
        <w:t>Imulda</w:t>
      </w:r>
      <w:proofErr w:type="spellEnd"/>
      <w:r w:rsidRPr="00A562FF">
        <w:rPr>
          <w:rFonts w:asciiTheme="majorBidi" w:hAnsiTheme="majorBidi" w:cstheme="majorBidi"/>
        </w:rPr>
        <w:t xml:space="preserve">, A., Nurhayati, R., &amp; Pertiwi, K. K. (2024). </w:t>
      </w:r>
      <w:r w:rsidR="00063CD6">
        <w:rPr>
          <w:rFonts w:asciiTheme="majorBidi" w:hAnsiTheme="majorBidi" w:cstheme="majorBidi"/>
        </w:rPr>
        <w:t>“</w:t>
      </w:r>
      <w:proofErr w:type="spellStart"/>
      <w:r w:rsidRPr="00A562FF">
        <w:rPr>
          <w:rFonts w:asciiTheme="majorBidi" w:hAnsiTheme="majorBidi" w:cstheme="majorBidi"/>
        </w:rPr>
        <w:t>Aktivitas</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Antioksidan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dari</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Ekstrak</w:t>
      </w:r>
      <w:proofErr w:type="spellEnd"/>
      <w:r w:rsidRPr="00A562FF">
        <w:rPr>
          <w:rFonts w:asciiTheme="majorBidi" w:hAnsiTheme="majorBidi" w:cstheme="majorBidi"/>
        </w:rPr>
        <w:t xml:space="preserve"> Daun </w:t>
      </w:r>
      <w:proofErr w:type="spellStart"/>
      <w:r w:rsidR="00063CD6">
        <w:rPr>
          <w:rFonts w:asciiTheme="majorBidi" w:hAnsiTheme="majorBidi" w:cstheme="majorBidi"/>
        </w:rPr>
        <w:t>Beluntas</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w:t>
      </w:r>
      <w:proofErr w:type="spellStart"/>
      <w:r w:rsidRPr="00A562FF">
        <w:rPr>
          <w:rFonts w:asciiTheme="majorBidi" w:hAnsiTheme="majorBidi" w:cstheme="majorBidi"/>
        </w:rPr>
        <w:t>berdasarkan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Perbedaan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Pelarut</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Ekstraksi</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menggunakan</w:t>
      </w:r>
      <w:proofErr w:type="spellEnd"/>
      <w:r w:rsidRPr="00A562FF">
        <w:rPr>
          <w:rFonts w:asciiTheme="majorBidi" w:hAnsiTheme="majorBidi" w:cstheme="majorBidi"/>
        </w:rPr>
        <w:t xml:space="preserve"> Metode DPPH.</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Indonesian Journal of Pharmaceutical Sciences and Clinical Research (IJPSCR)</w:t>
      </w:r>
      <w:r w:rsidRPr="00A562FF">
        <w:rPr>
          <w:rFonts w:asciiTheme="majorBidi" w:hAnsiTheme="majorBidi" w:cstheme="majorBidi"/>
        </w:rPr>
        <w:t> </w:t>
      </w:r>
      <w:r w:rsidRPr="00A562FF">
        <w:rPr>
          <w:rFonts w:asciiTheme="majorBidi" w:hAnsiTheme="majorBidi" w:cstheme="majorBidi"/>
          <w:i/>
          <w:iCs/>
        </w:rPr>
        <w:t>2</w:t>
      </w:r>
      <w:r w:rsidR="00063CD6">
        <w:rPr>
          <w:rFonts w:asciiTheme="majorBidi" w:hAnsiTheme="majorBidi" w:cstheme="majorBidi"/>
          <w:i/>
          <w:iCs/>
        </w:rPr>
        <w:t xml:space="preserve"> </w:t>
      </w:r>
      <w:r w:rsidRPr="00A562FF">
        <w:rPr>
          <w:rFonts w:asciiTheme="majorBidi" w:hAnsiTheme="majorBidi" w:cstheme="majorBidi"/>
        </w:rPr>
        <w:t>(1)</w:t>
      </w:r>
      <w:r w:rsidR="00063CD6">
        <w:rPr>
          <w:rFonts w:asciiTheme="majorBidi" w:hAnsiTheme="majorBidi" w:cstheme="majorBidi"/>
        </w:rPr>
        <w:t>:</w:t>
      </w:r>
      <w:r w:rsidRPr="00A562FF">
        <w:rPr>
          <w:rFonts w:asciiTheme="majorBidi" w:hAnsiTheme="majorBidi" w:cstheme="majorBidi"/>
        </w:rPr>
        <w:t xml:space="preserve"> 1 – 8.</w:t>
      </w:r>
    </w:p>
    <w:p w14:paraId="7F9CF3F5" w14:textId="7A72CDAF"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lang w:val="id-ID"/>
        </w:rPr>
        <w:t xml:space="preserve">Setianingsih, N.L.P.P., Singapurwa, N.M.A.S., Arygunartha, G.Y., Djelantik, S.A.M.A.P., &amp; Winduyasa, I.W. (2023). </w:t>
      </w:r>
      <w:r w:rsidR="00063CD6">
        <w:rPr>
          <w:rFonts w:asciiTheme="majorBidi" w:hAnsiTheme="majorBidi" w:cstheme="majorBidi"/>
          <w:lang w:val="id-ID"/>
        </w:rPr>
        <w:t>“</w:t>
      </w:r>
      <w:r w:rsidRPr="00A562FF">
        <w:rPr>
          <w:rFonts w:asciiTheme="majorBidi" w:hAnsiTheme="majorBidi" w:cstheme="majorBidi"/>
        </w:rPr>
        <w:t xml:space="preserve">Environmental Health Risk Analysis of </w:t>
      </w:r>
      <w:proofErr w:type="spellStart"/>
      <w:r w:rsidRPr="00A562FF">
        <w:rPr>
          <w:rFonts w:asciiTheme="majorBidi" w:hAnsiTheme="majorBidi" w:cstheme="majorBidi"/>
        </w:rPr>
        <w:t>Legundi</w:t>
      </w:r>
      <w:proofErr w:type="spellEnd"/>
      <w:r w:rsidRPr="00A562FF">
        <w:rPr>
          <w:rFonts w:asciiTheme="majorBidi" w:hAnsiTheme="majorBidi" w:cstheme="majorBidi"/>
        </w:rPr>
        <w:t xml:space="preserve"> Leaf Essential Oil Toxicity (Vitex </w:t>
      </w:r>
      <w:proofErr w:type="spellStart"/>
      <w:r w:rsidRPr="00A562FF">
        <w:rPr>
          <w:rFonts w:asciiTheme="majorBidi" w:hAnsiTheme="majorBidi" w:cstheme="majorBidi"/>
        </w:rPr>
        <w:t>Trifolia</w:t>
      </w:r>
      <w:proofErr w:type="spellEnd"/>
      <w:r w:rsidRPr="00A562FF">
        <w:rPr>
          <w:rFonts w:asciiTheme="majorBidi" w:hAnsiTheme="majorBidi" w:cstheme="majorBidi"/>
        </w:rPr>
        <w:t xml:space="preserve"> L.)</w:t>
      </w:r>
      <w:r w:rsidR="00063CD6">
        <w:rPr>
          <w:rFonts w:asciiTheme="majorBidi" w:hAnsiTheme="majorBidi" w:cstheme="majorBidi"/>
        </w:rPr>
        <w:t>”</w:t>
      </w:r>
      <w:r w:rsidRPr="00A562FF">
        <w:rPr>
          <w:rFonts w:asciiTheme="majorBidi" w:hAnsiTheme="majorBidi" w:cstheme="majorBidi"/>
        </w:rPr>
        <w:t xml:space="preserve"> </w:t>
      </w:r>
      <w:proofErr w:type="spellStart"/>
      <w:r w:rsidRPr="00A562FF">
        <w:rPr>
          <w:rFonts w:asciiTheme="majorBidi" w:hAnsiTheme="majorBidi" w:cstheme="majorBidi"/>
          <w:i/>
          <w:iCs/>
        </w:rPr>
        <w:t>Jurnal</w:t>
      </w:r>
      <w:proofErr w:type="spellEnd"/>
      <w:r w:rsidRPr="00A562FF">
        <w:rPr>
          <w:rFonts w:asciiTheme="majorBidi" w:hAnsiTheme="majorBidi" w:cstheme="majorBidi"/>
          <w:i/>
          <w:iCs/>
        </w:rPr>
        <w:t xml:space="preserve"> Kesehatan </w:t>
      </w:r>
      <w:proofErr w:type="spellStart"/>
      <w:r w:rsidRPr="00A562FF">
        <w:rPr>
          <w:rFonts w:asciiTheme="majorBidi" w:hAnsiTheme="majorBidi" w:cstheme="majorBidi"/>
          <w:i/>
          <w:iCs/>
        </w:rPr>
        <w:t>Lingkungan</w:t>
      </w:r>
      <w:proofErr w:type="spellEnd"/>
      <w:r w:rsidR="00063CD6">
        <w:rPr>
          <w:rFonts w:asciiTheme="majorBidi" w:hAnsiTheme="majorBidi" w:cstheme="majorBidi"/>
          <w:i/>
          <w:iCs/>
        </w:rPr>
        <w:t xml:space="preserve"> </w:t>
      </w:r>
      <w:r w:rsidRPr="00A562FF">
        <w:rPr>
          <w:rFonts w:asciiTheme="majorBidi" w:hAnsiTheme="majorBidi" w:cstheme="majorBidi"/>
          <w:i/>
          <w:iCs/>
        </w:rPr>
        <w:t>15</w:t>
      </w:r>
      <w:r w:rsidR="00063CD6">
        <w:rPr>
          <w:rFonts w:asciiTheme="majorBidi" w:hAnsiTheme="majorBidi" w:cstheme="majorBidi"/>
          <w:i/>
          <w:iCs/>
        </w:rPr>
        <w:t xml:space="preserve"> </w:t>
      </w:r>
      <w:r w:rsidRPr="00A562FF">
        <w:rPr>
          <w:rFonts w:asciiTheme="majorBidi" w:hAnsiTheme="majorBidi" w:cstheme="majorBidi"/>
        </w:rPr>
        <w:t>(1)</w:t>
      </w:r>
      <w:r w:rsidR="00063CD6">
        <w:rPr>
          <w:rFonts w:asciiTheme="majorBidi" w:hAnsiTheme="majorBidi" w:cstheme="majorBidi"/>
        </w:rPr>
        <w:t>:</w:t>
      </w:r>
      <w:r w:rsidRPr="00A562FF">
        <w:rPr>
          <w:rFonts w:asciiTheme="majorBidi" w:hAnsiTheme="majorBidi" w:cstheme="majorBidi"/>
        </w:rPr>
        <w:t xml:space="preserve"> 67–75. </w:t>
      </w:r>
      <w:hyperlink r:id="rId46" w:history="1">
        <w:r w:rsidRPr="00A562FF">
          <w:rPr>
            <w:rStyle w:val="Hyperlink"/>
            <w:rFonts w:asciiTheme="majorBidi" w:hAnsiTheme="majorBidi" w:cstheme="majorBidi"/>
          </w:rPr>
          <w:t>https://doi.org/10.20473/jkl.v15i1.2023.67-75</w:t>
        </w:r>
      </w:hyperlink>
    </w:p>
    <w:p w14:paraId="4348009B" w14:textId="0ECA0546"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Shan, Q., Yu, W., Xu, Q., Liu, R., Ying, S., Dong, J., Bao, Y., Lyu, Q., Shi, C., Xia, J., Tang, J., Kuang, H., Wang, K., Tian, G., &amp; Cao, G. (2024). </w:t>
      </w:r>
      <w:r w:rsidR="00063CD6">
        <w:rPr>
          <w:rFonts w:asciiTheme="majorBidi" w:hAnsiTheme="majorBidi" w:cstheme="majorBidi"/>
        </w:rPr>
        <w:t>“</w:t>
      </w:r>
      <w:r w:rsidRPr="00A562FF">
        <w:rPr>
          <w:rFonts w:asciiTheme="majorBidi" w:hAnsiTheme="majorBidi" w:cstheme="majorBidi"/>
        </w:rPr>
        <w:t>Detoxification and underlying mechanisms towards toxic alkaloids by Traditional Chinese Medicine processing: A comprehensive review.</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Phytomedicine</w:t>
      </w:r>
      <w:r w:rsidRPr="00A562FF">
        <w:rPr>
          <w:rFonts w:asciiTheme="majorBidi" w:hAnsiTheme="majorBidi" w:cstheme="majorBidi"/>
        </w:rPr>
        <w:t xml:space="preserve"> 129</w:t>
      </w:r>
      <w:r w:rsidR="00063CD6">
        <w:rPr>
          <w:rFonts w:asciiTheme="majorBidi" w:hAnsiTheme="majorBidi" w:cstheme="majorBidi"/>
        </w:rPr>
        <w:t>:</w:t>
      </w:r>
      <w:r w:rsidRPr="00A562FF">
        <w:rPr>
          <w:rFonts w:asciiTheme="majorBidi" w:hAnsiTheme="majorBidi" w:cstheme="majorBidi"/>
        </w:rPr>
        <w:t xml:space="preserve"> 155623. </w:t>
      </w:r>
      <w:hyperlink r:id="rId47" w:history="1">
        <w:r w:rsidRPr="00A562FF">
          <w:rPr>
            <w:rStyle w:val="Hyperlink"/>
            <w:rFonts w:asciiTheme="majorBidi" w:hAnsiTheme="majorBidi" w:cstheme="majorBidi"/>
          </w:rPr>
          <w:t>https://doi.org/10.1016/j.phymed.2024.155623</w:t>
        </w:r>
      </w:hyperlink>
      <w:r w:rsidRPr="00A562FF">
        <w:rPr>
          <w:rFonts w:asciiTheme="majorBidi" w:hAnsiTheme="majorBidi" w:cstheme="majorBidi"/>
        </w:rPr>
        <w:t>.</w:t>
      </w:r>
    </w:p>
    <w:p w14:paraId="3C4C04DD" w14:textId="4FF367F4"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Sharma, K., Kaur, R., Kumar, S., Saini, R.K., Sharma, S., </w:t>
      </w:r>
      <w:proofErr w:type="spellStart"/>
      <w:r w:rsidRPr="00A562FF">
        <w:rPr>
          <w:rFonts w:asciiTheme="majorBidi" w:hAnsiTheme="majorBidi" w:cstheme="majorBidi"/>
        </w:rPr>
        <w:t>Pawde</w:t>
      </w:r>
      <w:proofErr w:type="spellEnd"/>
      <w:r w:rsidRPr="00A562FF">
        <w:rPr>
          <w:rFonts w:asciiTheme="majorBidi" w:hAnsiTheme="majorBidi" w:cstheme="majorBidi"/>
        </w:rPr>
        <w:t xml:space="preserve">, S.V., &amp; Kumar, V. (2023). </w:t>
      </w:r>
      <w:r w:rsidR="00405C74">
        <w:rPr>
          <w:rFonts w:asciiTheme="majorBidi" w:hAnsiTheme="majorBidi" w:cstheme="majorBidi"/>
        </w:rPr>
        <w:t>“</w:t>
      </w:r>
      <w:r w:rsidRPr="00A562FF">
        <w:rPr>
          <w:rFonts w:asciiTheme="majorBidi" w:hAnsiTheme="majorBidi" w:cstheme="majorBidi"/>
        </w:rPr>
        <w:t>Saponins: A concise review on food related aspects, applications and health implications.</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Food Chemistry Advances</w:t>
      </w:r>
      <w:r w:rsidRPr="00A562FF">
        <w:rPr>
          <w:rFonts w:asciiTheme="majorBidi" w:hAnsiTheme="majorBidi" w:cstheme="majorBidi"/>
        </w:rPr>
        <w:t> </w:t>
      </w:r>
      <w:proofErr w:type="gramStart"/>
      <w:r w:rsidRPr="00A562FF">
        <w:rPr>
          <w:rFonts w:asciiTheme="majorBidi" w:hAnsiTheme="majorBidi" w:cstheme="majorBidi"/>
          <w:i/>
          <w:iCs/>
        </w:rPr>
        <w:t>2</w:t>
      </w:r>
      <w:r w:rsidR="00405C74">
        <w:rPr>
          <w:rFonts w:asciiTheme="majorBidi" w:hAnsiTheme="majorBidi" w:cstheme="majorBidi"/>
          <w:i/>
          <w:iCs/>
        </w:rPr>
        <w:t xml:space="preserve"> </w:t>
      </w:r>
      <w:r w:rsidR="00405C74">
        <w:rPr>
          <w:rFonts w:asciiTheme="majorBidi" w:hAnsiTheme="majorBidi" w:cstheme="majorBidi"/>
        </w:rPr>
        <w:t>:</w:t>
      </w:r>
      <w:proofErr w:type="gramEnd"/>
      <w:r w:rsidRPr="00A562FF">
        <w:rPr>
          <w:rFonts w:asciiTheme="majorBidi" w:hAnsiTheme="majorBidi" w:cstheme="majorBidi"/>
        </w:rPr>
        <w:t xml:space="preserve"> 100191.</w:t>
      </w:r>
    </w:p>
    <w:p w14:paraId="4B6361DC" w14:textId="3A95332E"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Sharma, K., Kumar, V., Kaur, J., Tanwar, B., Goyal, A., Sharma, R., Gat, Y., &amp; Kumar, A. (2021). </w:t>
      </w:r>
      <w:r w:rsidR="00405C74">
        <w:rPr>
          <w:rFonts w:asciiTheme="majorBidi" w:hAnsiTheme="majorBidi" w:cstheme="majorBidi"/>
        </w:rPr>
        <w:t>“</w:t>
      </w:r>
      <w:r w:rsidRPr="00A562FF">
        <w:rPr>
          <w:rFonts w:asciiTheme="majorBidi" w:hAnsiTheme="majorBidi" w:cstheme="majorBidi"/>
        </w:rPr>
        <w:t>Health effects, sources, utilization and safety of tannins: A critical review.</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Toxin Reviews</w:t>
      </w:r>
      <w:r w:rsidRPr="00A562FF">
        <w:rPr>
          <w:rFonts w:asciiTheme="majorBidi" w:hAnsiTheme="majorBidi" w:cstheme="majorBidi"/>
        </w:rPr>
        <w:t> </w:t>
      </w:r>
      <w:r w:rsidRPr="00A562FF">
        <w:rPr>
          <w:rFonts w:asciiTheme="majorBidi" w:hAnsiTheme="majorBidi" w:cstheme="majorBidi"/>
          <w:i/>
          <w:iCs/>
        </w:rPr>
        <w:t>40</w:t>
      </w:r>
      <w:r w:rsidR="00405C74">
        <w:rPr>
          <w:rFonts w:asciiTheme="majorBidi" w:hAnsiTheme="majorBidi" w:cstheme="majorBidi"/>
          <w:i/>
          <w:iCs/>
        </w:rPr>
        <w:t xml:space="preserve"> </w:t>
      </w:r>
      <w:r w:rsidRPr="00A562FF">
        <w:rPr>
          <w:rFonts w:asciiTheme="majorBidi" w:hAnsiTheme="majorBidi" w:cstheme="majorBidi"/>
        </w:rPr>
        <w:t>(4)</w:t>
      </w:r>
      <w:r w:rsidR="00405C74">
        <w:rPr>
          <w:rFonts w:asciiTheme="majorBidi" w:hAnsiTheme="majorBidi" w:cstheme="majorBidi"/>
        </w:rPr>
        <w:t>:</w:t>
      </w:r>
      <w:r w:rsidRPr="00A562FF">
        <w:rPr>
          <w:rFonts w:asciiTheme="majorBidi" w:hAnsiTheme="majorBidi" w:cstheme="majorBidi"/>
        </w:rPr>
        <w:t xml:space="preserve"> 432-444. </w:t>
      </w:r>
      <w:hyperlink r:id="rId48" w:history="1">
        <w:r w:rsidRPr="00A562FF">
          <w:rPr>
            <w:rStyle w:val="Hyperlink"/>
            <w:rFonts w:asciiTheme="majorBidi" w:hAnsiTheme="majorBidi" w:cstheme="majorBidi"/>
          </w:rPr>
          <w:t>https://doi.org/10.1080/15569543.2019.1662813</w:t>
        </w:r>
      </w:hyperlink>
    </w:p>
    <w:p w14:paraId="3EAE0B04" w14:textId="0E6BF52D" w:rsidR="00A562FF" w:rsidRPr="00A562FF" w:rsidRDefault="00A562FF" w:rsidP="0062331A">
      <w:pPr>
        <w:spacing w:after="0" w:line="240" w:lineRule="auto"/>
        <w:ind w:left="567" w:hanging="567"/>
        <w:jc w:val="both"/>
        <w:rPr>
          <w:rFonts w:asciiTheme="majorBidi" w:hAnsiTheme="majorBidi" w:cstheme="majorBidi"/>
        </w:rPr>
      </w:pPr>
      <w:bookmarkStart w:id="2" w:name="_Hlk198491325"/>
      <w:proofErr w:type="spellStart"/>
      <w:r w:rsidRPr="00A562FF">
        <w:rPr>
          <w:rFonts w:asciiTheme="majorBidi" w:hAnsiTheme="majorBidi" w:cstheme="majorBidi"/>
        </w:rPr>
        <w:t>Tagousop</w:t>
      </w:r>
      <w:proofErr w:type="spellEnd"/>
      <w:r w:rsidRPr="00A562FF">
        <w:rPr>
          <w:rFonts w:asciiTheme="majorBidi" w:hAnsiTheme="majorBidi" w:cstheme="majorBidi"/>
        </w:rPr>
        <w:t xml:space="preserve">, C.N., </w:t>
      </w:r>
      <w:proofErr w:type="spellStart"/>
      <w:r w:rsidRPr="00A562FF">
        <w:rPr>
          <w:rFonts w:asciiTheme="majorBidi" w:hAnsiTheme="majorBidi" w:cstheme="majorBidi"/>
        </w:rPr>
        <w:t>Tamokou</w:t>
      </w:r>
      <w:proofErr w:type="spellEnd"/>
      <w:r w:rsidRPr="00A562FF">
        <w:rPr>
          <w:rFonts w:asciiTheme="majorBidi" w:hAnsiTheme="majorBidi" w:cstheme="majorBidi"/>
        </w:rPr>
        <w:t xml:space="preserve">, J.D., </w:t>
      </w:r>
      <w:proofErr w:type="spellStart"/>
      <w:r w:rsidRPr="00A562FF">
        <w:rPr>
          <w:rFonts w:asciiTheme="majorBidi" w:hAnsiTheme="majorBidi" w:cstheme="majorBidi"/>
        </w:rPr>
        <w:t>Ekom</w:t>
      </w:r>
      <w:proofErr w:type="spellEnd"/>
      <w:r w:rsidRPr="00A562FF">
        <w:rPr>
          <w:rFonts w:asciiTheme="majorBidi" w:hAnsiTheme="majorBidi" w:cstheme="majorBidi"/>
        </w:rPr>
        <w:t xml:space="preserve">, S.E., Ngnokam, D., &amp; </w:t>
      </w:r>
      <w:proofErr w:type="spellStart"/>
      <w:r w:rsidRPr="00A562FF">
        <w:rPr>
          <w:rFonts w:asciiTheme="majorBidi" w:hAnsiTheme="majorBidi" w:cstheme="majorBidi"/>
        </w:rPr>
        <w:t>Voutquenne-Nazabadioko</w:t>
      </w:r>
      <w:proofErr w:type="spellEnd"/>
      <w:r w:rsidRPr="00A562FF">
        <w:rPr>
          <w:rFonts w:asciiTheme="majorBidi" w:hAnsiTheme="majorBidi" w:cstheme="majorBidi"/>
        </w:rPr>
        <w:t xml:space="preserve">, L. (2018). </w:t>
      </w:r>
      <w:r w:rsidR="00405C74">
        <w:rPr>
          <w:rFonts w:asciiTheme="majorBidi" w:hAnsiTheme="majorBidi" w:cstheme="majorBidi"/>
        </w:rPr>
        <w:t>“</w:t>
      </w:r>
      <w:r w:rsidRPr="00A562FF">
        <w:rPr>
          <w:rFonts w:asciiTheme="majorBidi" w:hAnsiTheme="majorBidi" w:cstheme="majorBidi"/>
        </w:rPr>
        <w:t>Antimicrobial activities of flavonoid glycosides from </w:t>
      </w:r>
      <w:proofErr w:type="spellStart"/>
      <w:r w:rsidRPr="00A562FF">
        <w:rPr>
          <w:rFonts w:asciiTheme="majorBidi" w:hAnsiTheme="majorBidi" w:cstheme="majorBidi"/>
          <w:i/>
          <w:iCs/>
        </w:rPr>
        <w:t>Graptophyllum</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grandulosum</w:t>
      </w:r>
      <w:proofErr w:type="spellEnd"/>
      <w:r w:rsidRPr="00A562FF">
        <w:rPr>
          <w:rFonts w:asciiTheme="majorBidi" w:hAnsiTheme="majorBidi" w:cstheme="majorBidi"/>
        </w:rPr>
        <w:t> and their mechanism of antibacterial action.</w:t>
      </w:r>
      <w:r w:rsidR="00405C74">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BMC Complement Altern Med,</w:t>
      </w:r>
      <w:r w:rsidRPr="00A562FF">
        <w:rPr>
          <w:rFonts w:asciiTheme="majorBidi" w:hAnsiTheme="majorBidi" w:cstheme="majorBidi"/>
        </w:rPr>
        <w:t xml:space="preserve"> 18</w:t>
      </w:r>
      <w:r w:rsidR="00405C74">
        <w:rPr>
          <w:rFonts w:asciiTheme="majorBidi" w:hAnsiTheme="majorBidi" w:cstheme="majorBidi"/>
        </w:rPr>
        <w:t>:</w:t>
      </w:r>
      <w:r w:rsidRPr="00A562FF">
        <w:rPr>
          <w:rFonts w:asciiTheme="majorBidi" w:hAnsiTheme="majorBidi" w:cstheme="majorBidi"/>
        </w:rPr>
        <w:t xml:space="preserve"> 252. </w:t>
      </w:r>
      <w:hyperlink r:id="rId49" w:history="1">
        <w:r w:rsidRPr="00A562FF">
          <w:rPr>
            <w:rStyle w:val="Hyperlink"/>
            <w:rFonts w:asciiTheme="majorBidi" w:hAnsiTheme="majorBidi" w:cstheme="majorBidi"/>
          </w:rPr>
          <w:t>https://doi.org/10.1186/s12906-018-2321-7</w:t>
        </w:r>
      </w:hyperlink>
    </w:p>
    <w:bookmarkEnd w:id="2"/>
    <w:p w14:paraId="35E966FB" w14:textId="31D1F7D7"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Tang, Z., &amp; Zhang, Q. (2021). </w:t>
      </w:r>
      <w:r w:rsidR="00405C74">
        <w:rPr>
          <w:rFonts w:asciiTheme="majorBidi" w:hAnsiTheme="majorBidi" w:cstheme="majorBidi"/>
        </w:rPr>
        <w:t>“</w:t>
      </w:r>
      <w:r w:rsidRPr="00A562FF">
        <w:rPr>
          <w:rFonts w:asciiTheme="majorBidi" w:hAnsiTheme="majorBidi" w:cstheme="majorBidi"/>
        </w:rPr>
        <w:t xml:space="preserve">The </w:t>
      </w:r>
      <w:proofErr w:type="spellStart"/>
      <w:r w:rsidRPr="00A562FF">
        <w:rPr>
          <w:rFonts w:asciiTheme="majorBidi" w:hAnsiTheme="majorBidi" w:cstheme="majorBidi"/>
        </w:rPr>
        <w:t>Potenstial</w:t>
      </w:r>
      <w:proofErr w:type="spellEnd"/>
      <w:r w:rsidRPr="00A562FF">
        <w:rPr>
          <w:rFonts w:asciiTheme="majorBidi" w:hAnsiTheme="majorBidi" w:cstheme="majorBidi"/>
        </w:rPr>
        <w:t xml:space="preserve"> Toxic Side Effects of Flavonoid.</w:t>
      </w:r>
      <w:r w:rsidR="00405C74">
        <w:rPr>
          <w:rFonts w:asciiTheme="majorBidi" w:hAnsiTheme="majorBidi" w:cstheme="majorBidi"/>
        </w:rPr>
        <w:t>”</w:t>
      </w:r>
      <w:r w:rsidRPr="00A562FF">
        <w:rPr>
          <w:rFonts w:asciiTheme="majorBidi" w:hAnsiTheme="majorBidi" w:cstheme="majorBidi"/>
        </w:rPr>
        <w:t xml:space="preserve"> </w:t>
      </w:r>
      <w:proofErr w:type="spellStart"/>
      <w:r w:rsidRPr="00A562FF">
        <w:rPr>
          <w:rFonts w:asciiTheme="majorBidi" w:hAnsiTheme="majorBidi" w:cstheme="majorBidi"/>
          <w:i/>
          <w:iCs/>
        </w:rPr>
        <w:t>Biocell</w:t>
      </w:r>
      <w:proofErr w:type="spellEnd"/>
      <w:r w:rsidRPr="00A562FF">
        <w:rPr>
          <w:rFonts w:asciiTheme="majorBidi" w:hAnsiTheme="majorBidi" w:cstheme="majorBidi"/>
        </w:rPr>
        <w:t xml:space="preserve"> 46</w:t>
      </w:r>
      <w:r w:rsidR="00405C74">
        <w:rPr>
          <w:rFonts w:asciiTheme="majorBidi" w:hAnsiTheme="majorBidi" w:cstheme="majorBidi"/>
        </w:rPr>
        <w:t xml:space="preserve"> </w:t>
      </w:r>
      <w:r w:rsidRPr="00A562FF">
        <w:rPr>
          <w:rFonts w:asciiTheme="majorBidi" w:hAnsiTheme="majorBidi" w:cstheme="majorBidi"/>
        </w:rPr>
        <w:t>(2)</w:t>
      </w:r>
      <w:r w:rsidR="00405C74">
        <w:rPr>
          <w:rFonts w:asciiTheme="majorBidi" w:hAnsiTheme="majorBidi" w:cstheme="majorBidi"/>
        </w:rPr>
        <w:t>:</w:t>
      </w:r>
      <w:r w:rsidRPr="00A562FF">
        <w:rPr>
          <w:rFonts w:asciiTheme="majorBidi" w:hAnsiTheme="majorBidi" w:cstheme="majorBidi"/>
        </w:rPr>
        <w:t xml:space="preserve"> 357–366. </w:t>
      </w:r>
      <w:hyperlink r:id="rId50" w:history="1">
        <w:r w:rsidRPr="00A562FF">
          <w:rPr>
            <w:rStyle w:val="Hyperlink"/>
            <w:rFonts w:asciiTheme="majorBidi" w:hAnsiTheme="majorBidi" w:cstheme="majorBidi"/>
          </w:rPr>
          <w:t>http://dx.doi.org/10.32604/biocell.2022.015958</w:t>
        </w:r>
      </w:hyperlink>
    </w:p>
    <w:p w14:paraId="56206C72" w14:textId="10839790"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Tran, N., Pham, B., &amp; Le, L. (2020). </w:t>
      </w:r>
      <w:r w:rsidR="00405C74">
        <w:rPr>
          <w:rFonts w:asciiTheme="majorBidi" w:hAnsiTheme="majorBidi" w:cstheme="majorBidi"/>
        </w:rPr>
        <w:t>“</w:t>
      </w:r>
      <w:r w:rsidRPr="00A562FF">
        <w:rPr>
          <w:rFonts w:asciiTheme="majorBidi" w:hAnsiTheme="majorBidi" w:cstheme="majorBidi"/>
        </w:rPr>
        <w:t>Bioactive compounds in anti-diabetic plants: From herbal medicine to modern drug discovery.</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Biology</w:t>
      </w:r>
      <w:r w:rsidRPr="00A562FF">
        <w:rPr>
          <w:rFonts w:asciiTheme="majorBidi" w:hAnsiTheme="majorBidi" w:cstheme="majorBidi"/>
        </w:rPr>
        <w:t> </w:t>
      </w:r>
      <w:r w:rsidRPr="00A562FF">
        <w:rPr>
          <w:rFonts w:asciiTheme="majorBidi" w:hAnsiTheme="majorBidi" w:cstheme="majorBidi"/>
          <w:i/>
          <w:iCs/>
        </w:rPr>
        <w:t>9</w:t>
      </w:r>
      <w:r w:rsidR="00405C74">
        <w:rPr>
          <w:rFonts w:asciiTheme="majorBidi" w:hAnsiTheme="majorBidi" w:cstheme="majorBidi"/>
          <w:i/>
          <w:iCs/>
        </w:rPr>
        <w:t xml:space="preserve"> </w:t>
      </w:r>
      <w:r w:rsidRPr="00A562FF">
        <w:rPr>
          <w:rFonts w:asciiTheme="majorBidi" w:hAnsiTheme="majorBidi" w:cstheme="majorBidi"/>
        </w:rPr>
        <w:t>(9)</w:t>
      </w:r>
      <w:r w:rsidR="00405C74">
        <w:rPr>
          <w:rFonts w:asciiTheme="majorBidi" w:hAnsiTheme="majorBidi" w:cstheme="majorBidi"/>
        </w:rPr>
        <w:t>:</w:t>
      </w:r>
      <w:r w:rsidRPr="00A562FF">
        <w:rPr>
          <w:rFonts w:asciiTheme="majorBidi" w:hAnsiTheme="majorBidi" w:cstheme="majorBidi"/>
        </w:rPr>
        <w:t xml:space="preserve"> 252. </w:t>
      </w:r>
      <w:hyperlink r:id="rId51" w:history="1">
        <w:r w:rsidRPr="00A562FF">
          <w:rPr>
            <w:rStyle w:val="Hyperlink"/>
            <w:rFonts w:asciiTheme="majorBidi" w:hAnsiTheme="majorBidi" w:cstheme="majorBidi"/>
          </w:rPr>
          <w:t>https://doi.org/10.3390/biology9090252</w:t>
        </w:r>
      </w:hyperlink>
    </w:p>
    <w:p w14:paraId="34ED3345" w14:textId="0EC7ECD3"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Vaou</w:t>
      </w:r>
      <w:proofErr w:type="spellEnd"/>
      <w:r w:rsidRPr="00A562FF">
        <w:rPr>
          <w:rFonts w:asciiTheme="majorBidi" w:hAnsiTheme="majorBidi" w:cstheme="majorBidi"/>
        </w:rPr>
        <w:t xml:space="preserve">, N., Stavropoulou, E., </w:t>
      </w:r>
      <w:proofErr w:type="spellStart"/>
      <w:r w:rsidRPr="00A562FF">
        <w:rPr>
          <w:rFonts w:asciiTheme="majorBidi" w:hAnsiTheme="majorBidi" w:cstheme="majorBidi"/>
        </w:rPr>
        <w:t>Voidarou</w:t>
      </w:r>
      <w:proofErr w:type="spellEnd"/>
      <w:r w:rsidRPr="00A562FF">
        <w:rPr>
          <w:rFonts w:asciiTheme="majorBidi" w:hAnsiTheme="majorBidi" w:cstheme="majorBidi"/>
        </w:rPr>
        <w:t xml:space="preserve">, C., </w:t>
      </w:r>
      <w:proofErr w:type="spellStart"/>
      <w:r w:rsidRPr="00A562FF">
        <w:rPr>
          <w:rFonts w:asciiTheme="majorBidi" w:hAnsiTheme="majorBidi" w:cstheme="majorBidi"/>
        </w:rPr>
        <w:t>Tsakris</w:t>
      </w:r>
      <w:proofErr w:type="spellEnd"/>
      <w:r w:rsidRPr="00A562FF">
        <w:rPr>
          <w:rFonts w:asciiTheme="majorBidi" w:hAnsiTheme="majorBidi" w:cstheme="majorBidi"/>
        </w:rPr>
        <w:t xml:space="preserve">, Z., </w:t>
      </w:r>
      <w:proofErr w:type="spellStart"/>
      <w:r w:rsidRPr="00A562FF">
        <w:rPr>
          <w:rFonts w:asciiTheme="majorBidi" w:hAnsiTheme="majorBidi" w:cstheme="majorBidi"/>
        </w:rPr>
        <w:t>Rozos</w:t>
      </w:r>
      <w:proofErr w:type="spellEnd"/>
      <w:r w:rsidRPr="00A562FF">
        <w:rPr>
          <w:rFonts w:asciiTheme="majorBidi" w:hAnsiTheme="majorBidi" w:cstheme="majorBidi"/>
        </w:rPr>
        <w:t xml:space="preserve">, G., </w:t>
      </w:r>
      <w:proofErr w:type="spellStart"/>
      <w:r w:rsidRPr="00A562FF">
        <w:rPr>
          <w:rFonts w:asciiTheme="majorBidi" w:hAnsiTheme="majorBidi" w:cstheme="majorBidi"/>
        </w:rPr>
        <w:t>Tsigalou</w:t>
      </w:r>
      <w:proofErr w:type="spellEnd"/>
      <w:r w:rsidRPr="00A562FF">
        <w:rPr>
          <w:rFonts w:asciiTheme="majorBidi" w:hAnsiTheme="majorBidi" w:cstheme="majorBidi"/>
        </w:rPr>
        <w:t xml:space="preserve">, C., &amp; </w:t>
      </w:r>
      <w:proofErr w:type="spellStart"/>
      <w:r w:rsidRPr="00A562FF">
        <w:rPr>
          <w:rFonts w:asciiTheme="majorBidi" w:hAnsiTheme="majorBidi" w:cstheme="majorBidi"/>
        </w:rPr>
        <w:t>Bezirtzoglou</w:t>
      </w:r>
      <w:proofErr w:type="spellEnd"/>
      <w:r w:rsidRPr="00A562FF">
        <w:rPr>
          <w:rFonts w:asciiTheme="majorBidi" w:hAnsiTheme="majorBidi" w:cstheme="majorBidi"/>
        </w:rPr>
        <w:t xml:space="preserve">, E. (2022). </w:t>
      </w:r>
      <w:r w:rsidR="00405C74">
        <w:rPr>
          <w:rFonts w:asciiTheme="majorBidi" w:hAnsiTheme="majorBidi" w:cstheme="majorBidi"/>
        </w:rPr>
        <w:t>“</w:t>
      </w:r>
      <w:r w:rsidRPr="00A562FF">
        <w:rPr>
          <w:rFonts w:asciiTheme="majorBidi" w:hAnsiTheme="majorBidi" w:cstheme="majorBidi"/>
        </w:rPr>
        <w:t>Interactions between medical plant-derived bioactive compounds: Focus on antimicrobial combination effects.</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Antibiotics</w:t>
      </w:r>
      <w:r w:rsidRPr="00A562FF">
        <w:rPr>
          <w:rFonts w:asciiTheme="majorBidi" w:hAnsiTheme="majorBidi" w:cstheme="majorBidi"/>
        </w:rPr>
        <w:t> </w:t>
      </w:r>
      <w:r w:rsidRPr="00A562FF">
        <w:rPr>
          <w:rFonts w:asciiTheme="majorBidi" w:hAnsiTheme="majorBidi" w:cstheme="majorBidi"/>
          <w:i/>
          <w:iCs/>
        </w:rPr>
        <w:t>11</w:t>
      </w:r>
      <w:r w:rsidR="00405C74">
        <w:rPr>
          <w:rFonts w:asciiTheme="majorBidi" w:hAnsiTheme="majorBidi" w:cstheme="majorBidi"/>
          <w:i/>
          <w:iCs/>
        </w:rPr>
        <w:t xml:space="preserve"> </w:t>
      </w:r>
      <w:r w:rsidRPr="00A562FF">
        <w:rPr>
          <w:rFonts w:asciiTheme="majorBidi" w:hAnsiTheme="majorBidi" w:cstheme="majorBidi"/>
        </w:rPr>
        <w:t xml:space="preserve">(8), 1014. </w:t>
      </w:r>
      <w:hyperlink r:id="rId52" w:history="1">
        <w:r w:rsidRPr="00A562FF">
          <w:rPr>
            <w:rStyle w:val="Hyperlink"/>
            <w:rFonts w:asciiTheme="majorBidi" w:hAnsiTheme="majorBidi" w:cstheme="majorBidi"/>
          </w:rPr>
          <w:t>https://doi.org/10.3390/antibiotics11081014</w:t>
        </w:r>
      </w:hyperlink>
    </w:p>
    <w:p w14:paraId="0AD4C073" w14:textId="056DAE46"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Wahyuni, D.K., </w:t>
      </w:r>
      <w:proofErr w:type="spellStart"/>
      <w:r w:rsidRPr="00A562FF">
        <w:rPr>
          <w:rFonts w:asciiTheme="majorBidi" w:hAnsiTheme="majorBidi" w:cstheme="majorBidi"/>
        </w:rPr>
        <w:t>Junairiah</w:t>
      </w:r>
      <w:proofErr w:type="spellEnd"/>
      <w:r w:rsidRPr="00A562FF">
        <w:rPr>
          <w:rFonts w:asciiTheme="majorBidi" w:hAnsiTheme="majorBidi" w:cstheme="majorBidi"/>
        </w:rPr>
        <w:t xml:space="preserve">, J., </w:t>
      </w:r>
      <w:proofErr w:type="spellStart"/>
      <w:r w:rsidRPr="00A562FF">
        <w:rPr>
          <w:rFonts w:asciiTheme="majorBidi" w:hAnsiTheme="majorBidi" w:cstheme="majorBidi"/>
        </w:rPr>
        <w:t>Rosyanti</w:t>
      </w:r>
      <w:proofErr w:type="spellEnd"/>
      <w:r w:rsidRPr="00A562FF">
        <w:rPr>
          <w:rFonts w:asciiTheme="majorBidi" w:hAnsiTheme="majorBidi" w:cstheme="majorBidi"/>
        </w:rPr>
        <w:t xml:space="preserve">, C., Kharisma, V.D., </w:t>
      </w:r>
      <w:proofErr w:type="spellStart"/>
      <w:r w:rsidRPr="00A562FF">
        <w:rPr>
          <w:rFonts w:asciiTheme="majorBidi" w:hAnsiTheme="majorBidi" w:cstheme="majorBidi"/>
        </w:rPr>
        <w:t>Syukriya</w:t>
      </w:r>
      <w:proofErr w:type="spellEnd"/>
      <w:r w:rsidRPr="00A562FF">
        <w:rPr>
          <w:rFonts w:asciiTheme="majorBidi" w:hAnsiTheme="majorBidi" w:cstheme="majorBidi"/>
        </w:rPr>
        <w:t xml:space="preserve">, A.J., Rahmawati, C.T., </w:t>
      </w:r>
      <w:proofErr w:type="spellStart"/>
      <w:r w:rsidRPr="00A562FF">
        <w:rPr>
          <w:rFonts w:asciiTheme="majorBidi" w:hAnsiTheme="majorBidi" w:cstheme="majorBidi"/>
        </w:rPr>
        <w:t>Purkan</w:t>
      </w:r>
      <w:proofErr w:type="spellEnd"/>
      <w:r w:rsidRPr="00A562FF">
        <w:rPr>
          <w:rFonts w:asciiTheme="majorBidi" w:hAnsiTheme="majorBidi" w:cstheme="majorBidi"/>
        </w:rPr>
        <w:t xml:space="preserve">, P., Subramaniam, S., </w:t>
      </w:r>
      <w:proofErr w:type="spellStart"/>
      <w:r w:rsidRPr="00A562FF">
        <w:rPr>
          <w:rFonts w:asciiTheme="majorBidi" w:hAnsiTheme="majorBidi" w:cstheme="majorBidi"/>
        </w:rPr>
        <w:t>Prasongsuk</w:t>
      </w:r>
      <w:proofErr w:type="spellEnd"/>
      <w:r w:rsidRPr="00A562FF">
        <w:rPr>
          <w:rFonts w:asciiTheme="majorBidi" w:hAnsiTheme="majorBidi" w:cstheme="majorBidi"/>
        </w:rPr>
        <w:t xml:space="preserve">, S., &amp; </w:t>
      </w:r>
      <w:proofErr w:type="spellStart"/>
      <w:r w:rsidRPr="00A562FF">
        <w:rPr>
          <w:rFonts w:asciiTheme="majorBidi" w:hAnsiTheme="majorBidi" w:cstheme="majorBidi"/>
        </w:rPr>
        <w:t>Purnobasuki</w:t>
      </w:r>
      <w:proofErr w:type="spellEnd"/>
      <w:r w:rsidRPr="00A562FF">
        <w:rPr>
          <w:rFonts w:asciiTheme="majorBidi" w:hAnsiTheme="majorBidi" w:cstheme="majorBidi"/>
        </w:rPr>
        <w:t xml:space="preserve">, H. (2024). </w:t>
      </w:r>
      <w:r w:rsidR="00405C74">
        <w:rPr>
          <w:rFonts w:asciiTheme="majorBidi" w:hAnsiTheme="majorBidi" w:cstheme="majorBidi"/>
        </w:rPr>
        <w:t>“</w:t>
      </w:r>
      <w:r w:rsidRPr="00A562FF">
        <w:rPr>
          <w:rFonts w:asciiTheme="majorBidi" w:hAnsiTheme="majorBidi" w:cstheme="majorBidi"/>
        </w:rPr>
        <w:t xml:space="preserve">Computational and in vitro analyses of the antibacterial effect of the ethanolic extract of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leaves.</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Biomed Rep</w:t>
      </w:r>
      <w:r w:rsidR="00405C74" w:rsidRPr="00405C74">
        <w:rPr>
          <w:rFonts w:asciiTheme="majorBidi" w:hAnsiTheme="majorBidi" w:cstheme="majorBidi"/>
          <w:i/>
          <w:iCs/>
        </w:rPr>
        <w:t>.</w:t>
      </w:r>
      <w:r w:rsidRPr="00A562FF">
        <w:rPr>
          <w:rFonts w:asciiTheme="majorBidi" w:hAnsiTheme="majorBidi" w:cstheme="majorBidi"/>
        </w:rPr>
        <w:t xml:space="preserve"> 21(4)</w:t>
      </w:r>
      <w:r w:rsidR="00405C74">
        <w:rPr>
          <w:rFonts w:asciiTheme="majorBidi" w:hAnsiTheme="majorBidi" w:cstheme="majorBidi"/>
        </w:rPr>
        <w:t>:</w:t>
      </w:r>
      <w:r w:rsidRPr="00A562FF">
        <w:rPr>
          <w:rFonts w:asciiTheme="majorBidi" w:hAnsiTheme="majorBidi" w:cstheme="majorBidi"/>
        </w:rPr>
        <w:t xml:space="preserve"> 137. </w:t>
      </w:r>
      <w:hyperlink r:id="rId53" w:history="1">
        <w:r w:rsidRPr="00A562FF">
          <w:rPr>
            <w:rStyle w:val="Hyperlink"/>
            <w:rFonts w:asciiTheme="majorBidi" w:hAnsiTheme="majorBidi" w:cstheme="majorBidi"/>
          </w:rPr>
          <w:t>https://doi.org/10.3892/br.2024.1825</w:t>
        </w:r>
      </w:hyperlink>
    </w:p>
    <w:p w14:paraId="1EE7C236" w14:textId="3B8C873E"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lastRenderedPageBreak/>
        <w:t xml:space="preserve">Wanita, D. (2018). </w:t>
      </w:r>
      <w:r w:rsidR="00405C74">
        <w:rPr>
          <w:rFonts w:asciiTheme="majorBidi" w:hAnsiTheme="majorBidi" w:cstheme="majorBidi"/>
        </w:rPr>
        <w:t>“</w:t>
      </w:r>
      <w:r w:rsidRPr="00A562FF">
        <w:rPr>
          <w:rFonts w:asciiTheme="majorBidi" w:hAnsiTheme="majorBidi" w:cstheme="majorBidi"/>
        </w:rPr>
        <w:t xml:space="preserve">Uji </w:t>
      </w:r>
      <w:proofErr w:type="spellStart"/>
      <w:r w:rsidRPr="00A562FF">
        <w:rPr>
          <w:rFonts w:asciiTheme="majorBidi" w:hAnsiTheme="majorBidi" w:cstheme="majorBidi"/>
        </w:rPr>
        <w:t>Aktivitas</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Antioksidan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Ekstrak</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Etanol</w:t>
      </w:r>
      <w:proofErr w:type="spellEnd"/>
      <w:r w:rsidRPr="00A562FF">
        <w:rPr>
          <w:rFonts w:asciiTheme="majorBidi" w:hAnsiTheme="majorBidi" w:cstheme="majorBidi"/>
        </w:rPr>
        <w:t xml:space="preserve"> Daun </w:t>
      </w:r>
      <w:r w:rsidR="002949E1" w:rsidRPr="002949E1">
        <w:rPr>
          <w:rFonts w:asciiTheme="majorBidi" w:hAnsiTheme="majorBidi" w:cstheme="majorBidi"/>
        </w:rPr>
        <w:t>P. indica</w:t>
      </w:r>
      <w:r w:rsidRPr="00A562FF">
        <w:rPr>
          <w:rFonts w:asciiTheme="majorBidi" w:hAnsiTheme="majorBidi" w:cstheme="majorBidi"/>
        </w:rPr>
        <w:t xml:space="preserve">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w:t>
      </w:r>
      <w:proofErr w:type="spellStart"/>
      <w:r w:rsidRPr="00A562FF">
        <w:rPr>
          <w:rFonts w:asciiTheme="majorBidi" w:hAnsiTheme="majorBidi" w:cstheme="majorBidi"/>
        </w:rPr>
        <w:t>Dengan</w:t>
      </w:r>
      <w:proofErr w:type="spellEnd"/>
      <w:r w:rsidRPr="00A562FF">
        <w:rPr>
          <w:rFonts w:asciiTheme="majorBidi" w:hAnsiTheme="majorBidi" w:cstheme="majorBidi"/>
        </w:rPr>
        <w:t xml:space="preserve"> Metode DPPH (2, 2-Difenil-1-Pikrilhidrazil).</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Indonesian Chemistry and Application Journal</w:t>
      </w:r>
      <w:r w:rsidRPr="00A562FF">
        <w:rPr>
          <w:rFonts w:asciiTheme="majorBidi" w:hAnsiTheme="majorBidi" w:cstheme="majorBidi"/>
        </w:rPr>
        <w:t> </w:t>
      </w:r>
      <w:r w:rsidRPr="00A562FF">
        <w:rPr>
          <w:rFonts w:asciiTheme="majorBidi" w:hAnsiTheme="majorBidi" w:cstheme="majorBidi"/>
          <w:i/>
          <w:iCs/>
        </w:rPr>
        <w:t>2</w:t>
      </w:r>
      <w:r w:rsidR="00405C74">
        <w:rPr>
          <w:rFonts w:asciiTheme="majorBidi" w:hAnsiTheme="majorBidi" w:cstheme="majorBidi"/>
          <w:i/>
          <w:iCs/>
        </w:rPr>
        <w:t xml:space="preserve"> </w:t>
      </w:r>
      <w:r w:rsidRPr="00A562FF">
        <w:rPr>
          <w:rFonts w:asciiTheme="majorBidi" w:hAnsiTheme="majorBidi" w:cstheme="majorBidi"/>
        </w:rPr>
        <w:t>(2)</w:t>
      </w:r>
      <w:r w:rsidR="00405C74">
        <w:rPr>
          <w:rFonts w:asciiTheme="majorBidi" w:hAnsiTheme="majorBidi" w:cstheme="majorBidi"/>
        </w:rPr>
        <w:t>:</w:t>
      </w:r>
      <w:r w:rsidRPr="00A562FF">
        <w:rPr>
          <w:rFonts w:asciiTheme="majorBidi" w:hAnsiTheme="majorBidi" w:cstheme="majorBidi"/>
        </w:rPr>
        <w:t xml:space="preserve"> 25-28. </w:t>
      </w:r>
      <w:hyperlink r:id="rId54" w:history="1">
        <w:r w:rsidRPr="00A562FF">
          <w:rPr>
            <w:rStyle w:val="Hyperlink"/>
            <w:rFonts w:asciiTheme="majorBidi" w:hAnsiTheme="majorBidi" w:cstheme="majorBidi"/>
          </w:rPr>
          <w:t>https://doi.org/10.26740/icaj.v2n2.p25-28</w:t>
        </w:r>
      </w:hyperlink>
    </w:p>
    <w:p w14:paraId="3C126191" w14:textId="4D7FE137" w:rsidR="00A562FF" w:rsidRPr="00A562FF" w:rsidRDefault="00A562FF" w:rsidP="0062331A">
      <w:pPr>
        <w:spacing w:after="0" w:line="240" w:lineRule="auto"/>
        <w:ind w:left="567" w:hanging="567"/>
        <w:jc w:val="both"/>
        <w:rPr>
          <w:rFonts w:asciiTheme="majorBidi" w:hAnsiTheme="majorBidi" w:cstheme="majorBidi"/>
          <w:lang w:val="id-ID"/>
        </w:rPr>
      </w:pPr>
      <w:r w:rsidRPr="00A562FF">
        <w:rPr>
          <w:rFonts w:asciiTheme="majorBidi" w:hAnsiTheme="majorBidi" w:cstheme="majorBidi"/>
          <w:lang w:val="id-ID"/>
        </w:rPr>
        <w:t xml:space="preserve">Winastri N.L.A.P, Muliasari H, &amp; Hidayati E. </w:t>
      </w:r>
      <w:r w:rsidR="00405C74">
        <w:rPr>
          <w:rFonts w:asciiTheme="majorBidi" w:hAnsiTheme="majorBidi" w:cstheme="majorBidi"/>
          <w:lang w:val="id-ID"/>
        </w:rPr>
        <w:t>(</w:t>
      </w:r>
      <w:r w:rsidRPr="00A562FF">
        <w:rPr>
          <w:rFonts w:asciiTheme="majorBidi" w:hAnsiTheme="majorBidi" w:cstheme="majorBidi"/>
          <w:lang w:val="id-ID"/>
        </w:rPr>
        <w:t>2020</w:t>
      </w:r>
      <w:r w:rsidR="00405C74">
        <w:rPr>
          <w:rFonts w:asciiTheme="majorBidi" w:hAnsiTheme="majorBidi" w:cstheme="majorBidi"/>
          <w:lang w:val="id-ID"/>
        </w:rPr>
        <w:t>)</w:t>
      </w:r>
      <w:r w:rsidRPr="00A562FF">
        <w:rPr>
          <w:rFonts w:asciiTheme="majorBidi" w:hAnsiTheme="majorBidi" w:cstheme="majorBidi"/>
          <w:lang w:val="id-ID"/>
        </w:rPr>
        <w:t xml:space="preserve">. </w:t>
      </w:r>
      <w:r w:rsidR="00405C74">
        <w:rPr>
          <w:rFonts w:asciiTheme="majorBidi" w:hAnsiTheme="majorBidi" w:cstheme="majorBidi"/>
          <w:lang w:val="id-ID"/>
        </w:rPr>
        <w:t>“</w:t>
      </w:r>
      <w:r w:rsidRPr="00A562FF">
        <w:rPr>
          <w:rFonts w:asciiTheme="majorBidi" w:hAnsiTheme="majorBidi" w:cstheme="majorBidi"/>
          <w:lang w:val="id-ID"/>
        </w:rPr>
        <w:t>Aktivitas antibakteri air perasan dan rebusan daun calincing (</w:t>
      </w:r>
      <w:r w:rsidRPr="00A562FF">
        <w:rPr>
          <w:rFonts w:asciiTheme="majorBidi" w:hAnsiTheme="majorBidi" w:cstheme="majorBidi"/>
          <w:i/>
          <w:iCs/>
          <w:lang w:val="id-ID"/>
        </w:rPr>
        <w:t>Oxalis corniculata</w:t>
      </w:r>
      <w:r w:rsidRPr="00A562FF">
        <w:rPr>
          <w:rFonts w:asciiTheme="majorBidi" w:hAnsiTheme="majorBidi" w:cstheme="majorBidi"/>
          <w:lang w:val="id-ID"/>
        </w:rPr>
        <w:t xml:space="preserve"> L.) terhadap </w:t>
      </w:r>
      <w:r w:rsidRPr="00A562FF">
        <w:rPr>
          <w:rFonts w:asciiTheme="majorBidi" w:hAnsiTheme="majorBidi" w:cstheme="majorBidi"/>
          <w:i/>
          <w:iCs/>
          <w:lang w:val="id-ID"/>
        </w:rPr>
        <w:t>Streptococcus mutans</w:t>
      </w:r>
      <w:r w:rsidRPr="00A562FF">
        <w:rPr>
          <w:rFonts w:asciiTheme="majorBidi" w:hAnsiTheme="majorBidi" w:cstheme="majorBidi"/>
          <w:lang w:val="id-ID"/>
        </w:rPr>
        <w:t>.</w:t>
      </w:r>
      <w:r w:rsidR="00405C74">
        <w:rPr>
          <w:rFonts w:asciiTheme="majorBidi" w:hAnsiTheme="majorBidi" w:cstheme="majorBidi"/>
          <w:lang w:val="id-ID"/>
        </w:rPr>
        <w:t>”</w:t>
      </w:r>
      <w:r w:rsidRPr="00A562FF">
        <w:rPr>
          <w:rFonts w:asciiTheme="majorBidi" w:hAnsiTheme="majorBidi" w:cstheme="majorBidi"/>
          <w:lang w:val="id-ID"/>
        </w:rPr>
        <w:t xml:space="preserve"> </w:t>
      </w:r>
      <w:r w:rsidRPr="00A562FF">
        <w:rPr>
          <w:rFonts w:asciiTheme="majorBidi" w:hAnsiTheme="majorBidi" w:cstheme="majorBidi"/>
          <w:i/>
          <w:iCs/>
          <w:lang w:val="id-ID"/>
        </w:rPr>
        <w:t>Berita Biologi</w:t>
      </w:r>
      <w:r w:rsidR="00405C74">
        <w:rPr>
          <w:rFonts w:asciiTheme="majorBidi" w:hAnsiTheme="majorBidi" w:cstheme="majorBidi"/>
          <w:i/>
          <w:iCs/>
          <w:lang w:val="id-ID"/>
        </w:rPr>
        <w:t xml:space="preserve"> </w:t>
      </w:r>
      <w:r w:rsidRPr="00A562FF">
        <w:rPr>
          <w:rFonts w:asciiTheme="majorBidi" w:hAnsiTheme="majorBidi" w:cstheme="majorBidi"/>
          <w:lang w:val="id-ID"/>
        </w:rPr>
        <w:t>19(2)</w:t>
      </w:r>
      <w:r w:rsidR="00405C74">
        <w:rPr>
          <w:rFonts w:asciiTheme="majorBidi" w:hAnsiTheme="majorBidi" w:cstheme="majorBidi"/>
          <w:lang w:val="id-ID"/>
        </w:rPr>
        <w:t>:</w:t>
      </w:r>
      <w:r w:rsidRPr="00A562FF">
        <w:rPr>
          <w:rFonts w:asciiTheme="majorBidi" w:hAnsiTheme="majorBidi" w:cstheme="majorBidi"/>
          <w:lang w:val="id-ID"/>
        </w:rPr>
        <w:t xml:space="preserve"> 223–230. </w:t>
      </w:r>
      <w:hyperlink r:id="rId55" w:history="1">
        <w:r w:rsidRPr="00A562FF">
          <w:rPr>
            <w:rStyle w:val="Hyperlink"/>
            <w:rFonts w:asciiTheme="majorBidi" w:hAnsiTheme="majorBidi" w:cstheme="majorBidi"/>
            <w:lang w:val="id-ID"/>
          </w:rPr>
          <w:t>http://dx.doi.org/10.14203/beritabiologi.v19i2.3786</w:t>
        </w:r>
      </w:hyperlink>
    </w:p>
    <w:p w14:paraId="2835CA40" w14:textId="1519E21A"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Xie, Y., Yang, W., Tang, F., Chen, X., &amp; Ren, L. (2015). </w:t>
      </w:r>
      <w:r w:rsidR="00405C74">
        <w:rPr>
          <w:rFonts w:asciiTheme="majorBidi" w:hAnsiTheme="majorBidi" w:cstheme="majorBidi"/>
        </w:rPr>
        <w:t>“</w:t>
      </w:r>
      <w:r w:rsidRPr="00A562FF">
        <w:rPr>
          <w:rFonts w:asciiTheme="majorBidi" w:hAnsiTheme="majorBidi" w:cstheme="majorBidi"/>
        </w:rPr>
        <w:t>Antibacterial activities of flavonoids: structure-activity relationship and mechanism.</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Curr Med Chem</w:t>
      </w:r>
      <w:r w:rsidR="00405C74">
        <w:rPr>
          <w:rFonts w:asciiTheme="majorBidi" w:hAnsiTheme="majorBidi" w:cstheme="majorBidi"/>
          <w:i/>
          <w:iCs/>
        </w:rPr>
        <w:t>.</w:t>
      </w:r>
      <w:r w:rsidRPr="00405C74">
        <w:rPr>
          <w:rFonts w:asciiTheme="majorBidi" w:hAnsiTheme="majorBidi" w:cstheme="majorBidi"/>
          <w:i/>
          <w:iCs/>
        </w:rPr>
        <w:t xml:space="preserve"> 22</w:t>
      </w:r>
      <w:r w:rsidR="00405C74">
        <w:rPr>
          <w:rFonts w:asciiTheme="majorBidi" w:hAnsiTheme="majorBidi" w:cstheme="majorBidi"/>
          <w:i/>
          <w:iCs/>
        </w:rPr>
        <w:t xml:space="preserve"> </w:t>
      </w:r>
      <w:r w:rsidRPr="00A562FF">
        <w:rPr>
          <w:rFonts w:asciiTheme="majorBidi" w:hAnsiTheme="majorBidi" w:cstheme="majorBidi"/>
        </w:rPr>
        <w:t>(1)</w:t>
      </w:r>
      <w:r w:rsidR="00405C74">
        <w:rPr>
          <w:rFonts w:asciiTheme="majorBidi" w:hAnsiTheme="majorBidi" w:cstheme="majorBidi"/>
        </w:rPr>
        <w:t>:</w:t>
      </w:r>
      <w:r w:rsidRPr="00A562FF">
        <w:rPr>
          <w:rFonts w:asciiTheme="majorBidi" w:hAnsiTheme="majorBidi" w:cstheme="majorBidi"/>
        </w:rPr>
        <w:t xml:space="preserve"> 132–149. </w:t>
      </w:r>
      <w:hyperlink r:id="rId56" w:history="1">
        <w:r w:rsidRPr="00A562FF">
          <w:rPr>
            <w:rStyle w:val="Hyperlink"/>
            <w:rFonts w:asciiTheme="majorBidi" w:hAnsiTheme="majorBidi" w:cstheme="majorBidi"/>
          </w:rPr>
          <w:t>https://doi.org/10.2174/0929867321666140916113443</w:t>
        </w:r>
      </w:hyperlink>
    </w:p>
    <w:p w14:paraId="329CB32C" w14:textId="1F0C60BD"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Yan, Y., Li, X., Zhang, C., </w:t>
      </w:r>
      <w:proofErr w:type="spellStart"/>
      <w:r w:rsidRPr="00A562FF">
        <w:rPr>
          <w:rFonts w:asciiTheme="majorBidi" w:hAnsiTheme="majorBidi" w:cstheme="majorBidi"/>
        </w:rPr>
        <w:t>Lv</w:t>
      </w:r>
      <w:proofErr w:type="spellEnd"/>
      <w:r w:rsidRPr="00A562FF">
        <w:rPr>
          <w:rFonts w:asciiTheme="majorBidi" w:hAnsiTheme="majorBidi" w:cstheme="majorBidi"/>
        </w:rPr>
        <w:t xml:space="preserve">, L., Gao, B., &amp; Li, M. (2021). </w:t>
      </w:r>
      <w:r w:rsidR="00405C74">
        <w:rPr>
          <w:rFonts w:asciiTheme="majorBidi" w:hAnsiTheme="majorBidi" w:cstheme="majorBidi"/>
        </w:rPr>
        <w:t>“</w:t>
      </w:r>
      <w:r w:rsidRPr="00A562FF">
        <w:rPr>
          <w:rFonts w:asciiTheme="majorBidi" w:hAnsiTheme="majorBidi" w:cstheme="majorBidi"/>
        </w:rPr>
        <w:t>Research Progress on Antibacterial Activities and Mechanisms of Natural Alkaloid: A Review.</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Antibiotics</w:t>
      </w:r>
      <w:r w:rsidRPr="00A562FF">
        <w:rPr>
          <w:rFonts w:asciiTheme="majorBidi" w:hAnsiTheme="majorBidi" w:cstheme="majorBidi"/>
        </w:rPr>
        <w:t xml:space="preserve"> 10</w:t>
      </w:r>
      <w:r w:rsidR="00405C74">
        <w:rPr>
          <w:rFonts w:asciiTheme="majorBidi" w:hAnsiTheme="majorBidi" w:cstheme="majorBidi"/>
        </w:rPr>
        <w:t xml:space="preserve"> </w:t>
      </w:r>
      <w:r w:rsidRPr="00A562FF">
        <w:rPr>
          <w:rFonts w:asciiTheme="majorBidi" w:hAnsiTheme="majorBidi" w:cstheme="majorBidi"/>
        </w:rPr>
        <w:t>(3)</w:t>
      </w:r>
      <w:r w:rsidR="00405C74">
        <w:rPr>
          <w:rFonts w:asciiTheme="majorBidi" w:hAnsiTheme="majorBidi" w:cstheme="majorBidi"/>
        </w:rPr>
        <w:t>:</w:t>
      </w:r>
      <w:r w:rsidRPr="00A562FF">
        <w:rPr>
          <w:rFonts w:asciiTheme="majorBidi" w:hAnsiTheme="majorBidi" w:cstheme="majorBidi"/>
        </w:rPr>
        <w:t xml:space="preserve"> 318. </w:t>
      </w:r>
      <w:hyperlink r:id="rId57" w:history="1">
        <w:r w:rsidRPr="00A562FF">
          <w:rPr>
            <w:rStyle w:val="Hyperlink"/>
            <w:rFonts w:asciiTheme="majorBidi" w:hAnsiTheme="majorBidi" w:cstheme="majorBidi"/>
          </w:rPr>
          <w:t>https://doi.org/10.3390/antibiotics10030318</w:t>
        </w:r>
      </w:hyperlink>
    </w:p>
    <w:p w14:paraId="4092621F" w14:textId="1DCD9BC0" w:rsidR="00A562FF" w:rsidRPr="00A562FF" w:rsidRDefault="00A562FF" w:rsidP="0062331A">
      <w:pPr>
        <w:spacing w:after="0" w:line="240" w:lineRule="auto"/>
        <w:ind w:left="567" w:hanging="567"/>
        <w:jc w:val="both"/>
        <w:rPr>
          <w:rFonts w:asciiTheme="majorBidi" w:hAnsiTheme="majorBidi" w:cstheme="majorBidi"/>
        </w:rPr>
      </w:pPr>
      <w:bookmarkStart w:id="3" w:name="_Hlk197985668"/>
      <w:r w:rsidRPr="00A562FF">
        <w:rPr>
          <w:rFonts w:asciiTheme="majorBidi" w:hAnsiTheme="majorBidi" w:cstheme="majorBidi"/>
        </w:rPr>
        <w:t xml:space="preserve">Yang, S., Zhang, Z., Li., J., Niu, Y., &amp; Yu, L.L. (2021). </w:t>
      </w:r>
      <w:r w:rsidR="00405C74">
        <w:rPr>
          <w:rFonts w:asciiTheme="majorBidi" w:hAnsiTheme="majorBidi" w:cstheme="majorBidi"/>
        </w:rPr>
        <w:t>“</w:t>
      </w:r>
      <w:r w:rsidRPr="00A562FF">
        <w:rPr>
          <w:rFonts w:asciiTheme="majorBidi" w:hAnsiTheme="majorBidi" w:cstheme="majorBidi"/>
        </w:rPr>
        <w:t>Inhibition Mechanism of L-Cysteine on Maillard Reaction by Trapping 5-Hydroxymethylfurfural.</w:t>
      </w:r>
      <w:r w:rsidR="00405C74">
        <w:rPr>
          <w:rFonts w:asciiTheme="majorBidi" w:hAnsiTheme="majorBidi" w:cstheme="majorBidi"/>
        </w:rPr>
        <w:t>”</w:t>
      </w:r>
      <w:r w:rsidRPr="00A562FF">
        <w:rPr>
          <w:rFonts w:asciiTheme="majorBidi" w:hAnsiTheme="majorBidi" w:cstheme="majorBidi"/>
          <w:i/>
          <w:iCs/>
        </w:rPr>
        <w:t xml:space="preserve"> Foods </w:t>
      </w:r>
      <w:r w:rsidRPr="00A562FF">
        <w:rPr>
          <w:rFonts w:asciiTheme="majorBidi" w:hAnsiTheme="majorBidi" w:cstheme="majorBidi"/>
        </w:rPr>
        <w:t>10</w:t>
      </w:r>
      <w:r w:rsidR="00405C74">
        <w:rPr>
          <w:rFonts w:asciiTheme="majorBidi" w:hAnsiTheme="majorBidi" w:cstheme="majorBidi"/>
        </w:rPr>
        <w:t xml:space="preserve"> </w:t>
      </w:r>
      <w:r w:rsidRPr="00A562FF">
        <w:rPr>
          <w:rFonts w:asciiTheme="majorBidi" w:hAnsiTheme="majorBidi" w:cstheme="majorBidi"/>
        </w:rPr>
        <w:t>(6)</w:t>
      </w:r>
      <w:r w:rsidR="00405C74">
        <w:rPr>
          <w:rFonts w:asciiTheme="majorBidi" w:hAnsiTheme="majorBidi" w:cstheme="majorBidi"/>
        </w:rPr>
        <w:t>:</w:t>
      </w:r>
      <w:r w:rsidRPr="00A562FF">
        <w:rPr>
          <w:rFonts w:asciiTheme="majorBidi" w:hAnsiTheme="majorBidi" w:cstheme="majorBidi"/>
        </w:rPr>
        <w:t xml:space="preserve"> 1391. </w:t>
      </w:r>
      <w:hyperlink r:id="rId58" w:history="1">
        <w:r w:rsidRPr="00A562FF">
          <w:rPr>
            <w:rStyle w:val="Hyperlink"/>
            <w:rFonts w:asciiTheme="majorBidi" w:hAnsiTheme="majorBidi" w:cstheme="majorBidi"/>
          </w:rPr>
          <w:t>https://doi.org/10.3390/foods10061391</w:t>
        </w:r>
      </w:hyperlink>
    </w:p>
    <w:bookmarkEnd w:id="3"/>
    <w:p w14:paraId="4ACB0F82" w14:textId="33906308"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Yasir, I., </w:t>
      </w:r>
      <w:proofErr w:type="spellStart"/>
      <w:r w:rsidRPr="00A562FF">
        <w:rPr>
          <w:rFonts w:asciiTheme="majorBidi" w:hAnsiTheme="majorBidi" w:cstheme="majorBidi"/>
        </w:rPr>
        <w:t>Tresnati</w:t>
      </w:r>
      <w:proofErr w:type="spellEnd"/>
      <w:r w:rsidRPr="00A562FF">
        <w:rPr>
          <w:rFonts w:asciiTheme="majorBidi" w:hAnsiTheme="majorBidi" w:cstheme="majorBidi"/>
        </w:rPr>
        <w:t xml:space="preserve">, J., </w:t>
      </w:r>
      <w:proofErr w:type="spellStart"/>
      <w:r w:rsidRPr="00A562FF">
        <w:rPr>
          <w:rFonts w:asciiTheme="majorBidi" w:hAnsiTheme="majorBidi" w:cstheme="majorBidi"/>
        </w:rPr>
        <w:t>Aprianto</w:t>
      </w:r>
      <w:proofErr w:type="spellEnd"/>
      <w:r w:rsidRPr="00A562FF">
        <w:rPr>
          <w:rFonts w:asciiTheme="majorBidi" w:hAnsiTheme="majorBidi" w:cstheme="majorBidi"/>
        </w:rPr>
        <w:t xml:space="preserve">, R., Yanti, A., Bestari, A.D &amp; </w:t>
      </w:r>
      <w:proofErr w:type="spellStart"/>
      <w:r w:rsidRPr="00A562FF">
        <w:rPr>
          <w:rFonts w:asciiTheme="majorBidi" w:hAnsiTheme="majorBidi" w:cstheme="majorBidi"/>
        </w:rPr>
        <w:t>Tuwo</w:t>
      </w:r>
      <w:proofErr w:type="spellEnd"/>
      <w:r w:rsidRPr="00A562FF">
        <w:rPr>
          <w:rFonts w:asciiTheme="majorBidi" w:hAnsiTheme="majorBidi" w:cstheme="majorBidi"/>
        </w:rPr>
        <w:t xml:space="preserve">, A. (2021). </w:t>
      </w:r>
      <w:r w:rsidR="00405C74">
        <w:rPr>
          <w:rFonts w:asciiTheme="majorBidi" w:hAnsiTheme="majorBidi" w:cstheme="majorBidi"/>
        </w:rPr>
        <w:t>“</w:t>
      </w:r>
      <w:r w:rsidRPr="00A562FF">
        <w:rPr>
          <w:rFonts w:asciiTheme="majorBidi" w:hAnsiTheme="majorBidi" w:cstheme="majorBidi"/>
        </w:rPr>
        <w:t xml:space="preserve">Effect of different doses of saponins and salinity on giant tiger prawn Penaeus monodon and Nile tilapia </w:t>
      </w:r>
      <w:r w:rsidRPr="00190A15">
        <w:rPr>
          <w:rFonts w:asciiTheme="majorBidi" w:hAnsiTheme="majorBidi" w:cstheme="majorBidi"/>
          <w:i/>
          <w:iCs/>
        </w:rPr>
        <w:t>Oreochromis niloticus</w:t>
      </w:r>
      <w:r w:rsidR="00190A15">
        <w:rPr>
          <w:rFonts w:asciiTheme="majorBidi" w:hAnsiTheme="majorBidi" w:cstheme="majorBidi"/>
        </w:rPr>
        <w:t>”</w:t>
      </w:r>
      <w:r w:rsidRPr="00A562FF">
        <w:rPr>
          <w:rFonts w:asciiTheme="majorBidi" w:hAnsiTheme="majorBidi" w:cstheme="majorBidi"/>
        </w:rPr>
        <w:t xml:space="preserve">. </w:t>
      </w:r>
      <w:r w:rsidRPr="00190A15">
        <w:rPr>
          <w:rFonts w:asciiTheme="majorBidi" w:hAnsiTheme="majorBidi" w:cstheme="majorBidi"/>
          <w:i/>
          <w:iCs/>
        </w:rPr>
        <w:t>IOP Conf. Ser.: Earth Environ. Sci.</w:t>
      </w:r>
      <w:r w:rsidRPr="00A562FF">
        <w:rPr>
          <w:rFonts w:asciiTheme="majorBidi" w:hAnsiTheme="majorBidi" w:cstheme="majorBidi"/>
        </w:rPr>
        <w:t xml:space="preserve"> 763</w:t>
      </w:r>
      <w:r w:rsidR="00190A15">
        <w:rPr>
          <w:rFonts w:asciiTheme="majorBidi" w:hAnsiTheme="majorBidi" w:cstheme="majorBidi"/>
        </w:rPr>
        <w:t>:</w:t>
      </w:r>
      <w:r w:rsidRPr="00A562FF">
        <w:rPr>
          <w:rFonts w:asciiTheme="majorBidi" w:hAnsiTheme="majorBidi" w:cstheme="majorBidi"/>
        </w:rPr>
        <w:t xml:space="preserve"> 012021. </w:t>
      </w:r>
      <w:hyperlink r:id="rId59" w:history="1">
        <w:r w:rsidRPr="00A562FF">
          <w:rPr>
            <w:rStyle w:val="Hyperlink"/>
            <w:rFonts w:asciiTheme="majorBidi" w:hAnsiTheme="majorBidi" w:cstheme="majorBidi"/>
          </w:rPr>
          <w:t>https://doi.org/10.1088/1755-1315/763/1/012021</w:t>
        </w:r>
      </w:hyperlink>
      <w:r w:rsidRPr="00A562FF">
        <w:rPr>
          <w:rFonts w:asciiTheme="majorBidi" w:hAnsiTheme="majorBidi" w:cstheme="majorBidi"/>
        </w:rPr>
        <w:t>.</w:t>
      </w:r>
    </w:p>
    <w:p w14:paraId="6B1EDCAB" w14:textId="1B426ABB"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Yunita</w:t>
      </w:r>
      <w:proofErr w:type="spellEnd"/>
      <w:r w:rsidRPr="00A562FF">
        <w:rPr>
          <w:rFonts w:asciiTheme="majorBidi" w:hAnsiTheme="majorBidi" w:cstheme="majorBidi"/>
        </w:rPr>
        <w:t xml:space="preserve">, M., </w:t>
      </w:r>
      <w:proofErr w:type="spellStart"/>
      <w:r w:rsidRPr="00A562FF">
        <w:rPr>
          <w:rFonts w:asciiTheme="majorBidi" w:hAnsiTheme="majorBidi" w:cstheme="majorBidi"/>
        </w:rPr>
        <w:t>Ohiwal</w:t>
      </w:r>
      <w:proofErr w:type="spellEnd"/>
      <w:r w:rsidRPr="00A562FF">
        <w:rPr>
          <w:rFonts w:asciiTheme="majorBidi" w:hAnsiTheme="majorBidi" w:cstheme="majorBidi"/>
        </w:rPr>
        <w:t xml:space="preserve">, M., </w:t>
      </w:r>
      <w:proofErr w:type="spellStart"/>
      <w:r w:rsidRPr="00A562FF">
        <w:rPr>
          <w:rFonts w:asciiTheme="majorBidi" w:hAnsiTheme="majorBidi" w:cstheme="majorBidi"/>
        </w:rPr>
        <w:t>Elfitrasya</w:t>
      </w:r>
      <w:proofErr w:type="spellEnd"/>
      <w:r w:rsidRPr="00A562FF">
        <w:rPr>
          <w:rFonts w:asciiTheme="majorBidi" w:hAnsiTheme="majorBidi" w:cstheme="majorBidi"/>
        </w:rPr>
        <w:t xml:space="preserve">, M. Z., &amp; </w:t>
      </w:r>
      <w:proofErr w:type="spellStart"/>
      <w:r w:rsidRPr="00A562FF">
        <w:rPr>
          <w:rFonts w:asciiTheme="majorBidi" w:hAnsiTheme="majorBidi" w:cstheme="majorBidi"/>
        </w:rPr>
        <w:t>Rahawarin</w:t>
      </w:r>
      <w:proofErr w:type="spellEnd"/>
      <w:r w:rsidRPr="00A562FF">
        <w:rPr>
          <w:rFonts w:asciiTheme="majorBidi" w:hAnsiTheme="majorBidi" w:cstheme="majorBidi"/>
        </w:rPr>
        <w:t xml:space="preserve">, H. (2023). </w:t>
      </w:r>
      <w:r w:rsidR="00190A15">
        <w:rPr>
          <w:rFonts w:asciiTheme="majorBidi" w:hAnsiTheme="majorBidi" w:cstheme="majorBidi"/>
        </w:rPr>
        <w:t>“</w:t>
      </w:r>
      <w:r w:rsidRPr="00A562FF">
        <w:rPr>
          <w:rFonts w:asciiTheme="majorBidi" w:hAnsiTheme="majorBidi" w:cstheme="majorBidi"/>
        </w:rPr>
        <w:t xml:space="preserve">Antibacterial activity of </w:t>
      </w:r>
      <w:proofErr w:type="spellStart"/>
      <w:r w:rsidRPr="00A562FF">
        <w:rPr>
          <w:rFonts w:asciiTheme="majorBidi" w:hAnsiTheme="majorBidi" w:cstheme="majorBidi"/>
        </w:rPr>
        <w:t>Paederia</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foetida</w:t>
      </w:r>
      <w:proofErr w:type="spellEnd"/>
      <w:r w:rsidRPr="00A562FF">
        <w:rPr>
          <w:rFonts w:asciiTheme="majorBidi" w:hAnsiTheme="majorBidi" w:cstheme="majorBidi"/>
        </w:rPr>
        <w:t xml:space="preserve"> leaves using two different extraction procedures against pathogenic bacteria</w:t>
      </w:r>
      <w:r w:rsidR="00190A15">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Biodiversitas</w:t>
      </w:r>
      <w:proofErr w:type="spellEnd"/>
      <w:r w:rsidRPr="00A562FF">
        <w:rPr>
          <w:rFonts w:asciiTheme="majorBidi" w:hAnsiTheme="majorBidi" w:cstheme="majorBidi"/>
          <w:i/>
          <w:iCs/>
        </w:rPr>
        <w:t xml:space="preserve"> Journal of Biological Diversity</w:t>
      </w:r>
      <w:r w:rsidRPr="00A562FF">
        <w:rPr>
          <w:rFonts w:asciiTheme="majorBidi" w:hAnsiTheme="majorBidi" w:cstheme="majorBidi"/>
        </w:rPr>
        <w:t> </w:t>
      </w:r>
      <w:r w:rsidRPr="00A562FF">
        <w:rPr>
          <w:rFonts w:asciiTheme="majorBidi" w:hAnsiTheme="majorBidi" w:cstheme="majorBidi"/>
          <w:i/>
          <w:iCs/>
        </w:rPr>
        <w:t>24</w:t>
      </w:r>
      <w:r w:rsidRPr="00A562FF">
        <w:rPr>
          <w:rFonts w:asciiTheme="majorBidi" w:hAnsiTheme="majorBidi" w:cstheme="majorBidi"/>
        </w:rPr>
        <w:t>(11)</w:t>
      </w:r>
      <w:r w:rsidR="00190A15">
        <w:rPr>
          <w:rFonts w:asciiTheme="majorBidi" w:hAnsiTheme="majorBidi" w:cstheme="majorBidi"/>
        </w:rPr>
        <w:t>:</w:t>
      </w:r>
      <w:r w:rsidRPr="00A562FF">
        <w:rPr>
          <w:rFonts w:asciiTheme="majorBidi" w:hAnsiTheme="majorBidi" w:cstheme="majorBidi"/>
        </w:rPr>
        <w:t xml:space="preserve"> 5920–27. </w:t>
      </w:r>
      <w:hyperlink r:id="rId60" w:history="1">
        <w:r w:rsidRPr="00A562FF">
          <w:rPr>
            <w:rStyle w:val="Hyperlink"/>
            <w:rFonts w:asciiTheme="majorBidi" w:hAnsiTheme="majorBidi" w:cstheme="majorBidi"/>
          </w:rPr>
          <w:t>https://doi.org/10.13057/biodiv/d241110</w:t>
        </w:r>
      </w:hyperlink>
    </w:p>
    <w:p w14:paraId="1A048249" w14:textId="038D2969"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Zhang Q., Lyu Y., Huang J., Zhang X., Yu N., Wen Z., &amp; Chen S. (2020). </w:t>
      </w:r>
      <w:r w:rsidR="00190A15">
        <w:rPr>
          <w:rFonts w:asciiTheme="majorBidi" w:hAnsiTheme="majorBidi" w:cstheme="majorBidi"/>
        </w:rPr>
        <w:t>“</w:t>
      </w:r>
      <w:r w:rsidRPr="00A562FF">
        <w:rPr>
          <w:rFonts w:asciiTheme="majorBidi" w:hAnsiTheme="majorBidi" w:cstheme="majorBidi"/>
        </w:rPr>
        <w:t xml:space="preserve">Antibacterial activity and mechanism of sanguinarine against Providencia </w:t>
      </w:r>
      <w:proofErr w:type="spellStart"/>
      <w:r w:rsidRPr="00A562FF">
        <w:rPr>
          <w:rFonts w:asciiTheme="majorBidi" w:hAnsiTheme="majorBidi" w:cstheme="majorBidi"/>
        </w:rPr>
        <w:t>rettgeri</w:t>
      </w:r>
      <w:proofErr w:type="spellEnd"/>
      <w:r w:rsidRPr="00A562FF">
        <w:rPr>
          <w:rFonts w:asciiTheme="majorBidi" w:hAnsiTheme="majorBidi" w:cstheme="majorBidi"/>
        </w:rPr>
        <w:t xml:space="preserve"> in vitro</w:t>
      </w:r>
      <w:r w:rsidR="00190A15">
        <w:rPr>
          <w:rFonts w:asciiTheme="majorBidi" w:hAnsiTheme="majorBidi" w:cstheme="majorBidi"/>
        </w:rPr>
        <w:t>”</w:t>
      </w:r>
      <w:r w:rsidRPr="00A562FF">
        <w:rPr>
          <w:rFonts w:asciiTheme="majorBidi" w:hAnsiTheme="majorBidi" w:cstheme="majorBidi"/>
        </w:rPr>
        <w:t xml:space="preserve">. </w:t>
      </w:r>
      <w:proofErr w:type="spellStart"/>
      <w:r w:rsidRPr="00A562FF">
        <w:rPr>
          <w:rFonts w:asciiTheme="majorBidi" w:hAnsiTheme="majorBidi" w:cstheme="majorBidi"/>
        </w:rPr>
        <w:t>PeerJ</w:t>
      </w:r>
      <w:proofErr w:type="spellEnd"/>
      <w:r w:rsidRPr="00A562FF">
        <w:rPr>
          <w:rFonts w:asciiTheme="majorBidi" w:hAnsiTheme="majorBidi" w:cstheme="majorBidi"/>
        </w:rPr>
        <w:t xml:space="preserve">. 8, e9543. </w:t>
      </w:r>
      <w:hyperlink r:id="rId61" w:history="1">
        <w:r w:rsidRPr="00A562FF">
          <w:rPr>
            <w:rStyle w:val="Hyperlink"/>
            <w:rFonts w:asciiTheme="majorBidi" w:hAnsiTheme="majorBidi" w:cstheme="majorBidi"/>
          </w:rPr>
          <w:t>https://doi.org/10.7717/peerj.9543</w:t>
        </w:r>
      </w:hyperlink>
    </w:p>
    <w:p w14:paraId="3A06EF3B" w14:textId="3C8556AD"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Zhang, X., Gong, H., Chen, P., Wang, J., Chen, Z., Chang, Z., &amp; Li, J. (2024). Effects of Tannin Supplementation in Diet on the Resistance to Ammonia Stress of Pacific White Shrimp </w:t>
      </w:r>
      <w:proofErr w:type="spellStart"/>
      <w:r w:rsidRPr="00A562FF">
        <w:rPr>
          <w:rFonts w:asciiTheme="majorBidi" w:hAnsiTheme="majorBidi" w:cstheme="majorBidi"/>
        </w:rPr>
        <w:t>Litopenaeus</w:t>
      </w:r>
      <w:proofErr w:type="spellEnd"/>
      <w:r w:rsidRPr="00A562FF">
        <w:rPr>
          <w:rFonts w:asciiTheme="majorBidi" w:hAnsiTheme="majorBidi" w:cstheme="majorBidi"/>
        </w:rPr>
        <w:t xml:space="preserve"> </w:t>
      </w:r>
      <w:proofErr w:type="spellStart"/>
      <w:r w:rsidR="00C47D5C" w:rsidRPr="00C47D5C">
        <w:rPr>
          <w:rFonts w:asciiTheme="majorBidi" w:hAnsiTheme="majorBidi" w:cstheme="majorBidi"/>
        </w:rPr>
        <w:t>whiteleg</w:t>
      </w:r>
      <w:r w:rsidRPr="00A562FF">
        <w:rPr>
          <w:rFonts w:asciiTheme="majorBidi" w:hAnsiTheme="majorBidi" w:cstheme="majorBidi"/>
        </w:rPr>
        <w:t>i</w:t>
      </w:r>
      <w:proofErr w:type="spellEnd"/>
      <w:r w:rsidRPr="00A562FF">
        <w:rPr>
          <w:rFonts w:asciiTheme="majorBidi" w:hAnsiTheme="majorBidi" w:cstheme="majorBidi"/>
        </w:rPr>
        <w:t>. </w:t>
      </w:r>
      <w:r w:rsidRPr="00A562FF">
        <w:rPr>
          <w:rFonts w:asciiTheme="majorBidi" w:hAnsiTheme="majorBidi" w:cstheme="majorBidi"/>
          <w:i/>
          <w:iCs/>
        </w:rPr>
        <w:t>Aquaculture Nutrition</w:t>
      </w:r>
      <w:r w:rsidRPr="00A562FF">
        <w:rPr>
          <w:rFonts w:asciiTheme="majorBidi" w:hAnsiTheme="majorBidi" w:cstheme="majorBidi"/>
        </w:rPr>
        <w:t>, </w:t>
      </w:r>
      <w:r w:rsidRPr="00A562FF">
        <w:rPr>
          <w:rFonts w:asciiTheme="majorBidi" w:hAnsiTheme="majorBidi" w:cstheme="majorBidi"/>
          <w:i/>
          <w:iCs/>
        </w:rPr>
        <w:t>2024</w:t>
      </w:r>
      <w:r w:rsidRPr="00A562FF">
        <w:rPr>
          <w:rFonts w:asciiTheme="majorBidi" w:hAnsiTheme="majorBidi" w:cstheme="majorBidi"/>
        </w:rPr>
        <w:t xml:space="preserve">(1), 5539701. </w:t>
      </w:r>
      <w:hyperlink r:id="rId62" w:history="1">
        <w:r w:rsidRPr="00A562FF">
          <w:rPr>
            <w:rStyle w:val="Hyperlink"/>
            <w:rFonts w:asciiTheme="majorBidi" w:hAnsiTheme="majorBidi" w:cstheme="majorBidi"/>
          </w:rPr>
          <w:t>https://doi.org/10.1155/2024/5539701</w:t>
        </w:r>
      </w:hyperlink>
    </w:p>
    <w:p w14:paraId="05633F93" w14:textId="77777777" w:rsidR="0062331A" w:rsidRPr="0062331A" w:rsidRDefault="0062331A" w:rsidP="00D54049">
      <w:pPr>
        <w:spacing w:line="240" w:lineRule="auto"/>
        <w:jc w:val="both"/>
        <w:rPr>
          <w:rFonts w:ascii="Times New Roman" w:hAnsi="Times New Roman" w:cs="Times New Roman"/>
        </w:rPr>
      </w:pPr>
    </w:p>
    <w:sectPr w:rsidR="0062331A" w:rsidRPr="0062331A" w:rsidSect="00A562FF">
      <w:headerReference w:type="even" r:id="rId63"/>
      <w:headerReference w:type="default" r:id="rId64"/>
      <w:footerReference w:type="even" r:id="rId65"/>
      <w:footerReference w:type="default" r:id="rId66"/>
      <w:headerReference w:type="first" r:id="rId67"/>
      <w:footerReference w:type="first" r:id="rId6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5CBC" w14:textId="77777777" w:rsidR="003F7670" w:rsidRDefault="003F7670" w:rsidP="00AC0F6C">
      <w:pPr>
        <w:spacing w:after="0" w:line="240" w:lineRule="auto"/>
      </w:pPr>
      <w:r>
        <w:separator/>
      </w:r>
    </w:p>
  </w:endnote>
  <w:endnote w:type="continuationSeparator" w:id="0">
    <w:p w14:paraId="258C1AEC" w14:textId="77777777" w:rsidR="003F7670" w:rsidRDefault="003F7670" w:rsidP="00AC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4755" w14:textId="77777777" w:rsidR="00AC0F6C" w:rsidRDefault="00AC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5D4E" w14:textId="77777777" w:rsidR="00AC0F6C" w:rsidRDefault="00AC0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6251" w14:textId="77777777" w:rsidR="00AC0F6C" w:rsidRDefault="00AC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A5F0C" w14:textId="77777777" w:rsidR="003F7670" w:rsidRDefault="003F7670" w:rsidP="00AC0F6C">
      <w:pPr>
        <w:spacing w:after="0" w:line="240" w:lineRule="auto"/>
      </w:pPr>
      <w:r>
        <w:separator/>
      </w:r>
    </w:p>
  </w:footnote>
  <w:footnote w:type="continuationSeparator" w:id="0">
    <w:p w14:paraId="75C1072B" w14:textId="77777777" w:rsidR="003F7670" w:rsidRDefault="003F7670" w:rsidP="00AC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792D" w14:textId="15417A71" w:rsidR="00AC0F6C" w:rsidRDefault="00000000">
    <w:pPr>
      <w:pStyle w:val="Header"/>
    </w:pPr>
    <w:r>
      <w:rPr>
        <w:noProof/>
      </w:rPr>
      <w:pict w14:anchorId="09A18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50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67C1" w14:textId="1CCEC098" w:rsidR="00AC0F6C" w:rsidRDefault="00000000">
    <w:pPr>
      <w:pStyle w:val="Header"/>
    </w:pPr>
    <w:r>
      <w:rPr>
        <w:noProof/>
      </w:rPr>
      <w:pict w14:anchorId="2B48A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50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B926" w14:textId="7589C614" w:rsidR="00AC0F6C" w:rsidRDefault="00000000">
    <w:pPr>
      <w:pStyle w:val="Header"/>
    </w:pPr>
    <w:r>
      <w:rPr>
        <w:noProof/>
      </w:rPr>
      <w:pict w14:anchorId="24233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50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55"/>
    <w:rsid w:val="00027AF0"/>
    <w:rsid w:val="00044F05"/>
    <w:rsid w:val="00045477"/>
    <w:rsid w:val="00063CD6"/>
    <w:rsid w:val="00073A64"/>
    <w:rsid w:val="00073D5C"/>
    <w:rsid w:val="00075D24"/>
    <w:rsid w:val="000B3555"/>
    <w:rsid w:val="000C04F5"/>
    <w:rsid w:val="00131BF6"/>
    <w:rsid w:val="00133346"/>
    <w:rsid w:val="001579F8"/>
    <w:rsid w:val="00190A15"/>
    <w:rsid w:val="002073E2"/>
    <w:rsid w:val="00207F2D"/>
    <w:rsid w:val="002319A3"/>
    <w:rsid w:val="002379FC"/>
    <w:rsid w:val="0025323D"/>
    <w:rsid w:val="00282EDF"/>
    <w:rsid w:val="00283D99"/>
    <w:rsid w:val="002949E1"/>
    <w:rsid w:val="00332397"/>
    <w:rsid w:val="00335639"/>
    <w:rsid w:val="0034356E"/>
    <w:rsid w:val="003516EF"/>
    <w:rsid w:val="00361A7C"/>
    <w:rsid w:val="003A7F6E"/>
    <w:rsid w:val="003D7BD9"/>
    <w:rsid w:val="003F5524"/>
    <w:rsid w:val="003F7670"/>
    <w:rsid w:val="00405C74"/>
    <w:rsid w:val="004443FF"/>
    <w:rsid w:val="00446644"/>
    <w:rsid w:val="00454D49"/>
    <w:rsid w:val="00464AA6"/>
    <w:rsid w:val="00494780"/>
    <w:rsid w:val="004D641C"/>
    <w:rsid w:val="004F20A7"/>
    <w:rsid w:val="004F75E1"/>
    <w:rsid w:val="005025AB"/>
    <w:rsid w:val="00525FFE"/>
    <w:rsid w:val="005349BA"/>
    <w:rsid w:val="005355F7"/>
    <w:rsid w:val="00593C3C"/>
    <w:rsid w:val="005B5C02"/>
    <w:rsid w:val="005F60DC"/>
    <w:rsid w:val="0062331A"/>
    <w:rsid w:val="00656E04"/>
    <w:rsid w:val="00663122"/>
    <w:rsid w:val="006D3D6A"/>
    <w:rsid w:val="006E31F0"/>
    <w:rsid w:val="006E6156"/>
    <w:rsid w:val="006F60BA"/>
    <w:rsid w:val="00732512"/>
    <w:rsid w:val="00743CE6"/>
    <w:rsid w:val="007515DA"/>
    <w:rsid w:val="00752E51"/>
    <w:rsid w:val="00777B5A"/>
    <w:rsid w:val="007B4AE7"/>
    <w:rsid w:val="007E7821"/>
    <w:rsid w:val="007F2367"/>
    <w:rsid w:val="00837458"/>
    <w:rsid w:val="00845CF1"/>
    <w:rsid w:val="008767C3"/>
    <w:rsid w:val="008B3724"/>
    <w:rsid w:val="0091502B"/>
    <w:rsid w:val="00917FD0"/>
    <w:rsid w:val="00923D23"/>
    <w:rsid w:val="00983135"/>
    <w:rsid w:val="009A334C"/>
    <w:rsid w:val="009B1802"/>
    <w:rsid w:val="009F7E92"/>
    <w:rsid w:val="00A106B7"/>
    <w:rsid w:val="00A562FF"/>
    <w:rsid w:val="00A62222"/>
    <w:rsid w:val="00A67ADA"/>
    <w:rsid w:val="00A83FAD"/>
    <w:rsid w:val="00A85303"/>
    <w:rsid w:val="00A96217"/>
    <w:rsid w:val="00AA6711"/>
    <w:rsid w:val="00AA6719"/>
    <w:rsid w:val="00AC0F6C"/>
    <w:rsid w:val="00AD08FD"/>
    <w:rsid w:val="00B15E60"/>
    <w:rsid w:val="00B17ADD"/>
    <w:rsid w:val="00B20A7F"/>
    <w:rsid w:val="00B4259C"/>
    <w:rsid w:val="00B62C84"/>
    <w:rsid w:val="00B636E3"/>
    <w:rsid w:val="00B97FBB"/>
    <w:rsid w:val="00BB1B8E"/>
    <w:rsid w:val="00BC100B"/>
    <w:rsid w:val="00BD4EA4"/>
    <w:rsid w:val="00C47D5C"/>
    <w:rsid w:val="00C52C9B"/>
    <w:rsid w:val="00C64941"/>
    <w:rsid w:val="00C6605D"/>
    <w:rsid w:val="00C80D32"/>
    <w:rsid w:val="00C8748E"/>
    <w:rsid w:val="00C97323"/>
    <w:rsid w:val="00CA6CB3"/>
    <w:rsid w:val="00CE1F1D"/>
    <w:rsid w:val="00CE3DC8"/>
    <w:rsid w:val="00CF2C11"/>
    <w:rsid w:val="00D00950"/>
    <w:rsid w:val="00D00A6E"/>
    <w:rsid w:val="00D26250"/>
    <w:rsid w:val="00D475C2"/>
    <w:rsid w:val="00D47A60"/>
    <w:rsid w:val="00D54049"/>
    <w:rsid w:val="00D93850"/>
    <w:rsid w:val="00DD07CE"/>
    <w:rsid w:val="00E00259"/>
    <w:rsid w:val="00E35C8C"/>
    <w:rsid w:val="00E57BBA"/>
    <w:rsid w:val="00E76CF5"/>
    <w:rsid w:val="00EA4FD4"/>
    <w:rsid w:val="00EC3DFC"/>
    <w:rsid w:val="00EC4EC7"/>
    <w:rsid w:val="00EF14F9"/>
    <w:rsid w:val="00F1596B"/>
    <w:rsid w:val="00F82F80"/>
    <w:rsid w:val="00FB7AB7"/>
    <w:rsid w:val="00FD0197"/>
    <w:rsid w:val="00FE2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7AF4"/>
  <w15:chartTrackingRefBased/>
  <w15:docId w15:val="{4F15B038-5D0B-450E-966E-02820FBB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55"/>
  </w:style>
  <w:style w:type="paragraph" w:styleId="Heading1">
    <w:name w:val="heading 1"/>
    <w:basedOn w:val="Normal"/>
    <w:next w:val="Normal"/>
    <w:link w:val="Heading1Char"/>
    <w:uiPriority w:val="9"/>
    <w:qFormat/>
    <w:rsid w:val="000B3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5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5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5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5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5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5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5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5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555"/>
    <w:rPr>
      <w:rFonts w:eastAsiaTheme="majorEastAsia" w:cstheme="majorBidi"/>
      <w:color w:val="272727" w:themeColor="text1" w:themeTint="D8"/>
    </w:rPr>
  </w:style>
  <w:style w:type="paragraph" w:styleId="Title">
    <w:name w:val="Title"/>
    <w:basedOn w:val="Normal"/>
    <w:next w:val="Normal"/>
    <w:link w:val="TitleChar"/>
    <w:uiPriority w:val="10"/>
    <w:qFormat/>
    <w:rsid w:val="000B3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555"/>
    <w:pPr>
      <w:spacing w:before="160"/>
      <w:jc w:val="center"/>
    </w:pPr>
    <w:rPr>
      <w:i/>
      <w:iCs/>
      <w:color w:val="404040" w:themeColor="text1" w:themeTint="BF"/>
    </w:rPr>
  </w:style>
  <w:style w:type="character" w:customStyle="1" w:styleId="QuoteChar">
    <w:name w:val="Quote Char"/>
    <w:basedOn w:val="DefaultParagraphFont"/>
    <w:link w:val="Quote"/>
    <w:uiPriority w:val="29"/>
    <w:rsid w:val="000B3555"/>
    <w:rPr>
      <w:i/>
      <w:iCs/>
      <w:color w:val="404040" w:themeColor="text1" w:themeTint="BF"/>
    </w:rPr>
  </w:style>
  <w:style w:type="paragraph" w:styleId="ListParagraph">
    <w:name w:val="List Paragraph"/>
    <w:basedOn w:val="Normal"/>
    <w:uiPriority w:val="34"/>
    <w:qFormat/>
    <w:rsid w:val="000B3555"/>
    <w:pPr>
      <w:ind w:left="720"/>
      <w:contextualSpacing/>
    </w:pPr>
  </w:style>
  <w:style w:type="character" w:styleId="IntenseEmphasis">
    <w:name w:val="Intense Emphasis"/>
    <w:basedOn w:val="DefaultParagraphFont"/>
    <w:uiPriority w:val="21"/>
    <w:qFormat/>
    <w:rsid w:val="000B3555"/>
    <w:rPr>
      <w:i/>
      <w:iCs/>
      <w:color w:val="2F5496" w:themeColor="accent1" w:themeShade="BF"/>
    </w:rPr>
  </w:style>
  <w:style w:type="paragraph" w:styleId="IntenseQuote">
    <w:name w:val="Intense Quote"/>
    <w:basedOn w:val="Normal"/>
    <w:next w:val="Normal"/>
    <w:link w:val="IntenseQuoteChar"/>
    <w:uiPriority w:val="30"/>
    <w:qFormat/>
    <w:rsid w:val="000B3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555"/>
    <w:rPr>
      <w:i/>
      <w:iCs/>
      <w:color w:val="2F5496" w:themeColor="accent1" w:themeShade="BF"/>
    </w:rPr>
  </w:style>
  <w:style w:type="character" w:styleId="IntenseReference">
    <w:name w:val="Intense Reference"/>
    <w:basedOn w:val="DefaultParagraphFont"/>
    <w:uiPriority w:val="32"/>
    <w:qFormat/>
    <w:rsid w:val="000B3555"/>
    <w:rPr>
      <w:b/>
      <w:bCs/>
      <w:smallCaps/>
      <w:color w:val="2F5496" w:themeColor="accent1" w:themeShade="BF"/>
      <w:spacing w:val="5"/>
    </w:rPr>
  </w:style>
  <w:style w:type="table" w:styleId="TableGrid">
    <w:name w:val="Table Grid"/>
    <w:basedOn w:val="TableNormal"/>
    <w:uiPriority w:val="59"/>
    <w:rsid w:val="000B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555"/>
    <w:rPr>
      <w:color w:val="0563C1" w:themeColor="hyperlink"/>
      <w:u w:val="single"/>
    </w:rPr>
  </w:style>
  <w:style w:type="character" w:styleId="UnresolvedMention">
    <w:name w:val="Unresolved Mention"/>
    <w:basedOn w:val="DefaultParagraphFont"/>
    <w:uiPriority w:val="99"/>
    <w:semiHidden/>
    <w:unhideWhenUsed/>
    <w:rsid w:val="000B3555"/>
    <w:rPr>
      <w:color w:val="605E5C"/>
      <w:shd w:val="clear" w:color="auto" w:fill="E1DFDD"/>
    </w:rPr>
  </w:style>
  <w:style w:type="paragraph" w:styleId="Caption">
    <w:name w:val="caption"/>
    <w:basedOn w:val="Normal"/>
    <w:next w:val="Normal"/>
    <w:uiPriority w:val="35"/>
    <w:unhideWhenUsed/>
    <w:qFormat/>
    <w:rsid w:val="000B3555"/>
    <w:pPr>
      <w:spacing w:after="200" w:line="240" w:lineRule="auto"/>
    </w:pPr>
    <w:rPr>
      <w:i/>
      <w:iCs/>
      <w:color w:val="44546A" w:themeColor="text2"/>
      <w:sz w:val="18"/>
      <w:szCs w:val="18"/>
    </w:rPr>
  </w:style>
  <w:style w:type="paragraph" w:styleId="NormalWeb">
    <w:name w:val="Normal (Web)"/>
    <w:basedOn w:val="Normal"/>
    <w:uiPriority w:val="99"/>
    <w:semiHidden/>
    <w:unhideWhenUsed/>
    <w:rsid w:val="00752E51"/>
    <w:pPr>
      <w:spacing w:before="100" w:beforeAutospacing="1" w:after="100" w:afterAutospacing="1" w:line="240" w:lineRule="auto"/>
    </w:pPr>
    <w:rPr>
      <w:rFonts w:ascii="Times New Roman" w:eastAsia="Times New Roman" w:hAnsi="Times New Roman" w:cs="Times New Roman"/>
      <w:kern w:val="0"/>
      <w:lang w:val="en-ID" w:eastAsia="en-ID"/>
      <w14:ligatures w14:val="none"/>
    </w:rPr>
  </w:style>
  <w:style w:type="character" w:styleId="Emphasis">
    <w:name w:val="Emphasis"/>
    <w:basedOn w:val="DefaultParagraphFont"/>
    <w:uiPriority w:val="20"/>
    <w:qFormat/>
    <w:rsid w:val="003516EF"/>
    <w:rPr>
      <w:i/>
      <w:iCs/>
    </w:rPr>
  </w:style>
  <w:style w:type="character" w:styleId="CommentReference">
    <w:name w:val="annotation reference"/>
    <w:basedOn w:val="DefaultParagraphFont"/>
    <w:uiPriority w:val="99"/>
    <w:semiHidden/>
    <w:unhideWhenUsed/>
    <w:rsid w:val="004443FF"/>
    <w:rPr>
      <w:sz w:val="16"/>
      <w:szCs w:val="16"/>
    </w:rPr>
  </w:style>
  <w:style w:type="paragraph" w:styleId="CommentText">
    <w:name w:val="annotation text"/>
    <w:basedOn w:val="Normal"/>
    <w:link w:val="CommentTextChar"/>
    <w:uiPriority w:val="99"/>
    <w:semiHidden/>
    <w:unhideWhenUsed/>
    <w:rsid w:val="004443FF"/>
    <w:pPr>
      <w:spacing w:line="240" w:lineRule="auto"/>
    </w:pPr>
    <w:rPr>
      <w:sz w:val="20"/>
      <w:szCs w:val="20"/>
    </w:rPr>
  </w:style>
  <w:style w:type="character" w:customStyle="1" w:styleId="CommentTextChar">
    <w:name w:val="Comment Text Char"/>
    <w:basedOn w:val="DefaultParagraphFont"/>
    <w:link w:val="CommentText"/>
    <w:uiPriority w:val="99"/>
    <w:semiHidden/>
    <w:rsid w:val="004443FF"/>
    <w:rPr>
      <w:sz w:val="20"/>
      <w:szCs w:val="20"/>
    </w:rPr>
  </w:style>
  <w:style w:type="paragraph" w:styleId="CommentSubject">
    <w:name w:val="annotation subject"/>
    <w:basedOn w:val="CommentText"/>
    <w:next w:val="CommentText"/>
    <w:link w:val="CommentSubjectChar"/>
    <w:uiPriority w:val="99"/>
    <w:semiHidden/>
    <w:unhideWhenUsed/>
    <w:rsid w:val="004443FF"/>
    <w:rPr>
      <w:b/>
      <w:bCs/>
    </w:rPr>
  </w:style>
  <w:style w:type="character" w:customStyle="1" w:styleId="CommentSubjectChar">
    <w:name w:val="Comment Subject Char"/>
    <w:basedOn w:val="CommentTextChar"/>
    <w:link w:val="CommentSubject"/>
    <w:uiPriority w:val="99"/>
    <w:semiHidden/>
    <w:rsid w:val="004443FF"/>
    <w:rPr>
      <w:b/>
      <w:bCs/>
      <w:sz w:val="20"/>
      <w:szCs w:val="20"/>
    </w:rPr>
  </w:style>
  <w:style w:type="paragraph" w:styleId="HTMLPreformatted">
    <w:name w:val="HTML Preformatted"/>
    <w:basedOn w:val="Normal"/>
    <w:link w:val="HTMLPreformattedChar"/>
    <w:uiPriority w:val="99"/>
    <w:semiHidden/>
    <w:unhideWhenUsed/>
    <w:rsid w:val="00027AF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27AF0"/>
    <w:rPr>
      <w:rFonts w:ascii="Consolas" w:hAnsi="Consolas"/>
      <w:sz w:val="20"/>
      <w:szCs w:val="20"/>
    </w:rPr>
  </w:style>
  <w:style w:type="paragraph" w:styleId="Header">
    <w:name w:val="header"/>
    <w:basedOn w:val="Normal"/>
    <w:link w:val="HeaderChar"/>
    <w:uiPriority w:val="99"/>
    <w:unhideWhenUsed/>
    <w:rsid w:val="00AC0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F6C"/>
  </w:style>
  <w:style w:type="paragraph" w:styleId="Footer">
    <w:name w:val="footer"/>
    <w:basedOn w:val="Normal"/>
    <w:link w:val="FooterChar"/>
    <w:uiPriority w:val="99"/>
    <w:unhideWhenUsed/>
    <w:rsid w:val="00AC0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4651">
      <w:bodyDiv w:val="1"/>
      <w:marLeft w:val="0"/>
      <w:marRight w:val="0"/>
      <w:marTop w:val="0"/>
      <w:marBottom w:val="0"/>
      <w:divBdr>
        <w:top w:val="none" w:sz="0" w:space="0" w:color="auto"/>
        <w:left w:val="none" w:sz="0" w:space="0" w:color="auto"/>
        <w:bottom w:val="none" w:sz="0" w:space="0" w:color="auto"/>
        <w:right w:val="none" w:sz="0" w:space="0" w:color="auto"/>
      </w:divBdr>
    </w:div>
    <w:div w:id="295378368">
      <w:bodyDiv w:val="1"/>
      <w:marLeft w:val="0"/>
      <w:marRight w:val="0"/>
      <w:marTop w:val="0"/>
      <w:marBottom w:val="0"/>
      <w:divBdr>
        <w:top w:val="none" w:sz="0" w:space="0" w:color="auto"/>
        <w:left w:val="none" w:sz="0" w:space="0" w:color="auto"/>
        <w:bottom w:val="none" w:sz="0" w:space="0" w:color="auto"/>
        <w:right w:val="none" w:sz="0" w:space="0" w:color="auto"/>
      </w:divBdr>
    </w:div>
    <w:div w:id="305938817">
      <w:bodyDiv w:val="1"/>
      <w:marLeft w:val="0"/>
      <w:marRight w:val="0"/>
      <w:marTop w:val="0"/>
      <w:marBottom w:val="0"/>
      <w:divBdr>
        <w:top w:val="none" w:sz="0" w:space="0" w:color="auto"/>
        <w:left w:val="none" w:sz="0" w:space="0" w:color="auto"/>
        <w:bottom w:val="none" w:sz="0" w:space="0" w:color="auto"/>
        <w:right w:val="none" w:sz="0" w:space="0" w:color="auto"/>
      </w:divBdr>
    </w:div>
    <w:div w:id="393164243">
      <w:bodyDiv w:val="1"/>
      <w:marLeft w:val="0"/>
      <w:marRight w:val="0"/>
      <w:marTop w:val="0"/>
      <w:marBottom w:val="0"/>
      <w:divBdr>
        <w:top w:val="none" w:sz="0" w:space="0" w:color="auto"/>
        <w:left w:val="none" w:sz="0" w:space="0" w:color="auto"/>
        <w:bottom w:val="none" w:sz="0" w:space="0" w:color="auto"/>
        <w:right w:val="none" w:sz="0" w:space="0" w:color="auto"/>
      </w:divBdr>
    </w:div>
    <w:div w:id="478235212">
      <w:bodyDiv w:val="1"/>
      <w:marLeft w:val="0"/>
      <w:marRight w:val="0"/>
      <w:marTop w:val="0"/>
      <w:marBottom w:val="0"/>
      <w:divBdr>
        <w:top w:val="none" w:sz="0" w:space="0" w:color="auto"/>
        <w:left w:val="none" w:sz="0" w:space="0" w:color="auto"/>
        <w:bottom w:val="none" w:sz="0" w:space="0" w:color="auto"/>
        <w:right w:val="none" w:sz="0" w:space="0" w:color="auto"/>
      </w:divBdr>
    </w:div>
    <w:div w:id="676230417">
      <w:bodyDiv w:val="1"/>
      <w:marLeft w:val="0"/>
      <w:marRight w:val="0"/>
      <w:marTop w:val="0"/>
      <w:marBottom w:val="0"/>
      <w:divBdr>
        <w:top w:val="none" w:sz="0" w:space="0" w:color="auto"/>
        <w:left w:val="none" w:sz="0" w:space="0" w:color="auto"/>
        <w:bottom w:val="none" w:sz="0" w:space="0" w:color="auto"/>
        <w:right w:val="none" w:sz="0" w:space="0" w:color="auto"/>
      </w:divBdr>
    </w:div>
    <w:div w:id="809370631">
      <w:bodyDiv w:val="1"/>
      <w:marLeft w:val="0"/>
      <w:marRight w:val="0"/>
      <w:marTop w:val="0"/>
      <w:marBottom w:val="0"/>
      <w:divBdr>
        <w:top w:val="none" w:sz="0" w:space="0" w:color="auto"/>
        <w:left w:val="none" w:sz="0" w:space="0" w:color="auto"/>
        <w:bottom w:val="none" w:sz="0" w:space="0" w:color="auto"/>
        <w:right w:val="none" w:sz="0" w:space="0" w:color="auto"/>
      </w:divBdr>
    </w:div>
    <w:div w:id="1017582495">
      <w:bodyDiv w:val="1"/>
      <w:marLeft w:val="0"/>
      <w:marRight w:val="0"/>
      <w:marTop w:val="0"/>
      <w:marBottom w:val="0"/>
      <w:divBdr>
        <w:top w:val="none" w:sz="0" w:space="0" w:color="auto"/>
        <w:left w:val="none" w:sz="0" w:space="0" w:color="auto"/>
        <w:bottom w:val="none" w:sz="0" w:space="0" w:color="auto"/>
        <w:right w:val="none" w:sz="0" w:space="0" w:color="auto"/>
      </w:divBdr>
    </w:div>
    <w:div w:id="1073508552">
      <w:bodyDiv w:val="1"/>
      <w:marLeft w:val="0"/>
      <w:marRight w:val="0"/>
      <w:marTop w:val="0"/>
      <w:marBottom w:val="0"/>
      <w:divBdr>
        <w:top w:val="none" w:sz="0" w:space="0" w:color="auto"/>
        <w:left w:val="none" w:sz="0" w:space="0" w:color="auto"/>
        <w:bottom w:val="none" w:sz="0" w:space="0" w:color="auto"/>
        <w:right w:val="none" w:sz="0" w:space="0" w:color="auto"/>
      </w:divBdr>
    </w:div>
    <w:div w:id="1129129961">
      <w:bodyDiv w:val="1"/>
      <w:marLeft w:val="0"/>
      <w:marRight w:val="0"/>
      <w:marTop w:val="0"/>
      <w:marBottom w:val="0"/>
      <w:divBdr>
        <w:top w:val="none" w:sz="0" w:space="0" w:color="auto"/>
        <w:left w:val="none" w:sz="0" w:space="0" w:color="auto"/>
        <w:bottom w:val="none" w:sz="0" w:space="0" w:color="auto"/>
        <w:right w:val="none" w:sz="0" w:space="0" w:color="auto"/>
      </w:divBdr>
    </w:div>
    <w:div w:id="1170220314">
      <w:bodyDiv w:val="1"/>
      <w:marLeft w:val="0"/>
      <w:marRight w:val="0"/>
      <w:marTop w:val="0"/>
      <w:marBottom w:val="0"/>
      <w:divBdr>
        <w:top w:val="none" w:sz="0" w:space="0" w:color="auto"/>
        <w:left w:val="none" w:sz="0" w:space="0" w:color="auto"/>
        <w:bottom w:val="none" w:sz="0" w:space="0" w:color="auto"/>
        <w:right w:val="none" w:sz="0" w:space="0" w:color="auto"/>
      </w:divBdr>
    </w:div>
    <w:div w:id="1269433298">
      <w:bodyDiv w:val="1"/>
      <w:marLeft w:val="0"/>
      <w:marRight w:val="0"/>
      <w:marTop w:val="0"/>
      <w:marBottom w:val="0"/>
      <w:divBdr>
        <w:top w:val="none" w:sz="0" w:space="0" w:color="auto"/>
        <w:left w:val="none" w:sz="0" w:space="0" w:color="auto"/>
        <w:bottom w:val="none" w:sz="0" w:space="0" w:color="auto"/>
        <w:right w:val="none" w:sz="0" w:space="0" w:color="auto"/>
      </w:divBdr>
    </w:div>
    <w:div w:id="1271157233">
      <w:bodyDiv w:val="1"/>
      <w:marLeft w:val="0"/>
      <w:marRight w:val="0"/>
      <w:marTop w:val="0"/>
      <w:marBottom w:val="0"/>
      <w:divBdr>
        <w:top w:val="none" w:sz="0" w:space="0" w:color="auto"/>
        <w:left w:val="none" w:sz="0" w:space="0" w:color="auto"/>
        <w:bottom w:val="none" w:sz="0" w:space="0" w:color="auto"/>
        <w:right w:val="none" w:sz="0" w:space="0" w:color="auto"/>
      </w:divBdr>
    </w:div>
    <w:div w:id="1316255509">
      <w:bodyDiv w:val="1"/>
      <w:marLeft w:val="0"/>
      <w:marRight w:val="0"/>
      <w:marTop w:val="0"/>
      <w:marBottom w:val="0"/>
      <w:divBdr>
        <w:top w:val="none" w:sz="0" w:space="0" w:color="auto"/>
        <w:left w:val="none" w:sz="0" w:space="0" w:color="auto"/>
        <w:bottom w:val="none" w:sz="0" w:space="0" w:color="auto"/>
        <w:right w:val="none" w:sz="0" w:space="0" w:color="auto"/>
      </w:divBdr>
    </w:div>
    <w:div w:id="1335567759">
      <w:bodyDiv w:val="1"/>
      <w:marLeft w:val="0"/>
      <w:marRight w:val="0"/>
      <w:marTop w:val="0"/>
      <w:marBottom w:val="0"/>
      <w:divBdr>
        <w:top w:val="none" w:sz="0" w:space="0" w:color="auto"/>
        <w:left w:val="none" w:sz="0" w:space="0" w:color="auto"/>
        <w:bottom w:val="none" w:sz="0" w:space="0" w:color="auto"/>
        <w:right w:val="none" w:sz="0" w:space="0" w:color="auto"/>
      </w:divBdr>
    </w:div>
    <w:div w:id="1604454603">
      <w:bodyDiv w:val="1"/>
      <w:marLeft w:val="0"/>
      <w:marRight w:val="0"/>
      <w:marTop w:val="0"/>
      <w:marBottom w:val="0"/>
      <w:divBdr>
        <w:top w:val="none" w:sz="0" w:space="0" w:color="auto"/>
        <w:left w:val="none" w:sz="0" w:space="0" w:color="auto"/>
        <w:bottom w:val="none" w:sz="0" w:space="0" w:color="auto"/>
        <w:right w:val="none" w:sz="0" w:space="0" w:color="auto"/>
      </w:divBdr>
    </w:div>
    <w:div w:id="1664775533">
      <w:bodyDiv w:val="1"/>
      <w:marLeft w:val="0"/>
      <w:marRight w:val="0"/>
      <w:marTop w:val="0"/>
      <w:marBottom w:val="0"/>
      <w:divBdr>
        <w:top w:val="none" w:sz="0" w:space="0" w:color="auto"/>
        <w:left w:val="none" w:sz="0" w:space="0" w:color="auto"/>
        <w:bottom w:val="none" w:sz="0" w:space="0" w:color="auto"/>
        <w:right w:val="none" w:sz="0" w:space="0" w:color="auto"/>
      </w:divBdr>
    </w:div>
    <w:div w:id="1959723225">
      <w:bodyDiv w:val="1"/>
      <w:marLeft w:val="0"/>
      <w:marRight w:val="0"/>
      <w:marTop w:val="0"/>
      <w:marBottom w:val="0"/>
      <w:divBdr>
        <w:top w:val="none" w:sz="0" w:space="0" w:color="auto"/>
        <w:left w:val="none" w:sz="0" w:space="0" w:color="auto"/>
        <w:bottom w:val="none" w:sz="0" w:space="0" w:color="auto"/>
        <w:right w:val="none" w:sz="0" w:space="0" w:color="auto"/>
      </w:divBdr>
    </w:div>
    <w:div w:id="1961106511">
      <w:bodyDiv w:val="1"/>
      <w:marLeft w:val="0"/>
      <w:marRight w:val="0"/>
      <w:marTop w:val="0"/>
      <w:marBottom w:val="0"/>
      <w:divBdr>
        <w:top w:val="none" w:sz="0" w:space="0" w:color="auto"/>
        <w:left w:val="none" w:sz="0" w:space="0" w:color="auto"/>
        <w:bottom w:val="none" w:sz="0" w:space="0" w:color="auto"/>
        <w:right w:val="none" w:sz="0" w:space="0" w:color="auto"/>
      </w:divBdr>
    </w:div>
    <w:div w:id="1984847146">
      <w:bodyDiv w:val="1"/>
      <w:marLeft w:val="0"/>
      <w:marRight w:val="0"/>
      <w:marTop w:val="0"/>
      <w:marBottom w:val="0"/>
      <w:divBdr>
        <w:top w:val="none" w:sz="0" w:space="0" w:color="auto"/>
        <w:left w:val="none" w:sz="0" w:space="0" w:color="auto"/>
        <w:bottom w:val="none" w:sz="0" w:space="0" w:color="auto"/>
        <w:right w:val="none" w:sz="0" w:space="0" w:color="auto"/>
      </w:divBdr>
    </w:div>
    <w:div w:id="2047171135">
      <w:bodyDiv w:val="1"/>
      <w:marLeft w:val="0"/>
      <w:marRight w:val="0"/>
      <w:marTop w:val="0"/>
      <w:marBottom w:val="0"/>
      <w:divBdr>
        <w:top w:val="none" w:sz="0" w:space="0" w:color="auto"/>
        <w:left w:val="none" w:sz="0" w:space="0" w:color="auto"/>
        <w:bottom w:val="none" w:sz="0" w:space="0" w:color="auto"/>
        <w:right w:val="none" w:sz="0" w:space="0" w:color="auto"/>
      </w:divBdr>
    </w:div>
    <w:div w:id="2052413113">
      <w:bodyDiv w:val="1"/>
      <w:marLeft w:val="0"/>
      <w:marRight w:val="0"/>
      <w:marTop w:val="0"/>
      <w:marBottom w:val="0"/>
      <w:divBdr>
        <w:top w:val="none" w:sz="0" w:space="0" w:color="auto"/>
        <w:left w:val="none" w:sz="0" w:space="0" w:color="auto"/>
        <w:bottom w:val="none" w:sz="0" w:space="0" w:color="auto"/>
        <w:right w:val="none" w:sz="0" w:space="0" w:color="auto"/>
      </w:divBdr>
    </w:div>
    <w:div w:id="20548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101-018-9591-z" TargetMode="External"/><Relationship Id="rId21" Type="http://schemas.openxmlformats.org/officeDocument/2006/relationships/hyperlink" Target="https://doi.org/10.1016/j.fsi.2020.03.011" TargetMode="External"/><Relationship Id="rId42" Type="http://schemas.openxmlformats.org/officeDocument/2006/relationships/hyperlink" Target="https://doi.org/10.1111/raq.70020" TargetMode="External"/><Relationship Id="rId47" Type="http://schemas.openxmlformats.org/officeDocument/2006/relationships/hyperlink" Target="https://doi.org/10.1016/j.phymed.2024.155623"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3390/molecules27041326" TargetMode="External"/><Relationship Id="rId29" Type="http://schemas.openxmlformats.org/officeDocument/2006/relationships/hyperlink" Target="https://doi.org/10.1128/msystems.01491-21" TargetMode="External"/><Relationship Id="rId11" Type="http://schemas.openxmlformats.org/officeDocument/2006/relationships/hyperlink" Target="https://doi.org/10.1080/15592324.2024.2419683" TargetMode="External"/><Relationship Id="rId24" Type="http://schemas.openxmlformats.org/officeDocument/2006/relationships/hyperlink" Target="https://doi.org/10.1016/j.fbio.2020.100751" TargetMode="External"/><Relationship Id="rId32" Type="http://schemas.openxmlformats.org/officeDocument/2006/relationships/hyperlink" Target="https://doi.org/10.3390/molecules23010034" TargetMode="External"/><Relationship Id="rId37" Type="http://schemas.openxmlformats.org/officeDocument/2006/relationships/hyperlink" Target="https://doi.org/10.3389/fphar.2017.00364" TargetMode="External"/><Relationship Id="rId40" Type="http://schemas.openxmlformats.org/officeDocument/2006/relationships/hyperlink" Target="https://doi.org/10.3390/molecules28031114" TargetMode="External"/><Relationship Id="rId45" Type="http://schemas.openxmlformats.org/officeDocument/2006/relationships/hyperlink" Target="https://doi.org/10.1016/j.nano.2023.102715" TargetMode="External"/><Relationship Id="rId53" Type="http://schemas.openxmlformats.org/officeDocument/2006/relationships/hyperlink" Target="https://doi.org/10.3892/br.2024.1825" TargetMode="External"/><Relationship Id="rId58" Type="http://schemas.openxmlformats.org/officeDocument/2006/relationships/hyperlink" Target="https://doi.org/10.3390/foods10061391"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doi.org/10.7717/peerj.9543" TargetMode="External"/><Relationship Id="rId19" Type="http://schemas.openxmlformats.org/officeDocument/2006/relationships/hyperlink" Target="https://doi.org/10.1016/j.pestbp.2019.04.013" TargetMode="External"/><Relationship Id="rId14" Type="http://schemas.openxmlformats.org/officeDocument/2006/relationships/hyperlink" Target="http://www.e-journal.polnustar.ac.id/jit/article/view/136" TargetMode="External"/><Relationship Id="rId22" Type="http://schemas.openxmlformats.org/officeDocument/2006/relationships/hyperlink" Target="https://sustainablefisheries-uw.org/shrimp-sustainability-2024/" TargetMode="External"/><Relationship Id="rId27" Type="http://schemas.openxmlformats.org/officeDocument/2006/relationships/hyperlink" Target="https://doi.org/10.3390/pr11082248" TargetMode="External"/><Relationship Id="rId30" Type="http://schemas.openxmlformats.org/officeDocument/2006/relationships/hyperlink" Target="https://doi.org/10.13057/biodiv/d240541" TargetMode="External"/><Relationship Id="rId35" Type="http://schemas.openxmlformats.org/officeDocument/2006/relationships/hyperlink" Target="https://doi.org/10.30476/DENTJODS.2021.85219.1119" TargetMode="External"/><Relationship Id="rId43" Type="http://schemas.openxmlformats.org/officeDocument/2006/relationships/hyperlink" Target="https://doi.org/10.7324/JAPS.2025.237559" TargetMode="External"/><Relationship Id="rId48" Type="http://schemas.openxmlformats.org/officeDocument/2006/relationships/hyperlink" Target="https://doi.org/10.1080/15569543.2019.1662813" TargetMode="External"/><Relationship Id="rId56" Type="http://schemas.openxmlformats.org/officeDocument/2006/relationships/hyperlink" Target="https://doi.org/10.2174/0929867321666140916113443"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dx.doi.org/10.34297/AJBSR.2022.15.002099" TargetMode="External"/><Relationship Id="rId51" Type="http://schemas.openxmlformats.org/officeDocument/2006/relationships/hyperlink" Target="https://doi.org/10.3390/biology9090252" TargetMode="External"/><Relationship Id="rId3" Type="http://schemas.openxmlformats.org/officeDocument/2006/relationships/settings" Target="settings.xml"/><Relationship Id="rId12" Type="http://schemas.openxmlformats.org/officeDocument/2006/relationships/hyperlink" Target="https://doi.org/10.2478/cjf-2025-0008" TargetMode="External"/><Relationship Id="rId17" Type="http://schemas.openxmlformats.org/officeDocument/2006/relationships/hyperlink" Target="https://doi.org/10.3945/an.113.004465" TargetMode="External"/><Relationship Id="rId25" Type="http://schemas.openxmlformats.org/officeDocument/2006/relationships/hyperlink" Target="https://doi.org/10.12873/451fitrasyah" TargetMode="External"/><Relationship Id="rId33" Type="http://schemas.openxmlformats.org/officeDocument/2006/relationships/hyperlink" Target="https://doi.org/10.3390/ma13143224" TargetMode="External"/><Relationship Id="rId38" Type="http://schemas.openxmlformats.org/officeDocument/2006/relationships/hyperlink" Target="https://doi.org/10.3390/molecules27185903" TargetMode="External"/><Relationship Id="rId46" Type="http://schemas.openxmlformats.org/officeDocument/2006/relationships/hyperlink" Target="https://doi.org/10.20473/jkl.v15i1.2023.67-75" TargetMode="External"/><Relationship Id="rId59" Type="http://schemas.openxmlformats.org/officeDocument/2006/relationships/hyperlink" Target="https://doi.org/10.1088/1755-1315/763/1/012021" TargetMode="External"/><Relationship Id="rId67" Type="http://schemas.openxmlformats.org/officeDocument/2006/relationships/header" Target="header3.xml"/><Relationship Id="rId20" Type="http://schemas.openxmlformats.org/officeDocument/2006/relationships/hyperlink" Target="https://doi.org/10.3390/molecules28031057" TargetMode="External"/><Relationship Id="rId41" Type="http://schemas.openxmlformats.org/officeDocument/2006/relationships/hyperlink" Target="http://dx.doi.org/10.3390/molecules24142631" TargetMode="External"/><Relationship Id="rId54" Type="http://schemas.openxmlformats.org/officeDocument/2006/relationships/hyperlink" Target="https://doi.org/10.26740/icaj.v2n2.p25-28" TargetMode="External"/><Relationship Id="rId62" Type="http://schemas.openxmlformats.org/officeDocument/2006/relationships/hyperlink" Target="https://doi.org/10.1155/2024/553970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dx.doi.org/10.30574/gscbps.2019.6.2.0003" TargetMode="External"/><Relationship Id="rId23" Type="http://schemas.openxmlformats.org/officeDocument/2006/relationships/hyperlink" Target="https://doi.org/10.20950/1678-2305/bip.2021.47.e645" TargetMode="External"/><Relationship Id="rId28" Type="http://schemas.openxmlformats.org/officeDocument/2006/relationships/hyperlink" Target="https://doi.org/10.1021/acs.chemrev.5b00407" TargetMode="External"/><Relationship Id="rId36" Type="http://schemas.openxmlformats.org/officeDocument/2006/relationships/hyperlink" Target="https://doi.org/10.1016/j.marpolbul.2024.116073" TargetMode="External"/><Relationship Id="rId49" Type="http://schemas.openxmlformats.org/officeDocument/2006/relationships/hyperlink" Target="https://doi.org/10.1186/s12906-018-2321-7" TargetMode="External"/><Relationship Id="rId57" Type="http://schemas.openxmlformats.org/officeDocument/2006/relationships/hyperlink" Target="https://doi.org/10.3390/antibiotics10030318" TargetMode="External"/><Relationship Id="rId10" Type="http://schemas.openxmlformats.org/officeDocument/2006/relationships/hyperlink" Target="https://doi.org/10.3390/molecules28124679" TargetMode="External"/><Relationship Id="rId31" Type="http://schemas.openxmlformats.org/officeDocument/2006/relationships/hyperlink" Target="https://doi.org/10.56064/jps.v27i1.1063" TargetMode="External"/><Relationship Id="rId44" Type="http://schemas.openxmlformats.org/officeDocument/2006/relationships/hyperlink" Target="https://doi.org/10.3382/japr/pfv023" TargetMode="External"/><Relationship Id="rId52" Type="http://schemas.openxmlformats.org/officeDocument/2006/relationships/hyperlink" Target="https://doi.org/10.3390/antibiotics11081014" TargetMode="External"/><Relationship Id="rId60" Type="http://schemas.openxmlformats.org/officeDocument/2006/relationships/hyperlink" Target="https://doi.org/10.13057/biodiv/d241110"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4103/jpbs.JPBS_175_19" TargetMode="External"/><Relationship Id="rId13" Type="http://schemas.openxmlformats.org/officeDocument/2006/relationships/hyperlink" Target="http://dx.doi.org/10.29303/jbt.v23i1.6154" TargetMode="External"/><Relationship Id="rId18" Type="http://schemas.openxmlformats.org/officeDocument/2006/relationships/hyperlink" Target="https://doi.org/10.1016/j.aquaculture.2022.738232" TargetMode="External"/><Relationship Id="rId39" Type="http://schemas.openxmlformats.org/officeDocument/2006/relationships/hyperlink" Target="https://doi.org/10.1016/j.micpath.2017.03.033" TargetMode="External"/><Relationship Id="rId34" Type="http://schemas.openxmlformats.org/officeDocument/2006/relationships/hyperlink" Target="https://doi.org/10.3390/pharmaceutics15010018" TargetMode="External"/><Relationship Id="rId50" Type="http://schemas.openxmlformats.org/officeDocument/2006/relationships/hyperlink" Target="http://dx.doi.org/10.32604/biocell.2022.015958" TargetMode="External"/><Relationship Id="rId55" Type="http://schemas.openxmlformats.org/officeDocument/2006/relationships/hyperlink" Target="http://dx.doi.org/10.14203/beritabiologi.v19i2.378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Tugas\Thesis\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Sheet1!$H$5</c:f>
              <c:strCache>
                <c:ptCount val="1"/>
                <c:pt idx="0">
                  <c:v>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13097200349956256"/>
                  <c:y val="0.10254848352289297"/>
                </c:manualLayout>
              </c:layout>
              <c:numFmt formatCode="General" sourceLinked="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Sheet1!$G$6:$G$9</c:f>
              <c:numCache>
                <c:formatCode>0.00</c:formatCode>
                <c:ptCount val="4"/>
                <c:pt idx="0">
                  <c:v>2.2500050284868958</c:v>
                </c:pt>
                <c:pt idx="1">
                  <c:v>2.5000030680516931</c:v>
                </c:pt>
                <c:pt idx="2">
                  <c:v>2.7499912535021296</c:v>
                </c:pt>
                <c:pt idx="3">
                  <c:v>3</c:v>
                </c:pt>
              </c:numCache>
            </c:numRef>
          </c:xVal>
          <c:yVal>
            <c:numRef>
              <c:f>Sheet1!$H$6:$H$9</c:f>
              <c:numCache>
                <c:formatCode>General</c:formatCode>
                <c:ptCount val="4"/>
                <c:pt idx="0">
                  <c:v>3.59</c:v>
                </c:pt>
                <c:pt idx="1">
                  <c:v>4.6399999999999997</c:v>
                </c:pt>
                <c:pt idx="2">
                  <c:v>5.2</c:v>
                </c:pt>
                <c:pt idx="3">
                  <c:v>6.41</c:v>
                </c:pt>
              </c:numCache>
            </c:numRef>
          </c:yVal>
          <c:smooth val="0"/>
          <c:extLst>
            <c:ext xmlns:c16="http://schemas.microsoft.com/office/drawing/2014/chart" uri="{C3380CC4-5D6E-409C-BE32-E72D297353CC}">
              <c16:uniqueId val="{00000001-FD61-4423-BC96-5F4E7E65D74D}"/>
            </c:ext>
          </c:extLst>
        </c:ser>
        <c:dLbls>
          <c:showLegendKey val="0"/>
          <c:showVal val="0"/>
          <c:showCatName val="0"/>
          <c:showSerName val="0"/>
          <c:showPercent val="0"/>
          <c:showBubbleSize val="0"/>
        </c:dLbls>
        <c:axId val="1084836176"/>
        <c:axId val="1219925760"/>
      </c:scatterChart>
      <c:valAx>
        <c:axId val="1084836176"/>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b="1" i="0" u="none" strike="noStrike" baseline="0">
                    <a:latin typeface="Times New Roman" panose="02020603050405020304" pitchFamily="18" charset="0"/>
                    <a:cs typeface="Times New Roman" panose="02020603050405020304" pitchFamily="18" charset="0"/>
                  </a:rPr>
                  <a:t>Log Concentration of </a:t>
                </a:r>
                <a:r>
                  <a:rPr lang="en-US" sz="800" b="1" i="1" u="none" strike="noStrike" baseline="0">
                    <a:latin typeface="Times New Roman" panose="02020603050405020304" pitchFamily="18" charset="0"/>
                    <a:cs typeface="Times New Roman" panose="02020603050405020304" pitchFamily="18" charset="0"/>
                  </a:rPr>
                  <a:t>P. indica </a:t>
                </a:r>
                <a:r>
                  <a:rPr lang="en-US" sz="800" b="1" i="0" u="none" strike="noStrike" baseline="0">
                    <a:latin typeface="Times New Roman" panose="02020603050405020304" pitchFamily="18" charset="0"/>
                    <a:cs typeface="Times New Roman" panose="02020603050405020304" pitchFamily="18" charset="0"/>
                  </a:rPr>
                  <a:t>Leaf Extract</a:t>
                </a:r>
                <a:endParaRPr lang="en-US" sz="8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19925760"/>
        <c:crosses val="autoZero"/>
        <c:crossBetween val="midCat"/>
      </c:valAx>
      <c:valAx>
        <c:axId val="1219925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b="1">
                    <a:latin typeface="Times New Roman" panose="02020603050405020304" pitchFamily="18" charset="0"/>
                    <a:cs typeface="Times New Roman" panose="02020603050405020304" pitchFamily="18" charset="0"/>
                  </a:rPr>
                  <a:t>Shrimp</a:t>
                </a:r>
                <a:r>
                  <a:rPr lang="en-US" sz="800" b="1" baseline="0">
                    <a:latin typeface="Times New Roman" panose="02020603050405020304" pitchFamily="18" charset="0"/>
                    <a:cs typeface="Times New Roman" panose="02020603050405020304" pitchFamily="18" charset="0"/>
                  </a:rPr>
                  <a:t> Mortality Probit Value</a:t>
                </a:r>
                <a:endParaRPr lang="en-US" sz="8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848361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C04C-EE72-4377-8058-99F9E817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7300</Words>
  <Characters>41616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Zulkham Yahya</dc:creator>
  <cp:keywords/>
  <dc:description/>
  <cp:lastModifiedBy>Muhammad Zulkham Yahya</cp:lastModifiedBy>
  <cp:revision>10</cp:revision>
  <dcterms:created xsi:type="dcterms:W3CDTF">2025-06-24T05:15:00Z</dcterms:created>
  <dcterms:modified xsi:type="dcterms:W3CDTF">2025-06-28T16:37:00Z</dcterms:modified>
</cp:coreProperties>
</file>