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4FB00" w14:textId="0EA16927" w:rsidR="00C60F00" w:rsidRDefault="008D4B7B">
      <w:pPr>
        <w:jc w:val="center"/>
        <w:rPr>
          <w:rFonts w:cs="Times New Roman"/>
          <w:b/>
          <w:bCs/>
          <w:sz w:val="28"/>
          <w:szCs w:val="28"/>
        </w:rPr>
      </w:pPr>
      <w:r>
        <w:rPr>
          <w:rFonts w:cs="Times New Roman"/>
          <w:b/>
          <w:bCs/>
          <w:sz w:val="28"/>
          <w:szCs w:val="28"/>
        </w:rPr>
        <w:t xml:space="preserve">Legalisation of euthanasia and assisted suicide: comparison between </w:t>
      </w:r>
      <w:r w:rsidR="007D2357">
        <w:rPr>
          <w:rFonts w:cs="Times New Roman"/>
          <w:b/>
          <w:bCs/>
          <w:sz w:val="28"/>
          <w:szCs w:val="28"/>
        </w:rPr>
        <w:t xml:space="preserve">the </w:t>
      </w:r>
      <w:r>
        <w:rPr>
          <w:rFonts w:cs="Times New Roman"/>
          <w:b/>
          <w:bCs/>
          <w:sz w:val="28"/>
          <w:szCs w:val="28"/>
        </w:rPr>
        <w:t>UK and the Netherlands</w:t>
      </w:r>
    </w:p>
    <w:p w14:paraId="3A218B18" w14:textId="77777777" w:rsidR="00C60F00" w:rsidRDefault="008D4B7B">
      <w:pPr>
        <w:jc w:val="center"/>
        <w:rPr>
          <w:rFonts w:cs="Times New Roman"/>
          <w:b/>
          <w:szCs w:val="24"/>
        </w:rPr>
      </w:pPr>
      <w:r>
        <w:rPr>
          <w:rFonts w:cs="Times New Roman"/>
          <w:szCs w:val="24"/>
        </w:rPr>
        <w:br w:type="page"/>
      </w:r>
    </w:p>
    <w:p w14:paraId="33E1FD19" w14:textId="77777777" w:rsidR="00C60F00" w:rsidRDefault="00C60F00">
      <w:pPr>
        <w:jc w:val="center"/>
        <w:rPr>
          <w:rFonts w:cs="Times New Roman"/>
          <w:b/>
          <w:szCs w:val="24"/>
        </w:rPr>
      </w:pPr>
    </w:p>
    <w:p w14:paraId="7FB778B4" w14:textId="77777777" w:rsidR="00C60F00" w:rsidRDefault="008D4B7B">
      <w:pPr>
        <w:rPr>
          <w:rFonts w:cs="Times New Roman"/>
          <w:b/>
          <w:szCs w:val="24"/>
        </w:rPr>
      </w:pPr>
      <w:r>
        <w:rPr>
          <w:rFonts w:cs="Times New Roman"/>
          <w:b/>
          <w:szCs w:val="24"/>
        </w:rPr>
        <w:t>Abstract</w:t>
      </w:r>
    </w:p>
    <w:p w14:paraId="3C9E7C50" w14:textId="6C4FAA85" w:rsidR="00C60F00" w:rsidRDefault="008D4B7B">
      <w:pPr>
        <w:rPr>
          <w:rFonts w:cs="Times New Roman"/>
          <w:b/>
          <w:szCs w:val="24"/>
          <w:u w:val="single"/>
        </w:rPr>
      </w:pPr>
      <w:r>
        <w:rPr>
          <w:rFonts w:cs="Times New Roman"/>
          <w:szCs w:val="24"/>
        </w:rPr>
        <w:t xml:space="preserve">The legal and ethical aspects of Euthanasia and assisted suicide have been contested worldwide. Healthcare professionals often encounter ethical and legal dilemmas while deciding </w:t>
      </w:r>
      <w:r w:rsidR="007D2357">
        <w:rPr>
          <w:rFonts w:cs="Times New Roman"/>
          <w:szCs w:val="24"/>
        </w:rPr>
        <w:t xml:space="preserve">whether </w:t>
      </w:r>
      <w:r>
        <w:rPr>
          <w:rFonts w:cs="Times New Roman"/>
          <w:szCs w:val="24"/>
        </w:rPr>
        <w:t>to help terminally ill patients requesting to terminate their liv</w:t>
      </w:r>
      <w:r w:rsidR="00BF5B6C">
        <w:rPr>
          <w:rFonts w:cs="Times New Roman"/>
          <w:szCs w:val="24"/>
        </w:rPr>
        <w:t xml:space="preserve">es. The purpose of this </w:t>
      </w:r>
      <w:r w:rsidR="00BF5B6C" w:rsidRPr="00BF5B6C">
        <w:rPr>
          <w:rFonts w:cs="Times New Roman"/>
          <w:szCs w:val="24"/>
          <w:highlight w:val="yellow"/>
        </w:rPr>
        <w:t xml:space="preserve">study </w:t>
      </w:r>
      <w:r w:rsidR="00BF5B6C">
        <w:rPr>
          <w:rFonts w:cs="Times New Roman"/>
          <w:szCs w:val="24"/>
          <w:highlight w:val="yellow"/>
        </w:rPr>
        <w:t xml:space="preserve">is </w:t>
      </w:r>
      <w:r w:rsidRPr="00BF5B6C">
        <w:rPr>
          <w:rFonts w:cs="Times New Roman"/>
          <w:szCs w:val="24"/>
          <w:highlight w:val="yellow"/>
        </w:rPr>
        <w:t>to</w:t>
      </w:r>
      <w:r>
        <w:rPr>
          <w:rFonts w:cs="Times New Roman"/>
          <w:szCs w:val="24"/>
        </w:rPr>
        <w:t xml:space="preserve"> explore the legalisation of euthanasia and assisted suicide under English and Dutch laws using a comparative approach. The essay </w:t>
      </w:r>
      <w:r w:rsidR="00BF5B6C">
        <w:rPr>
          <w:rFonts w:cs="Times New Roman"/>
          <w:szCs w:val="24"/>
        </w:rPr>
        <w:t>will suggest</w:t>
      </w:r>
      <w:r>
        <w:rPr>
          <w:rFonts w:cs="Times New Roman"/>
          <w:szCs w:val="24"/>
        </w:rPr>
        <w:t xml:space="preserve"> that while euthanasia and assisted suicide are criminalised in the UK under the Suicid</w:t>
      </w:r>
      <w:r w:rsidR="0050794E">
        <w:rPr>
          <w:rFonts w:cs="Times New Roman"/>
          <w:szCs w:val="24"/>
        </w:rPr>
        <w:t xml:space="preserve">e Act 1961, the </w:t>
      </w:r>
      <w:r w:rsidR="007D2357">
        <w:rPr>
          <w:rFonts w:cs="Times New Roman"/>
          <w:szCs w:val="24"/>
        </w:rPr>
        <w:t>Netherlands'</w:t>
      </w:r>
      <w:r w:rsidR="0050794E">
        <w:rPr>
          <w:rFonts w:cs="Times New Roman"/>
          <w:szCs w:val="24"/>
        </w:rPr>
        <w:t xml:space="preserve"> law</w:t>
      </w:r>
      <w:r>
        <w:rPr>
          <w:rFonts w:cs="Times New Roman"/>
          <w:szCs w:val="24"/>
        </w:rPr>
        <w:t xml:space="preserve"> </w:t>
      </w:r>
      <w:r w:rsidR="007D2357">
        <w:rPr>
          <w:rFonts w:cs="Times New Roman"/>
          <w:szCs w:val="24"/>
        </w:rPr>
        <w:t>legalises</w:t>
      </w:r>
      <w:r>
        <w:rPr>
          <w:rFonts w:cs="Times New Roman"/>
          <w:szCs w:val="24"/>
        </w:rPr>
        <w:t xml:space="preserve"> the termination of lives</w:t>
      </w:r>
      <w:r w:rsidR="007D2357">
        <w:rPr>
          <w:rFonts w:cs="Times New Roman"/>
          <w:szCs w:val="24"/>
        </w:rPr>
        <w:t>,</w:t>
      </w:r>
      <w:r>
        <w:rPr>
          <w:rFonts w:cs="Times New Roman"/>
          <w:szCs w:val="24"/>
        </w:rPr>
        <w:t xml:space="preserve"> except </w:t>
      </w:r>
      <w:r w:rsidR="007D2357">
        <w:rPr>
          <w:rFonts w:cs="Times New Roman"/>
          <w:szCs w:val="24"/>
        </w:rPr>
        <w:t xml:space="preserve">that </w:t>
      </w:r>
      <w:r>
        <w:rPr>
          <w:rFonts w:cs="Times New Roman"/>
          <w:szCs w:val="24"/>
        </w:rPr>
        <w:t xml:space="preserve">this act is performed by doctors on fulfilling stipulated statutory conditions. The study </w:t>
      </w:r>
      <w:r w:rsidR="00BF5B6C" w:rsidRPr="00BF5B6C">
        <w:rPr>
          <w:rFonts w:cs="Times New Roman"/>
          <w:szCs w:val="24"/>
          <w:highlight w:val="yellow"/>
        </w:rPr>
        <w:t>will use</w:t>
      </w:r>
      <w:r w:rsidRPr="00BF5B6C">
        <w:rPr>
          <w:rFonts w:cs="Times New Roman"/>
          <w:szCs w:val="24"/>
          <w:highlight w:val="yellow"/>
        </w:rPr>
        <w:t xml:space="preserve"> a qualitative</w:t>
      </w:r>
      <w:r>
        <w:rPr>
          <w:rFonts w:cs="Times New Roman"/>
          <w:szCs w:val="24"/>
        </w:rPr>
        <w:t xml:space="preserve"> research method and </w:t>
      </w:r>
      <w:r w:rsidR="007D2357">
        <w:rPr>
          <w:rFonts w:cs="Times New Roman"/>
          <w:szCs w:val="24"/>
        </w:rPr>
        <w:t>draw</w:t>
      </w:r>
      <w:r>
        <w:rPr>
          <w:rFonts w:cs="Times New Roman"/>
          <w:szCs w:val="24"/>
        </w:rPr>
        <w:t xml:space="preserve"> on secondary sources</w:t>
      </w:r>
      <w:r w:rsidR="007D2357">
        <w:rPr>
          <w:rFonts w:cs="Times New Roman"/>
          <w:szCs w:val="24"/>
        </w:rPr>
        <w:t>,</w:t>
      </w:r>
      <w:r>
        <w:rPr>
          <w:rFonts w:cs="Times New Roman"/>
          <w:szCs w:val="24"/>
        </w:rPr>
        <w:t xml:space="preserve"> including case laws, legislation, and other relevant academic sources</w:t>
      </w:r>
      <w:r w:rsidR="007D2357">
        <w:rPr>
          <w:rFonts w:cs="Times New Roman"/>
          <w:szCs w:val="24"/>
        </w:rPr>
        <w:t>,</w:t>
      </w:r>
      <w:r>
        <w:rPr>
          <w:rFonts w:cs="Times New Roman"/>
          <w:szCs w:val="24"/>
        </w:rPr>
        <w:t xml:space="preserve"> to explore ethical and legal challenges associated with criminalising and decriminalising euthanasia and assisted suicide in both jurisdictions. The essay </w:t>
      </w:r>
      <w:r w:rsidR="00BF5B6C" w:rsidRPr="00BF5B6C">
        <w:rPr>
          <w:rFonts w:cs="Times New Roman"/>
          <w:szCs w:val="24"/>
          <w:highlight w:val="yellow"/>
        </w:rPr>
        <w:t>will identify</w:t>
      </w:r>
      <w:r>
        <w:rPr>
          <w:rFonts w:cs="Times New Roman"/>
          <w:szCs w:val="24"/>
        </w:rPr>
        <w:t xml:space="preserve"> common ethical and legal dilemmas</w:t>
      </w:r>
      <w:bookmarkStart w:id="0" w:name="_GoBack"/>
      <w:bookmarkEnd w:id="0"/>
      <w:r>
        <w:rPr>
          <w:rFonts w:cs="Times New Roman"/>
          <w:szCs w:val="24"/>
        </w:rPr>
        <w:t xml:space="preserve"> surrounding euthanasia and assisted suicide</w:t>
      </w:r>
      <w:r w:rsidR="007D2357">
        <w:rPr>
          <w:rFonts w:cs="Times New Roman"/>
          <w:szCs w:val="24"/>
        </w:rPr>
        <w:t>,</w:t>
      </w:r>
      <w:r>
        <w:rPr>
          <w:rFonts w:cs="Times New Roman"/>
          <w:szCs w:val="24"/>
        </w:rPr>
        <w:t xml:space="preserve"> such as patient autonomy, misuse of the concept, medical negligence</w:t>
      </w:r>
      <w:r w:rsidR="007D2357">
        <w:rPr>
          <w:rFonts w:cs="Times New Roman"/>
          <w:szCs w:val="24"/>
        </w:rPr>
        <w:t>,</w:t>
      </w:r>
      <w:r>
        <w:rPr>
          <w:rFonts w:cs="Times New Roman"/>
          <w:szCs w:val="24"/>
        </w:rPr>
        <w:t xml:space="preserve"> criminal liability of doctors, and lack of consent of terminally ill patients without the capacity to make an informed decision. This research </w:t>
      </w:r>
      <w:r w:rsidR="00BF5B6C" w:rsidRPr="00C17A31">
        <w:rPr>
          <w:rFonts w:cs="Times New Roman"/>
          <w:szCs w:val="24"/>
          <w:highlight w:val="yellow"/>
        </w:rPr>
        <w:t>will contribute</w:t>
      </w:r>
      <w:r>
        <w:rPr>
          <w:rFonts w:cs="Times New Roman"/>
          <w:szCs w:val="24"/>
        </w:rPr>
        <w:t xml:space="preserve"> to a comprehensive understanding of party autonomy and unbearable sufferings</w:t>
      </w:r>
      <w:r w:rsidR="007D2357">
        <w:rPr>
          <w:rFonts w:cs="Times New Roman"/>
          <w:szCs w:val="24"/>
        </w:rPr>
        <w:t>, two important factors that may strike a balance between ethical and legal dilemmas, with permission to terminate</w:t>
      </w:r>
      <w:r>
        <w:rPr>
          <w:rFonts w:cs="Times New Roman"/>
          <w:szCs w:val="24"/>
        </w:rPr>
        <w:t xml:space="preserve"> their lives.</w:t>
      </w:r>
      <w:r w:rsidR="0050794E">
        <w:rPr>
          <w:rFonts w:cs="Times New Roman"/>
          <w:szCs w:val="24"/>
        </w:rPr>
        <w:t xml:space="preserve"> </w:t>
      </w:r>
      <w:r w:rsidR="0050794E" w:rsidRPr="00E44F76">
        <w:rPr>
          <w:rFonts w:cs="Times New Roman"/>
          <w:szCs w:val="24"/>
          <w:highlight w:val="yellow"/>
        </w:rPr>
        <w:t xml:space="preserve">However, the study has its </w:t>
      </w:r>
      <w:r w:rsidR="007D2357">
        <w:rPr>
          <w:rFonts w:cs="Times New Roman"/>
          <w:szCs w:val="24"/>
          <w:highlight w:val="yellow"/>
        </w:rPr>
        <w:t>limitations,</w:t>
      </w:r>
      <w:r w:rsidR="0050794E" w:rsidRPr="00E44F76">
        <w:rPr>
          <w:rFonts w:cs="Times New Roman"/>
          <w:szCs w:val="24"/>
          <w:highlight w:val="yellow"/>
        </w:rPr>
        <w:t xml:space="preserve"> considering it relies only on secondary data and </w:t>
      </w:r>
      <w:r w:rsidR="007D2357">
        <w:rPr>
          <w:rFonts w:cs="Times New Roman"/>
          <w:szCs w:val="24"/>
          <w:highlight w:val="yellow"/>
        </w:rPr>
        <w:t xml:space="preserve">a </w:t>
      </w:r>
      <w:r w:rsidR="0050794E" w:rsidRPr="00E44F76">
        <w:rPr>
          <w:rFonts w:cs="Times New Roman"/>
          <w:szCs w:val="24"/>
          <w:highlight w:val="yellow"/>
        </w:rPr>
        <w:t>qualitative research method</w:t>
      </w:r>
      <w:r w:rsidR="007D2357">
        <w:rPr>
          <w:rFonts w:cs="Times New Roman"/>
          <w:szCs w:val="24"/>
          <w:highlight w:val="yellow"/>
        </w:rPr>
        <w:t>,</w:t>
      </w:r>
      <w:r w:rsidR="0050794E" w:rsidRPr="00E44F76">
        <w:rPr>
          <w:rFonts w:cs="Times New Roman"/>
          <w:szCs w:val="24"/>
          <w:highlight w:val="yellow"/>
        </w:rPr>
        <w:t xml:space="preserve"> which may not cover any statistical data to analyse the legal approach of these two national jurisdictions in terms of validating euthanasia and assisted suicide.</w:t>
      </w:r>
      <w:r w:rsidR="0050794E">
        <w:rPr>
          <w:rFonts w:cs="Times New Roman"/>
          <w:szCs w:val="24"/>
        </w:rPr>
        <w:t xml:space="preserve"> </w:t>
      </w:r>
    </w:p>
    <w:p w14:paraId="2713EAB2" w14:textId="59F19CE7" w:rsidR="00C60F00" w:rsidRDefault="008D4B7B">
      <w:pPr>
        <w:rPr>
          <w:rFonts w:cs="Times New Roman"/>
          <w:b/>
          <w:szCs w:val="24"/>
        </w:rPr>
      </w:pPr>
      <w:r>
        <w:rPr>
          <w:rFonts w:cs="Times New Roman"/>
          <w:b/>
          <w:szCs w:val="24"/>
          <w:u w:val="single"/>
        </w:rPr>
        <w:t>Keywords</w:t>
      </w:r>
      <w:r>
        <w:rPr>
          <w:rFonts w:cs="Times New Roman"/>
          <w:b/>
          <w:szCs w:val="24"/>
        </w:rPr>
        <w:t xml:space="preserve">: Euthanasia, assisted suicide, UK Law, </w:t>
      </w:r>
      <w:r w:rsidR="0050794E">
        <w:rPr>
          <w:rFonts w:cs="Times New Roman"/>
          <w:b/>
          <w:szCs w:val="24"/>
        </w:rPr>
        <w:t>Netherlands law</w:t>
      </w:r>
      <w:r>
        <w:rPr>
          <w:rFonts w:cs="Times New Roman"/>
          <w:b/>
          <w:szCs w:val="24"/>
        </w:rPr>
        <w:t xml:space="preserve">, Medical professional ethics and legal dilemma </w:t>
      </w:r>
    </w:p>
    <w:p w14:paraId="421F7C24" w14:textId="77777777" w:rsidR="00C60F00" w:rsidRDefault="008D4B7B">
      <w:pPr>
        <w:rPr>
          <w:rFonts w:cs="Times New Roman"/>
          <w:b/>
          <w:szCs w:val="24"/>
        </w:rPr>
      </w:pPr>
      <w:r>
        <w:rPr>
          <w:rFonts w:cs="Times New Roman"/>
          <w:b/>
          <w:szCs w:val="24"/>
        </w:rPr>
        <w:br w:type="page"/>
      </w:r>
    </w:p>
    <w:p w14:paraId="4CEA43E0" w14:textId="77777777" w:rsidR="00C60F00" w:rsidRDefault="008D4B7B">
      <w:pPr>
        <w:pStyle w:val="Heading1"/>
      </w:pPr>
      <w:bookmarkStart w:id="1" w:name="_Toc200899319"/>
      <w:r>
        <w:lastRenderedPageBreak/>
        <w:t>I. Introduction</w:t>
      </w:r>
      <w:bookmarkEnd w:id="1"/>
    </w:p>
    <w:p w14:paraId="523AB733" w14:textId="77777777" w:rsidR="00C60F00" w:rsidRDefault="008D4B7B">
      <w:pPr>
        <w:spacing w:before="100" w:beforeAutospacing="1" w:after="100" w:afterAutospacing="1"/>
        <w:rPr>
          <w:rFonts w:eastAsia="Times New Roman" w:cs="Times New Roman"/>
          <w:szCs w:val="24"/>
          <w:u w:val="single"/>
          <w:lang w:eastAsia="en-IN"/>
        </w:rPr>
      </w:pPr>
      <w:r>
        <w:rPr>
          <w:rFonts w:eastAsia="Times New Roman" w:cs="Times New Roman"/>
          <w:szCs w:val="24"/>
          <w:u w:val="single"/>
          <w:lang w:eastAsia="en-IN"/>
        </w:rPr>
        <w:t xml:space="preserve">Defining euthanasia and assisted suicide </w:t>
      </w:r>
    </w:p>
    <w:p w14:paraId="3192FCAA" w14:textId="6F9A2B94" w:rsidR="00C60F00" w:rsidRDefault="008D4B7B">
      <w:pPr>
        <w:spacing w:before="100" w:beforeAutospacing="1" w:after="100" w:afterAutospacing="1"/>
        <w:rPr>
          <w:rFonts w:cs="Times New Roman"/>
          <w:szCs w:val="24"/>
          <w:lang w:eastAsia="en-IN"/>
        </w:rPr>
      </w:pPr>
      <w:r>
        <w:rPr>
          <w:rFonts w:eastAsia="Times New Roman" w:cs="Times New Roman"/>
          <w:szCs w:val="24"/>
          <w:lang w:eastAsia="en-IN"/>
        </w:rPr>
        <w:t>The legalisation of euthanasia and assisted suicide remains a contested topic</w:t>
      </w:r>
      <w:r w:rsidR="007D2357">
        <w:rPr>
          <w:rFonts w:eastAsia="Times New Roman" w:cs="Times New Roman"/>
          <w:szCs w:val="24"/>
          <w:lang w:eastAsia="en-IN"/>
        </w:rPr>
        <w:t>,</w:t>
      </w:r>
      <w:r>
        <w:rPr>
          <w:rFonts w:eastAsia="Times New Roman" w:cs="Times New Roman"/>
          <w:szCs w:val="24"/>
          <w:lang w:eastAsia="en-IN"/>
        </w:rPr>
        <w:t xml:space="preserve"> provoking debates in medical, legal, and social ethics, given that it is still limited to a few national jurisdictions. Pereira (2011) asserts that legal frameworks and jurisdictions exist to prevent the misuse and exploitation of these practices. For instance, the United Kingdom (UK) is strictly opposed to legalising assisted suicide and euthanasia. The National Health Service [NHS] defines assisted suicide (AS) as an act of encouraging or helping another person </w:t>
      </w:r>
      <w:r w:rsidR="007D2357">
        <w:rPr>
          <w:rFonts w:eastAsia="Times New Roman" w:cs="Times New Roman"/>
          <w:szCs w:val="24"/>
          <w:lang w:eastAsia="en-IN"/>
        </w:rPr>
        <w:t>to</w:t>
      </w:r>
      <w:r>
        <w:rPr>
          <w:rFonts w:eastAsia="Times New Roman" w:cs="Times New Roman"/>
          <w:szCs w:val="24"/>
          <w:lang w:eastAsia="en-IN"/>
        </w:rPr>
        <w:t xml:space="preserve"> take their life (Nandilath, 2023). Euthanasia is the intentional killing of any person by a doctor through the administration of a drug, should an individual make a competent request (Janssen, 2002). Physician-assisted suicide </w:t>
      </w:r>
      <w:r w:rsidR="007D2357">
        <w:rPr>
          <w:rFonts w:eastAsia="Times New Roman" w:cs="Times New Roman"/>
          <w:szCs w:val="24"/>
          <w:lang w:eastAsia="en-IN"/>
        </w:rPr>
        <w:t>(</w:t>
      </w:r>
      <w:r>
        <w:rPr>
          <w:rFonts w:eastAsia="Times New Roman" w:cs="Times New Roman"/>
          <w:szCs w:val="24"/>
          <w:lang w:eastAsia="en-IN"/>
        </w:rPr>
        <w:t>PAS</w:t>
      </w:r>
      <w:r w:rsidR="007D2357">
        <w:rPr>
          <w:rFonts w:eastAsia="Times New Roman" w:cs="Times New Roman"/>
          <w:szCs w:val="24"/>
          <w:lang w:eastAsia="en-IN"/>
        </w:rPr>
        <w:t>)</w:t>
      </w:r>
      <w:r>
        <w:rPr>
          <w:rFonts w:eastAsia="Times New Roman" w:cs="Times New Roman"/>
          <w:szCs w:val="24"/>
          <w:lang w:eastAsia="en-IN"/>
        </w:rPr>
        <w:t xml:space="preserve"> refers to the assistance extended by the physician by providing the drugs for self-administration by the individual wishing to end their life. In such cases, it is an offence under the Suicide Act 1961 of the UK. Conversely, the Criminal Code of the Netherlands prohibits euthanasia except for legalising PAS, on fulfilling the criteria for exercising due care and other legal requirements set out in the Act. Before the enforcement of the Termination of Life on Request and Assisted Suicide (Review Procedures) Act, a physician was legally empowered to comply with patients' requests for euthanasia provided key considerations of due care and unbearable conditions of patients, along with other requirements, were met.</w:t>
      </w:r>
    </w:p>
    <w:p w14:paraId="6EF3D721" w14:textId="0E423B5F" w:rsidR="00C60F00" w:rsidRDefault="007D2357">
      <w:pPr>
        <w:spacing w:before="100" w:beforeAutospacing="1" w:after="100" w:afterAutospacing="1"/>
        <w:rPr>
          <w:rFonts w:eastAsia="Times New Roman" w:cs="Times New Roman"/>
          <w:szCs w:val="24"/>
          <w:u w:val="single"/>
          <w:lang w:eastAsia="en-IN"/>
        </w:rPr>
      </w:pPr>
      <w:r>
        <w:rPr>
          <w:rFonts w:eastAsia="Times New Roman" w:cs="Times New Roman"/>
          <w:szCs w:val="24"/>
          <w:u w:val="single"/>
          <w:lang w:eastAsia="en-IN"/>
        </w:rPr>
        <w:t>Ethical</w:t>
      </w:r>
      <w:r w:rsidR="008D4B7B">
        <w:rPr>
          <w:rFonts w:eastAsia="Times New Roman" w:cs="Times New Roman"/>
          <w:szCs w:val="24"/>
          <w:u w:val="single"/>
          <w:lang w:eastAsia="en-IN"/>
        </w:rPr>
        <w:t xml:space="preserve"> and legal significance</w:t>
      </w:r>
    </w:p>
    <w:p w14:paraId="1B90F0DF" w14:textId="0133FDDB" w:rsidR="00C60F00" w:rsidRDefault="008D4B7B">
      <w:pPr>
        <w:spacing w:before="100" w:beforeAutospacing="1" w:after="100" w:afterAutospacing="1"/>
        <w:rPr>
          <w:rFonts w:eastAsia="Times New Roman" w:cs="Times New Roman"/>
          <w:szCs w:val="24"/>
          <w:lang w:eastAsia="en-IN"/>
        </w:rPr>
      </w:pPr>
      <w:r>
        <w:rPr>
          <w:rFonts w:eastAsia="Times New Roman" w:cs="Times New Roman"/>
          <w:szCs w:val="24"/>
          <w:lang w:eastAsia="en-IN"/>
        </w:rPr>
        <w:t xml:space="preserve">Given that euthanasia requested by patients </w:t>
      </w:r>
      <w:r w:rsidR="007D2357">
        <w:rPr>
          <w:rFonts w:eastAsia="Times New Roman" w:cs="Times New Roman"/>
          <w:szCs w:val="24"/>
          <w:lang w:eastAsia="en-IN"/>
        </w:rPr>
        <w:t>is</w:t>
      </w:r>
      <w:r>
        <w:rPr>
          <w:rFonts w:eastAsia="Times New Roman" w:cs="Times New Roman"/>
          <w:szCs w:val="24"/>
          <w:lang w:eastAsia="en-IN"/>
        </w:rPr>
        <w:t xml:space="preserve"> confronted with a situation of severe suffering to the extent that death seems more comfortable than sustaining a life with unbearable suffering (</w:t>
      </w:r>
      <w:r>
        <w:rPr>
          <w:rFonts w:cs="Times New Roman"/>
          <w:szCs w:val="24"/>
          <w:shd w:val="clear" w:color="auto" w:fill="FFFFFF"/>
        </w:rPr>
        <w:t>Pereira, 2011)</w:t>
      </w:r>
      <w:r>
        <w:rPr>
          <w:rFonts w:eastAsia="Times New Roman" w:cs="Times New Roman"/>
          <w:szCs w:val="24"/>
          <w:lang w:eastAsia="en-IN"/>
        </w:rPr>
        <w:t>. While a legal and ethical acceptance of this concept is still contested across the globe, this essay focuses on the countries that have been favouring physician-assisted suicide and their reasoning. The study illustrates how countries legalising assisted suicide justify it by considering it to be executed by medical professionals only for the welfare of the patient</w:t>
      </w:r>
      <w:r w:rsidR="007D2357">
        <w:rPr>
          <w:rFonts w:eastAsia="Times New Roman" w:cs="Times New Roman"/>
          <w:szCs w:val="24"/>
          <w:lang w:eastAsia="en-IN"/>
        </w:rPr>
        <w:t>,</w:t>
      </w:r>
      <w:r>
        <w:rPr>
          <w:rFonts w:eastAsia="Times New Roman" w:cs="Times New Roman"/>
          <w:szCs w:val="24"/>
          <w:lang w:eastAsia="en-IN"/>
        </w:rPr>
        <w:t xml:space="preserve"> with mutual consent from the patient requesting such assistance and the health care provider. Against this backdrop, this essay aims to compare two different national jurisdictions with two distinct legal approaches to the legalisation of euthanasia or assisted suicide, particularly in the UK and </w:t>
      </w:r>
      <w:r>
        <w:rPr>
          <w:rFonts w:eastAsia="Times New Roman" w:cs="Times New Roman"/>
          <w:szCs w:val="24"/>
          <w:lang w:eastAsia="en-IN"/>
        </w:rPr>
        <w:lastRenderedPageBreak/>
        <w:t>the Netherlands. For this purpose, the essay shall explore the two different legal frameworks in the UK and the Netherlands. This study shall outline any common legal and ethical dilemmas facing legalising euthanasia in both nations while summarising key findings of the discussion in the conclusion.</w:t>
      </w:r>
    </w:p>
    <w:p w14:paraId="2275536F" w14:textId="77777777" w:rsidR="00C60F00" w:rsidRDefault="008D4B7B">
      <w:pPr>
        <w:pStyle w:val="Heading1"/>
      </w:pPr>
      <w:bookmarkStart w:id="2" w:name="_Toc200899320"/>
      <w:r>
        <w:t>II. Legal Framework in the UK</w:t>
      </w:r>
      <w:bookmarkEnd w:id="2"/>
    </w:p>
    <w:p w14:paraId="0A0E9A8D" w14:textId="77777777" w:rsidR="00C60F00" w:rsidRDefault="008D4B7B">
      <w:pPr>
        <w:rPr>
          <w:rFonts w:cs="Times New Roman"/>
          <w:b/>
          <w:bCs/>
          <w:szCs w:val="24"/>
          <w:lang w:eastAsia="en-IN"/>
        </w:rPr>
      </w:pPr>
      <w:r>
        <w:rPr>
          <w:rFonts w:cs="Times New Roman"/>
          <w:bCs/>
          <w:szCs w:val="24"/>
          <w:lang w:eastAsia="en-IN"/>
        </w:rPr>
        <w:t>Legal perceptions</w:t>
      </w:r>
      <w:r>
        <w:rPr>
          <w:rFonts w:cs="Times New Roman"/>
          <w:szCs w:val="24"/>
          <w:lang w:eastAsia="en-IN"/>
        </w:rPr>
        <w:t xml:space="preserve"> in the UK on assisted suicide and euthanasia </w:t>
      </w:r>
    </w:p>
    <w:p w14:paraId="6D4BC2CD" w14:textId="76E28F6C" w:rsidR="00C60F00" w:rsidRDefault="008D4B7B">
      <w:pPr>
        <w:spacing w:before="100" w:beforeAutospacing="1" w:after="100" w:afterAutospacing="1"/>
        <w:rPr>
          <w:rFonts w:eastAsia="Times New Roman" w:cs="Times New Roman"/>
          <w:szCs w:val="24"/>
          <w:lang w:eastAsia="en-IN"/>
        </w:rPr>
      </w:pPr>
      <w:r>
        <w:rPr>
          <w:rFonts w:eastAsia="Times New Roman" w:cs="Times New Roman"/>
          <w:szCs w:val="24"/>
          <w:lang w:eastAsia="en-IN"/>
        </w:rPr>
        <w:t xml:space="preserve">The current law in the UK is the Suicide Act 1961, which criminalises assisted suicide under </w:t>
      </w:r>
      <w:r w:rsidR="007D2357">
        <w:rPr>
          <w:rFonts w:eastAsia="Times New Roman" w:cs="Times New Roman"/>
          <w:szCs w:val="24"/>
          <w:lang w:eastAsia="en-IN"/>
        </w:rPr>
        <w:t>s. 2</w:t>
      </w:r>
      <w:r>
        <w:rPr>
          <w:rFonts w:eastAsia="Times New Roman" w:cs="Times New Roman"/>
          <w:szCs w:val="24"/>
          <w:lang w:eastAsia="en-IN"/>
        </w:rPr>
        <w:t xml:space="preserve"> of the Act. According to English law, the permission of the victim may not be relevant to the liability for terminating the life of a person</w:t>
      </w:r>
      <w:r w:rsidR="007D2357">
        <w:rPr>
          <w:rFonts w:eastAsia="Times New Roman" w:cs="Times New Roman"/>
          <w:szCs w:val="24"/>
          <w:lang w:eastAsia="en-IN"/>
        </w:rPr>
        <w:t>,</w:t>
      </w:r>
      <w:r>
        <w:rPr>
          <w:rFonts w:eastAsia="Times New Roman" w:cs="Times New Roman"/>
          <w:szCs w:val="24"/>
          <w:lang w:eastAsia="en-IN"/>
        </w:rPr>
        <w:t xml:space="preserve"> as it will still be considered murder. </w:t>
      </w:r>
      <w:r>
        <w:rPr>
          <w:rFonts w:cs="Times New Roman"/>
          <w:szCs w:val="24"/>
        </w:rPr>
        <w:t xml:space="preserve">Divya </w:t>
      </w:r>
      <w:r>
        <w:rPr>
          <w:rFonts w:eastAsia="Times New Roman" w:cs="Times New Roman"/>
          <w:szCs w:val="24"/>
          <w:lang w:eastAsia="en-IN"/>
        </w:rPr>
        <w:t xml:space="preserve">(2023) states that despite suicide being legally recognised by the Suicide Act of 1961 under s [1], any attempts, suicide incitement, abetting and aiding suicide are still deemed as crimes under s [2]. As </w:t>
      </w:r>
      <w:r>
        <w:rPr>
          <w:rFonts w:cs="Times New Roman"/>
          <w:szCs w:val="24"/>
        </w:rPr>
        <w:t>Murphy (2022</w:t>
      </w:r>
      <w:r>
        <w:rPr>
          <w:rFonts w:eastAsia="Times New Roman" w:cs="Times New Roman"/>
          <w:szCs w:val="24"/>
          <w:lang w:eastAsia="en-IN"/>
        </w:rPr>
        <w:t>) highlights</w:t>
      </w:r>
      <w:r w:rsidR="007D2357">
        <w:rPr>
          <w:rFonts w:eastAsia="Times New Roman" w:cs="Times New Roman"/>
          <w:szCs w:val="24"/>
          <w:lang w:eastAsia="en-IN"/>
        </w:rPr>
        <w:t>,</w:t>
      </w:r>
      <w:r>
        <w:rPr>
          <w:rFonts w:eastAsia="Times New Roman" w:cs="Times New Roman"/>
          <w:szCs w:val="24"/>
          <w:lang w:eastAsia="en-IN"/>
        </w:rPr>
        <w:t xml:space="preserve"> the rationale for legalising suicide is the right of people to determine their fate instead of relying on the values and morals of the state. Nonetheless, the criminalising of assisted suicide under section (2) contradicts this rationale</w:t>
      </w:r>
      <w:r w:rsidR="007D2357">
        <w:rPr>
          <w:rFonts w:eastAsia="Times New Roman" w:cs="Times New Roman"/>
          <w:szCs w:val="24"/>
          <w:lang w:eastAsia="en-IN"/>
        </w:rPr>
        <w:t>,</w:t>
      </w:r>
      <w:r>
        <w:rPr>
          <w:rFonts w:eastAsia="Times New Roman" w:cs="Times New Roman"/>
          <w:szCs w:val="24"/>
          <w:lang w:eastAsia="en-IN"/>
        </w:rPr>
        <w:t xml:space="preserve"> which is criticised, particularly considering terminally ill people who are incapable of deciding to end their lives and would need </w:t>
      </w:r>
      <w:r w:rsidR="007D2357">
        <w:rPr>
          <w:rFonts w:eastAsia="Times New Roman" w:cs="Times New Roman"/>
          <w:szCs w:val="24"/>
          <w:lang w:eastAsia="en-IN"/>
        </w:rPr>
        <w:t xml:space="preserve">the </w:t>
      </w:r>
      <w:r>
        <w:rPr>
          <w:rFonts w:eastAsia="Times New Roman" w:cs="Times New Roman"/>
          <w:szCs w:val="24"/>
          <w:lang w:eastAsia="en-IN"/>
        </w:rPr>
        <w:t>assistance</w:t>
      </w:r>
      <w:r w:rsidR="009A753C">
        <w:rPr>
          <w:rFonts w:eastAsia="Times New Roman" w:cs="Times New Roman"/>
          <w:szCs w:val="24"/>
          <w:lang w:eastAsia="en-IN"/>
        </w:rPr>
        <w:t xml:space="preserve"> of </w:t>
      </w:r>
      <w:r w:rsidR="007D2357">
        <w:rPr>
          <w:rFonts w:eastAsia="Times New Roman" w:cs="Times New Roman"/>
          <w:szCs w:val="24"/>
          <w:lang w:eastAsia="en-IN"/>
        </w:rPr>
        <w:t xml:space="preserve">a </w:t>
      </w:r>
      <w:r w:rsidR="009A753C">
        <w:rPr>
          <w:rFonts w:eastAsia="Times New Roman" w:cs="Times New Roman"/>
          <w:szCs w:val="24"/>
          <w:lang w:eastAsia="en-IN"/>
        </w:rPr>
        <w:t>physician</w:t>
      </w:r>
      <w:r>
        <w:rPr>
          <w:rFonts w:eastAsia="Times New Roman" w:cs="Times New Roman"/>
          <w:szCs w:val="24"/>
          <w:lang w:eastAsia="en-IN"/>
        </w:rPr>
        <w:t xml:space="preserve"> </w:t>
      </w:r>
      <w:r w:rsidR="007D2357">
        <w:rPr>
          <w:rFonts w:eastAsia="Times New Roman" w:cs="Times New Roman"/>
          <w:szCs w:val="24"/>
          <w:lang w:eastAsia="en-IN"/>
        </w:rPr>
        <w:t>to make</w:t>
      </w:r>
      <w:r>
        <w:rPr>
          <w:rFonts w:eastAsia="Times New Roman" w:cs="Times New Roman"/>
          <w:szCs w:val="24"/>
          <w:lang w:eastAsia="en-IN"/>
        </w:rPr>
        <w:t xml:space="preserve"> such a decision</w:t>
      </w:r>
      <w:r w:rsidR="009A753C">
        <w:rPr>
          <w:rFonts w:eastAsia="Times New Roman" w:cs="Times New Roman"/>
          <w:szCs w:val="24"/>
          <w:lang w:eastAsia="en-IN"/>
        </w:rPr>
        <w:t xml:space="preserve"> (</w:t>
      </w:r>
      <w:r w:rsidR="009A753C">
        <w:rPr>
          <w:rFonts w:cs="Times New Roman"/>
          <w:color w:val="222222"/>
          <w:szCs w:val="24"/>
          <w:highlight w:val="yellow"/>
          <w:shd w:val="clear" w:color="auto" w:fill="FFFFFF"/>
        </w:rPr>
        <w:t xml:space="preserve">Ahmad, Masum, &amp; Ali, </w:t>
      </w:r>
      <w:r w:rsidR="009A753C" w:rsidRPr="00A827FA">
        <w:rPr>
          <w:rFonts w:cs="Times New Roman"/>
          <w:color w:val="222222"/>
          <w:szCs w:val="24"/>
          <w:highlight w:val="yellow"/>
          <w:shd w:val="clear" w:color="auto" w:fill="FFFFFF"/>
        </w:rPr>
        <w:t>2024)</w:t>
      </w:r>
      <w:r>
        <w:rPr>
          <w:rFonts w:eastAsia="Times New Roman" w:cs="Times New Roman"/>
          <w:szCs w:val="24"/>
          <w:lang w:eastAsia="en-IN"/>
        </w:rPr>
        <w:t xml:space="preserve">. Thus, the conflict between autonomy and the ethical dilemma of committing a crime has been a contested debate in terms of legalising AS and euthanasia. </w:t>
      </w:r>
    </w:p>
    <w:p w14:paraId="0E7D196D" w14:textId="77777777" w:rsidR="00C60F00" w:rsidRDefault="008D4B7B">
      <w:pPr>
        <w:spacing w:before="100" w:beforeAutospacing="1" w:after="100" w:afterAutospacing="1"/>
        <w:rPr>
          <w:rFonts w:eastAsia="Times New Roman" w:cs="Times New Roman"/>
          <w:szCs w:val="24"/>
          <w:u w:val="single"/>
          <w:lang w:eastAsia="en-IN"/>
        </w:rPr>
      </w:pPr>
      <w:r>
        <w:rPr>
          <w:rFonts w:eastAsia="Times New Roman" w:cs="Times New Roman"/>
          <w:szCs w:val="24"/>
          <w:u w:val="single"/>
          <w:lang w:eastAsia="en-IN"/>
        </w:rPr>
        <w:t xml:space="preserve">Autonomy vs sanctity of life </w:t>
      </w:r>
    </w:p>
    <w:p w14:paraId="70453440" w14:textId="3D16BF83" w:rsidR="00C60F00" w:rsidRDefault="008D4B7B">
      <w:pPr>
        <w:spacing w:before="100" w:beforeAutospacing="1" w:after="100" w:afterAutospacing="1"/>
        <w:rPr>
          <w:rFonts w:cs="Times New Roman"/>
          <w:szCs w:val="24"/>
        </w:rPr>
      </w:pPr>
      <w:r>
        <w:rPr>
          <w:rFonts w:eastAsia="Times New Roman" w:cs="Times New Roman"/>
          <w:szCs w:val="24"/>
          <w:lang w:eastAsia="en-IN"/>
        </w:rPr>
        <w:t xml:space="preserve">The autonomy argument is common in the medical context due to the influence of medical ethics. </w:t>
      </w:r>
      <w:r>
        <w:rPr>
          <w:rFonts w:cs="Times New Roman"/>
          <w:szCs w:val="24"/>
        </w:rPr>
        <w:t>Murphy (2022</w:t>
      </w:r>
      <w:r>
        <w:rPr>
          <w:rFonts w:eastAsia="Times New Roman" w:cs="Times New Roman"/>
          <w:szCs w:val="24"/>
          <w:lang w:eastAsia="en-IN"/>
        </w:rPr>
        <w:t>) points out that the autonomy of patients is indispensable to determining the rights of the concerned patient to terminate their lives</w:t>
      </w:r>
      <w:r w:rsidR="007D2357">
        <w:rPr>
          <w:rFonts w:eastAsia="Times New Roman" w:cs="Times New Roman"/>
          <w:szCs w:val="24"/>
          <w:lang w:eastAsia="en-IN"/>
        </w:rPr>
        <w:t>;</w:t>
      </w:r>
      <w:r>
        <w:rPr>
          <w:rFonts w:eastAsia="Times New Roman" w:cs="Times New Roman"/>
          <w:szCs w:val="24"/>
          <w:lang w:eastAsia="en-IN"/>
        </w:rPr>
        <w:t xml:space="preserve"> an individual's autonomy cannot be respected when they cannot make such decisions. In a medical context, patients must have the capacity to provide informed consent</w:t>
      </w:r>
      <w:r w:rsidR="007D2357">
        <w:rPr>
          <w:rFonts w:eastAsia="Times New Roman" w:cs="Times New Roman"/>
          <w:szCs w:val="24"/>
          <w:lang w:eastAsia="en-IN"/>
        </w:rPr>
        <w:t>;</w:t>
      </w:r>
      <w:r>
        <w:rPr>
          <w:rFonts w:eastAsia="Times New Roman" w:cs="Times New Roman"/>
          <w:szCs w:val="24"/>
          <w:lang w:eastAsia="en-IN"/>
        </w:rPr>
        <w:t xml:space="preserve"> otherwise</w:t>
      </w:r>
      <w:r w:rsidR="007D2357">
        <w:rPr>
          <w:rFonts w:eastAsia="Times New Roman" w:cs="Times New Roman"/>
          <w:szCs w:val="24"/>
          <w:lang w:eastAsia="en-IN"/>
        </w:rPr>
        <w:t>,</w:t>
      </w:r>
      <w:r>
        <w:rPr>
          <w:rFonts w:eastAsia="Times New Roman" w:cs="Times New Roman"/>
          <w:szCs w:val="24"/>
          <w:lang w:eastAsia="en-IN"/>
        </w:rPr>
        <w:t xml:space="preserve"> physicians must act in the best interest of the patient</w:t>
      </w:r>
      <w:r w:rsidR="0092265A">
        <w:rPr>
          <w:rFonts w:eastAsia="Times New Roman" w:cs="Times New Roman"/>
          <w:szCs w:val="24"/>
          <w:lang w:eastAsia="en-IN"/>
        </w:rPr>
        <w:t xml:space="preserve"> (</w:t>
      </w:r>
      <w:r w:rsidR="0092265A">
        <w:rPr>
          <w:rFonts w:cs="Times New Roman"/>
          <w:color w:val="222222"/>
          <w:szCs w:val="24"/>
          <w:highlight w:val="yellow"/>
          <w:shd w:val="clear" w:color="auto" w:fill="FFFFFF"/>
        </w:rPr>
        <w:t xml:space="preserve">Doherty, </w:t>
      </w:r>
      <w:r w:rsidR="0092265A" w:rsidRPr="00A827FA">
        <w:rPr>
          <w:rFonts w:cs="Times New Roman"/>
          <w:color w:val="222222"/>
          <w:szCs w:val="24"/>
          <w:highlight w:val="yellow"/>
          <w:shd w:val="clear" w:color="auto" w:fill="FFFFFF"/>
        </w:rPr>
        <w:t>Axe</w:t>
      </w:r>
      <w:r w:rsidR="0092265A">
        <w:rPr>
          <w:rFonts w:cs="Times New Roman"/>
          <w:color w:val="222222"/>
          <w:szCs w:val="24"/>
          <w:highlight w:val="yellow"/>
          <w:shd w:val="clear" w:color="auto" w:fill="FFFFFF"/>
        </w:rPr>
        <w:t xml:space="preserve">  &amp; Jones, 2022)</w:t>
      </w:r>
      <w:r>
        <w:rPr>
          <w:rFonts w:eastAsia="Times New Roman" w:cs="Times New Roman"/>
          <w:szCs w:val="24"/>
          <w:lang w:eastAsia="en-IN"/>
        </w:rPr>
        <w:t xml:space="preserve">. According to </w:t>
      </w:r>
      <w:r w:rsidR="007D2357">
        <w:rPr>
          <w:rFonts w:eastAsia="Times New Roman" w:cs="Times New Roman"/>
          <w:szCs w:val="24"/>
          <w:lang w:eastAsia="en-IN"/>
        </w:rPr>
        <w:t>section</w:t>
      </w:r>
      <w:r>
        <w:rPr>
          <w:rFonts w:eastAsia="Times New Roman" w:cs="Times New Roman"/>
          <w:szCs w:val="24"/>
          <w:lang w:eastAsia="en-IN"/>
        </w:rPr>
        <w:t xml:space="preserve"> 2 of the Mental Capacity Act 2005, it is assumed that a patient can make decisions unless incapacity is proven. Thus, it can be said that an adult may exercise his or her autonomy rights unless they cannot understand the information given regarding their health to make an informed consent. In contrast, </w:t>
      </w:r>
      <w:r>
        <w:rPr>
          <w:rFonts w:cs="Times New Roman"/>
          <w:szCs w:val="24"/>
          <w:shd w:val="clear" w:color="auto" w:fill="FFFFFF"/>
        </w:rPr>
        <w:t xml:space="preserve">Liddane </w:t>
      </w:r>
      <w:r>
        <w:rPr>
          <w:rFonts w:cs="Times New Roman"/>
          <w:szCs w:val="24"/>
          <w:shd w:val="clear" w:color="auto" w:fill="FFFFFF"/>
        </w:rPr>
        <w:lastRenderedPageBreak/>
        <w:t xml:space="preserve">(2013) </w:t>
      </w:r>
      <w:r>
        <w:rPr>
          <w:rFonts w:eastAsia="Times New Roman" w:cs="Times New Roman"/>
          <w:szCs w:val="24"/>
          <w:lang w:eastAsia="en-IN"/>
        </w:rPr>
        <w:t xml:space="preserve">refers to the ruling in </w:t>
      </w:r>
      <w:r>
        <w:rPr>
          <w:rFonts w:cs="Times New Roman"/>
          <w:szCs w:val="24"/>
        </w:rPr>
        <w:t xml:space="preserve">Heart of England NHS Foundation Trust v JB [2014] where a person can make a decision such person is deemed to have the right to refuse or accept medical treatment irrespective of the consequences of the decision, however, despite this reasonable position on the autonomy issue, it is crucial to understand that although an individual may be capable of consenting assisted dying, it is illegal that cannot be justified with consent under the English law. </w:t>
      </w:r>
    </w:p>
    <w:p w14:paraId="29F26A4C" w14:textId="77777777" w:rsidR="00C60F00" w:rsidRDefault="008D4B7B">
      <w:pPr>
        <w:pStyle w:val="Heading1"/>
        <w:rPr>
          <w:rFonts w:eastAsia="Times New Roman"/>
          <w:lang w:eastAsia="en-IN"/>
        </w:rPr>
      </w:pPr>
      <w:bookmarkStart w:id="3" w:name="_Toc200899321"/>
      <w:r>
        <w:rPr>
          <w:rFonts w:eastAsia="Times New Roman"/>
          <w:lang w:eastAsia="en-IN"/>
        </w:rPr>
        <w:t>III. Legal challenges</w:t>
      </w:r>
      <w:bookmarkEnd w:id="3"/>
      <w:r>
        <w:rPr>
          <w:rFonts w:eastAsia="Times New Roman"/>
          <w:lang w:eastAsia="en-IN"/>
        </w:rPr>
        <w:t xml:space="preserve"> </w:t>
      </w:r>
    </w:p>
    <w:p w14:paraId="53E4A094" w14:textId="1D247E2F" w:rsidR="00C60F00" w:rsidRDefault="008D4B7B">
      <w:pPr>
        <w:spacing w:before="100" w:beforeAutospacing="1" w:after="100" w:afterAutospacing="1"/>
        <w:rPr>
          <w:rFonts w:eastAsia="Times New Roman" w:cs="Times New Roman"/>
          <w:szCs w:val="24"/>
          <w:lang w:eastAsia="en-IN"/>
        </w:rPr>
      </w:pPr>
      <w:r>
        <w:rPr>
          <w:rFonts w:eastAsia="Times New Roman" w:cs="Times New Roman"/>
          <w:szCs w:val="24"/>
          <w:lang w:eastAsia="en-IN"/>
        </w:rPr>
        <w:t>In the UK, the conflicting rationale for decriminalising physician-assisted suicide but criminalising assisted suicide and euthanasia has been a major legal constraint. Withholding life-saving treatment is not criminalised like assisted suicide or the act of euthanasia</w:t>
      </w:r>
      <w:r w:rsidR="007D2357">
        <w:rPr>
          <w:rFonts w:eastAsia="Times New Roman" w:cs="Times New Roman"/>
          <w:szCs w:val="24"/>
          <w:lang w:eastAsia="en-IN"/>
        </w:rPr>
        <w:t>,</w:t>
      </w:r>
      <w:r>
        <w:rPr>
          <w:rFonts w:eastAsia="Times New Roman" w:cs="Times New Roman"/>
          <w:szCs w:val="24"/>
          <w:lang w:eastAsia="en-IN"/>
        </w:rPr>
        <w:t xml:space="preserve"> despite fulfilling the same objective of terminating the lives of patients from unbearable suffering (</w:t>
      </w:r>
      <w:r>
        <w:rPr>
          <w:rFonts w:cs="Times New Roman"/>
          <w:szCs w:val="24"/>
          <w:shd w:val="clear" w:color="auto" w:fill="FFFFFF"/>
        </w:rPr>
        <w:t>Liddane, 2013)</w:t>
      </w:r>
      <w:r>
        <w:rPr>
          <w:rFonts w:eastAsia="Times New Roman" w:cs="Times New Roman"/>
          <w:szCs w:val="24"/>
          <w:lang w:eastAsia="en-IN"/>
        </w:rPr>
        <w:t>. It can be inferred that the right to deny life-sustaining treatment</w:t>
      </w:r>
      <w:r w:rsidR="007D2357">
        <w:rPr>
          <w:rFonts w:eastAsia="Times New Roman" w:cs="Times New Roman"/>
          <w:szCs w:val="24"/>
          <w:lang w:eastAsia="en-IN"/>
        </w:rPr>
        <w:t>,</w:t>
      </w:r>
      <w:r>
        <w:rPr>
          <w:rFonts w:eastAsia="Times New Roman" w:cs="Times New Roman"/>
          <w:szCs w:val="24"/>
          <w:lang w:eastAsia="en-IN"/>
        </w:rPr>
        <w:t xml:space="preserve"> exercising their autonomy</w:t>
      </w:r>
      <w:r w:rsidR="007D2357">
        <w:rPr>
          <w:rFonts w:eastAsia="Times New Roman" w:cs="Times New Roman"/>
          <w:szCs w:val="24"/>
          <w:lang w:eastAsia="en-IN"/>
        </w:rPr>
        <w:t>,</w:t>
      </w:r>
      <w:r>
        <w:rPr>
          <w:rFonts w:eastAsia="Times New Roman" w:cs="Times New Roman"/>
          <w:szCs w:val="24"/>
          <w:lang w:eastAsia="en-IN"/>
        </w:rPr>
        <w:t xml:space="preserve"> is legal</w:t>
      </w:r>
      <w:r w:rsidR="007D2357">
        <w:rPr>
          <w:rFonts w:eastAsia="Times New Roman" w:cs="Times New Roman"/>
          <w:szCs w:val="24"/>
          <w:lang w:eastAsia="en-IN"/>
        </w:rPr>
        <w:t>,</w:t>
      </w:r>
      <w:r>
        <w:rPr>
          <w:rFonts w:eastAsia="Times New Roman" w:cs="Times New Roman"/>
          <w:szCs w:val="24"/>
          <w:lang w:eastAsia="en-IN"/>
        </w:rPr>
        <w:t xml:space="preserve"> but the law condemns any assistance provided to help patients make the decision. In contrast, this legal challenge is mitigated when it is established that withholding life-saving treatment may terminate one’s life unless it is in the best interest of the patient and does not deprive the patient of life and is assisted by a physician (</w:t>
      </w:r>
      <w:r>
        <w:rPr>
          <w:rFonts w:cs="Times New Roman"/>
          <w:szCs w:val="24"/>
          <w:shd w:val="clear" w:color="auto" w:fill="FFFFFF"/>
        </w:rPr>
        <w:t>Hicks, 2006).</w:t>
      </w:r>
      <w:r>
        <w:rPr>
          <w:rFonts w:eastAsia="Times New Roman" w:cs="Times New Roman"/>
          <w:szCs w:val="24"/>
          <w:lang w:eastAsia="en-IN"/>
        </w:rPr>
        <w:t xml:space="preserve"> The ruling in Airedale NHS Trust v Bland [1993]</w:t>
      </w:r>
      <w:r w:rsidR="007D2357">
        <w:rPr>
          <w:rFonts w:eastAsia="Times New Roman" w:cs="Times New Roman"/>
          <w:szCs w:val="24"/>
          <w:lang w:eastAsia="en-IN"/>
        </w:rPr>
        <w:t>,</w:t>
      </w:r>
      <w:r>
        <w:rPr>
          <w:rFonts w:eastAsia="Times New Roman" w:cs="Times New Roman"/>
          <w:szCs w:val="24"/>
          <w:lang w:eastAsia="en-IN"/>
        </w:rPr>
        <w:t xml:space="preserve"> where a seventeen-year-old patient suffered a severe brain injury that left him in a persistent vegetative state or PVS. According to medical professionals, they withdrew from life-saving treatment since there was no scope for recovery for the patient</w:t>
      </w:r>
      <w:r w:rsidR="007D2357">
        <w:rPr>
          <w:rFonts w:eastAsia="Times New Roman" w:cs="Times New Roman"/>
          <w:szCs w:val="24"/>
          <w:lang w:eastAsia="en-IN"/>
        </w:rPr>
        <w:t>,</w:t>
      </w:r>
      <w:r>
        <w:rPr>
          <w:rFonts w:eastAsia="Times New Roman" w:cs="Times New Roman"/>
          <w:szCs w:val="24"/>
          <w:lang w:eastAsia="en-IN"/>
        </w:rPr>
        <w:t xml:space="preserve"> except for staying alive with unbearable pain and suffering</w:t>
      </w:r>
      <w:r w:rsidR="006219B3">
        <w:rPr>
          <w:rFonts w:eastAsia="Times New Roman" w:cs="Times New Roman"/>
          <w:szCs w:val="24"/>
          <w:lang w:eastAsia="en-IN"/>
        </w:rPr>
        <w:t xml:space="preserve"> (</w:t>
      </w:r>
      <w:r w:rsidR="006219B3">
        <w:rPr>
          <w:rFonts w:cs="Times New Roman"/>
          <w:color w:val="222222"/>
          <w:szCs w:val="24"/>
          <w:highlight w:val="yellow"/>
          <w:shd w:val="clear" w:color="auto" w:fill="FFFFFF"/>
        </w:rPr>
        <w:t>Martin, 2021)</w:t>
      </w:r>
      <w:r>
        <w:rPr>
          <w:rFonts w:eastAsia="Times New Roman" w:cs="Times New Roman"/>
          <w:szCs w:val="24"/>
          <w:lang w:eastAsia="en-IN"/>
        </w:rPr>
        <w:t>. Although the case did not engage with the autonomy issue of removing life-sustaining treatment, it was held legal since it conveyed the significance of dying with dignity</w:t>
      </w:r>
      <w:r w:rsidR="007D2357">
        <w:rPr>
          <w:rFonts w:eastAsia="Times New Roman" w:cs="Times New Roman"/>
          <w:szCs w:val="24"/>
          <w:lang w:eastAsia="en-IN"/>
        </w:rPr>
        <w:t>,</w:t>
      </w:r>
      <w:r>
        <w:rPr>
          <w:rFonts w:eastAsia="Times New Roman" w:cs="Times New Roman"/>
          <w:szCs w:val="24"/>
          <w:lang w:eastAsia="en-IN"/>
        </w:rPr>
        <w:t xml:space="preserve"> relieving the patient from suffering</w:t>
      </w:r>
      <w:r w:rsidR="007D2357">
        <w:rPr>
          <w:rFonts w:eastAsia="Times New Roman" w:cs="Times New Roman"/>
          <w:szCs w:val="24"/>
          <w:lang w:eastAsia="en-IN"/>
        </w:rPr>
        <w:t>,</w:t>
      </w:r>
      <w:r>
        <w:rPr>
          <w:rFonts w:eastAsia="Times New Roman" w:cs="Times New Roman"/>
          <w:szCs w:val="24"/>
          <w:lang w:eastAsia="en-IN"/>
        </w:rPr>
        <w:t xml:space="preserve"> which also rationalises the legalisation of AS and euthanasia. Nonetheless, in the UK context, it is confusing as a patient in a PVS state with no capacity to make </w:t>
      </w:r>
      <w:r w:rsidR="007D2357">
        <w:rPr>
          <w:rFonts w:eastAsia="Times New Roman" w:cs="Times New Roman"/>
          <w:szCs w:val="24"/>
          <w:lang w:eastAsia="en-IN"/>
        </w:rPr>
        <w:t xml:space="preserve">an </w:t>
      </w:r>
      <w:r>
        <w:rPr>
          <w:rFonts w:eastAsia="Times New Roman" w:cs="Times New Roman"/>
          <w:szCs w:val="24"/>
          <w:lang w:eastAsia="en-IN"/>
        </w:rPr>
        <w:t>informed decision was granted dignified death</w:t>
      </w:r>
      <w:r w:rsidR="007D2357">
        <w:rPr>
          <w:rFonts w:eastAsia="Times New Roman" w:cs="Times New Roman"/>
          <w:szCs w:val="24"/>
          <w:lang w:eastAsia="en-IN"/>
        </w:rPr>
        <w:t>,</w:t>
      </w:r>
      <w:r>
        <w:rPr>
          <w:rFonts w:eastAsia="Times New Roman" w:cs="Times New Roman"/>
          <w:szCs w:val="24"/>
          <w:lang w:eastAsia="en-IN"/>
        </w:rPr>
        <w:t xml:space="preserve"> while a fully conscious person with a terminal illness requesting for same treatment is not legalised. </w:t>
      </w:r>
    </w:p>
    <w:p w14:paraId="04F125BC" w14:textId="0A06DC79" w:rsidR="00C60F00" w:rsidRDefault="008D4B7B">
      <w:pPr>
        <w:spacing w:before="100" w:beforeAutospacing="1" w:after="100" w:afterAutospacing="1"/>
        <w:rPr>
          <w:rFonts w:eastAsia="Times New Roman" w:cs="Times New Roman"/>
          <w:szCs w:val="24"/>
          <w:lang w:eastAsia="en-IN"/>
        </w:rPr>
      </w:pPr>
      <w:r>
        <w:rPr>
          <w:rFonts w:eastAsia="Times New Roman" w:cs="Times New Roman"/>
          <w:szCs w:val="24"/>
          <w:lang w:eastAsia="en-IN"/>
        </w:rPr>
        <w:t xml:space="preserve">The </w:t>
      </w:r>
      <w:r>
        <w:rPr>
          <w:rFonts w:eastAsia="Times New Roman" w:cs="Times New Roman"/>
          <w:i/>
          <w:szCs w:val="24"/>
          <w:lang w:eastAsia="en-IN"/>
        </w:rPr>
        <w:t>Bland</w:t>
      </w:r>
      <w:r>
        <w:rPr>
          <w:rFonts w:eastAsia="Times New Roman" w:cs="Times New Roman"/>
          <w:szCs w:val="24"/>
          <w:lang w:eastAsia="en-IN"/>
        </w:rPr>
        <w:t xml:space="preserve"> ruling relied on the ‘best interest’ test applied in Bolam v Friern Hospital Management Committee [1957]</w:t>
      </w:r>
      <w:r w:rsidR="007D2357">
        <w:rPr>
          <w:rFonts w:eastAsia="Times New Roman" w:cs="Times New Roman"/>
          <w:szCs w:val="24"/>
          <w:lang w:eastAsia="en-IN"/>
        </w:rPr>
        <w:t>,</w:t>
      </w:r>
      <w:r>
        <w:rPr>
          <w:rFonts w:eastAsia="Times New Roman" w:cs="Times New Roman"/>
          <w:szCs w:val="24"/>
          <w:lang w:eastAsia="en-IN"/>
        </w:rPr>
        <w:t xml:space="preserve"> which legalised withdrawal of life treatment as opposed to assisted suicide or euthanasia. Murphy (2023) points out that the doctors' determination to </w:t>
      </w:r>
      <w:r>
        <w:rPr>
          <w:rFonts w:eastAsia="Times New Roman" w:cs="Times New Roman"/>
          <w:szCs w:val="24"/>
          <w:lang w:eastAsia="en-IN"/>
        </w:rPr>
        <w:lastRenderedPageBreak/>
        <w:t xml:space="preserve">withdraw life-saving treatment was justified based on the value of therapy and the lack of value of other treatments observed in Blend's case. The test introduced in the </w:t>
      </w:r>
      <w:r>
        <w:rPr>
          <w:rFonts w:eastAsia="Times New Roman" w:cs="Times New Roman"/>
          <w:i/>
          <w:szCs w:val="24"/>
          <w:lang w:eastAsia="en-IN"/>
        </w:rPr>
        <w:t>Bolam case</w:t>
      </w:r>
      <w:r>
        <w:rPr>
          <w:rFonts w:eastAsia="Times New Roman" w:cs="Times New Roman"/>
          <w:szCs w:val="24"/>
          <w:lang w:eastAsia="en-IN"/>
        </w:rPr>
        <w:t xml:space="preserve"> defended medical professionals against negligent claims when they determined to withdraw life-saving treatment if established that their act was deemed justified by a responsible medical opinion skilled in that particular treatment in question (Murphy, 2023). Thus, these findings suggest that in both </w:t>
      </w:r>
      <w:r w:rsidR="007D2357">
        <w:rPr>
          <w:rFonts w:eastAsia="Times New Roman" w:cs="Times New Roman"/>
          <w:szCs w:val="24"/>
          <w:lang w:eastAsia="en-IN"/>
        </w:rPr>
        <w:t xml:space="preserve">the </w:t>
      </w:r>
      <w:r>
        <w:rPr>
          <w:rFonts w:eastAsia="Times New Roman" w:cs="Times New Roman"/>
          <w:szCs w:val="24"/>
          <w:lang w:eastAsia="en-IN"/>
        </w:rPr>
        <w:t>Bolam and Bland cases where the decision to withdraw life-sustaining treatment was accepted by a body of other medical professionals. Conversely, scholars against the legalisation of assisted suicide or euthanasia argue that the Bolam case only provided a defence for doctors justifying their action of terminating patients against any negligent claims (</w:t>
      </w:r>
      <w:r>
        <w:rPr>
          <w:rFonts w:cs="Times New Roman"/>
          <w:szCs w:val="24"/>
          <w:shd w:val="clear" w:color="auto" w:fill="FFFFFF"/>
        </w:rPr>
        <w:t>Liddane, 2013)</w:t>
      </w:r>
      <w:r>
        <w:rPr>
          <w:rFonts w:eastAsia="Times New Roman" w:cs="Times New Roman"/>
          <w:szCs w:val="24"/>
          <w:lang w:eastAsia="en-IN"/>
        </w:rPr>
        <w:t>. Nonetheless, in Bland case, the Court of Appeal established that the case does not justify Euthanasia or assisted suicide rather it mainly deals with determining if withdrawing the life system was lawful and necessary in the best interest of a patient in a PVS state who has no scope of recovery even with treatment which only would make it undignified and worse according to the family of the patient (</w:t>
      </w:r>
      <w:r>
        <w:rPr>
          <w:rFonts w:cs="Times New Roman"/>
          <w:szCs w:val="24"/>
          <w:shd w:val="clear" w:color="auto" w:fill="FFFFFF"/>
        </w:rPr>
        <w:t>Pentaris &amp; Jacobs, 2022)</w:t>
      </w:r>
      <w:r>
        <w:rPr>
          <w:rFonts w:eastAsia="Times New Roman" w:cs="Times New Roman"/>
          <w:szCs w:val="24"/>
          <w:lang w:eastAsia="en-IN"/>
        </w:rPr>
        <w:t xml:space="preserve">. However, even though the Court dismissed the notion that the case ruling is connected to the issue of assisted suicide, the best-interest and consciousness concepts must be applied equally to justify euthanasia and assisted suicide when a patient with a terminal illness but with consciousness requests for dignified death like a patient in a PVS state without consciousness. </w:t>
      </w:r>
    </w:p>
    <w:p w14:paraId="32415A37" w14:textId="77777777" w:rsidR="00C60F00" w:rsidRDefault="008D4B7B">
      <w:pPr>
        <w:pStyle w:val="Heading1"/>
        <w:rPr>
          <w:rFonts w:eastAsia="Times New Roman"/>
          <w:lang w:eastAsia="en-IN"/>
        </w:rPr>
      </w:pPr>
      <w:bookmarkStart w:id="4" w:name="_Toc200899322"/>
      <w:r>
        <w:rPr>
          <w:rFonts w:eastAsia="Times New Roman"/>
          <w:lang w:eastAsia="en-IN"/>
        </w:rPr>
        <w:t xml:space="preserve">IV. Relevance of the Human Rights Act 1998 [HRA] and </w:t>
      </w:r>
      <w:r>
        <w:rPr>
          <w:rFonts w:eastAsia="Times New Roman"/>
          <w:bCs/>
          <w:lang w:eastAsia="en-IN"/>
        </w:rPr>
        <w:t>Articles 2 &amp; 8 (ECHR)</w:t>
      </w:r>
      <w:r>
        <w:rPr>
          <w:rFonts w:eastAsia="Times New Roman"/>
          <w:lang w:eastAsia="en-IN"/>
        </w:rPr>
        <w:t xml:space="preserve"> in legalising euthanasia or assisted suicide</w:t>
      </w:r>
      <w:bookmarkEnd w:id="4"/>
    </w:p>
    <w:p w14:paraId="102EBD4F" w14:textId="51C352A8" w:rsidR="00C60F00" w:rsidRDefault="008D4B7B">
      <w:pPr>
        <w:spacing w:before="100" w:beforeAutospacing="1" w:after="100" w:afterAutospacing="1"/>
        <w:rPr>
          <w:rFonts w:eastAsia="Times New Roman" w:cs="Times New Roman"/>
          <w:szCs w:val="24"/>
          <w:lang w:eastAsia="en-IN"/>
        </w:rPr>
      </w:pPr>
      <w:r>
        <w:rPr>
          <w:rFonts w:eastAsia="Times New Roman" w:cs="Times New Roman"/>
          <w:szCs w:val="24"/>
          <w:lang w:eastAsia="en-IN"/>
        </w:rPr>
        <w:t>Human rights have been dealing with conflicted cases that highlight the dilemma between individual rights and existing laws on assisted suicide and euthanasia</w:t>
      </w:r>
      <w:r w:rsidR="009A753C">
        <w:rPr>
          <w:rFonts w:eastAsia="Times New Roman" w:cs="Times New Roman"/>
          <w:szCs w:val="24"/>
          <w:lang w:eastAsia="en-IN"/>
        </w:rPr>
        <w:t xml:space="preserve"> </w:t>
      </w:r>
      <w:r w:rsidR="009A753C">
        <w:rPr>
          <w:rFonts w:cs="Times New Roman"/>
          <w:color w:val="222222"/>
          <w:szCs w:val="24"/>
          <w:highlight w:val="yellow"/>
          <w:shd w:val="clear" w:color="auto" w:fill="FFFFFF"/>
        </w:rPr>
        <w:t>Martin, 2021)</w:t>
      </w:r>
      <w:r>
        <w:rPr>
          <w:rFonts w:eastAsia="Times New Roman" w:cs="Times New Roman"/>
          <w:szCs w:val="24"/>
          <w:lang w:eastAsia="en-IN"/>
        </w:rPr>
        <w:t xml:space="preserve">. Some landmark cases offer a guideline on the right to die and individuals claiming that their human rights to end their lives have been contravened. </w:t>
      </w:r>
    </w:p>
    <w:p w14:paraId="6C21448E" w14:textId="77777777" w:rsidR="00C60F00" w:rsidRDefault="008D4B7B">
      <w:pPr>
        <w:spacing w:before="100" w:beforeAutospacing="1" w:after="100" w:afterAutospacing="1"/>
        <w:rPr>
          <w:rFonts w:eastAsia="Times New Roman" w:cs="Times New Roman"/>
          <w:szCs w:val="24"/>
          <w:u w:val="single"/>
          <w:lang w:eastAsia="en-IN"/>
        </w:rPr>
      </w:pPr>
      <w:r>
        <w:rPr>
          <w:rFonts w:eastAsia="Times New Roman" w:cs="Times New Roman"/>
          <w:szCs w:val="24"/>
          <w:u w:val="single"/>
          <w:lang w:eastAsia="en-IN"/>
        </w:rPr>
        <w:t>R (Pretty) v DPP [2002] 1 AC 800</w:t>
      </w:r>
    </w:p>
    <w:p w14:paraId="534FF904" w14:textId="4679C86A" w:rsidR="00C60F00" w:rsidRDefault="008D4B7B">
      <w:pPr>
        <w:spacing w:before="100" w:beforeAutospacing="1" w:after="100" w:afterAutospacing="1"/>
        <w:rPr>
          <w:rFonts w:eastAsia="Times New Roman" w:cs="Times New Roman"/>
          <w:szCs w:val="24"/>
          <w:lang w:eastAsia="en-IN"/>
        </w:rPr>
      </w:pPr>
      <w:r>
        <w:rPr>
          <w:rFonts w:eastAsia="Times New Roman" w:cs="Times New Roman"/>
          <w:szCs w:val="24"/>
          <w:lang w:eastAsia="en-IN"/>
        </w:rPr>
        <w:t xml:space="preserve">The case resolved the ambiguity of whether the HRA would impose any legal obligations on the UK to amend its laws regarding AS. Pretty sought her husband’s assistance in terminating her life as she could not take her own life due to the effects of her motor neurone disease and </w:t>
      </w:r>
      <w:r>
        <w:rPr>
          <w:rFonts w:eastAsia="Times New Roman" w:cs="Times New Roman"/>
          <w:szCs w:val="24"/>
          <w:lang w:eastAsia="en-IN"/>
        </w:rPr>
        <w:lastRenderedPageBreak/>
        <w:t>requested the DPP to assure that her husband would not be prosecuted for assisting her in committing suicide as it would be her decision. However, the DPP refused to give such an undertaking</w:t>
      </w:r>
      <w:r w:rsidR="007D2357">
        <w:rPr>
          <w:rFonts w:eastAsia="Times New Roman" w:cs="Times New Roman"/>
          <w:szCs w:val="24"/>
          <w:lang w:eastAsia="en-IN"/>
        </w:rPr>
        <w:t>,</w:t>
      </w:r>
      <w:r>
        <w:rPr>
          <w:rFonts w:eastAsia="Times New Roman" w:cs="Times New Roman"/>
          <w:szCs w:val="24"/>
          <w:lang w:eastAsia="en-IN"/>
        </w:rPr>
        <w:t xml:space="preserve"> which made the litigants appeal before the House of Lords for contravening </w:t>
      </w:r>
      <w:r w:rsidR="007D2357">
        <w:rPr>
          <w:rFonts w:eastAsia="Times New Roman" w:cs="Times New Roman"/>
          <w:szCs w:val="24"/>
          <w:lang w:eastAsia="en-IN"/>
        </w:rPr>
        <w:t>their</w:t>
      </w:r>
      <w:r>
        <w:rPr>
          <w:rFonts w:eastAsia="Times New Roman" w:cs="Times New Roman"/>
          <w:szCs w:val="24"/>
          <w:lang w:eastAsia="en-IN"/>
        </w:rPr>
        <w:t xml:space="preserve"> rights under Art 2 and 3 of the ECtHR. Art 2 entitled the right to life</w:t>
      </w:r>
      <w:r w:rsidR="007D2357">
        <w:rPr>
          <w:rFonts w:eastAsia="Times New Roman" w:cs="Times New Roman"/>
          <w:szCs w:val="24"/>
          <w:lang w:eastAsia="en-IN"/>
        </w:rPr>
        <w:t>,</w:t>
      </w:r>
      <w:r>
        <w:rPr>
          <w:rFonts w:eastAsia="Times New Roman" w:cs="Times New Roman"/>
          <w:szCs w:val="24"/>
          <w:lang w:eastAsia="en-IN"/>
        </w:rPr>
        <w:t xml:space="preserve"> while Art 3 prohibited any torture, cruel and degrading treatment against human beings. Nonetheless, her claims were also unsuccessful before the House of Lords because such an undertaking before the commission of an actual crime would be improper</w:t>
      </w:r>
      <w:r w:rsidR="007D2357">
        <w:rPr>
          <w:rFonts w:eastAsia="Times New Roman" w:cs="Times New Roman"/>
          <w:szCs w:val="24"/>
          <w:lang w:eastAsia="en-IN"/>
        </w:rPr>
        <w:t>,</w:t>
      </w:r>
      <w:r>
        <w:rPr>
          <w:rFonts w:eastAsia="Times New Roman" w:cs="Times New Roman"/>
          <w:szCs w:val="24"/>
          <w:lang w:eastAsia="en-IN"/>
        </w:rPr>
        <w:t xml:space="preserve"> and the state did not breach her Convention rights either. The court further held that if the DPP permitted such </w:t>
      </w:r>
      <w:r w:rsidR="007D2357">
        <w:rPr>
          <w:rFonts w:eastAsia="Times New Roman" w:cs="Times New Roman"/>
          <w:szCs w:val="24"/>
          <w:lang w:eastAsia="en-IN"/>
        </w:rPr>
        <w:t xml:space="preserve">an </w:t>
      </w:r>
      <w:r>
        <w:rPr>
          <w:rFonts w:eastAsia="Times New Roman" w:cs="Times New Roman"/>
          <w:szCs w:val="24"/>
          <w:lang w:eastAsia="en-IN"/>
        </w:rPr>
        <w:t>undertaking under Art 2 of the ECtHR, it would be a breach of the prohibition against assisted suicide. Art 3 also does not support her claims of a right to die with dignity</w:t>
      </w:r>
      <w:r w:rsidR="007D2357">
        <w:rPr>
          <w:rFonts w:eastAsia="Times New Roman" w:cs="Times New Roman"/>
          <w:szCs w:val="24"/>
          <w:lang w:eastAsia="en-IN"/>
        </w:rPr>
        <w:t>;</w:t>
      </w:r>
      <w:r>
        <w:rPr>
          <w:rFonts w:eastAsia="Times New Roman" w:cs="Times New Roman"/>
          <w:szCs w:val="24"/>
          <w:lang w:eastAsia="en-IN"/>
        </w:rPr>
        <w:t xml:space="preserve"> rather</w:t>
      </w:r>
      <w:r w:rsidR="007D2357">
        <w:rPr>
          <w:rFonts w:eastAsia="Times New Roman" w:cs="Times New Roman"/>
          <w:szCs w:val="24"/>
          <w:lang w:eastAsia="en-IN"/>
        </w:rPr>
        <w:t>,</w:t>
      </w:r>
      <w:r>
        <w:rPr>
          <w:rFonts w:eastAsia="Times New Roman" w:cs="Times New Roman"/>
          <w:szCs w:val="24"/>
          <w:lang w:eastAsia="en-IN"/>
        </w:rPr>
        <w:t xml:space="preserve"> the court interpreted the provision as a right of an individual to live with as much dignity as possible until life ends naturally. To accept her claims would imply distorting the legislative intent and language of Art 2 of ECtHR.</w:t>
      </w:r>
    </w:p>
    <w:p w14:paraId="3E10EAFD" w14:textId="77777777" w:rsidR="00C60F00" w:rsidRDefault="008D4B7B">
      <w:pPr>
        <w:spacing w:before="100" w:beforeAutospacing="1" w:after="100" w:afterAutospacing="1"/>
        <w:rPr>
          <w:rFonts w:eastAsia="Times New Roman" w:cs="Times New Roman"/>
          <w:szCs w:val="24"/>
          <w:u w:val="single"/>
          <w:lang w:eastAsia="en-IN"/>
        </w:rPr>
      </w:pPr>
      <w:r>
        <w:rPr>
          <w:rFonts w:eastAsia="Times New Roman" w:cs="Times New Roman"/>
          <w:szCs w:val="24"/>
          <w:u w:val="single"/>
          <w:lang w:eastAsia="en-IN"/>
        </w:rPr>
        <w:t>R (Purdy) v DPP [2008] EWHC 2565 (QB)</w:t>
      </w:r>
    </w:p>
    <w:p w14:paraId="2A13D244" w14:textId="034B78B3" w:rsidR="00C60F00" w:rsidRDefault="008D4B7B">
      <w:pPr>
        <w:spacing w:before="100" w:beforeAutospacing="1" w:after="100" w:afterAutospacing="1"/>
        <w:rPr>
          <w:rFonts w:eastAsia="Times New Roman" w:cs="Times New Roman"/>
          <w:szCs w:val="24"/>
          <w:lang w:eastAsia="en-IN"/>
        </w:rPr>
      </w:pPr>
      <w:r>
        <w:rPr>
          <w:rFonts w:eastAsia="Times New Roman" w:cs="Times New Roman"/>
          <w:szCs w:val="24"/>
          <w:lang w:eastAsia="en-IN"/>
        </w:rPr>
        <w:t xml:space="preserve">This case contradicts </w:t>
      </w:r>
      <w:r w:rsidR="007D2357">
        <w:rPr>
          <w:rFonts w:eastAsia="Times New Roman" w:cs="Times New Roman"/>
          <w:szCs w:val="24"/>
          <w:lang w:eastAsia="en-IN"/>
        </w:rPr>
        <w:t xml:space="preserve">the </w:t>
      </w:r>
      <w:r>
        <w:rPr>
          <w:rFonts w:eastAsia="Times New Roman" w:cs="Times New Roman"/>
          <w:i/>
          <w:szCs w:val="24"/>
          <w:lang w:eastAsia="en-IN"/>
        </w:rPr>
        <w:t>Pretty ruling</w:t>
      </w:r>
      <w:r>
        <w:rPr>
          <w:rFonts w:eastAsia="Times New Roman" w:cs="Times New Roman"/>
          <w:szCs w:val="24"/>
          <w:lang w:eastAsia="en-IN"/>
        </w:rPr>
        <w:t xml:space="preserve"> as the present case engaged Art 8 of the ECtHR and strikes a balance prohibition of AS under 2(1) of the Suicide Act 1961 and rights under Art 8 of the ECtHR. In this case, Purdy’s partner wanted to know if he would be prosecuted in case he assisted Purdy to travel to a jurisdiction where AS is lawful</w:t>
      </w:r>
      <w:r w:rsidR="007D2357">
        <w:rPr>
          <w:rFonts w:eastAsia="Times New Roman" w:cs="Times New Roman"/>
          <w:szCs w:val="24"/>
          <w:lang w:eastAsia="en-IN"/>
        </w:rPr>
        <w:t>,</w:t>
      </w:r>
      <w:r>
        <w:rPr>
          <w:rFonts w:eastAsia="Times New Roman" w:cs="Times New Roman"/>
          <w:szCs w:val="24"/>
          <w:lang w:eastAsia="en-IN"/>
        </w:rPr>
        <w:t xml:space="preserve"> as the Suicide Act 1961 would give rise to her rights to privacy under Art 8 of the ECtHR. The claim was successful before the House of Lords as opposed to the Pretty ruling as the uncertainty compelled Purdy to make the painful choice of terminating her life earlier than necessary to avoid implicating her husband under the Suicide Act 1961 which contravenes her right to privacy under art 8 of the Convention (</w:t>
      </w:r>
      <w:r>
        <w:rPr>
          <w:rFonts w:cs="Times New Roman"/>
          <w:szCs w:val="24"/>
          <w:shd w:val="clear" w:color="auto" w:fill="FFFFFF"/>
        </w:rPr>
        <w:t>Nandilath, 2023)</w:t>
      </w:r>
      <w:r>
        <w:rPr>
          <w:rFonts w:eastAsia="Times New Roman" w:cs="Times New Roman"/>
          <w:szCs w:val="24"/>
          <w:lang w:eastAsia="en-IN"/>
        </w:rPr>
        <w:t xml:space="preserve">. However, the Supreme Court held that while determining if prohibiting AS was contravening rights under Art 8 of ECtHR, it must also be considered that vulnerable people may also decide to end their lives under pressure if AS without doctors is granted as was also held in </w:t>
      </w:r>
      <w:r>
        <w:rPr>
          <w:rFonts w:eastAsia="Times New Roman" w:cs="Times New Roman"/>
          <w:i/>
          <w:szCs w:val="24"/>
          <w:lang w:eastAsia="en-IN"/>
        </w:rPr>
        <w:t>R (Nicklinson) v Ministry of Justice [2015].</w:t>
      </w:r>
      <w:r>
        <w:rPr>
          <w:rFonts w:eastAsia="Times New Roman" w:cs="Times New Roman"/>
          <w:szCs w:val="24"/>
          <w:lang w:eastAsia="en-IN"/>
        </w:rPr>
        <w:t xml:space="preserve"> The findings indicate that the law on AS should be reconsidered by Parliament, especially when cases on assisted dying debate are brought before </w:t>
      </w:r>
      <w:r w:rsidR="007D2357">
        <w:rPr>
          <w:rFonts w:eastAsia="Times New Roman" w:cs="Times New Roman"/>
          <w:szCs w:val="24"/>
          <w:lang w:eastAsia="en-IN"/>
        </w:rPr>
        <w:t xml:space="preserve">the </w:t>
      </w:r>
      <w:r>
        <w:rPr>
          <w:rFonts w:eastAsia="Times New Roman" w:cs="Times New Roman"/>
          <w:szCs w:val="24"/>
          <w:lang w:eastAsia="en-IN"/>
        </w:rPr>
        <w:t>ECtHR.</w:t>
      </w:r>
    </w:p>
    <w:p w14:paraId="557632D3" w14:textId="77777777" w:rsidR="00C60F00" w:rsidRDefault="008D4B7B">
      <w:pPr>
        <w:pStyle w:val="Heading1"/>
        <w:rPr>
          <w:rFonts w:eastAsia="Times New Roman"/>
          <w:lang w:eastAsia="en-IN"/>
        </w:rPr>
      </w:pPr>
      <w:bookmarkStart w:id="5" w:name="_Toc200899323"/>
      <w:r>
        <w:rPr>
          <w:rFonts w:eastAsia="Times New Roman"/>
          <w:lang w:eastAsia="en-IN"/>
        </w:rPr>
        <w:t>V. Legal Framework in the Netherlands</w:t>
      </w:r>
      <w:bookmarkEnd w:id="5"/>
    </w:p>
    <w:p w14:paraId="3288A45E" w14:textId="77777777" w:rsidR="00C60F00" w:rsidRDefault="008D4B7B">
      <w:pPr>
        <w:rPr>
          <w:b/>
          <w:bCs/>
          <w:u w:val="single"/>
          <w:lang w:eastAsia="en-IN"/>
        </w:rPr>
      </w:pPr>
      <w:r>
        <w:rPr>
          <w:bCs/>
          <w:u w:val="single"/>
          <w:lang w:eastAsia="en-IN"/>
        </w:rPr>
        <w:t>Legal perceptions</w:t>
      </w:r>
      <w:r>
        <w:rPr>
          <w:u w:val="single"/>
          <w:lang w:eastAsia="en-IN"/>
        </w:rPr>
        <w:t xml:space="preserve"> in the Netherlands on assisted suicide and euthanasia </w:t>
      </w:r>
    </w:p>
    <w:p w14:paraId="3F166A36" w14:textId="1875D1BA" w:rsidR="00C60F00" w:rsidRDefault="008D4B7B">
      <w:pPr>
        <w:spacing w:before="100" w:beforeAutospacing="1" w:after="100" w:afterAutospacing="1"/>
        <w:rPr>
          <w:rFonts w:eastAsia="Times New Roman" w:cs="Times New Roman"/>
          <w:bCs/>
          <w:szCs w:val="24"/>
          <w:lang w:eastAsia="en-IN"/>
        </w:rPr>
      </w:pPr>
      <w:r>
        <w:rPr>
          <w:rFonts w:eastAsia="Times New Roman" w:cs="Times New Roman"/>
          <w:bCs/>
          <w:szCs w:val="24"/>
          <w:lang w:eastAsia="en-IN"/>
        </w:rPr>
        <w:lastRenderedPageBreak/>
        <w:t>In the Netherlands, euthanasia and assisted dying are legalised as these concepts are perceived to terminate the lives of a patient by medical professionals. Euthanasia does not mean depriving patients of life-sustaining systems in a medical context</w:t>
      </w:r>
      <w:r w:rsidR="003D03A1">
        <w:rPr>
          <w:rFonts w:eastAsia="Times New Roman" w:cs="Times New Roman"/>
          <w:bCs/>
          <w:szCs w:val="24"/>
          <w:lang w:eastAsia="en-IN"/>
        </w:rPr>
        <w:t xml:space="preserve"> (</w:t>
      </w:r>
      <w:r w:rsidR="003D03A1">
        <w:rPr>
          <w:rFonts w:cs="Times New Roman"/>
          <w:color w:val="222222"/>
          <w:szCs w:val="24"/>
          <w:highlight w:val="yellow"/>
          <w:shd w:val="clear" w:color="auto" w:fill="FFFFFF"/>
        </w:rPr>
        <w:t xml:space="preserve">Boer </w:t>
      </w:r>
      <w:r w:rsidR="003D03A1" w:rsidRPr="00A827FA">
        <w:rPr>
          <w:rFonts w:cs="Times New Roman"/>
          <w:color w:val="222222"/>
          <w:szCs w:val="24"/>
          <w:highlight w:val="yellow"/>
          <w:shd w:val="clear" w:color="auto" w:fill="FFFFFF"/>
        </w:rPr>
        <w:t xml:space="preserve">&amp; Groenewoud, 2021). </w:t>
      </w:r>
      <w:r w:rsidR="003D03A1">
        <w:rPr>
          <w:rFonts w:eastAsia="Times New Roman" w:cs="Times New Roman"/>
          <w:bCs/>
          <w:szCs w:val="24"/>
          <w:lang w:eastAsia="en-IN"/>
        </w:rPr>
        <w:t>R</w:t>
      </w:r>
      <w:r>
        <w:rPr>
          <w:rFonts w:eastAsia="Times New Roman" w:cs="Times New Roman"/>
          <w:bCs/>
          <w:szCs w:val="24"/>
          <w:lang w:eastAsia="en-IN"/>
        </w:rPr>
        <w:t>ather</w:t>
      </w:r>
      <w:r w:rsidR="007D2357">
        <w:rPr>
          <w:rFonts w:eastAsia="Times New Roman" w:cs="Times New Roman"/>
          <w:bCs/>
          <w:szCs w:val="24"/>
          <w:lang w:eastAsia="en-IN"/>
        </w:rPr>
        <w:t>,</w:t>
      </w:r>
      <w:r>
        <w:rPr>
          <w:rFonts w:eastAsia="Times New Roman" w:cs="Times New Roman"/>
          <w:bCs/>
          <w:szCs w:val="24"/>
          <w:lang w:eastAsia="en-IN"/>
        </w:rPr>
        <w:t xml:space="preserve"> it is acceptable to administer drugs necessary to relieve pain even with the knowledge that the drugs have side effects that will </w:t>
      </w:r>
      <w:r w:rsidR="007D2357">
        <w:rPr>
          <w:rFonts w:eastAsia="Times New Roman" w:cs="Times New Roman"/>
          <w:bCs/>
          <w:szCs w:val="24"/>
          <w:lang w:eastAsia="en-IN"/>
        </w:rPr>
        <w:t>hasten</w:t>
      </w:r>
      <w:r>
        <w:rPr>
          <w:rFonts w:eastAsia="Times New Roman" w:cs="Times New Roman"/>
          <w:bCs/>
          <w:szCs w:val="24"/>
          <w:lang w:eastAsia="en-IN"/>
        </w:rPr>
        <w:t xml:space="preserve"> the process of terminating the life (</w:t>
      </w:r>
      <w:r>
        <w:rPr>
          <w:rFonts w:cs="Times New Roman"/>
          <w:szCs w:val="24"/>
          <w:shd w:val="clear" w:color="auto" w:fill="FFFFFF"/>
        </w:rPr>
        <w:t>Janssen, 2002)</w:t>
      </w:r>
      <w:r>
        <w:rPr>
          <w:rFonts w:eastAsia="Times New Roman" w:cs="Times New Roman"/>
          <w:bCs/>
          <w:szCs w:val="24"/>
          <w:lang w:eastAsia="en-IN"/>
        </w:rPr>
        <w:t>. However, the Dutch government does not deny the occurrence of euthanasia</w:t>
      </w:r>
      <w:r w:rsidR="007D2357">
        <w:rPr>
          <w:rFonts w:eastAsia="Times New Roman" w:cs="Times New Roman"/>
          <w:bCs/>
          <w:szCs w:val="24"/>
          <w:lang w:eastAsia="en-IN"/>
        </w:rPr>
        <w:t>;</w:t>
      </w:r>
      <w:r>
        <w:rPr>
          <w:rFonts w:eastAsia="Times New Roman" w:cs="Times New Roman"/>
          <w:bCs/>
          <w:szCs w:val="24"/>
          <w:lang w:eastAsia="en-IN"/>
        </w:rPr>
        <w:t xml:space="preserve"> hence, the act of terminating life on request and AS are criminal offences under articles (293) and (294) of the Dutch Criminal Code. Nonetheless, euthanasia and assisted suicide may be exempted from criminal liability if it is assisted by doctors and the six statutory criteria are satisfied.  </w:t>
      </w:r>
    </w:p>
    <w:p w14:paraId="59F57F12" w14:textId="4AC0C013" w:rsidR="00C60F00" w:rsidRDefault="008D4B7B">
      <w:pPr>
        <w:spacing w:before="100" w:beforeAutospacing="1" w:after="100" w:afterAutospacing="1"/>
        <w:rPr>
          <w:rFonts w:eastAsia="Times New Roman" w:cs="Times New Roman"/>
          <w:bCs/>
          <w:szCs w:val="24"/>
          <w:lang w:eastAsia="en-IN"/>
        </w:rPr>
      </w:pPr>
      <w:r>
        <w:rPr>
          <w:rFonts w:eastAsia="Times New Roman" w:cs="Times New Roman"/>
          <w:bCs/>
          <w:szCs w:val="24"/>
          <w:lang w:eastAsia="en-IN"/>
        </w:rPr>
        <w:t>The criteria for evaluating whether a medical professional has acted with due care must be satisfied to exempt doctors from criminal liability for performing euthanasia. First, doctors must ensure that the request for euthanasia and assisted suicide is voluntary and well-considered (Van der Heide et al, 2007). Second, a patient must be experiencing intolerable pain with no chance of improving their health condition; third, the doctor will inform the patient about their illness; fourth, there should not be any alternative solutions even after discussing with patients</w:t>
      </w:r>
      <w:r w:rsidR="006725A6">
        <w:rPr>
          <w:rFonts w:eastAsia="Times New Roman" w:cs="Times New Roman"/>
          <w:bCs/>
          <w:szCs w:val="24"/>
          <w:lang w:eastAsia="en-IN"/>
        </w:rPr>
        <w:t xml:space="preserve"> (</w:t>
      </w:r>
      <w:r w:rsidR="006725A6" w:rsidRPr="006725A6">
        <w:rPr>
          <w:rFonts w:cs="Times New Roman"/>
          <w:color w:val="222222"/>
          <w:szCs w:val="24"/>
          <w:highlight w:val="yellow"/>
          <w:shd w:val="clear" w:color="auto" w:fill="FFFFFF"/>
        </w:rPr>
        <w:t>Bosma</w:t>
      </w:r>
      <w:r w:rsidR="007D2357">
        <w:rPr>
          <w:rFonts w:cs="Times New Roman"/>
          <w:color w:val="222222"/>
          <w:szCs w:val="24"/>
          <w:highlight w:val="yellow"/>
          <w:shd w:val="clear" w:color="auto" w:fill="FFFFFF"/>
        </w:rPr>
        <w:t xml:space="preserve"> </w:t>
      </w:r>
      <w:r w:rsidR="006725A6" w:rsidRPr="006725A6">
        <w:rPr>
          <w:rFonts w:cs="Times New Roman"/>
          <w:color w:val="222222"/>
          <w:szCs w:val="24"/>
          <w:highlight w:val="yellow"/>
          <w:shd w:val="clear" w:color="auto" w:fill="FFFFFF"/>
        </w:rPr>
        <w:t>et al, 2024)</w:t>
      </w:r>
      <w:r>
        <w:rPr>
          <w:rFonts w:eastAsia="Times New Roman" w:cs="Times New Roman"/>
          <w:bCs/>
          <w:szCs w:val="24"/>
          <w:lang w:eastAsia="en-IN"/>
        </w:rPr>
        <w:t xml:space="preserve">. Fifth, at least one other physician who is not involved in the particular case must be consulted to determine if the assigned doctor has met these criteria and has made the correct decision regarding euthanasia and assisted suicide. Finally, doctors must exercise due medical care when performing the act of euthanasia and assisted suicide (Van der Heide et al, 2007). According to 2015 data, euthanasia in the Netherlands accounted for 4.5 per cent of deaths, with only 93 per cent performed by a general physician (Kouwenhoven et al, 2019). These criteria must be fulfilled by doctors before deciding to assist patients to end their lives if they wish to avoid criminal liability under the Netherlands Criminal Code.  </w:t>
      </w:r>
    </w:p>
    <w:p w14:paraId="3A18AD22" w14:textId="77777777" w:rsidR="00C60F00" w:rsidRDefault="008D4B7B">
      <w:pPr>
        <w:spacing w:line="276" w:lineRule="auto"/>
        <w:jc w:val="left"/>
        <w:rPr>
          <w:rFonts w:eastAsia="Times New Roman" w:cstheme="majorBidi"/>
          <w:b/>
          <w:sz w:val="32"/>
          <w:szCs w:val="32"/>
          <w:lang w:eastAsia="en-IN"/>
        </w:rPr>
      </w:pPr>
      <w:r>
        <w:rPr>
          <w:rFonts w:eastAsia="Times New Roman"/>
          <w:lang w:eastAsia="en-IN"/>
        </w:rPr>
        <w:br w:type="page"/>
      </w:r>
    </w:p>
    <w:p w14:paraId="5FB6B1CA" w14:textId="77777777" w:rsidR="00C60F00" w:rsidRDefault="008D4B7B">
      <w:pPr>
        <w:pStyle w:val="Heading1"/>
        <w:rPr>
          <w:rFonts w:eastAsia="Times New Roman"/>
          <w:lang w:eastAsia="en-IN"/>
        </w:rPr>
      </w:pPr>
      <w:bookmarkStart w:id="6" w:name="_Toc200899324"/>
      <w:r>
        <w:rPr>
          <w:rFonts w:eastAsia="Times New Roman"/>
          <w:lang w:eastAsia="en-IN"/>
        </w:rPr>
        <w:lastRenderedPageBreak/>
        <w:t>VI. Case example</w:t>
      </w:r>
      <w:bookmarkEnd w:id="6"/>
      <w:r>
        <w:rPr>
          <w:rFonts w:eastAsia="Times New Roman"/>
          <w:lang w:eastAsia="en-IN"/>
        </w:rPr>
        <w:t xml:space="preserve"> </w:t>
      </w:r>
    </w:p>
    <w:p w14:paraId="7ECF7450" w14:textId="77777777" w:rsidR="00C60F00" w:rsidRDefault="008D4B7B">
      <w:pPr>
        <w:spacing w:before="100" w:beforeAutospacing="1" w:after="100" w:afterAutospacing="1"/>
        <w:rPr>
          <w:rFonts w:cs="Times New Roman"/>
          <w:szCs w:val="24"/>
          <w:u w:val="single"/>
        </w:rPr>
      </w:pPr>
      <w:r>
        <w:rPr>
          <w:rFonts w:cs="Times New Roman"/>
          <w:szCs w:val="24"/>
          <w:u w:val="single"/>
        </w:rPr>
        <w:t>Office of Public Prosecutions v Chabot nr 96.972 (1994)</w:t>
      </w:r>
    </w:p>
    <w:p w14:paraId="77AE0A69" w14:textId="26B00DF7" w:rsidR="00C60F00" w:rsidRDefault="008D4B7B">
      <w:pPr>
        <w:spacing w:before="100" w:beforeAutospacing="1" w:after="100" w:afterAutospacing="1"/>
        <w:rPr>
          <w:rFonts w:cs="Times New Roman"/>
          <w:szCs w:val="24"/>
        </w:rPr>
      </w:pPr>
      <w:r>
        <w:rPr>
          <w:rFonts w:cs="Times New Roman"/>
          <w:szCs w:val="24"/>
        </w:rPr>
        <w:t>The case involved a psychiatrist assisting a woman suffering from psychological illness despite being physically healthy. The court convicted the physician but offered essential guidelines on liability for euthanasia and assisted suicide cases (</w:t>
      </w:r>
      <w:r>
        <w:rPr>
          <w:rFonts w:cs="Times New Roman"/>
          <w:szCs w:val="24"/>
          <w:shd w:val="clear" w:color="auto" w:fill="FFFFFF"/>
        </w:rPr>
        <w:t>Griffiths, 1995)</w:t>
      </w:r>
      <w:r>
        <w:rPr>
          <w:rFonts w:cs="Times New Roman"/>
          <w:szCs w:val="24"/>
        </w:rPr>
        <w:t>. The key findings of the case suggest that assisted suicide can be justified under exceptional situations</w:t>
      </w:r>
      <w:r w:rsidR="007D2357">
        <w:rPr>
          <w:rFonts w:cs="Times New Roman"/>
          <w:szCs w:val="24"/>
        </w:rPr>
        <w:t>,</w:t>
      </w:r>
      <w:r>
        <w:rPr>
          <w:rFonts w:cs="Times New Roman"/>
          <w:szCs w:val="24"/>
        </w:rPr>
        <w:t xml:space="preserve"> such as patients suffering from mental illness</w:t>
      </w:r>
      <w:r w:rsidR="007D2357">
        <w:rPr>
          <w:rFonts w:cs="Times New Roman"/>
          <w:szCs w:val="24"/>
        </w:rPr>
        <w:t>,</w:t>
      </w:r>
      <w:r>
        <w:rPr>
          <w:rFonts w:cs="Times New Roman"/>
          <w:szCs w:val="24"/>
        </w:rPr>
        <w:t xml:space="preserve"> unless strict medical and statutory criteria are satisfied (</w:t>
      </w:r>
      <w:r>
        <w:rPr>
          <w:rFonts w:cs="Times New Roman"/>
          <w:szCs w:val="24"/>
          <w:shd w:val="clear" w:color="auto" w:fill="FFFFFF"/>
        </w:rPr>
        <w:t>Griffiths, 1995)</w:t>
      </w:r>
      <w:r>
        <w:rPr>
          <w:rFonts w:cs="Times New Roman"/>
          <w:szCs w:val="24"/>
        </w:rPr>
        <w:t>.  Furthermore, the reading emphasised on importance of seeking a second opinion and a thorough assessment. The ‘necessity’ defence cannot be solely accepted as a justified condition for granting euthanasia and assisted suicide. In this case, Chabot failed to meet the professional standard required</w:t>
      </w:r>
      <w:r w:rsidR="007D2357">
        <w:rPr>
          <w:rFonts w:cs="Times New Roman"/>
          <w:szCs w:val="24"/>
        </w:rPr>
        <w:t>,</w:t>
      </w:r>
      <w:r>
        <w:rPr>
          <w:rFonts w:cs="Times New Roman"/>
          <w:szCs w:val="24"/>
        </w:rPr>
        <w:t xml:space="preserve"> leading to </w:t>
      </w:r>
      <w:r w:rsidR="007D2357">
        <w:rPr>
          <w:rFonts w:cs="Times New Roman"/>
          <w:szCs w:val="24"/>
        </w:rPr>
        <w:t xml:space="preserve">the </w:t>
      </w:r>
      <w:r>
        <w:rPr>
          <w:rFonts w:cs="Times New Roman"/>
          <w:szCs w:val="24"/>
        </w:rPr>
        <w:t xml:space="preserve">upholding </w:t>
      </w:r>
      <w:r w:rsidR="007D2357">
        <w:rPr>
          <w:rFonts w:cs="Times New Roman"/>
          <w:szCs w:val="24"/>
        </w:rPr>
        <w:t xml:space="preserve">of </w:t>
      </w:r>
      <w:r>
        <w:rPr>
          <w:rFonts w:cs="Times New Roman"/>
          <w:szCs w:val="24"/>
        </w:rPr>
        <w:t xml:space="preserve">his conviction. The importance of this case lies in the legal evolution of the Termination of Life on Request and Assisted Suicide (Review Procedures) Act 2002. </w:t>
      </w:r>
    </w:p>
    <w:p w14:paraId="6AD246F8" w14:textId="77777777" w:rsidR="00C60F00" w:rsidRDefault="008D4B7B">
      <w:pPr>
        <w:pStyle w:val="Heading1"/>
        <w:rPr>
          <w:rFonts w:eastAsia="Times New Roman"/>
          <w:lang w:eastAsia="en-IN"/>
        </w:rPr>
      </w:pPr>
      <w:bookmarkStart w:id="7" w:name="_Toc200899325"/>
      <w:r>
        <w:rPr>
          <w:rFonts w:eastAsia="Times New Roman"/>
          <w:lang w:eastAsia="en-IN"/>
        </w:rPr>
        <w:t>VII. Legal challenges to legalise the concepts: the slippery slope argument</w:t>
      </w:r>
      <w:bookmarkEnd w:id="7"/>
      <w:r>
        <w:rPr>
          <w:rFonts w:eastAsia="Times New Roman"/>
          <w:lang w:eastAsia="en-IN"/>
        </w:rPr>
        <w:t xml:space="preserve"> </w:t>
      </w:r>
    </w:p>
    <w:p w14:paraId="1FF9766E" w14:textId="6F1A1F29" w:rsidR="00C60F00" w:rsidRDefault="008D4B7B">
      <w:pPr>
        <w:spacing w:after="0"/>
        <w:rPr>
          <w:rFonts w:eastAsia="Times New Roman" w:cs="Times New Roman"/>
          <w:szCs w:val="24"/>
          <w:lang w:eastAsia="en-IN"/>
        </w:rPr>
      </w:pPr>
      <w:r>
        <w:rPr>
          <w:rFonts w:eastAsia="Times New Roman" w:cs="Times New Roman"/>
          <w:szCs w:val="24"/>
          <w:lang w:eastAsia="en-IN"/>
        </w:rPr>
        <w:t>The Chabot decision expands the euthanasia laws that were originally applied within limited boundaries. Given that the Chabot case has broadened the scope of euthanasia laws by including psychological suffering</w:t>
      </w:r>
      <w:r w:rsidR="007D2357">
        <w:rPr>
          <w:rFonts w:eastAsia="Times New Roman" w:cs="Times New Roman"/>
          <w:szCs w:val="24"/>
          <w:lang w:eastAsia="en-IN"/>
        </w:rPr>
        <w:t>,</w:t>
      </w:r>
      <w:r>
        <w:rPr>
          <w:rFonts w:eastAsia="Times New Roman" w:cs="Times New Roman"/>
          <w:szCs w:val="24"/>
          <w:lang w:eastAsia="en-IN"/>
        </w:rPr>
        <w:t xml:space="preserve"> which may result in more controversial, ethical and legal dilemmas (Pereira, 2011). For instance, about 16 cases were referred in the first four years after the legalisation of euthanasia laws</w:t>
      </w:r>
      <w:r w:rsidR="007D2357">
        <w:rPr>
          <w:rFonts w:eastAsia="Times New Roman" w:cs="Times New Roman"/>
          <w:szCs w:val="24"/>
          <w:lang w:eastAsia="en-IN"/>
        </w:rPr>
        <w:t>,</w:t>
      </w:r>
      <w:r>
        <w:rPr>
          <w:rFonts w:eastAsia="Times New Roman" w:cs="Times New Roman"/>
          <w:szCs w:val="24"/>
          <w:lang w:eastAsia="en-IN"/>
        </w:rPr>
        <w:t xml:space="preserve"> but none of them were prosecuted (Pereira, 2011</w:t>
      </w:r>
      <w:r>
        <w:rPr>
          <w:rFonts w:cs="Times New Roman"/>
          <w:szCs w:val="24"/>
          <w:shd w:val="clear" w:color="auto" w:fill="FFFFFF"/>
        </w:rPr>
        <w:t>)</w:t>
      </w:r>
      <w:r>
        <w:rPr>
          <w:rFonts w:eastAsia="Times New Roman" w:cs="Times New Roman"/>
          <w:szCs w:val="24"/>
          <w:lang w:eastAsia="en-IN"/>
        </w:rPr>
        <w:t xml:space="preserve">. In one instance, even a counsellor advised a non-terminally ill person to commit suicide and was still acquitted. The Chabot decision expands to </w:t>
      </w:r>
      <w:r w:rsidR="007D2357">
        <w:rPr>
          <w:rFonts w:eastAsia="Times New Roman" w:cs="Times New Roman"/>
          <w:szCs w:val="24"/>
          <w:lang w:eastAsia="en-IN"/>
        </w:rPr>
        <w:t>include</w:t>
      </w:r>
      <w:r>
        <w:rPr>
          <w:rFonts w:eastAsia="Times New Roman" w:cs="Times New Roman"/>
          <w:szCs w:val="24"/>
          <w:lang w:eastAsia="en-IN"/>
        </w:rPr>
        <w:t xml:space="preserve"> psychological suffering without physical illness</w:t>
      </w:r>
      <w:r w:rsidR="007D2357">
        <w:rPr>
          <w:rFonts w:eastAsia="Times New Roman" w:cs="Times New Roman"/>
          <w:szCs w:val="24"/>
          <w:lang w:eastAsia="en-IN"/>
        </w:rPr>
        <w:t>,</w:t>
      </w:r>
      <w:r>
        <w:rPr>
          <w:rFonts w:eastAsia="Times New Roman" w:cs="Times New Roman"/>
          <w:szCs w:val="24"/>
          <w:lang w:eastAsia="en-IN"/>
        </w:rPr>
        <w:t xml:space="preserve"> which originally only included cases where patients with physically terminal illnesses requested to assist them in ending their lives, </w:t>
      </w:r>
      <w:r w:rsidR="007D2357">
        <w:rPr>
          <w:rFonts w:eastAsia="Times New Roman" w:cs="Times New Roman"/>
          <w:szCs w:val="24"/>
          <w:lang w:eastAsia="en-IN"/>
        </w:rPr>
        <w:t>directing</w:t>
      </w:r>
      <w:r>
        <w:rPr>
          <w:rFonts w:eastAsia="Times New Roman" w:cs="Times New Roman"/>
          <w:szCs w:val="24"/>
          <w:lang w:eastAsia="en-IN"/>
        </w:rPr>
        <w:t xml:space="preserve"> a ‘slippery slope’ situation as it marked a significant expansion of euthanasia laws beyond terminally physical disease (Griffiths, 1995). This gradual widening of the legal framework related to justifying euthanasia and assisted suicide has been raising concerns about expanding ethical and legal boundaries in assisted dying. </w:t>
      </w:r>
    </w:p>
    <w:p w14:paraId="404127D0" w14:textId="5D8086F0" w:rsidR="00C60F00" w:rsidRDefault="008D4B7B">
      <w:pPr>
        <w:pStyle w:val="Heading1"/>
        <w:rPr>
          <w:rFonts w:eastAsia="Times New Roman"/>
          <w:lang w:eastAsia="en-IN"/>
        </w:rPr>
      </w:pPr>
      <w:bookmarkStart w:id="8" w:name="_Toc200899326"/>
      <w:r>
        <w:rPr>
          <w:rFonts w:eastAsia="Times New Roman"/>
          <w:lang w:eastAsia="en-IN"/>
        </w:rPr>
        <w:lastRenderedPageBreak/>
        <w:t xml:space="preserve">VIII. Key Differences and Similarities between </w:t>
      </w:r>
      <w:r w:rsidR="007D2357">
        <w:rPr>
          <w:rFonts w:eastAsia="Times New Roman"/>
          <w:lang w:eastAsia="en-IN"/>
        </w:rPr>
        <w:t>the</w:t>
      </w:r>
      <w:r>
        <w:rPr>
          <w:rFonts w:eastAsia="Times New Roman"/>
          <w:lang w:eastAsia="en-IN"/>
        </w:rPr>
        <w:t xml:space="preserve"> </w:t>
      </w:r>
      <w:r w:rsidR="007D2357">
        <w:rPr>
          <w:rFonts w:eastAsia="Times New Roman"/>
          <w:lang w:eastAsia="en-IN"/>
        </w:rPr>
        <w:t xml:space="preserve">two </w:t>
      </w:r>
      <w:r>
        <w:rPr>
          <w:rFonts w:eastAsia="Times New Roman"/>
          <w:lang w:eastAsia="en-IN"/>
        </w:rPr>
        <w:t>jurisdictions</w:t>
      </w:r>
      <w:bookmarkEnd w:id="8"/>
    </w:p>
    <w:p w14:paraId="1EA125D7" w14:textId="587C1690" w:rsidR="00C60F00" w:rsidRDefault="008D4B7B">
      <w:pPr>
        <w:rPr>
          <w:lang w:eastAsia="en-IN"/>
        </w:rPr>
      </w:pPr>
      <w:r>
        <w:rPr>
          <w:lang w:eastAsia="en-IN"/>
        </w:rPr>
        <w:t>Given the different legal perspectives of euthanasia and assisted suicide held by both the UK and the Netherlands, their legal frameworks serve two common objectives. First, both nations have been considering the vulnerability and potential for abuse of the laws while exercising the laws in termination of life requests from patients (</w:t>
      </w:r>
      <w:r>
        <w:rPr>
          <w:shd w:val="clear" w:color="auto" w:fill="FFFFFF"/>
        </w:rPr>
        <w:t>Fontalis, Prousali &amp; Kulkarni, 2018)</w:t>
      </w:r>
      <w:r>
        <w:rPr>
          <w:lang w:eastAsia="en-IN"/>
        </w:rPr>
        <w:t xml:space="preserve">. Second, both nations consider physician-assisted suicide legal and defend the doctors against negligence and criminal liabilities (Lee, 2023). However, the UK stresses the role played by medical professionals to exercise due care to preserve life and respect the autonomy rights of patients. The Netherlands additionally requires doctors to meet the six important criteria to be exempted from criminal liability arising from performing euthanasia and assisted suicide. </w:t>
      </w:r>
    </w:p>
    <w:p w14:paraId="27356354" w14:textId="77777777" w:rsidR="00C60F00" w:rsidRDefault="008D4B7B">
      <w:pPr>
        <w:pStyle w:val="Heading1"/>
        <w:rPr>
          <w:rFonts w:eastAsia="Times New Roman"/>
          <w:lang w:eastAsia="en-IN"/>
        </w:rPr>
      </w:pPr>
      <w:bookmarkStart w:id="9" w:name="_Toc200899327"/>
      <w:r>
        <w:rPr>
          <w:rFonts w:eastAsia="Times New Roman"/>
          <w:lang w:eastAsia="en-IN"/>
        </w:rPr>
        <w:t>IX. Conclusion</w:t>
      </w:r>
      <w:bookmarkEnd w:id="9"/>
    </w:p>
    <w:p w14:paraId="46304629" w14:textId="2F112B05" w:rsidR="00C60F00" w:rsidRDefault="008D4B7B">
      <w:pPr>
        <w:rPr>
          <w:rFonts w:eastAsia="Times New Roman" w:cs="Times New Roman"/>
          <w:szCs w:val="24"/>
          <w:lang w:eastAsia="en-IN"/>
        </w:rPr>
      </w:pPr>
      <w:r>
        <w:t xml:space="preserve">The essay examined two different legal frameworks and their respective rationale to legally recognise and enforce euthanasia and assisted suicide. Euthanasia and assisted suicide a sensitive topic that often poses legal as well as ethical dilemmas in terms of their legal recognition and enforcement across the globe. Based on the above findings that focus on the UK and </w:t>
      </w:r>
      <w:r w:rsidR="007D2357">
        <w:t xml:space="preserve">the </w:t>
      </w:r>
      <w:r>
        <w:t>Netherlands, it can be inferred that both countries permit medical professionals to terminate their lives. The legal frameworks may be distinguished on the grounds of their distinct approach to legalising and criminalising euthanasia and AS. The Netherlands’ law on euthanasia exempts doctors from criminal liability on meeting the statutory criteria</w:t>
      </w:r>
      <w:r w:rsidR="007D2357">
        <w:t>,</w:t>
      </w:r>
      <w:r>
        <w:t xml:space="preserve"> whereas the UK law permits physician-assisted suicide while criminalising any assistance or abetment of suicide. However, both nations recognise the autonomy of patients as paramount in deciding to terminate their lives.  The Netherlands and the UK both favour physician-assisted suicide only when patients cannot give informed consent and there is n</w:t>
      </w:r>
      <w:r>
        <w:rPr>
          <w:rFonts w:eastAsia="Times New Roman" w:cs="Times New Roman"/>
          <w:szCs w:val="24"/>
          <w:lang w:eastAsia="en-IN"/>
        </w:rPr>
        <w:t xml:space="preserve">o alternative treatment to improve the condition. </w:t>
      </w:r>
    </w:p>
    <w:p w14:paraId="45007906" w14:textId="5708AD2A" w:rsidR="00C60F00" w:rsidRDefault="008D4B7B">
      <w:pPr>
        <w:rPr>
          <w:rFonts w:eastAsia="Times New Roman" w:cs="Times New Roman"/>
          <w:szCs w:val="24"/>
          <w:lang w:eastAsia="en-IN"/>
        </w:rPr>
      </w:pPr>
      <w:r>
        <w:rPr>
          <w:rFonts w:eastAsia="Times New Roman" w:cs="Times New Roman"/>
          <w:szCs w:val="24"/>
          <w:lang w:eastAsia="en-IN"/>
        </w:rPr>
        <w:t>The common ethical dilemmas associated with euthanasia and AS are their misuse by vulnerable patients who feel like ending their lives</w:t>
      </w:r>
      <w:r w:rsidR="007D2357">
        <w:rPr>
          <w:rFonts w:eastAsia="Times New Roman" w:cs="Times New Roman"/>
          <w:szCs w:val="24"/>
          <w:lang w:eastAsia="en-IN"/>
        </w:rPr>
        <w:t>,</w:t>
      </w:r>
      <w:r>
        <w:rPr>
          <w:rFonts w:eastAsia="Times New Roman" w:cs="Times New Roman"/>
          <w:szCs w:val="24"/>
          <w:lang w:eastAsia="en-IN"/>
        </w:rPr>
        <w:t xml:space="preserve"> and the human rights entitlements that allow individuals to live until life ends naturally. Patients requesting to terminate their lives with dignity are often subject to legal proceedings</w:t>
      </w:r>
      <w:r w:rsidR="007D2357">
        <w:rPr>
          <w:rFonts w:eastAsia="Times New Roman" w:cs="Times New Roman"/>
          <w:szCs w:val="24"/>
          <w:lang w:eastAsia="en-IN"/>
        </w:rPr>
        <w:t>,</w:t>
      </w:r>
      <w:r>
        <w:rPr>
          <w:rFonts w:eastAsia="Times New Roman" w:cs="Times New Roman"/>
          <w:szCs w:val="24"/>
          <w:lang w:eastAsia="en-IN"/>
        </w:rPr>
        <w:t xml:space="preserve"> as observed in the above case examples</w:t>
      </w:r>
      <w:r w:rsidR="007D2357">
        <w:rPr>
          <w:rFonts w:eastAsia="Times New Roman" w:cs="Times New Roman"/>
          <w:szCs w:val="24"/>
          <w:lang w:eastAsia="en-IN"/>
        </w:rPr>
        <w:t>,</w:t>
      </w:r>
      <w:r>
        <w:rPr>
          <w:rFonts w:eastAsia="Times New Roman" w:cs="Times New Roman"/>
          <w:szCs w:val="24"/>
          <w:lang w:eastAsia="en-IN"/>
        </w:rPr>
        <w:t xml:space="preserve"> only to prove unbearable sufferings and no scope for improvement. This party's autonomy must be respected to allow them a dignified death. Based on this rationale, the UK has proposed the ‘Terminally Ill Adults </w:t>
      </w:r>
      <w:r>
        <w:rPr>
          <w:rFonts w:eastAsia="Times New Roman" w:cs="Times New Roman"/>
          <w:szCs w:val="24"/>
          <w:lang w:eastAsia="en-IN"/>
        </w:rPr>
        <w:lastRenderedPageBreak/>
        <w:t xml:space="preserve">(End of Life) Bill’, which would allow people with terminal illnesses only to request euthanasia and AS. Thus, although the </w:t>
      </w:r>
      <w:r w:rsidR="007D2357">
        <w:rPr>
          <w:rFonts w:eastAsia="Times New Roman" w:cs="Times New Roman"/>
          <w:szCs w:val="24"/>
          <w:lang w:eastAsia="en-IN"/>
        </w:rPr>
        <w:t>legalisation</w:t>
      </w:r>
      <w:r>
        <w:rPr>
          <w:rFonts w:eastAsia="Times New Roman" w:cs="Times New Roman"/>
          <w:szCs w:val="24"/>
          <w:lang w:eastAsia="en-IN"/>
        </w:rPr>
        <w:t xml:space="preserve"> of life termination remains contested, any proposed changes must also consider other conditions like voluntary requests from patients and their health conditions to validate their requests for terminating their lives by withdrawing life-sustaining treatment.</w:t>
      </w:r>
    </w:p>
    <w:p w14:paraId="3E2FA4C2" w14:textId="3FF92285" w:rsidR="00C60F00" w:rsidRDefault="00C60F00">
      <w:pPr>
        <w:rPr>
          <w:rFonts w:cs="Times New Roman"/>
          <w:b/>
          <w:szCs w:val="24"/>
        </w:rPr>
      </w:pPr>
    </w:p>
    <w:p w14:paraId="49E60198" w14:textId="77777777" w:rsidR="001B1646" w:rsidRPr="001B1646" w:rsidRDefault="001B1646" w:rsidP="001B1646">
      <w:pPr>
        <w:spacing w:line="276" w:lineRule="auto"/>
        <w:jc w:val="left"/>
        <w:rPr>
          <w:rFonts w:ascii="Calibri" w:eastAsia="Calibri" w:hAnsi="Calibri" w:cs="Times New Roman"/>
          <w:kern w:val="2"/>
          <w:sz w:val="22"/>
          <w:highlight w:val="yellow"/>
          <w:lang w:val="en-US"/>
        </w:rPr>
      </w:pPr>
      <w:r w:rsidRPr="001B1646">
        <w:rPr>
          <w:rFonts w:ascii="Calibri" w:eastAsia="Calibri" w:hAnsi="Calibri" w:cs="Times New Roman"/>
          <w:kern w:val="2"/>
          <w:sz w:val="22"/>
          <w:highlight w:val="yellow"/>
          <w:lang w:val="en-US"/>
        </w:rPr>
        <w:t>Disclaimer (Artificial intelligence)</w:t>
      </w:r>
    </w:p>
    <w:p w14:paraId="17D7F418" w14:textId="77777777" w:rsidR="001B1646" w:rsidRPr="001B1646" w:rsidRDefault="001B1646" w:rsidP="001B1646">
      <w:pPr>
        <w:spacing w:line="276" w:lineRule="auto"/>
        <w:jc w:val="left"/>
        <w:rPr>
          <w:rFonts w:ascii="Calibri" w:eastAsia="Calibri" w:hAnsi="Calibri" w:cs="Times New Roman"/>
          <w:kern w:val="2"/>
          <w:sz w:val="22"/>
          <w:highlight w:val="yellow"/>
          <w:lang w:val="en-US"/>
        </w:rPr>
      </w:pPr>
      <w:r w:rsidRPr="001B1646">
        <w:rPr>
          <w:rFonts w:ascii="Calibri" w:eastAsia="Calibri" w:hAnsi="Calibri" w:cs="Times New Roman"/>
          <w:kern w:val="2"/>
          <w:sz w:val="22"/>
          <w:highlight w:val="yellow"/>
          <w:lang w:val="en-US"/>
        </w:rPr>
        <w:t xml:space="preserve">Option 1: </w:t>
      </w:r>
    </w:p>
    <w:p w14:paraId="52BC0852" w14:textId="77777777" w:rsidR="001B1646" w:rsidRPr="001B1646" w:rsidRDefault="001B1646" w:rsidP="001B1646">
      <w:pPr>
        <w:spacing w:line="276" w:lineRule="auto"/>
        <w:jc w:val="left"/>
        <w:rPr>
          <w:rFonts w:ascii="Calibri" w:eastAsia="Calibri" w:hAnsi="Calibri" w:cs="Times New Roman"/>
          <w:kern w:val="2"/>
          <w:sz w:val="22"/>
          <w:highlight w:val="yellow"/>
          <w:lang w:val="en-US"/>
        </w:rPr>
      </w:pPr>
      <w:r w:rsidRPr="001B1646">
        <w:rPr>
          <w:rFonts w:ascii="Calibri" w:eastAsia="Calibri" w:hAnsi="Calibri" w:cs="Times New Roman"/>
          <w:kern w:val="2"/>
          <w:sz w:val="2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F20ED7A" w14:textId="77777777" w:rsidR="003D03A1" w:rsidRDefault="003D03A1">
      <w:pPr>
        <w:spacing w:after="0" w:line="240" w:lineRule="auto"/>
        <w:jc w:val="left"/>
        <w:rPr>
          <w:rFonts w:eastAsiaTheme="majorEastAsia" w:cstheme="majorBidi"/>
          <w:b/>
          <w:sz w:val="32"/>
          <w:szCs w:val="32"/>
        </w:rPr>
      </w:pPr>
      <w:bookmarkStart w:id="10" w:name="_Toc200899328"/>
      <w:r>
        <w:br w:type="page"/>
      </w:r>
    </w:p>
    <w:p w14:paraId="44D08E8D" w14:textId="43E7652B" w:rsidR="00C60F00" w:rsidRDefault="008D4B7B">
      <w:pPr>
        <w:pStyle w:val="Heading1"/>
      </w:pPr>
      <w:r>
        <w:lastRenderedPageBreak/>
        <w:t>References</w:t>
      </w:r>
      <w:bookmarkEnd w:id="10"/>
    </w:p>
    <w:p w14:paraId="4AB4716B" w14:textId="77777777" w:rsidR="003D03A1" w:rsidRPr="00A827FA" w:rsidRDefault="003D03A1" w:rsidP="003D03A1">
      <w:pPr>
        <w:ind w:left="720" w:hanging="720"/>
        <w:rPr>
          <w:highlight w:val="yellow"/>
        </w:rPr>
      </w:pPr>
      <w:r w:rsidRPr="00A827FA">
        <w:rPr>
          <w:highlight w:val="yellow"/>
          <w:shd w:val="clear" w:color="auto" w:fill="FFFFFF"/>
        </w:rPr>
        <w:t>Ahmad, N., Masum, A., &amp; Ali, A. W. (2024). Conceptual, Legal, and Ethical Considerations in Physician-Assisted Suicide: An Overview. </w:t>
      </w:r>
      <w:r w:rsidRPr="00A827FA">
        <w:rPr>
          <w:i/>
          <w:iCs/>
          <w:highlight w:val="yellow"/>
          <w:shd w:val="clear" w:color="auto" w:fill="FFFFFF"/>
        </w:rPr>
        <w:t>UUM Journal of Legal Studies (UUMJLS)</w:t>
      </w:r>
      <w:r w:rsidRPr="00A827FA">
        <w:rPr>
          <w:highlight w:val="yellow"/>
          <w:shd w:val="clear" w:color="auto" w:fill="FFFFFF"/>
        </w:rPr>
        <w:t>, </w:t>
      </w:r>
      <w:r w:rsidRPr="00A827FA">
        <w:rPr>
          <w:i/>
          <w:iCs/>
          <w:highlight w:val="yellow"/>
          <w:shd w:val="clear" w:color="auto" w:fill="FFFFFF"/>
        </w:rPr>
        <w:t>15</w:t>
      </w:r>
      <w:r w:rsidRPr="00A827FA">
        <w:rPr>
          <w:highlight w:val="yellow"/>
          <w:shd w:val="clear" w:color="auto" w:fill="FFFFFF"/>
        </w:rPr>
        <w:t>(2), 707-744.</w:t>
      </w:r>
    </w:p>
    <w:p w14:paraId="076FF6FB" w14:textId="77777777" w:rsidR="003D03A1" w:rsidRDefault="003D03A1">
      <w:pPr>
        <w:ind w:left="720" w:hanging="720"/>
        <w:rPr>
          <w:rFonts w:cs="Times New Roman"/>
          <w:szCs w:val="24"/>
          <w:shd w:val="clear" w:color="auto" w:fill="FFFFFF"/>
        </w:rPr>
      </w:pPr>
      <w:r>
        <w:rPr>
          <w:rFonts w:eastAsia="Times New Roman" w:cs="Times New Roman"/>
          <w:szCs w:val="24"/>
          <w:lang w:eastAsia="en-IN"/>
        </w:rPr>
        <w:t xml:space="preserve">Airedale NHS Trust v Bland [1993] 2 WLR 316 </w:t>
      </w:r>
    </w:p>
    <w:p w14:paraId="6D62BE3E" w14:textId="77777777" w:rsidR="003D03A1" w:rsidRPr="00A827FA" w:rsidRDefault="003D03A1" w:rsidP="003D03A1">
      <w:pPr>
        <w:ind w:left="720" w:hanging="720"/>
        <w:rPr>
          <w:highlight w:val="yellow"/>
        </w:rPr>
      </w:pPr>
      <w:r w:rsidRPr="00A827FA">
        <w:rPr>
          <w:highlight w:val="yellow"/>
          <w:shd w:val="clear" w:color="auto" w:fill="FFFFFF"/>
        </w:rPr>
        <w:t>Boer, T. A., &amp; Groenewoud, A. S. (2021). Dutch Reformed support for Assisted Dying in the Netherlands 1969–2019. </w:t>
      </w:r>
      <w:r w:rsidRPr="00A827FA">
        <w:rPr>
          <w:i/>
          <w:iCs/>
          <w:highlight w:val="yellow"/>
          <w:shd w:val="clear" w:color="auto" w:fill="FFFFFF"/>
        </w:rPr>
        <w:t>Journal of the Society of Christian Ethics</w:t>
      </w:r>
      <w:r w:rsidRPr="00A827FA">
        <w:rPr>
          <w:highlight w:val="yellow"/>
          <w:shd w:val="clear" w:color="auto" w:fill="FFFFFF"/>
        </w:rPr>
        <w:t>, </w:t>
      </w:r>
      <w:r w:rsidRPr="00A827FA">
        <w:rPr>
          <w:i/>
          <w:iCs/>
          <w:highlight w:val="yellow"/>
          <w:shd w:val="clear" w:color="auto" w:fill="FFFFFF"/>
        </w:rPr>
        <w:t>41</w:t>
      </w:r>
      <w:r w:rsidRPr="00A827FA">
        <w:rPr>
          <w:highlight w:val="yellow"/>
          <w:shd w:val="clear" w:color="auto" w:fill="FFFFFF"/>
        </w:rPr>
        <w:t>(1), 125-147.</w:t>
      </w:r>
    </w:p>
    <w:p w14:paraId="0029402C" w14:textId="77777777" w:rsidR="003D03A1" w:rsidRDefault="003D03A1">
      <w:pPr>
        <w:ind w:left="720" w:hanging="720"/>
        <w:rPr>
          <w:rFonts w:cs="Times New Roman"/>
          <w:szCs w:val="24"/>
          <w:shd w:val="clear" w:color="auto" w:fill="FFFFFF"/>
        </w:rPr>
      </w:pPr>
      <w:r>
        <w:rPr>
          <w:rFonts w:eastAsia="Times New Roman" w:cs="Times New Roman"/>
          <w:szCs w:val="24"/>
          <w:lang w:eastAsia="en-IN"/>
        </w:rPr>
        <w:t>Bolam v Friern Hospital Management Committee [1957] 1 WLR 582</w:t>
      </w:r>
    </w:p>
    <w:p w14:paraId="498F7DF9" w14:textId="77777777" w:rsidR="003D03A1" w:rsidRPr="00A827FA" w:rsidRDefault="003D03A1" w:rsidP="003D03A1">
      <w:pPr>
        <w:ind w:left="720" w:hanging="720"/>
        <w:rPr>
          <w:highlight w:val="yellow"/>
        </w:rPr>
      </w:pPr>
      <w:r w:rsidRPr="00A827FA">
        <w:rPr>
          <w:highlight w:val="yellow"/>
          <w:shd w:val="clear" w:color="auto" w:fill="FFFFFF"/>
        </w:rPr>
        <w:t>Bosma, F., Mink, K. R., van Delden, J. J. M., van der Heide, A., Van De Vathorst, S., &amp; van Thiel, G. J. M. W. (2024). The Dutch practice of euthanasia and assisted suicide in patients suffering from psychiatric disorders: a qualitative case review study. </w:t>
      </w:r>
      <w:r w:rsidRPr="00A827FA">
        <w:rPr>
          <w:i/>
          <w:iCs/>
          <w:highlight w:val="yellow"/>
          <w:shd w:val="clear" w:color="auto" w:fill="FFFFFF"/>
        </w:rPr>
        <w:t>Frontiers in Psychiatry</w:t>
      </w:r>
      <w:r w:rsidRPr="00A827FA">
        <w:rPr>
          <w:highlight w:val="yellow"/>
          <w:shd w:val="clear" w:color="auto" w:fill="FFFFFF"/>
        </w:rPr>
        <w:t>, </w:t>
      </w:r>
      <w:r w:rsidRPr="00A827FA">
        <w:rPr>
          <w:i/>
          <w:iCs/>
          <w:highlight w:val="yellow"/>
          <w:shd w:val="clear" w:color="auto" w:fill="FFFFFF"/>
        </w:rPr>
        <w:t>15</w:t>
      </w:r>
      <w:r w:rsidRPr="00A827FA">
        <w:rPr>
          <w:highlight w:val="yellow"/>
          <w:shd w:val="clear" w:color="auto" w:fill="FFFFFF"/>
        </w:rPr>
        <w:t>, 1452835.</w:t>
      </w:r>
    </w:p>
    <w:p w14:paraId="20E096D2" w14:textId="77777777" w:rsidR="003D03A1" w:rsidRDefault="003D03A1">
      <w:pPr>
        <w:ind w:left="720" w:hanging="720"/>
        <w:rPr>
          <w:rFonts w:cs="Times New Roman"/>
          <w:szCs w:val="24"/>
        </w:rPr>
      </w:pPr>
      <w:r>
        <w:rPr>
          <w:rFonts w:cs="Times New Roman"/>
          <w:szCs w:val="24"/>
        </w:rPr>
        <w:t>Divya, D. (2023). Comparison of Euthanasia Laws in Belgium, the Netherlands, and the United Kingdom. Issue 3 Int'l JL Mgmt. &amp; Human., 6, 2506.</w:t>
      </w:r>
    </w:p>
    <w:p w14:paraId="6306C496" w14:textId="77777777" w:rsidR="003D03A1" w:rsidRPr="00A827FA" w:rsidRDefault="003D03A1" w:rsidP="003D03A1">
      <w:pPr>
        <w:ind w:left="720" w:hanging="720"/>
        <w:rPr>
          <w:highlight w:val="yellow"/>
        </w:rPr>
      </w:pPr>
      <w:r w:rsidRPr="00A827FA">
        <w:rPr>
          <w:highlight w:val="yellow"/>
          <w:shd w:val="clear" w:color="auto" w:fill="FFFFFF"/>
        </w:rPr>
        <w:t>Doherty, A. M., Axe, C. J., &amp; Jones, D. A. (2022). Investigating the relationship between euthanasia and/or assisted suicide and rates of non-assisted suicide: systematic review. </w:t>
      </w:r>
      <w:r w:rsidRPr="00A827FA">
        <w:rPr>
          <w:i/>
          <w:iCs/>
          <w:highlight w:val="yellow"/>
          <w:shd w:val="clear" w:color="auto" w:fill="FFFFFF"/>
        </w:rPr>
        <w:t>BJPsych open</w:t>
      </w:r>
      <w:r w:rsidRPr="00A827FA">
        <w:rPr>
          <w:highlight w:val="yellow"/>
          <w:shd w:val="clear" w:color="auto" w:fill="FFFFFF"/>
        </w:rPr>
        <w:t>, </w:t>
      </w:r>
      <w:r w:rsidRPr="00A827FA">
        <w:rPr>
          <w:i/>
          <w:iCs/>
          <w:highlight w:val="yellow"/>
          <w:shd w:val="clear" w:color="auto" w:fill="FFFFFF"/>
        </w:rPr>
        <w:t>8</w:t>
      </w:r>
      <w:r w:rsidRPr="00A827FA">
        <w:rPr>
          <w:highlight w:val="yellow"/>
          <w:shd w:val="clear" w:color="auto" w:fill="FFFFFF"/>
        </w:rPr>
        <w:t>(4), e108.</w:t>
      </w:r>
    </w:p>
    <w:p w14:paraId="15B0A794" w14:textId="77777777" w:rsidR="003D03A1" w:rsidRDefault="003D03A1">
      <w:pPr>
        <w:ind w:left="720" w:hanging="720"/>
        <w:rPr>
          <w:rFonts w:cs="Times New Roman"/>
          <w:szCs w:val="24"/>
        </w:rPr>
      </w:pPr>
      <w:r>
        <w:rPr>
          <w:rFonts w:cs="Times New Roman"/>
          <w:szCs w:val="24"/>
          <w:shd w:val="clear" w:color="auto" w:fill="FFFFFF"/>
        </w:rPr>
        <w:t>Fontalis, A., Prousali, E., &amp; Kulkarni, K. (2018). Euthanasia and assisted dying: what is the current position and what are the key arguments informing the debate? </w:t>
      </w:r>
      <w:r>
        <w:rPr>
          <w:rFonts w:cs="Times New Roman"/>
          <w:i/>
          <w:iCs/>
          <w:szCs w:val="24"/>
          <w:shd w:val="clear" w:color="auto" w:fill="FFFFFF"/>
        </w:rPr>
        <w:t>Journal of the Royal Society of Medicine</w:t>
      </w:r>
      <w:r>
        <w:rPr>
          <w:rFonts w:cs="Times New Roman"/>
          <w:szCs w:val="24"/>
          <w:shd w:val="clear" w:color="auto" w:fill="FFFFFF"/>
        </w:rPr>
        <w:t>, </w:t>
      </w:r>
      <w:r>
        <w:rPr>
          <w:rFonts w:cs="Times New Roman"/>
          <w:i/>
          <w:iCs/>
          <w:szCs w:val="24"/>
          <w:shd w:val="clear" w:color="auto" w:fill="FFFFFF"/>
        </w:rPr>
        <w:t>111</w:t>
      </w:r>
      <w:r>
        <w:rPr>
          <w:rFonts w:cs="Times New Roman"/>
          <w:szCs w:val="24"/>
          <w:shd w:val="clear" w:color="auto" w:fill="FFFFFF"/>
        </w:rPr>
        <w:t>(11), 407-413.</w:t>
      </w:r>
    </w:p>
    <w:p w14:paraId="3519A09F" w14:textId="77777777" w:rsidR="003D03A1" w:rsidRDefault="003D03A1">
      <w:pPr>
        <w:ind w:left="720" w:hanging="720"/>
        <w:rPr>
          <w:rFonts w:cs="Times New Roman"/>
          <w:szCs w:val="24"/>
        </w:rPr>
      </w:pPr>
      <w:r>
        <w:rPr>
          <w:rFonts w:cs="Times New Roman"/>
          <w:szCs w:val="24"/>
          <w:shd w:val="clear" w:color="auto" w:fill="FFFFFF"/>
        </w:rPr>
        <w:t>Griffiths, J. (1995). Assisted suicide in the Netherlands: the Chabot case. </w:t>
      </w:r>
      <w:r>
        <w:rPr>
          <w:rFonts w:cs="Times New Roman"/>
          <w:i/>
          <w:iCs/>
          <w:szCs w:val="24"/>
          <w:shd w:val="clear" w:color="auto" w:fill="FFFFFF"/>
        </w:rPr>
        <w:t>The Modern Law Review</w:t>
      </w:r>
      <w:r>
        <w:rPr>
          <w:rFonts w:cs="Times New Roman"/>
          <w:szCs w:val="24"/>
          <w:shd w:val="clear" w:color="auto" w:fill="FFFFFF"/>
        </w:rPr>
        <w:t>, </w:t>
      </w:r>
      <w:r>
        <w:rPr>
          <w:rFonts w:cs="Times New Roman"/>
          <w:i/>
          <w:iCs/>
          <w:szCs w:val="24"/>
          <w:shd w:val="clear" w:color="auto" w:fill="FFFFFF"/>
        </w:rPr>
        <w:t>58</w:t>
      </w:r>
      <w:r>
        <w:rPr>
          <w:rFonts w:cs="Times New Roman"/>
          <w:szCs w:val="24"/>
          <w:shd w:val="clear" w:color="auto" w:fill="FFFFFF"/>
        </w:rPr>
        <w:t>(2), 232-248.</w:t>
      </w:r>
    </w:p>
    <w:p w14:paraId="3333D505" w14:textId="77777777" w:rsidR="003D03A1" w:rsidRDefault="003D03A1">
      <w:pPr>
        <w:ind w:left="720" w:hanging="720"/>
        <w:rPr>
          <w:rFonts w:cs="Times New Roman"/>
          <w:szCs w:val="24"/>
          <w:shd w:val="clear" w:color="auto" w:fill="FFFFFF"/>
        </w:rPr>
      </w:pPr>
      <w:r>
        <w:rPr>
          <w:rFonts w:cs="Times New Roman"/>
          <w:szCs w:val="24"/>
        </w:rPr>
        <w:t xml:space="preserve">Heart of England NHS Foundation Trust v JB [2014] EWHC 342 (COP) </w:t>
      </w:r>
    </w:p>
    <w:p w14:paraId="667FF1D0" w14:textId="77777777" w:rsidR="003D03A1" w:rsidRDefault="003D03A1">
      <w:pPr>
        <w:ind w:left="720" w:hanging="720"/>
        <w:rPr>
          <w:rFonts w:cs="Times New Roman"/>
          <w:szCs w:val="24"/>
        </w:rPr>
      </w:pPr>
      <w:r>
        <w:rPr>
          <w:rFonts w:cs="Times New Roman"/>
          <w:szCs w:val="24"/>
          <w:shd w:val="clear" w:color="auto" w:fill="FFFFFF"/>
        </w:rPr>
        <w:t>Hicks, M. H. R. (2006). Physician-assisted suicide: a review of the literature concerning practical and clinical implications for UK doctors. </w:t>
      </w:r>
      <w:r>
        <w:rPr>
          <w:rFonts w:cs="Times New Roman"/>
          <w:i/>
          <w:iCs/>
          <w:szCs w:val="24"/>
          <w:shd w:val="clear" w:color="auto" w:fill="FFFFFF"/>
        </w:rPr>
        <w:t>BMC Family Practice</w:t>
      </w:r>
      <w:r>
        <w:rPr>
          <w:rFonts w:cs="Times New Roman"/>
          <w:szCs w:val="24"/>
          <w:shd w:val="clear" w:color="auto" w:fill="FFFFFF"/>
        </w:rPr>
        <w:t>, </w:t>
      </w:r>
      <w:r>
        <w:rPr>
          <w:rFonts w:cs="Times New Roman"/>
          <w:i/>
          <w:iCs/>
          <w:szCs w:val="24"/>
          <w:shd w:val="clear" w:color="auto" w:fill="FFFFFF"/>
        </w:rPr>
        <w:t>7</w:t>
      </w:r>
      <w:r>
        <w:rPr>
          <w:rFonts w:cs="Times New Roman"/>
          <w:szCs w:val="24"/>
          <w:shd w:val="clear" w:color="auto" w:fill="FFFFFF"/>
        </w:rPr>
        <w:t>, 1-17.</w:t>
      </w:r>
    </w:p>
    <w:p w14:paraId="556C9FF6" w14:textId="77777777" w:rsidR="003D03A1" w:rsidRDefault="003D03A1">
      <w:pPr>
        <w:ind w:left="720" w:hanging="720"/>
        <w:rPr>
          <w:rFonts w:cs="Times New Roman"/>
          <w:szCs w:val="24"/>
        </w:rPr>
      </w:pPr>
      <w:r>
        <w:rPr>
          <w:rFonts w:cs="Times New Roman"/>
          <w:szCs w:val="24"/>
          <w:shd w:val="clear" w:color="auto" w:fill="FFFFFF"/>
        </w:rPr>
        <w:lastRenderedPageBreak/>
        <w:t>Janssen, A. (2002). The new regulation of voluntary euthanasia and medically assisted suicide in the Netherlands. </w:t>
      </w:r>
      <w:r>
        <w:rPr>
          <w:rFonts w:cs="Times New Roman"/>
          <w:i/>
          <w:iCs/>
          <w:szCs w:val="24"/>
          <w:shd w:val="clear" w:color="auto" w:fill="FFFFFF"/>
        </w:rPr>
        <w:t>International Journal of Law, Policy and the Family</w:t>
      </w:r>
      <w:r>
        <w:rPr>
          <w:rFonts w:cs="Times New Roman"/>
          <w:szCs w:val="24"/>
          <w:shd w:val="clear" w:color="auto" w:fill="FFFFFF"/>
        </w:rPr>
        <w:t>, </w:t>
      </w:r>
      <w:r>
        <w:rPr>
          <w:rFonts w:cs="Times New Roman"/>
          <w:i/>
          <w:iCs/>
          <w:szCs w:val="24"/>
          <w:shd w:val="clear" w:color="auto" w:fill="FFFFFF"/>
        </w:rPr>
        <w:t>16</w:t>
      </w:r>
      <w:r>
        <w:rPr>
          <w:rFonts w:cs="Times New Roman"/>
          <w:szCs w:val="24"/>
          <w:shd w:val="clear" w:color="auto" w:fill="FFFFFF"/>
        </w:rPr>
        <w:t>(2), 260-269.</w:t>
      </w:r>
    </w:p>
    <w:p w14:paraId="434193AF" w14:textId="77777777" w:rsidR="003D03A1" w:rsidRDefault="003D03A1">
      <w:pPr>
        <w:ind w:left="720" w:hanging="720"/>
        <w:rPr>
          <w:rFonts w:cs="Times New Roman"/>
          <w:szCs w:val="24"/>
        </w:rPr>
      </w:pPr>
      <w:r>
        <w:rPr>
          <w:rFonts w:cs="Times New Roman"/>
          <w:szCs w:val="24"/>
          <w:shd w:val="clear" w:color="auto" w:fill="FFFFFF"/>
        </w:rPr>
        <w:t>Keown, J. (2018). </w:t>
      </w:r>
      <w:r>
        <w:rPr>
          <w:rFonts w:cs="Times New Roman"/>
          <w:i/>
          <w:iCs/>
          <w:szCs w:val="24"/>
          <w:shd w:val="clear" w:color="auto" w:fill="FFFFFF"/>
        </w:rPr>
        <w:t>Euthanasia, ethics and public policy: an argument against legalisation</w:t>
      </w:r>
      <w:r>
        <w:rPr>
          <w:rFonts w:cs="Times New Roman"/>
          <w:szCs w:val="24"/>
          <w:shd w:val="clear" w:color="auto" w:fill="FFFFFF"/>
        </w:rPr>
        <w:t>. Cambridge University Press.</w:t>
      </w:r>
    </w:p>
    <w:p w14:paraId="45CB68F4" w14:textId="77777777" w:rsidR="003D03A1" w:rsidRDefault="003D03A1">
      <w:pPr>
        <w:ind w:left="720" w:hanging="720"/>
        <w:rPr>
          <w:rFonts w:cs="Times New Roman"/>
          <w:szCs w:val="24"/>
        </w:rPr>
      </w:pPr>
      <w:r>
        <w:rPr>
          <w:rFonts w:cs="Times New Roman"/>
          <w:szCs w:val="24"/>
          <w:shd w:val="clear" w:color="auto" w:fill="FFFFFF"/>
        </w:rPr>
        <w:t>Kouwenhoven, P. S., Van Thiel, G. J., Van Der Heide, A., Rietjens, J. A., &amp; Van Delden, J. J. (2019). Developments in euthanasia practice in the Netherlands: Balancing professional responsibility and the patient’s autonomy. </w:t>
      </w:r>
      <w:r>
        <w:rPr>
          <w:rFonts w:cs="Times New Roman"/>
          <w:i/>
          <w:iCs/>
          <w:szCs w:val="24"/>
          <w:shd w:val="clear" w:color="auto" w:fill="FFFFFF"/>
        </w:rPr>
        <w:t>European Journal of General Practice</w:t>
      </w:r>
      <w:r>
        <w:rPr>
          <w:rFonts w:cs="Times New Roman"/>
          <w:szCs w:val="24"/>
          <w:shd w:val="clear" w:color="auto" w:fill="FFFFFF"/>
        </w:rPr>
        <w:t>, </w:t>
      </w:r>
      <w:r>
        <w:rPr>
          <w:rFonts w:cs="Times New Roman"/>
          <w:i/>
          <w:iCs/>
          <w:szCs w:val="24"/>
          <w:shd w:val="clear" w:color="auto" w:fill="FFFFFF"/>
        </w:rPr>
        <w:t>25</w:t>
      </w:r>
      <w:r>
        <w:rPr>
          <w:rFonts w:cs="Times New Roman"/>
          <w:szCs w:val="24"/>
          <w:shd w:val="clear" w:color="auto" w:fill="FFFFFF"/>
        </w:rPr>
        <w:t>(1), 44-48.</w:t>
      </w:r>
    </w:p>
    <w:p w14:paraId="27864450" w14:textId="77777777" w:rsidR="003D03A1" w:rsidRDefault="003D03A1">
      <w:pPr>
        <w:ind w:left="720" w:hanging="720"/>
        <w:rPr>
          <w:rFonts w:cs="Times New Roman"/>
          <w:szCs w:val="24"/>
        </w:rPr>
      </w:pPr>
      <w:r>
        <w:rPr>
          <w:rFonts w:cs="Times New Roman"/>
          <w:szCs w:val="24"/>
          <w:shd w:val="clear" w:color="auto" w:fill="FFFFFF"/>
        </w:rPr>
        <w:t>Lee, M. A. (2023). The ethical issue of physician-assisted suicide and euthanasia. </w:t>
      </w:r>
      <w:r>
        <w:rPr>
          <w:rFonts w:cs="Times New Roman"/>
          <w:i/>
          <w:iCs/>
          <w:szCs w:val="24"/>
          <w:shd w:val="clear" w:color="auto" w:fill="FFFFFF"/>
        </w:rPr>
        <w:t>Journal of Hospice and Palliative Care</w:t>
      </w:r>
      <w:r>
        <w:rPr>
          <w:rFonts w:cs="Times New Roman"/>
          <w:szCs w:val="24"/>
          <w:shd w:val="clear" w:color="auto" w:fill="FFFFFF"/>
        </w:rPr>
        <w:t>, </w:t>
      </w:r>
      <w:r>
        <w:rPr>
          <w:rFonts w:cs="Times New Roman"/>
          <w:i/>
          <w:iCs/>
          <w:szCs w:val="24"/>
          <w:shd w:val="clear" w:color="auto" w:fill="FFFFFF"/>
        </w:rPr>
        <w:t>26</w:t>
      </w:r>
      <w:r>
        <w:rPr>
          <w:rFonts w:cs="Times New Roman"/>
          <w:szCs w:val="24"/>
          <w:shd w:val="clear" w:color="auto" w:fill="FFFFFF"/>
        </w:rPr>
        <w:t>(2), 95.</w:t>
      </w:r>
    </w:p>
    <w:p w14:paraId="64F78B93" w14:textId="77777777" w:rsidR="003D03A1" w:rsidRDefault="003D03A1">
      <w:pPr>
        <w:ind w:left="720" w:hanging="720"/>
        <w:rPr>
          <w:rFonts w:cs="Times New Roman"/>
          <w:szCs w:val="24"/>
          <w:shd w:val="clear" w:color="auto" w:fill="FFFFFF"/>
        </w:rPr>
      </w:pPr>
      <w:r>
        <w:rPr>
          <w:rFonts w:cs="Times New Roman"/>
          <w:szCs w:val="24"/>
          <w:shd w:val="clear" w:color="auto" w:fill="FFFFFF"/>
        </w:rPr>
        <w:t>Liddane, N. (2013). Abandoned to principle: an overview of the law on euthanasia &amp; assisted suicide in the UK and Ireland &amp; the case for reform. </w:t>
      </w:r>
      <w:r>
        <w:rPr>
          <w:rFonts w:cs="Times New Roman"/>
          <w:i/>
          <w:iCs/>
          <w:szCs w:val="24"/>
          <w:shd w:val="clear" w:color="auto" w:fill="FFFFFF"/>
        </w:rPr>
        <w:t>Cork Online Law Review</w:t>
      </w:r>
      <w:r>
        <w:rPr>
          <w:rFonts w:cs="Times New Roman"/>
          <w:szCs w:val="24"/>
          <w:shd w:val="clear" w:color="auto" w:fill="FFFFFF"/>
        </w:rPr>
        <w:t>, </w:t>
      </w:r>
      <w:r>
        <w:rPr>
          <w:rFonts w:cs="Times New Roman"/>
          <w:i/>
          <w:iCs/>
          <w:szCs w:val="24"/>
          <w:shd w:val="clear" w:color="auto" w:fill="FFFFFF"/>
        </w:rPr>
        <w:t>12</w:t>
      </w:r>
      <w:r>
        <w:rPr>
          <w:rFonts w:cs="Times New Roman"/>
          <w:szCs w:val="24"/>
          <w:shd w:val="clear" w:color="auto" w:fill="FFFFFF"/>
        </w:rPr>
        <w:t>, 79-103.</w:t>
      </w:r>
    </w:p>
    <w:p w14:paraId="07B2706E" w14:textId="3EC001EE" w:rsidR="003D03A1" w:rsidRPr="00A827FA" w:rsidRDefault="003D03A1" w:rsidP="003D03A1">
      <w:pPr>
        <w:ind w:left="720" w:hanging="720"/>
        <w:rPr>
          <w:highlight w:val="yellow"/>
        </w:rPr>
      </w:pPr>
      <w:r w:rsidRPr="00A827FA">
        <w:rPr>
          <w:highlight w:val="yellow"/>
          <w:shd w:val="clear" w:color="auto" w:fill="FFFFFF"/>
        </w:rPr>
        <w:t>Martin, S. (2021). </w:t>
      </w:r>
      <w:r w:rsidRPr="00A827FA">
        <w:rPr>
          <w:i/>
          <w:iCs/>
          <w:highlight w:val="yellow"/>
          <w:shd w:val="clear" w:color="auto" w:fill="FFFFFF"/>
        </w:rPr>
        <w:t xml:space="preserve">Assisted suicide and the European </w:t>
      </w:r>
      <w:r w:rsidR="007D2357">
        <w:rPr>
          <w:i/>
          <w:iCs/>
          <w:highlight w:val="yellow"/>
          <w:shd w:val="clear" w:color="auto" w:fill="FFFFFF"/>
        </w:rPr>
        <w:t>Convention</w:t>
      </w:r>
      <w:r w:rsidRPr="00A827FA">
        <w:rPr>
          <w:i/>
          <w:iCs/>
          <w:highlight w:val="yellow"/>
          <w:shd w:val="clear" w:color="auto" w:fill="FFFFFF"/>
        </w:rPr>
        <w:t xml:space="preserve"> on </w:t>
      </w:r>
      <w:r w:rsidR="007D2357">
        <w:rPr>
          <w:i/>
          <w:iCs/>
          <w:highlight w:val="yellow"/>
          <w:shd w:val="clear" w:color="auto" w:fill="FFFFFF"/>
        </w:rPr>
        <w:t>Human Rights</w:t>
      </w:r>
      <w:r w:rsidRPr="00A827FA">
        <w:rPr>
          <w:highlight w:val="yellow"/>
          <w:shd w:val="clear" w:color="auto" w:fill="FFFFFF"/>
        </w:rPr>
        <w:t>. Routledge.</w:t>
      </w:r>
    </w:p>
    <w:p w14:paraId="638FE042" w14:textId="77777777" w:rsidR="003D03A1" w:rsidRDefault="003D03A1">
      <w:pPr>
        <w:ind w:left="720" w:hanging="720"/>
        <w:rPr>
          <w:rFonts w:cs="Times New Roman"/>
          <w:szCs w:val="24"/>
          <w:shd w:val="clear" w:color="auto" w:fill="FFFFFF"/>
        </w:rPr>
      </w:pPr>
      <w:r>
        <w:rPr>
          <w:rFonts w:eastAsia="Times New Roman" w:cs="Times New Roman"/>
          <w:szCs w:val="24"/>
          <w:lang w:eastAsia="en-IN"/>
        </w:rPr>
        <w:t>Mental Capacity Act 2005</w:t>
      </w:r>
    </w:p>
    <w:p w14:paraId="219B3BF0" w14:textId="77777777" w:rsidR="003D03A1" w:rsidRDefault="003D03A1">
      <w:pPr>
        <w:ind w:left="720" w:hanging="720"/>
        <w:rPr>
          <w:rFonts w:cs="Times New Roman"/>
          <w:szCs w:val="24"/>
        </w:rPr>
      </w:pPr>
      <w:r>
        <w:rPr>
          <w:rFonts w:cs="Times New Roman"/>
          <w:szCs w:val="24"/>
        </w:rPr>
        <w:t>Murphy, S. (2022). Are the Laws Forbidding Euthanasia and Assisted Suicide in the UK Taking Away the Personal Autonomy of Terminally Ill Citizens? LJMU Student Law Journal, 2.</w:t>
      </w:r>
    </w:p>
    <w:p w14:paraId="5B57389B" w14:textId="77777777" w:rsidR="003D03A1" w:rsidRDefault="003D03A1">
      <w:pPr>
        <w:ind w:left="720" w:hanging="720"/>
        <w:rPr>
          <w:rFonts w:cs="Times New Roman"/>
          <w:szCs w:val="24"/>
        </w:rPr>
      </w:pPr>
      <w:r>
        <w:rPr>
          <w:rFonts w:cs="Times New Roman"/>
          <w:szCs w:val="24"/>
          <w:shd w:val="clear" w:color="auto" w:fill="FFFFFF"/>
        </w:rPr>
        <w:t>Nandilath, S. (2023). A critical analysis of the law on assisted suicide in the UK. </w:t>
      </w:r>
      <w:r>
        <w:rPr>
          <w:rFonts w:cs="Times New Roman"/>
          <w:i/>
          <w:iCs/>
          <w:szCs w:val="24"/>
          <w:shd w:val="clear" w:color="auto" w:fill="FFFFFF"/>
        </w:rPr>
        <w:t>Plymouth Law Review</w:t>
      </w:r>
      <w:r>
        <w:rPr>
          <w:rFonts w:cs="Times New Roman"/>
          <w:szCs w:val="24"/>
          <w:shd w:val="clear" w:color="auto" w:fill="FFFFFF"/>
        </w:rPr>
        <w:t>, </w:t>
      </w:r>
      <w:r>
        <w:rPr>
          <w:rFonts w:cs="Times New Roman"/>
          <w:i/>
          <w:iCs/>
          <w:szCs w:val="24"/>
          <w:shd w:val="clear" w:color="auto" w:fill="FFFFFF"/>
        </w:rPr>
        <w:t>16</w:t>
      </w:r>
      <w:r>
        <w:rPr>
          <w:rFonts w:cs="Times New Roman"/>
          <w:szCs w:val="24"/>
          <w:shd w:val="clear" w:color="auto" w:fill="FFFFFF"/>
        </w:rPr>
        <w:t>(1), 127-153.</w:t>
      </w:r>
    </w:p>
    <w:p w14:paraId="3C238B05" w14:textId="77777777" w:rsidR="003D03A1" w:rsidRDefault="003D03A1">
      <w:pPr>
        <w:ind w:left="720" w:hanging="720"/>
        <w:rPr>
          <w:rFonts w:cs="Times New Roman"/>
          <w:szCs w:val="24"/>
        </w:rPr>
      </w:pPr>
      <w:r>
        <w:rPr>
          <w:rFonts w:cs="Times New Roman"/>
          <w:szCs w:val="24"/>
        </w:rPr>
        <w:t>Office of Public Prosecutions v Chabot nr 96.972 (1994)</w:t>
      </w:r>
    </w:p>
    <w:p w14:paraId="3A990A32" w14:textId="458F3BA6" w:rsidR="003D03A1" w:rsidRDefault="003D03A1">
      <w:pPr>
        <w:ind w:left="720" w:hanging="720"/>
        <w:rPr>
          <w:rFonts w:cs="Times New Roman"/>
          <w:szCs w:val="24"/>
        </w:rPr>
      </w:pPr>
      <w:r>
        <w:rPr>
          <w:rFonts w:cs="Times New Roman"/>
          <w:szCs w:val="24"/>
          <w:shd w:val="clear" w:color="auto" w:fill="FFFFFF"/>
        </w:rPr>
        <w:t xml:space="preserve">Pentaris, P., &amp; Jacobs, L. (2022). </w:t>
      </w:r>
      <w:r w:rsidR="007D2357">
        <w:rPr>
          <w:rFonts w:cs="Times New Roman"/>
          <w:szCs w:val="24"/>
          <w:shd w:val="clear" w:color="auto" w:fill="FFFFFF"/>
        </w:rPr>
        <w:t xml:space="preserve">The </w:t>
      </w:r>
      <w:r>
        <w:rPr>
          <w:rFonts w:cs="Times New Roman"/>
          <w:szCs w:val="24"/>
          <w:shd w:val="clear" w:color="auto" w:fill="FFFFFF"/>
        </w:rPr>
        <w:t>UK public’s views and perceptions about the legalisation of assisted dying and assisted suicide. </w:t>
      </w:r>
      <w:r>
        <w:rPr>
          <w:rFonts w:cs="Times New Roman"/>
          <w:i/>
          <w:iCs/>
          <w:szCs w:val="24"/>
          <w:shd w:val="clear" w:color="auto" w:fill="FFFFFF"/>
        </w:rPr>
        <w:t>OMEGA-Journal of Death and Dying</w:t>
      </w:r>
      <w:r>
        <w:rPr>
          <w:rFonts w:cs="Times New Roman"/>
          <w:szCs w:val="24"/>
          <w:shd w:val="clear" w:color="auto" w:fill="FFFFFF"/>
        </w:rPr>
        <w:t>, </w:t>
      </w:r>
      <w:r>
        <w:rPr>
          <w:rFonts w:cs="Times New Roman"/>
          <w:i/>
          <w:iCs/>
          <w:szCs w:val="24"/>
          <w:shd w:val="clear" w:color="auto" w:fill="FFFFFF"/>
        </w:rPr>
        <w:t>86</w:t>
      </w:r>
      <w:r>
        <w:rPr>
          <w:rFonts w:cs="Times New Roman"/>
          <w:szCs w:val="24"/>
          <w:shd w:val="clear" w:color="auto" w:fill="FFFFFF"/>
        </w:rPr>
        <w:t>(1), 203-217.</w:t>
      </w:r>
    </w:p>
    <w:p w14:paraId="1C28EFAA" w14:textId="59663CE9" w:rsidR="003D03A1" w:rsidRDefault="003D03A1">
      <w:pPr>
        <w:ind w:left="720" w:hanging="720"/>
        <w:rPr>
          <w:rFonts w:cs="Times New Roman"/>
          <w:szCs w:val="24"/>
          <w:shd w:val="clear" w:color="auto" w:fill="FFFFFF"/>
        </w:rPr>
      </w:pPr>
      <w:r>
        <w:rPr>
          <w:rFonts w:cs="Times New Roman"/>
          <w:szCs w:val="24"/>
          <w:shd w:val="clear" w:color="auto" w:fill="FFFFFF"/>
        </w:rPr>
        <w:t xml:space="preserve">Pereira, J. (2011). </w:t>
      </w:r>
      <w:r w:rsidR="007D2357">
        <w:rPr>
          <w:rFonts w:cs="Times New Roman"/>
          <w:szCs w:val="24"/>
          <w:shd w:val="clear" w:color="auto" w:fill="FFFFFF"/>
        </w:rPr>
        <w:t>Legalising</w:t>
      </w:r>
      <w:r>
        <w:rPr>
          <w:rFonts w:cs="Times New Roman"/>
          <w:szCs w:val="24"/>
          <w:shd w:val="clear" w:color="auto" w:fill="FFFFFF"/>
        </w:rPr>
        <w:t xml:space="preserve"> euthanasia or assisted suicide: the illusion of safeguards and controls. </w:t>
      </w:r>
      <w:r>
        <w:rPr>
          <w:rFonts w:cs="Times New Roman"/>
          <w:i/>
          <w:iCs/>
          <w:szCs w:val="24"/>
          <w:shd w:val="clear" w:color="auto" w:fill="FFFFFF"/>
        </w:rPr>
        <w:t>Current Oncology</w:t>
      </w:r>
      <w:r>
        <w:rPr>
          <w:rFonts w:cs="Times New Roman"/>
          <w:szCs w:val="24"/>
          <w:shd w:val="clear" w:color="auto" w:fill="FFFFFF"/>
        </w:rPr>
        <w:t>, </w:t>
      </w:r>
      <w:r>
        <w:rPr>
          <w:rFonts w:cs="Times New Roman"/>
          <w:i/>
          <w:iCs/>
          <w:szCs w:val="24"/>
          <w:shd w:val="clear" w:color="auto" w:fill="FFFFFF"/>
        </w:rPr>
        <w:t>18</w:t>
      </w:r>
      <w:r>
        <w:rPr>
          <w:rFonts w:cs="Times New Roman"/>
          <w:szCs w:val="24"/>
          <w:shd w:val="clear" w:color="auto" w:fill="FFFFFF"/>
        </w:rPr>
        <w:t>(2), e38.</w:t>
      </w:r>
    </w:p>
    <w:p w14:paraId="697F1BE1" w14:textId="77777777" w:rsidR="003D03A1" w:rsidRDefault="003D03A1">
      <w:pPr>
        <w:ind w:left="720" w:hanging="720"/>
        <w:rPr>
          <w:rFonts w:cs="Times New Roman"/>
          <w:szCs w:val="24"/>
        </w:rPr>
      </w:pPr>
      <w:r>
        <w:rPr>
          <w:rFonts w:eastAsia="Times New Roman" w:cs="Times New Roman"/>
          <w:szCs w:val="24"/>
          <w:lang w:eastAsia="en-IN"/>
        </w:rPr>
        <w:lastRenderedPageBreak/>
        <w:t>R (Nicklinson) v Ministry of Justice [2015] AC 657</w:t>
      </w:r>
    </w:p>
    <w:p w14:paraId="4C5D7FBF" w14:textId="77777777" w:rsidR="003D03A1" w:rsidRDefault="003D03A1">
      <w:pPr>
        <w:ind w:left="720" w:hanging="720"/>
        <w:rPr>
          <w:rFonts w:cs="Times New Roman"/>
          <w:szCs w:val="24"/>
          <w:shd w:val="clear" w:color="auto" w:fill="FFFFFF"/>
        </w:rPr>
      </w:pPr>
      <w:r>
        <w:rPr>
          <w:rFonts w:eastAsia="Times New Roman" w:cs="Times New Roman"/>
          <w:szCs w:val="24"/>
          <w:lang w:eastAsia="en-IN"/>
        </w:rPr>
        <w:t>Suicide Act 1961</w:t>
      </w:r>
    </w:p>
    <w:p w14:paraId="39FAA9A3" w14:textId="77777777" w:rsidR="003D03A1" w:rsidRDefault="003D03A1">
      <w:pPr>
        <w:ind w:left="720" w:hanging="720"/>
        <w:rPr>
          <w:rFonts w:cs="Times New Roman"/>
          <w:szCs w:val="24"/>
        </w:rPr>
      </w:pPr>
      <w:r>
        <w:rPr>
          <w:rFonts w:cs="Times New Roman"/>
          <w:szCs w:val="24"/>
        </w:rPr>
        <w:t>Termination of Life on Request and Assisted Suicide (Review Procedures) Act 2002.</w:t>
      </w:r>
    </w:p>
    <w:p w14:paraId="604AB797" w14:textId="77777777" w:rsidR="003D03A1" w:rsidRDefault="003D03A1">
      <w:pPr>
        <w:ind w:left="720" w:hanging="720"/>
        <w:rPr>
          <w:rFonts w:cs="Times New Roman"/>
          <w:szCs w:val="24"/>
          <w:shd w:val="clear" w:color="auto" w:fill="FFFFFF"/>
        </w:rPr>
      </w:pPr>
      <w:r>
        <w:rPr>
          <w:rFonts w:cs="Times New Roman"/>
          <w:szCs w:val="24"/>
          <w:shd w:val="clear" w:color="auto" w:fill="FFFFFF"/>
        </w:rPr>
        <w:t>Van der Heide, A., Onwuteaka-Philipsen, B. D., Rurup, M. L., Buiting, H. M., Van Delden, J. J., Hanssen-de Wolf, J. E., ... &amp; van der Wal, G. (2007). End-of-life practices in the Netherlands under the Euthanasia Act. </w:t>
      </w:r>
      <w:r>
        <w:rPr>
          <w:rFonts w:cs="Times New Roman"/>
          <w:i/>
          <w:iCs/>
          <w:szCs w:val="24"/>
          <w:shd w:val="clear" w:color="auto" w:fill="FFFFFF"/>
        </w:rPr>
        <w:t>New England Journal of Medicine</w:t>
      </w:r>
      <w:r>
        <w:rPr>
          <w:rFonts w:cs="Times New Roman"/>
          <w:szCs w:val="24"/>
          <w:shd w:val="clear" w:color="auto" w:fill="FFFFFF"/>
        </w:rPr>
        <w:t>, </w:t>
      </w:r>
      <w:r>
        <w:rPr>
          <w:rFonts w:cs="Times New Roman"/>
          <w:i/>
          <w:iCs/>
          <w:szCs w:val="24"/>
          <w:shd w:val="clear" w:color="auto" w:fill="FFFFFF"/>
        </w:rPr>
        <w:t>356</w:t>
      </w:r>
      <w:r>
        <w:rPr>
          <w:rFonts w:cs="Times New Roman"/>
          <w:szCs w:val="24"/>
          <w:shd w:val="clear" w:color="auto" w:fill="FFFFFF"/>
        </w:rPr>
        <w:t>(19), 1957-1965.</w:t>
      </w:r>
    </w:p>
    <w:p w14:paraId="3E0CCCE5" w14:textId="77777777" w:rsidR="003D03A1" w:rsidRDefault="003D03A1">
      <w:pPr>
        <w:ind w:left="720" w:hanging="720"/>
        <w:rPr>
          <w:rFonts w:cs="Times New Roman"/>
          <w:szCs w:val="24"/>
        </w:rPr>
      </w:pPr>
    </w:p>
    <w:sectPr w:rsidR="003D03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B4C70" w14:textId="77777777" w:rsidR="00D45900" w:rsidRDefault="00D45900">
      <w:pPr>
        <w:spacing w:line="240" w:lineRule="auto"/>
      </w:pPr>
      <w:r>
        <w:separator/>
      </w:r>
    </w:p>
  </w:endnote>
  <w:endnote w:type="continuationSeparator" w:id="0">
    <w:p w14:paraId="71C59D0F" w14:textId="77777777" w:rsidR="00D45900" w:rsidRDefault="00D459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6804" w14:textId="77777777" w:rsidR="002E2020" w:rsidRDefault="002E2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9EE18" w14:textId="77777777" w:rsidR="002E2020" w:rsidRDefault="002E2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ED14B" w14:textId="77777777" w:rsidR="002E2020" w:rsidRDefault="002E2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B0AAB" w14:textId="77777777" w:rsidR="00D45900" w:rsidRDefault="00D45900">
      <w:pPr>
        <w:spacing w:after="0"/>
      </w:pPr>
      <w:r>
        <w:separator/>
      </w:r>
    </w:p>
  </w:footnote>
  <w:footnote w:type="continuationSeparator" w:id="0">
    <w:p w14:paraId="55A02F3D" w14:textId="77777777" w:rsidR="00D45900" w:rsidRDefault="00D459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D6CF5" w14:textId="5B15ACAE" w:rsidR="002E2020" w:rsidRDefault="00D45900">
    <w:pPr>
      <w:pStyle w:val="Header"/>
    </w:pPr>
    <w:r>
      <w:rPr>
        <w:noProof/>
      </w:rPr>
      <w:pict w14:anchorId="3A6BF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92454" o:spid="_x0000_s2052"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ED0F7" w14:textId="00B3BD3F" w:rsidR="00C60F00" w:rsidRDefault="00D45900">
    <w:pPr>
      <w:pStyle w:val="Header"/>
    </w:pPr>
    <w:r>
      <w:rPr>
        <w:noProof/>
      </w:rPr>
      <w:pict w14:anchorId="5159E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92455" o:spid="_x0000_s2053" type="#_x0000_t136" style="position:absolute;left:0;text-align:left;margin-left:0;margin-top:0;width:593.85pt;height:65.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pict w14:anchorId="3A97D4C8">
        <v:shapetype id="_x0000_t202" coordsize="21600,21600" o:spt="202" path="m,l,21600r21600,l21600,xe">
          <v:stroke joinstyle="miter"/>
          <v:path gradientshapeok="t" o:connecttype="rect"/>
        </v:shapetype>
        <v:shape id="Text Box 221" o:spid="_x0000_s2049" type="#_x0000_t202" style="position:absolute;left:0;text-align:left;margin-left:540pt;margin-top:29.1pt;width:71.8pt;height:13.45pt;z-index:251659264;mso-width-percent:1000;mso-position-horizontal-relative:page;mso-position-vertical-relative:page;mso-width-percent:100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stroked="f">
          <v:textbox style="mso-fit-shape-to-text:t" inset=",0,,0">
            <w:txbxContent>
              <w:p w14:paraId="6A716080" w14:textId="6DF55114" w:rsidR="00C60F00" w:rsidRDefault="008D4B7B">
                <w:pPr>
                  <w:spacing w:after="0" w:line="240" w:lineRule="auto"/>
                  <w:rPr>
                    <w:color w:val="FFFFFF" w:themeColor="background1"/>
                  </w:rPr>
                </w:pPr>
                <w:r>
                  <w:fldChar w:fldCharType="begin"/>
                </w:r>
                <w:r>
                  <w:instrText xml:space="preserve"> PAGE   \* MERGEFORMAT </w:instrText>
                </w:r>
                <w:r>
                  <w:fldChar w:fldCharType="separate"/>
                </w:r>
                <w:r w:rsidR="007D2357" w:rsidRPr="007D2357">
                  <w:rPr>
                    <w:noProof/>
                    <w:color w:val="FFFFFF" w:themeColor="background1"/>
                  </w:rPr>
                  <w:t>3</w:t>
                </w:r>
                <w:r>
                  <w:rPr>
                    <w:color w:val="FFFFFF" w:themeColor="background1"/>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70B13" w14:textId="4BCF4F0E" w:rsidR="002E2020" w:rsidRDefault="00D45900">
    <w:pPr>
      <w:pStyle w:val="Header"/>
    </w:pPr>
    <w:r>
      <w:rPr>
        <w:noProof/>
      </w:rPr>
      <w:pict w14:anchorId="5AF38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92453" o:spid="_x0000_s2051"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07E68"/>
    <w:multiLevelType w:val="hybridMultilevel"/>
    <w:tmpl w:val="59B008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F87AC1"/>
    <w:rsid w:val="00003724"/>
    <w:rsid w:val="00004ECB"/>
    <w:rsid w:val="00010874"/>
    <w:rsid w:val="00014B58"/>
    <w:rsid w:val="00030BAF"/>
    <w:rsid w:val="00033982"/>
    <w:rsid w:val="00035C1A"/>
    <w:rsid w:val="0004171E"/>
    <w:rsid w:val="00041F2C"/>
    <w:rsid w:val="00051779"/>
    <w:rsid w:val="00053511"/>
    <w:rsid w:val="00056412"/>
    <w:rsid w:val="00067957"/>
    <w:rsid w:val="000712FC"/>
    <w:rsid w:val="000765E7"/>
    <w:rsid w:val="00083208"/>
    <w:rsid w:val="000847F2"/>
    <w:rsid w:val="00093637"/>
    <w:rsid w:val="00093AA3"/>
    <w:rsid w:val="000947B2"/>
    <w:rsid w:val="00095C96"/>
    <w:rsid w:val="000A1A4B"/>
    <w:rsid w:val="000A3D69"/>
    <w:rsid w:val="000B3B02"/>
    <w:rsid w:val="000B6A34"/>
    <w:rsid w:val="000C3CF7"/>
    <w:rsid w:val="000C618E"/>
    <w:rsid w:val="000E3BC7"/>
    <w:rsid w:val="000E699B"/>
    <w:rsid w:val="000F060F"/>
    <w:rsid w:val="000F4B76"/>
    <w:rsid w:val="000F6299"/>
    <w:rsid w:val="000F79BF"/>
    <w:rsid w:val="000F7D1E"/>
    <w:rsid w:val="00100D98"/>
    <w:rsid w:val="001025B8"/>
    <w:rsid w:val="0011486A"/>
    <w:rsid w:val="00120380"/>
    <w:rsid w:val="00125F23"/>
    <w:rsid w:val="00131EE9"/>
    <w:rsid w:val="00132CBD"/>
    <w:rsid w:val="00137219"/>
    <w:rsid w:val="001533A4"/>
    <w:rsid w:val="0015446D"/>
    <w:rsid w:val="0016267F"/>
    <w:rsid w:val="00163CB5"/>
    <w:rsid w:val="001677B8"/>
    <w:rsid w:val="00183007"/>
    <w:rsid w:val="00184D46"/>
    <w:rsid w:val="001945E5"/>
    <w:rsid w:val="001A0D83"/>
    <w:rsid w:val="001A1A91"/>
    <w:rsid w:val="001B1646"/>
    <w:rsid w:val="001B30ED"/>
    <w:rsid w:val="001B366B"/>
    <w:rsid w:val="001B4A08"/>
    <w:rsid w:val="001C6E1D"/>
    <w:rsid w:val="001D13A4"/>
    <w:rsid w:val="001D730A"/>
    <w:rsid w:val="001E2419"/>
    <w:rsid w:val="001E6EBE"/>
    <w:rsid w:val="001F3328"/>
    <w:rsid w:val="001F3E2A"/>
    <w:rsid w:val="002061C7"/>
    <w:rsid w:val="00220DFB"/>
    <w:rsid w:val="002246D4"/>
    <w:rsid w:val="00227EF0"/>
    <w:rsid w:val="002320A0"/>
    <w:rsid w:val="0023439E"/>
    <w:rsid w:val="00241CE3"/>
    <w:rsid w:val="00246BB7"/>
    <w:rsid w:val="00247E5D"/>
    <w:rsid w:val="002503EA"/>
    <w:rsid w:val="00253094"/>
    <w:rsid w:val="002539E0"/>
    <w:rsid w:val="00253D78"/>
    <w:rsid w:val="00256A1F"/>
    <w:rsid w:val="00263BB1"/>
    <w:rsid w:val="002656A8"/>
    <w:rsid w:val="00266225"/>
    <w:rsid w:val="002768A3"/>
    <w:rsid w:val="002804CA"/>
    <w:rsid w:val="00283F53"/>
    <w:rsid w:val="002841F6"/>
    <w:rsid w:val="00291E8C"/>
    <w:rsid w:val="00294DFC"/>
    <w:rsid w:val="002A496D"/>
    <w:rsid w:val="002B5340"/>
    <w:rsid w:val="002B65D7"/>
    <w:rsid w:val="002B7724"/>
    <w:rsid w:val="002C3397"/>
    <w:rsid w:val="002D0EFD"/>
    <w:rsid w:val="002D339A"/>
    <w:rsid w:val="002D7B1C"/>
    <w:rsid w:val="002E09E6"/>
    <w:rsid w:val="002E1B7F"/>
    <w:rsid w:val="002E2020"/>
    <w:rsid w:val="002E26A7"/>
    <w:rsid w:val="002E6C4E"/>
    <w:rsid w:val="00303CC6"/>
    <w:rsid w:val="00305CD8"/>
    <w:rsid w:val="00306D6B"/>
    <w:rsid w:val="003143D5"/>
    <w:rsid w:val="003151CD"/>
    <w:rsid w:val="00316648"/>
    <w:rsid w:val="00324B63"/>
    <w:rsid w:val="003261DB"/>
    <w:rsid w:val="00335265"/>
    <w:rsid w:val="0034229F"/>
    <w:rsid w:val="0034574E"/>
    <w:rsid w:val="00346434"/>
    <w:rsid w:val="00351355"/>
    <w:rsid w:val="00351760"/>
    <w:rsid w:val="00356968"/>
    <w:rsid w:val="00372048"/>
    <w:rsid w:val="00374034"/>
    <w:rsid w:val="0037541F"/>
    <w:rsid w:val="0038762C"/>
    <w:rsid w:val="00390BEA"/>
    <w:rsid w:val="0039703A"/>
    <w:rsid w:val="003A7C4E"/>
    <w:rsid w:val="003B0091"/>
    <w:rsid w:val="003B4050"/>
    <w:rsid w:val="003C198D"/>
    <w:rsid w:val="003C3AE9"/>
    <w:rsid w:val="003D03A1"/>
    <w:rsid w:val="003D3326"/>
    <w:rsid w:val="003E7CD2"/>
    <w:rsid w:val="003F7542"/>
    <w:rsid w:val="00413C7B"/>
    <w:rsid w:val="00424EE8"/>
    <w:rsid w:val="00442D1B"/>
    <w:rsid w:val="00447CC9"/>
    <w:rsid w:val="004508C3"/>
    <w:rsid w:val="004553A3"/>
    <w:rsid w:val="00467006"/>
    <w:rsid w:val="00472470"/>
    <w:rsid w:val="0047482B"/>
    <w:rsid w:val="00475F20"/>
    <w:rsid w:val="0049075B"/>
    <w:rsid w:val="00493FE8"/>
    <w:rsid w:val="004A1165"/>
    <w:rsid w:val="004A2964"/>
    <w:rsid w:val="004B28E6"/>
    <w:rsid w:val="004B318C"/>
    <w:rsid w:val="004C3F0E"/>
    <w:rsid w:val="004C4DD4"/>
    <w:rsid w:val="004D0BCA"/>
    <w:rsid w:val="004D193C"/>
    <w:rsid w:val="004E0B12"/>
    <w:rsid w:val="004E37D2"/>
    <w:rsid w:val="004F14F0"/>
    <w:rsid w:val="004F42EA"/>
    <w:rsid w:val="00504E25"/>
    <w:rsid w:val="0050794E"/>
    <w:rsid w:val="0051496F"/>
    <w:rsid w:val="0051507C"/>
    <w:rsid w:val="005175F7"/>
    <w:rsid w:val="005203CA"/>
    <w:rsid w:val="00522AD6"/>
    <w:rsid w:val="0053054A"/>
    <w:rsid w:val="00530CE8"/>
    <w:rsid w:val="00545E65"/>
    <w:rsid w:val="00563D6B"/>
    <w:rsid w:val="00563E8B"/>
    <w:rsid w:val="00566298"/>
    <w:rsid w:val="005844F1"/>
    <w:rsid w:val="00584A42"/>
    <w:rsid w:val="005854B6"/>
    <w:rsid w:val="00585D6D"/>
    <w:rsid w:val="005B0165"/>
    <w:rsid w:val="005B4086"/>
    <w:rsid w:val="005B662C"/>
    <w:rsid w:val="005C0224"/>
    <w:rsid w:val="005C22F7"/>
    <w:rsid w:val="005C264C"/>
    <w:rsid w:val="005D517B"/>
    <w:rsid w:val="005D5F52"/>
    <w:rsid w:val="005D6A3F"/>
    <w:rsid w:val="005E40FC"/>
    <w:rsid w:val="005E7990"/>
    <w:rsid w:val="005F18D3"/>
    <w:rsid w:val="005F4D8A"/>
    <w:rsid w:val="005F7B7A"/>
    <w:rsid w:val="00600187"/>
    <w:rsid w:val="00602FDB"/>
    <w:rsid w:val="00607DF3"/>
    <w:rsid w:val="006107D8"/>
    <w:rsid w:val="006175ED"/>
    <w:rsid w:val="006219B3"/>
    <w:rsid w:val="00621E31"/>
    <w:rsid w:val="006228B3"/>
    <w:rsid w:val="00622AE9"/>
    <w:rsid w:val="00623C8D"/>
    <w:rsid w:val="00626A7A"/>
    <w:rsid w:val="00647BD6"/>
    <w:rsid w:val="00653EC5"/>
    <w:rsid w:val="00665B86"/>
    <w:rsid w:val="00672484"/>
    <w:rsid w:val="006725A6"/>
    <w:rsid w:val="006736CD"/>
    <w:rsid w:val="00680001"/>
    <w:rsid w:val="006976CE"/>
    <w:rsid w:val="006C17FE"/>
    <w:rsid w:val="006C3C66"/>
    <w:rsid w:val="006C71C1"/>
    <w:rsid w:val="006D09DD"/>
    <w:rsid w:val="006E3E0A"/>
    <w:rsid w:val="007076AA"/>
    <w:rsid w:val="00710D41"/>
    <w:rsid w:val="00720BEA"/>
    <w:rsid w:val="0073105E"/>
    <w:rsid w:val="00731D9B"/>
    <w:rsid w:val="00734857"/>
    <w:rsid w:val="00736CBB"/>
    <w:rsid w:val="00752BC7"/>
    <w:rsid w:val="00752F87"/>
    <w:rsid w:val="00755F06"/>
    <w:rsid w:val="00762CF5"/>
    <w:rsid w:val="0077271E"/>
    <w:rsid w:val="00774795"/>
    <w:rsid w:val="00776C66"/>
    <w:rsid w:val="00777E78"/>
    <w:rsid w:val="007815D4"/>
    <w:rsid w:val="0078647E"/>
    <w:rsid w:val="00786D01"/>
    <w:rsid w:val="007A3017"/>
    <w:rsid w:val="007A5940"/>
    <w:rsid w:val="007B7844"/>
    <w:rsid w:val="007C2DD3"/>
    <w:rsid w:val="007C3190"/>
    <w:rsid w:val="007C4922"/>
    <w:rsid w:val="007D2357"/>
    <w:rsid w:val="007D4778"/>
    <w:rsid w:val="007E167B"/>
    <w:rsid w:val="007E311F"/>
    <w:rsid w:val="007E4AA4"/>
    <w:rsid w:val="007E5708"/>
    <w:rsid w:val="007F17DC"/>
    <w:rsid w:val="007F2565"/>
    <w:rsid w:val="007F690A"/>
    <w:rsid w:val="008031CF"/>
    <w:rsid w:val="0081572C"/>
    <w:rsid w:val="00816B24"/>
    <w:rsid w:val="00820DB2"/>
    <w:rsid w:val="00822F33"/>
    <w:rsid w:val="00823384"/>
    <w:rsid w:val="00824ABD"/>
    <w:rsid w:val="00830A0A"/>
    <w:rsid w:val="008333B0"/>
    <w:rsid w:val="00847597"/>
    <w:rsid w:val="008603C1"/>
    <w:rsid w:val="008825DE"/>
    <w:rsid w:val="008831C0"/>
    <w:rsid w:val="00883A7D"/>
    <w:rsid w:val="00884EFA"/>
    <w:rsid w:val="008A1D0A"/>
    <w:rsid w:val="008A22D9"/>
    <w:rsid w:val="008C4623"/>
    <w:rsid w:val="008D176A"/>
    <w:rsid w:val="008D1EDD"/>
    <w:rsid w:val="008D2ED0"/>
    <w:rsid w:val="008D3513"/>
    <w:rsid w:val="008D4B7B"/>
    <w:rsid w:val="008E04C9"/>
    <w:rsid w:val="008E1DA6"/>
    <w:rsid w:val="008E55C1"/>
    <w:rsid w:val="00905694"/>
    <w:rsid w:val="00907FC6"/>
    <w:rsid w:val="00916FD6"/>
    <w:rsid w:val="00917680"/>
    <w:rsid w:val="0092265A"/>
    <w:rsid w:val="0092333D"/>
    <w:rsid w:val="00926738"/>
    <w:rsid w:val="009314A1"/>
    <w:rsid w:val="0093728A"/>
    <w:rsid w:val="00961E90"/>
    <w:rsid w:val="0096491B"/>
    <w:rsid w:val="009738C2"/>
    <w:rsid w:val="00974F8C"/>
    <w:rsid w:val="009760EF"/>
    <w:rsid w:val="009801EB"/>
    <w:rsid w:val="009909FA"/>
    <w:rsid w:val="00993AFE"/>
    <w:rsid w:val="009A510E"/>
    <w:rsid w:val="009A753C"/>
    <w:rsid w:val="00A03A0A"/>
    <w:rsid w:val="00A04B72"/>
    <w:rsid w:val="00A07F19"/>
    <w:rsid w:val="00A128A4"/>
    <w:rsid w:val="00A1506A"/>
    <w:rsid w:val="00A15550"/>
    <w:rsid w:val="00A17B83"/>
    <w:rsid w:val="00A246B9"/>
    <w:rsid w:val="00A31C8D"/>
    <w:rsid w:val="00A35823"/>
    <w:rsid w:val="00A460E7"/>
    <w:rsid w:val="00A52186"/>
    <w:rsid w:val="00A53A30"/>
    <w:rsid w:val="00A63AF5"/>
    <w:rsid w:val="00A66E3B"/>
    <w:rsid w:val="00A67B59"/>
    <w:rsid w:val="00A709A8"/>
    <w:rsid w:val="00A73944"/>
    <w:rsid w:val="00A75025"/>
    <w:rsid w:val="00A75794"/>
    <w:rsid w:val="00A81AF7"/>
    <w:rsid w:val="00A90F97"/>
    <w:rsid w:val="00A933F4"/>
    <w:rsid w:val="00A94329"/>
    <w:rsid w:val="00AA4538"/>
    <w:rsid w:val="00AA56A2"/>
    <w:rsid w:val="00AB3624"/>
    <w:rsid w:val="00AB4B0F"/>
    <w:rsid w:val="00AC0BD6"/>
    <w:rsid w:val="00AC3A17"/>
    <w:rsid w:val="00AD7DBB"/>
    <w:rsid w:val="00AE597A"/>
    <w:rsid w:val="00AE5FD0"/>
    <w:rsid w:val="00AF084F"/>
    <w:rsid w:val="00AF4F76"/>
    <w:rsid w:val="00AF6B46"/>
    <w:rsid w:val="00B24789"/>
    <w:rsid w:val="00B308DD"/>
    <w:rsid w:val="00B33DD8"/>
    <w:rsid w:val="00B355F5"/>
    <w:rsid w:val="00B3768E"/>
    <w:rsid w:val="00B37C1B"/>
    <w:rsid w:val="00B438A4"/>
    <w:rsid w:val="00B4657D"/>
    <w:rsid w:val="00B469A8"/>
    <w:rsid w:val="00B574E1"/>
    <w:rsid w:val="00B6553C"/>
    <w:rsid w:val="00B662F6"/>
    <w:rsid w:val="00B669BC"/>
    <w:rsid w:val="00B67C30"/>
    <w:rsid w:val="00B76861"/>
    <w:rsid w:val="00B77274"/>
    <w:rsid w:val="00B83804"/>
    <w:rsid w:val="00B9038D"/>
    <w:rsid w:val="00BB2F6D"/>
    <w:rsid w:val="00BC6111"/>
    <w:rsid w:val="00BD1649"/>
    <w:rsid w:val="00BE417B"/>
    <w:rsid w:val="00BF5B6C"/>
    <w:rsid w:val="00BF663F"/>
    <w:rsid w:val="00C00983"/>
    <w:rsid w:val="00C074DE"/>
    <w:rsid w:val="00C17A31"/>
    <w:rsid w:val="00C20849"/>
    <w:rsid w:val="00C27ED8"/>
    <w:rsid w:val="00C3660F"/>
    <w:rsid w:val="00C47B2C"/>
    <w:rsid w:val="00C53D1D"/>
    <w:rsid w:val="00C56D53"/>
    <w:rsid w:val="00C60F00"/>
    <w:rsid w:val="00C613B9"/>
    <w:rsid w:val="00C64FDB"/>
    <w:rsid w:val="00C70E88"/>
    <w:rsid w:val="00C876B5"/>
    <w:rsid w:val="00C90EAB"/>
    <w:rsid w:val="00C91B60"/>
    <w:rsid w:val="00C93A31"/>
    <w:rsid w:val="00C94F3F"/>
    <w:rsid w:val="00C95C23"/>
    <w:rsid w:val="00C96236"/>
    <w:rsid w:val="00CB3AD5"/>
    <w:rsid w:val="00CE37E9"/>
    <w:rsid w:val="00CE48B5"/>
    <w:rsid w:val="00CF7E88"/>
    <w:rsid w:val="00D06456"/>
    <w:rsid w:val="00D11A22"/>
    <w:rsid w:val="00D14784"/>
    <w:rsid w:val="00D247F6"/>
    <w:rsid w:val="00D24D3A"/>
    <w:rsid w:val="00D26A33"/>
    <w:rsid w:val="00D277DF"/>
    <w:rsid w:val="00D30252"/>
    <w:rsid w:val="00D30CC1"/>
    <w:rsid w:val="00D32BE7"/>
    <w:rsid w:val="00D40072"/>
    <w:rsid w:val="00D45900"/>
    <w:rsid w:val="00D46793"/>
    <w:rsid w:val="00D46DBD"/>
    <w:rsid w:val="00D51097"/>
    <w:rsid w:val="00D53532"/>
    <w:rsid w:val="00D77065"/>
    <w:rsid w:val="00D827DA"/>
    <w:rsid w:val="00D957AF"/>
    <w:rsid w:val="00DA43EC"/>
    <w:rsid w:val="00DA48AC"/>
    <w:rsid w:val="00DA6802"/>
    <w:rsid w:val="00DB44A0"/>
    <w:rsid w:val="00DB7B66"/>
    <w:rsid w:val="00DD01DD"/>
    <w:rsid w:val="00DD0F7A"/>
    <w:rsid w:val="00DD1CF5"/>
    <w:rsid w:val="00DD388E"/>
    <w:rsid w:val="00DD6A81"/>
    <w:rsid w:val="00DE3AE7"/>
    <w:rsid w:val="00DE4E1A"/>
    <w:rsid w:val="00DF1492"/>
    <w:rsid w:val="00DF21EB"/>
    <w:rsid w:val="00DF796C"/>
    <w:rsid w:val="00E017AE"/>
    <w:rsid w:val="00E02A90"/>
    <w:rsid w:val="00E04049"/>
    <w:rsid w:val="00E124B9"/>
    <w:rsid w:val="00E25572"/>
    <w:rsid w:val="00E30029"/>
    <w:rsid w:val="00E3064B"/>
    <w:rsid w:val="00E30EDF"/>
    <w:rsid w:val="00E32C7D"/>
    <w:rsid w:val="00E44F76"/>
    <w:rsid w:val="00E4551B"/>
    <w:rsid w:val="00E576BF"/>
    <w:rsid w:val="00E71801"/>
    <w:rsid w:val="00E7569B"/>
    <w:rsid w:val="00E8776B"/>
    <w:rsid w:val="00E9160D"/>
    <w:rsid w:val="00E95793"/>
    <w:rsid w:val="00EA36CF"/>
    <w:rsid w:val="00EA3CBF"/>
    <w:rsid w:val="00EB32D0"/>
    <w:rsid w:val="00EB4818"/>
    <w:rsid w:val="00EB6C0C"/>
    <w:rsid w:val="00EC2A76"/>
    <w:rsid w:val="00EC327A"/>
    <w:rsid w:val="00EC7280"/>
    <w:rsid w:val="00ED440B"/>
    <w:rsid w:val="00ED5978"/>
    <w:rsid w:val="00EE05F9"/>
    <w:rsid w:val="00EE7F1D"/>
    <w:rsid w:val="00EF37FC"/>
    <w:rsid w:val="00EF4AD6"/>
    <w:rsid w:val="00EF5235"/>
    <w:rsid w:val="00EF6CAE"/>
    <w:rsid w:val="00F000B5"/>
    <w:rsid w:val="00F019FB"/>
    <w:rsid w:val="00F0714D"/>
    <w:rsid w:val="00F15A5F"/>
    <w:rsid w:val="00F21304"/>
    <w:rsid w:val="00F23913"/>
    <w:rsid w:val="00F31A9F"/>
    <w:rsid w:val="00F354B1"/>
    <w:rsid w:val="00F416D1"/>
    <w:rsid w:val="00F42160"/>
    <w:rsid w:val="00F475F4"/>
    <w:rsid w:val="00F55AE4"/>
    <w:rsid w:val="00F60BFE"/>
    <w:rsid w:val="00F627FA"/>
    <w:rsid w:val="00F62AF9"/>
    <w:rsid w:val="00F72982"/>
    <w:rsid w:val="00F74435"/>
    <w:rsid w:val="00F7452C"/>
    <w:rsid w:val="00F77D0E"/>
    <w:rsid w:val="00F81CBF"/>
    <w:rsid w:val="00F87AC1"/>
    <w:rsid w:val="00F93BCA"/>
    <w:rsid w:val="00FA199B"/>
    <w:rsid w:val="00FB1348"/>
    <w:rsid w:val="00FB5ADC"/>
    <w:rsid w:val="00FC3A70"/>
    <w:rsid w:val="00FD37FA"/>
    <w:rsid w:val="00FF0ADA"/>
    <w:rsid w:val="00FF1635"/>
    <w:rsid w:val="00FF2772"/>
    <w:rsid w:val="00FF5A51"/>
    <w:rsid w:val="00FF6367"/>
    <w:rsid w:val="0A624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42BD3A2B"/>
  <w15:docId w15:val="{204F68C4-EE99-4E45-A949-B5DABF80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360" w:lineRule="auto"/>
      <w:jc w:val="both"/>
    </w:pPr>
    <w:rPr>
      <w:rFonts w:eastAsiaTheme="minorHAnsi" w:cstheme="minorBidi"/>
      <w:sz w:val="24"/>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C93A3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unhideWhenUsed/>
    <w:pPr>
      <w:spacing w:after="100"/>
      <w:ind w:left="44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TOC1">
    <w:name w:val="toc 1"/>
    <w:basedOn w:val="Normal"/>
    <w:next w:val="Normal"/>
    <w:autoRedefine/>
    <w:uiPriority w:val="39"/>
    <w:unhideWhenUsed/>
    <w:qFormat/>
    <w:pPr>
      <w:spacing w:after="100"/>
    </w:pPr>
  </w:style>
  <w:style w:type="character" w:styleId="Hyperlink">
    <w:name w:val="Hyperlink"/>
    <w:basedOn w:val="DefaultParagraphFont"/>
    <w:uiPriority w:val="99"/>
    <w:unhideWhenUsed/>
    <w:qFormat/>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rPr>
      <w:lang w:val="en-GB"/>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32"/>
      <w:szCs w:val="32"/>
      <w:lang w:val="en-GB"/>
    </w:rPr>
  </w:style>
  <w:style w:type="paragraph" w:customStyle="1" w:styleId="TOCHeading1">
    <w:name w:val="TOC Heading1"/>
    <w:basedOn w:val="Heading1"/>
    <w:next w:val="Normal"/>
    <w:uiPriority w:val="39"/>
    <w:unhideWhenUsed/>
    <w:qFormat/>
    <w:pPr>
      <w:spacing w:line="259" w:lineRule="auto"/>
      <w:outlineLvl w:val="9"/>
    </w:pPr>
    <w:rPr>
      <w:lang w:val="en-US"/>
    </w:rPr>
  </w:style>
  <w:style w:type="paragraph" w:styleId="NoSpacing">
    <w:name w:val="No Spacing"/>
    <w:uiPriority w:val="1"/>
    <w:qFormat/>
    <w:rPr>
      <w:rFonts w:asciiTheme="minorHAnsi" w:eastAsiaTheme="minorHAnsi" w:hAnsiTheme="minorHAnsi" w:cstheme="minorBidi"/>
      <w:sz w:val="22"/>
      <w:szCs w:val="22"/>
      <w:lang w:eastAsia="en-US"/>
    </w:rPr>
  </w:style>
  <w:style w:type="character" w:customStyle="1" w:styleId="UnresolvedMention">
    <w:name w:val="Unresolved Mention"/>
    <w:basedOn w:val="DefaultParagraphFont"/>
    <w:uiPriority w:val="99"/>
    <w:semiHidden/>
    <w:unhideWhenUsed/>
    <w:rsid w:val="00C93A31"/>
    <w:rPr>
      <w:color w:val="605E5C"/>
      <w:shd w:val="clear" w:color="auto" w:fill="E1DFDD"/>
    </w:rPr>
  </w:style>
  <w:style w:type="character" w:customStyle="1" w:styleId="Heading3Char">
    <w:name w:val="Heading 3 Char"/>
    <w:basedOn w:val="DefaultParagraphFont"/>
    <w:link w:val="Heading3"/>
    <w:uiPriority w:val="9"/>
    <w:semiHidden/>
    <w:rsid w:val="00C93A31"/>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946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1A717D-E029-4FAC-A87D-5E547D9B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6776</TotalTime>
  <Pages>14</Pages>
  <Words>4009</Words>
  <Characters>21850</Characters>
  <Application>Microsoft Office Word</Application>
  <DocSecurity>0</DocSecurity>
  <Lines>321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1</dc:creator>
  <cp:lastModifiedBy>PC</cp:lastModifiedBy>
  <cp:revision>434</cp:revision>
  <dcterms:created xsi:type="dcterms:W3CDTF">2025-06-10T11:30:00Z</dcterms:created>
  <dcterms:modified xsi:type="dcterms:W3CDTF">2025-06-30T19:10:00Z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2ea8d082-8dbf-42ef-8236-0587aead2acc</vt:lpwstr>
  </property>
  <property fmtid="{D5CDD505-2E9C-101B-9397-08002B2CF9AE}" pid="3" name="KSOTemplateDocerSaveRecord">
    <vt:lpwstr>eyJoZGlkIjoiNTZhYTM4NGJjZWU2OTZmOGRmOWNkMDc5NDg5OWU0ZmQiLCJ1c2VySWQiOiIxNDMzMzQ5MzkzIn0=</vt:lpwstr>
  </property>
  <property fmtid="{D5CDD505-2E9C-101B-9397-08002B2CF9AE}" pid="4" name="KSOProductBuildVer">
    <vt:lpwstr>2052-12.1.0.21171</vt:lpwstr>
  </property>
  <property fmtid="{D5CDD505-2E9C-101B-9397-08002B2CF9AE}" pid="5" name="ICV">
    <vt:lpwstr>FF03DB37040F47519AB6204EB705751D_12</vt:lpwstr>
  </property>
</Properties>
</file>