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BDB71" w14:textId="77777777" w:rsidR="005A3B07" w:rsidRPr="00054FF7" w:rsidRDefault="005A3B07" w:rsidP="005A3B07">
      <w:pPr>
        <w:pStyle w:val="NormalWeb"/>
        <w:spacing w:line="360" w:lineRule="auto"/>
        <w:jc w:val="center"/>
        <w:rPr>
          <w:b/>
        </w:rPr>
      </w:pPr>
      <w:commentRangeStart w:id="0"/>
      <w:r w:rsidRPr="00054FF7">
        <w:rPr>
          <w:b/>
        </w:rPr>
        <w:t>Bio</w:t>
      </w:r>
      <w:commentRangeEnd w:id="0"/>
      <w:r w:rsidR="005C1585">
        <w:rPr>
          <w:rStyle w:val="CommentReference"/>
          <w:rFonts w:asciiTheme="minorHAnsi" w:eastAsiaTheme="minorHAnsi" w:hAnsiTheme="minorHAnsi" w:cstheme="minorBidi"/>
        </w:rPr>
        <w:commentReference w:id="0"/>
      </w:r>
      <w:r w:rsidRPr="00054FF7">
        <w:rPr>
          <w:b/>
        </w:rPr>
        <w:t xml:space="preserve">-enriched </w:t>
      </w:r>
      <w:proofErr w:type="spellStart"/>
      <w:r w:rsidRPr="00054FF7">
        <w:rPr>
          <w:b/>
        </w:rPr>
        <w:t>vermicompost</w:t>
      </w:r>
      <w:proofErr w:type="spellEnd"/>
      <w:r w:rsidRPr="00054FF7">
        <w:rPr>
          <w:b/>
        </w:rPr>
        <w:t xml:space="preserve"> mediated suppression of fusarium wilt of chickpea</w:t>
      </w:r>
    </w:p>
    <w:p w14:paraId="37F953DE" w14:textId="05311EF8" w:rsidR="005A3B07" w:rsidRDefault="005A3B07" w:rsidP="005A3B07">
      <w:pPr>
        <w:pStyle w:val="NormalWeb"/>
        <w:spacing w:before="0" w:beforeAutospacing="0" w:after="0" w:afterAutospacing="0" w:line="360" w:lineRule="auto"/>
        <w:jc w:val="both"/>
        <w:rPr>
          <w:b/>
        </w:rPr>
      </w:pPr>
    </w:p>
    <w:p w14:paraId="487DBB41" w14:textId="77777777" w:rsidR="002C0F09" w:rsidRPr="00054FF7" w:rsidRDefault="002C0F09" w:rsidP="005A3B07">
      <w:pPr>
        <w:pStyle w:val="NormalWeb"/>
        <w:spacing w:before="0" w:beforeAutospacing="0" w:after="0" w:afterAutospacing="0" w:line="360" w:lineRule="auto"/>
        <w:jc w:val="both"/>
        <w:rPr>
          <w:b/>
        </w:rPr>
      </w:pPr>
    </w:p>
    <w:p w14:paraId="731330A8" w14:textId="77777777" w:rsidR="00120B41" w:rsidRDefault="00120B41" w:rsidP="000F40B8">
      <w:pPr>
        <w:pStyle w:val="NormalWeb"/>
        <w:spacing w:line="360" w:lineRule="auto"/>
        <w:jc w:val="both"/>
        <w:rPr>
          <w:b/>
        </w:rPr>
      </w:pPr>
      <w:r>
        <w:rPr>
          <w:b/>
        </w:rPr>
        <w:t>Abstract</w:t>
      </w:r>
    </w:p>
    <w:p w14:paraId="423E8209" w14:textId="77777777" w:rsidR="00120B41" w:rsidRDefault="00120B41" w:rsidP="000F40B8">
      <w:pPr>
        <w:pStyle w:val="NormalWeb"/>
        <w:spacing w:line="360" w:lineRule="auto"/>
        <w:jc w:val="both"/>
      </w:pPr>
      <w:r>
        <w:t xml:space="preserve">The present study evaluated the efficacy of bio-enriched </w:t>
      </w:r>
      <w:proofErr w:type="spellStart"/>
      <w:r>
        <w:t>vermicompost</w:t>
      </w:r>
      <w:proofErr w:type="spellEnd"/>
      <w:r>
        <w:t xml:space="preserve"> with </w:t>
      </w:r>
      <w:proofErr w:type="spellStart"/>
      <w:r>
        <w:rPr>
          <w:rStyle w:val="Emphasis"/>
        </w:rPr>
        <w:t>Trichoderma</w:t>
      </w:r>
      <w:proofErr w:type="spellEnd"/>
      <w:r>
        <w:rPr>
          <w:rStyle w:val="Emphasis"/>
        </w:rPr>
        <w:t xml:space="preserve"> </w:t>
      </w:r>
      <w:proofErr w:type="spellStart"/>
      <w:r>
        <w:rPr>
          <w:rStyle w:val="Emphasis"/>
        </w:rPr>
        <w:t>harzianum</w:t>
      </w:r>
      <w:proofErr w:type="spellEnd"/>
      <w:r>
        <w:t xml:space="preserve">, </w:t>
      </w:r>
      <w:r>
        <w:rPr>
          <w:rStyle w:val="Emphasis"/>
        </w:rPr>
        <w:t>Bacillus subtilis</w:t>
      </w:r>
      <w:r>
        <w:t xml:space="preserve">, and </w:t>
      </w:r>
      <w:r>
        <w:rPr>
          <w:rStyle w:val="Emphasis"/>
        </w:rPr>
        <w:t>Pseudomonas fluorescens</w:t>
      </w:r>
      <w:r>
        <w:t xml:space="preserve"> in enhancing growth and inducing systemic resistance in chickpea (</w:t>
      </w:r>
      <w:r>
        <w:rPr>
          <w:rStyle w:val="Emphasis"/>
        </w:rPr>
        <w:t>Cicer arietinum</w:t>
      </w:r>
      <w:r>
        <w:t xml:space="preserve">) against </w:t>
      </w:r>
      <w:proofErr w:type="spellStart"/>
      <w:r>
        <w:rPr>
          <w:rStyle w:val="Emphasis"/>
        </w:rPr>
        <w:t>Fusarium</w:t>
      </w:r>
      <w:proofErr w:type="spellEnd"/>
      <w:r>
        <w:rPr>
          <w:rStyle w:val="Emphasis"/>
        </w:rPr>
        <w:t xml:space="preserve"> </w:t>
      </w:r>
      <w:proofErr w:type="spellStart"/>
      <w:r>
        <w:rPr>
          <w:rStyle w:val="Emphasis"/>
        </w:rPr>
        <w:t>oxysporum</w:t>
      </w:r>
      <w:proofErr w:type="spellEnd"/>
      <w:r>
        <w:t xml:space="preserve"> f. sp. </w:t>
      </w:r>
      <w:proofErr w:type="spellStart"/>
      <w:r>
        <w:rPr>
          <w:rStyle w:val="Emphasis"/>
        </w:rPr>
        <w:t>ciceris</w:t>
      </w:r>
      <w:proofErr w:type="spellEnd"/>
      <w:r>
        <w:t xml:space="preserve">. Vermicompost fortified with microbial biocontrol agents (BCAs) significantly improved morpho-physiological traits, including root and shoot length and dry weight. Plants treated with fortified vermicompost exhibited markedly higher activities of defense-related enzymes—phenylalanine ammonia-lyase (PAL), peroxidase (PO), polyphenol oxidase (PPO), superoxide dismutase (SOD)—and total phenolic content (TPC) compared to controls. The peak enzyme activities and phenolic accumulation were recorded 48–72 hours post-pathogen challenge, particularly in treatments involving </w:t>
      </w:r>
      <w:r>
        <w:rPr>
          <w:rStyle w:val="Emphasis"/>
        </w:rPr>
        <w:t xml:space="preserve">T. </w:t>
      </w:r>
      <w:proofErr w:type="spellStart"/>
      <w:r>
        <w:rPr>
          <w:rStyle w:val="Emphasis"/>
        </w:rPr>
        <w:t>harzianum</w:t>
      </w:r>
      <w:proofErr w:type="spellEnd"/>
      <w:r>
        <w:t>. Disease incidence was significantly reduced in BCA-treated plants, correlating with enhanced biochemical defense responses. The results suggest that biofortified vermicompost is an effective, eco-friendly strategy for managing chickpea wilt and improving plant resilience through induced systemic resistance mechanisms.</w:t>
      </w:r>
    </w:p>
    <w:p w14:paraId="730F6769" w14:textId="77777777" w:rsidR="000F40B8" w:rsidRPr="00120B41" w:rsidRDefault="00120B41" w:rsidP="000F40B8">
      <w:pPr>
        <w:pStyle w:val="NormalWeb"/>
        <w:spacing w:line="360" w:lineRule="auto"/>
        <w:jc w:val="both"/>
        <w:rPr>
          <w:b/>
        </w:rPr>
      </w:pPr>
      <w:r>
        <w:t xml:space="preserve">Key Words: </w:t>
      </w:r>
      <w:r w:rsidRPr="00120B41">
        <w:rPr>
          <w:bCs/>
        </w:rPr>
        <w:t xml:space="preserve">Bio-enriched </w:t>
      </w:r>
      <w:proofErr w:type="spellStart"/>
      <w:r w:rsidRPr="00120B41">
        <w:rPr>
          <w:bCs/>
        </w:rPr>
        <w:t>vermicompost</w:t>
      </w:r>
      <w:proofErr w:type="spellEnd"/>
      <w:r>
        <w:rPr>
          <w:bCs/>
        </w:rPr>
        <w:t xml:space="preserve">, </w:t>
      </w:r>
      <w:proofErr w:type="spellStart"/>
      <w:r>
        <w:rPr>
          <w:rStyle w:val="Emphasis"/>
        </w:rPr>
        <w:t>Fusarium</w:t>
      </w:r>
      <w:proofErr w:type="spellEnd"/>
      <w:r>
        <w:rPr>
          <w:rStyle w:val="Emphasis"/>
        </w:rPr>
        <w:t xml:space="preserve"> </w:t>
      </w:r>
      <w:proofErr w:type="spellStart"/>
      <w:r>
        <w:rPr>
          <w:rStyle w:val="Emphasis"/>
        </w:rPr>
        <w:t>oxysporum</w:t>
      </w:r>
      <w:proofErr w:type="spellEnd"/>
      <w:r>
        <w:t xml:space="preserve"> f. sp. </w:t>
      </w:r>
      <w:proofErr w:type="spellStart"/>
      <w:r>
        <w:rPr>
          <w:rStyle w:val="Emphasis"/>
        </w:rPr>
        <w:t>ciceris</w:t>
      </w:r>
      <w:proofErr w:type="spellEnd"/>
      <w:r w:rsidRPr="00120B41">
        <w:rPr>
          <w:rStyle w:val="Emphasis"/>
          <w:i w:val="0"/>
          <w:iCs w:val="0"/>
        </w:rPr>
        <w:t>,</w:t>
      </w:r>
      <w:r>
        <w:rPr>
          <w:rStyle w:val="Emphasis"/>
        </w:rPr>
        <w:t xml:space="preserve"> </w:t>
      </w:r>
      <w:r>
        <w:t>biocontrol agents</w:t>
      </w:r>
    </w:p>
    <w:p w14:paraId="30FF26AC" w14:textId="77777777" w:rsidR="00120B41" w:rsidRPr="00120B41" w:rsidRDefault="00120B41" w:rsidP="00120B41">
      <w:pPr>
        <w:pStyle w:val="NormalWeb"/>
        <w:spacing w:line="360" w:lineRule="auto"/>
        <w:jc w:val="both"/>
        <w:rPr>
          <w:b/>
          <w:bCs/>
        </w:rPr>
      </w:pPr>
      <w:r w:rsidRPr="00120B41">
        <w:rPr>
          <w:b/>
          <w:bCs/>
        </w:rPr>
        <w:t>Introduction</w:t>
      </w:r>
    </w:p>
    <w:p w14:paraId="477B7451" w14:textId="77777777" w:rsidR="000F40B8" w:rsidRPr="00054FF7" w:rsidRDefault="000F40B8" w:rsidP="00054FF7">
      <w:pPr>
        <w:pStyle w:val="NormalWeb"/>
        <w:spacing w:line="360" w:lineRule="auto"/>
        <w:ind w:firstLine="720"/>
        <w:jc w:val="both"/>
      </w:pPr>
      <w:r w:rsidRPr="00054FF7">
        <w:t>Chickpea (</w:t>
      </w:r>
      <w:r w:rsidRPr="00054FF7">
        <w:rPr>
          <w:rStyle w:val="Emphasis"/>
        </w:rPr>
        <w:t>Cicer arietinum</w:t>
      </w:r>
      <w:r w:rsidRPr="00054FF7">
        <w:t xml:space="preserve"> L.) is one of the most important pulse crops grown worldwide, especially in semi-arid regions of South Asia, the Middle East, and parts of Africa. It serves as a rich source of dietary protein, carbohydrates, vitamins, and minerals for millions of people, while also playing a vital role in improving soil fertility through atmospheric nitrogen fixation</w:t>
      </w:r>
      <w:r w:rsidR="00855B82" w:rsidRPr="00054FF7">
        <w:t xml:space="preserve"> (Kumar </w:t>
      </w:r>
      <w:r w:rsidR="00855B82" w:rsidRPr="00054FF7">
        <w:rPr>
          <w:i/>
          <w:iCs/>
        </w:rPr>
        <w:t>et al</w:t>
      </w:r>
      <w:r w:rsidR="00855B82" w:rsidRPr="00054FF7">
        <w:t>., 2025)</w:t>
      </w:r>
      <w:r w:rsidRPr="00054FF7">
        <w:t xml:space="preserve">. Despite its significance, chickpea cultivation is frequently hindered by various biotic stresses, among which Fusarium wilt, caused by </w:t>
      </w:r>
      <w:proofErr w:type="spellStart"/>
      <w:r w:rsidRPr="00054FF7">
        <w:rPr>
          <w:rStyle w:val="Emphasis"/>
        </w:rPr>
        <w:t>Fusarium</w:t>
      </w:r>
      <w:proofErr w:type="spellEnd"/>
      <w:r w:rsidRPr="00054FF7">
        <w:rPr>
          <w:rStyle w:val="Emphasis"/>
        </w:rPr>
        <w:t xml:space="preserve"> </w:t>
      </w:r>
      <w:proofErr w:type="spellStart"/>
      <w:r w:rsidRPr="00054FF7">
        <w:rPr>
          <w:rStyle w:val="Emphasis"/>
        </w:rPr>
        <w:t>oxysporum</w:t>
      </w:r>
      <w:proofErr w:type="spellEnd"/>
      <w:r w:rsidRPr="00054FF7">
        <w:t xml:space="preserve"> f. sp. </w:t>
      </w:r>
      <w:proofErr w:type="spellStart"/>
      <w:r w:rsidRPr="00054FF7">
        <w:rPr>
          <w:rStyle w:val="Emphasis"/>
        </w:rPr>
        <w:t>ciceris</w:t>
      </w:r>
      <w:proofErr w:type="spellEnd"/>
      <w:r w:rsidRPr="00054FF7">
        <w:t>, is considered one of the most destructive and widespread soil-borne diseases. The pathogen can cause complete crop failure under favorable environmental conditions, leading to considerable economic losses and threatening food and nutritional security</w:t>
      </w:r>
      <w:r w:rsidR="00855B82" w:rsidRPr="00054FF7">
        <w:t xml:space="preserve"> (Kumari </w:t>
      </w:r>
      <w:r w:rsidR="00855B82" w:rsidRPr="00054FF7">
        <w:rPr>
          <w:i/>
          <w:iCs/>
        </w:rPr>
        <w:t>et al</w:t>
      </w:r>
      <w:r w:rsidR="00855B82" w:rsidRPr="00054FF7">
        <w:t>., 2024).</w:t>
      </w:r>
    </w:p>
    <w:p w14:paraId="662A2D7A" w14:textId="77777777" w:rsidR="000F40B8" w:rsidRPr="00054FF7" w:rsidRDefault="000F40B8" w:rsidP="000F40B8">
      <w:pPr>
        <w:pStyle w:val="NormalWeb"/>
        <w:spacing w:line="360" w:lineRule="auto"/>
        <w:ind w:firstLine="720"/>
        <w:jc w:val="both"/>
      </w:pPr>
      <w:r w:rsidRPr="00054FF7">
        <w:lastRenderedPageBreak/>
        <w:t>Traditional approaches to managing Fusarium wilt have primarily relied on the use of resistant cultivars and chemical fungicides. However, the efficacy of these methods is often undermined by the emergence of new pathogenic races, limited genetic diversity in resistance sources, and growing environmental and health concerns associated with chemical inputs. Furthermore, prolonged and indiscriminate use of fungicides can disrupt soil microbial diversity, contribute to residue accumulation, and lead to the development of fungicide-resistant strains of the pathogen. In light of these challenges, there is an urgent need for sustainable, eco-friendly, and cost-effective alternatives for disease management in chickpea cultivation</w:t>
      </w:r>
      <w:r w:rsidR="00855B82" w:rsidRPr="00054FF7">
        <w:t xml:space="preserve"> (</w:t>
      </w:r>
      <w:proofErr w:type="spellStart"/>
      <w:r w:rsidR="00855B82" w:rsidRPr="00054FF7">
        <w:rPr>
          <w:color w:val="222222"/>
          <w:shd w:val="clear" w:color="auto" w:fill="FFFFFF"/>
        </w:rPr>
        <w:t>Chohan</w:t>
      </w:r>
      <w:proofErr w:type="spellEnd"/>
      <w:r w:rsidR="00855B82" w:rsidRPr="00054FF7">
        <w:rPr>
          <w:color w:val="222222"/>
          <w:shd w:val="clear" w:color="auto" w:fill="FFFFFF"/>
        </w:rPr>
        <w:t xml:space="preserve"> </w:t>
      </w:r>
      <w:commentRangeStart w:id="1"/>
      <w:r w:rsidR="00855B82" w:rsidRPr="00054FF7">
        <w:rPr>
          <w:color w:val="222222"/>
          <w:shd w:val="clear" w:color="auto" w:fill="FFFFFF"/>
        </w:rPr>
        <w:t>et al</w:t>
      </w:r>
      <w:commentRangeEnd w:id="1"/>
      <w:r w:rsidR="005C1585">
        <w:rPr>
          <w:rStyle w:val="CommentReference"/>
          <w:rFonts w:asciiTheme="minorHAnsi" w:eastAsiaTheme="minorHAnsi" w:hAnsiTheme="minorHAnsi" w:cstheme="minorBidi"/>
        </w:rPr>
        <w:commentReference w:id="1"/>
      </w:r>
      <w:r w:rsidR="00855B82" w:rsidRPr="00054FF7">
        <w:rPr>
          <w:color w:val="222222"/>
          <w:shd w:val="clear" w:color="auto" w:fill="FFFFFF"/>
        </w:rPr>
        <w:t xml:space="preserve">., </w:t>
      </w:r>
      <w:commentRangeStart w:id="2"/>
      <w:r w:rsidR="00855B82" w:rsidRPr="00054FF7">
        <w:rPr>
          <w:color w:val="222222"/>
          <w:shd w:val="clear" w:color="auto" w:fill="FFFFFF"/>
        </w:rPr>
        <w:t>2024</w:t>
      </w:r>
      <w:commentRangeEnd w:id="2"/>
      <w:r w:rsidR="005C1585">
        <w:rPr>
          <w:rStyle w:val="CommentReference"/>
          <w:rFonts w:asciiTheme="minorHAnsi" w:eastAsiaTheme="minorHAnsi" w:hAnsiTheme="minorHAnsi" w:cstheme="minorBidi"/>
        </w:rPr>
        <w:commentReference w:id="2"/>
      </w:r>
      <w:r w:rsidR="00855B82" w:rsidRPr="00054FF7">
        <w:t>)</w:t>
      </w:r>
      <w:r w:rsidRPr="00054FF7">
        <w:t>.</w:t>
      </w:r>
    </w:p>
    <w:p w14:paraId="7B1F8A4B" w14:textId="77777777" w:rsidR="000F40B8" w:rsidRPr="00054FF7" w:rsidRDefault="000F40B8" w:rsidP="000F40B8">
      <w:pPr>
        <w:pStyle w:val="NormalWeb"/>
        <w:spacing w:line="360" w:lineRule="auto"/>
        <w:ind w:firstLine="720"/>
        <w:jc w:val="both"/>
      </w:pPr>
      <w:r w:rsidRPr="00054FF7">
        <w:t>Organic amendments such as vermicompost have gained attention in recent years due to their potential to enhance soil health, stimulate plant growth, and suppress soil-borne pathogens. Vermicompost, the stabilized organic product of composting through earthworm activity, is rich in plant nutrients, growth hormones, and beneficial microbial communities</w:t>
      </w:r>
      <w:r w:rsidR="00855B82" w:rsidRPr="00054FF7">
        <w:t xml:space="preserve"> (Bashi </w:t>
      </w:r>
      <w:r w:rsidR="00855B82" w:rsidRPr="00054FF7">
        <w:rPr>
          <w:i/>
          <w:iCs/>
        </w:rPr>
        <w:t>et al</w:t>
      </w:r>
      <w:r w:rsidR="00855B82" w:rsidRPr="00054FF7">
        <w:t>., 2025)</w:t>
      </w:r>
      <w:r w:rsidRPr="00054FF7">
        <w:t xml:space="preserve">. When further fortified with antagonistic biocontrol agents—such as species of </w:t>
      </w:r>
      <w:r w:rsidRPr="00054FF7">
        <w:rPr>
          <w:rStyle w:val="Emphasis"/>
        </w:rPr>
        <w:t>Trichoderma</w:t>
      </w:r>
      <w:r w:rsidRPr="00054FF7">
        <w:t xml:space="preserve">, </w:t>
      </w:r>
      <w:r w:rsidRPr="00054FF7">
        <w:rPr>
          <w:rStyle w:val="Emphasis"/>
        </w:rPr>
        <w:t>Pseudomonas</w:t>
      </w:r>
      <w:r w:rsidRPr="00054FF7">
        <w:t xml:space="preserve">, and </w:t>
      </w:r>
      <w:r w:rsidRPr="00054FF7">
        <w:rPr>
          <w:rStyle w:val="Emphasis"/>
        </w:rPr>
        <w:t>Bacillus</w:t>
      </w:r>
      <w:r w:rsidRPr="00054FF7">
        <w:t>—vermicompost can be transformed into a biologically active formulation with enhanced disease-suppressive properties</w:t>
      </w:r>
      <w:r w:rsidR="00054FF7">
        <w:t xml:space="preserve"> (Bisen </w:t>
      </w:r>
      <w:r w:rsidR="00054FF7" w:rsidRPr="00054FF7">
        <w:rPr>
          <w:i/>
          <w:iCs/>
        </w:rPr>
        <w:t>et al</w:t>
      </w:r>
      <w:r w:rsidR="00054FF7">
        <w:t xml:space="preserve">., 2023; Bisen </w:t>
      </w:r>
      <w:r w:rsidR="00054FF7" w:rsidRPr="00054FF7">
        <w:rPr>
          <w:i/>
          <w:iCs/>
        </w:rPr>
        <w:t>et al</w:t>
      </w:r>
      <w:r w:rsidR="00054FF7">
        <w:t xml:space="preserve">., 2019; </w:t>
      </w:r>
      <w:r w:rsidR="00054FF7" w:rsidRPr="00054FF7">
        <w:rPr>
          <w:color w:val="222222"/>
          <w:shd w:val="clear" w:color="auto" w:fill="FFFFFF"/>
        </w:rPr>
        <w:t>Jyoti Singh</w:t>
      </w:r>
      <w:r w:rsidR="00054FF7">
        <w:rPr>
          <w:color w:val="222222"/>
          <w:shd w:val="clear" w:color="auto" w:fill="FFFFFF"/>
        </w:rPr>
        <w:t xml:space="preserve"> </w:t>
      </w:r>
      <w:r w:rsidR="00054FF7" w:rsidRPr="00054FF7">
        <w:rPr>
          <w:i/>
          <w:iCs/>
          <w:color w:val="222222"/>
          <w:shd w:val="clear" w:color="auto" w:fill="FFFFFF"/>
        </w:rPr>
        <w:t>et al</w:t>
      </w:r>
      <w:r w:rsidR="00054FF7">
        <w:rPr>
          <w:color w:val="222222"/>
          <w:shd w:val="clear" w:color="auto" w:fill="FFFFFF"/>
        </w:rPr>
        <w:t>., 2017</w:t>
      </w:r>
      <w:r w:rsidR="00054FF7">
        <w:t>)</w:t>
      </w:r>
      <w:r w:rsidRPr="00054FF7">
        <w:t>. This process, known as biofortification, not only increases the microbial diversity and activity in the rhizosphere but also helps in the effective colonization of beneficial microbes, thereby creating an unfavorable environment for pathogenic organisms</w:t>
      </w:r>
      <w:r w:rsidR="00855B82" w:rsidRPr="00054FF7">
        <w:t xml:space="preserve"> (</w:t>
      </w:r>
      <w:r w:rsidR="00054FF7" w:rsidRPr="00054FF7">
        <w:rPr>
          <w:color w:val="222222"/>
          <w:shd w:val="clear" w:color="auto" w:fill="FFFFFF"/>
        </w:rPr>
        <w:t>Datta</w:t>
      </w:r>
      <w:r w:rsidR="00054FF7" w:rsidRPr="00054FF7">
        <w:t xml:space="preserve"> </w:t>
      </w:r>
      <w:r w:rsidR="00054FF7" w:rsidRPr="00054FF7">
        <w:rPr>
          <w:i/>
          <w:iCs/>
        </w:rPr>
        <w:t>et al</w:t>
      </w:r>
      <w:r w:rsidR="00054FF7">
        <w:t xml:space="preserve">., 2022; </w:t>
      </w:r>
      <w:proofErr w:type="spellStart"/>
      <w:r w:rsidR="00855B82" w:rsidRPr="00054FF7">
        <w:t>Wonglom</w:t>
      </w:r>
      <w:proofErr w:type="spellEnd"/>
      <w:r w:rsidR="00855B82" w:rsidRPr="00054FF7">
        <w:t xml:space="preserve"> </w:t>
      </w:r>
      <w:r w:rsidR="00855B82" w:rsidRPr="00054FF7">
        <w:rPr>
          <w:i/>
          <w:iCs/>
        </w:rPr>
        <w:t>et al</w:t>
      </w:r>
      <w:r w:rsidR="00855B82" w:rsidRPr="00054FF7">
        <w:t>., 2025)</w:t>
      </w:r>
      <w:r w:rsidRPr="00054FF7">
        <w:t>.</w:t>
      </w:r>
    </w:p>
    <w:p w14:paraId="04094B72" w14:textId="77777777" w:rsidR="000F40B8" w:rsidRPr="00054FF7" w:rsidRDefault="000F40B8" w:rsidP="000F40B8">
      <w:pPr>
        <w:pStyle w:val="NormalWeb"/>
        <w:spacing w:line="360" w:lineRule="auto"/>
        <w:ind w:firstLine="720"/>
        <w:jc w:val="both"/>
      </w:pPr>
      <w:r w:rsidRPr="00054FF7">
        <w:t xml:space="preserve">The present study focuses on the </w:t>
      </w:r>
      <w:r w:rsidRPr="00054FF7">
        <w:rPr>
          <w:rStyle w:val="Strong"/>
          <w:b w:val="0"/>
        </w:rPr>
        <w:t>biological management of Fusarium wilt in chickpea through the application of biofortified vermicompost</w:t>
      </w:r>
      <w:r w:rsidRPr="00054FF7">
        <w:rPr>
          <w:b/>
        </w:rPr>
        <w:t>,</w:t>
      </w:r>
      <w:r w:rsidRPr="00054FF7">
        <w:t xml:space="preserve"> combining the nutritional and microbial benefits of organic matter with the antagonistic potential of selected biocontrol agents. This integrated approach is hypothesized to improve plant health, reduce disease incidence, and contribute to sustainable chickpea production. The objectives of this research are to evaluate efficacy of biofortified vermicompost in suppressing </w:t>
      </w:r>
      <w:proofErr w:type="spellStart"/>
      <w:r w:rsidRPr="00054FF7">
        <w:rPr>
          <w:rStyle w:val="Emphasis"/>
        </w:rPr>
        <w:t>Fusarium</w:t>
      </w:r>
      <w:proofErr w:type="spellEnd"/>
      <w:r w:rsidRPr="00054FF7">
        <w:rPr>
          <w:rStyle w:val="Emphasis"/>
        </w:rPr>
        <w:t xml:space="preserve"> </w:t>
      </w:r>
      <w:proofErr w:type="spellStart"/>
      <w:r w:rsidRPr="00054FF7">
        <w:rPr>
          <w:rStyle w:val="Emphasis"/>
        </w:rPr>
        <w:t>oxysporum</w:t>
      </w:r>
      <w:proofErr w:type="spellEnd"/>
      <w:r w:rsidRPr="00054FF7">
        <w:t xml:space="preserve"> f. sp. </w:t>
      </w:r>
      <w:proofErr w:type="spellStart"/>
      <w:r w:rsidRPr="00054FF7">
        <w:rPr>
          <w:rStyle w:val="Emphasis"/>
        </w:rPr>
        <w:t>ciceris</w:t>
      </w:r>
      <w:proofErr w:type="spellEnd"/>
      <w:r w:rsidRPr="00054FF7">
        <w:t xml:space="preserve"> under controlled and field conditions.</w:t>
      </w:r>
    </w:p>
    <w:p w14:paraId="73A012FA" w14:textId="77777777" w:rsidR="000F40B8" w:rsidRPr="00054FF7" w:rsidRDefault="000F40B8" w:rsidP="000F40B8">
      <w:pPr>
        <w:pStyle w:val="NormalWeb"/>
        <w:spacing w:line="360" w:lineRule="auto"/>
        <w:jc w:val="both"/>
        <w:rPr>
          <w:b/>
        </w:rPr>
      </w:pPr>
      <w:r w:rsidRPr="00054FF7">
        <w:rPr>
          <w:b/>
        </w:rPr>
        <w:t>Materials and Methods</w:t>
      </w:r>
    </w:p>
    <w:p w14:paraId="5F04F45C" w14:textId="77777777" w:rsidR="000F40B8" w:rsidRPr="00054FF7" w:rsidRDefault="000F40B8" w:rsidP="000F40B8">
      <w:pPr>
        <w:spacing w:after="0" w:line="360" w:lineRule="auto"/>
        <w:jc w:val="both"/>
        <w:rPr>
          <w:rFonts w:ascii="Times New Roman" w:hAnsi="Times New Roman" w:cs="Times New Roman"/>
          <w:b/>
          <w:sz w:val="24"/>
          <w:szCs w:val="24"/>
          <w:lang w:val="en-GB"/>
        </w:rPr>
      </w:pPr>
      <w:r w:rsidRPr="00054FF7">
        <w:rPr>
          <w:rFonts w:ascii="Times New Roman" w:hAnsi="Times New Roman" w:cs="Times New Roman"/>
          <w:b/>
          <w:sz w:val="24"/>
          <w:szCs w:val="24"/>
          <w:lang w:val="en-GB"/>
        </w:rPr>
        <w:t>Experimental site</w:t>
      </w:r>
    </w:p>
    <w:p w14:paraId="5C1F4ADB" w14:textId="77777777" w:rsidR="00E566EB" w:rsidRPr="00054FF7" w:rsidRDefault="000F40B8" w:rsidP="00E566EB">
      <w:pPr>
        <w:spacing w:after="0" w:line="360" w:lineRule="auto"/>
        <w:ind w:firstLine="720"/>
        <w:jc w:val="both"/>
        <w:rPr>
          <w:rFonts w:ascii="Times New Roman" w:hAnsi="Times New Roman" w:cs="Times New Roman"/>
          <w:bCs/>
          <w:sz w:val="24"/>
          <w:szCs w:val="24"/>
          <w:lang w:val="en-GB"/>
        </w:rPr>
      </w:pPr>
      <w:r w:rsidRPr="00054FF7">
        <w:rPr>
          <w:rFonts w:ascii="Times New Roman" w:hAnsi="Times New Roman" w:cs="Times New Roman"/>
          <w:sz w:val="24"/>
          <w:szCs w:val="24"/>
        </w:rPr>
        <w:lastRenderedPageBreak/>
        <w:t xml:space="preserve">The </w:t>
      </w:r>
      <w:r w:rsidRPr="00054FF7">
        <w:rPr>
          <w:rFonts w:ascii="Times New Roman" w:hAnsi="Times New Roman" w:cs="Times New Roman"/>
          <w:i/>
          <w:iCs/>
          <w:sz w:val="24"/>
          <w:szCs w:val="24"/>
        </w:rPr>
        <w:t>in vitro</w:t>
      </w:r>
      <w:r w:rsidRPr="00054FF7">
        <w:rPr>
          <w:rFonts w:ascii="Times New Roman" w:hAnsi="Times New Roman" w:cs="Times New Roman"/>
          <w:sz w:val="24"/>
          <w:szCs w:val="24"/>
        </w:rPr>
        <w:t xml:space="preserve"> experiments were conducted in the Department Plant Pathology, Faculty of Agricultural Sciences and Allied Industries, Rama University, Kanpur, India. </w:t>
      </w:r>
      <w:r w:rsidRPr="00054FF7">
        <w:rPr>
          <w:rFonts w:ascii="Times New Roman" w:hAnsi="Times New Roman" w:cs="Times New Roman"/>
          <w:bCs/>
          <w:sz w:val="24"/>
          <w:szCs w:val="24"/>
          <w:lang w:val="en-GB"/>
        </w:rPr>
        <w:t xml:space="preserve">The </w:t>
      </w:r>
      <w:r w:rsidRPr="00054FF7">
        <w:rPr>
          <w:rFonts w:ascii="Times New Roman" w:hAnsi="Times New Roman" w:cs="Times New Roman"/>
          <w:bCs/>
          <w:i/>
          <w:iCs/>
          <w:sz w:val="24"/>
          <w:szCs w:val="24"/>
          <w:lang w:val="en-GB"/>
        </w:rPr>
        <w:t>in vivo</w:t>
      </w:r>
      <w:r w:rsidRPr="00054FF7">
        <w:rPr>
          <w:rFonts w:ascii="Times New Roman" w:hAnsi="Times New Roman" w:cs="Times New Roman"/>
          <w:bCs/>
          <w:sz w:val="24"/>
          <w:szCs w:val="24"/>
          <w:lang w:val="en-GB"/>
        </w:rPr>
        <w:t xml:space="preserve"> experiments were carried out in the polyhouse and agricultural field of the same department.</w:t>
      </w:r>
    </w:p>
    <w:p w14:paraId="3787A0CE" w14:textId="77777777" w:rsidR="000F40B8" w:rsidRPr="00054FF7" w:rsidRDefault="000F40B8" w:rsidP="00E566EB">
      <w:pPr>
        <w:spacing w:after="0" w:line="360" w:lineRule="auto"/>
        <w:rPr>
          <w:rFonts w:ascii="Times New Roman" w:hAnsi="Times New Roman" w:cs="Times New Roman"/>
          <w:sz w:val="24"/>
          <w:szCs w:val="24"/>
        </w:rPr>
      </w:pPr>
      <w:r w:rsidRPr="00054FF7">
        <w:rPr>
          <w:rFonts w:ascii="Times New Roman" w:hAnsi="Times New Roman" w:cs="Times New Roman"/>
          <w:b/>
          <w:sz w:val="24"/>
          <w:szCs w:val="24"/>
        </w:rPr>
        <w:t>Isolation of the pathogen</w:t>
      </w:r>
    </w:p>
    <w:p w14:paraId="6930D23B" w14:textId="77777777" w:rsidR="00E566EB" w:rsidRPr="00054FF7" w:rsidRDefault="00E566EB" w:rsidP="00E566EB">
      <w:pPr>
        <w:tabs>
          <w:tab w:val="left" w:pos="1247"/>
        </w:tabs>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The pathogen was isolated using Potato Dextrose Agar (PDA) medium from infected chickpea roots. Small segments (3–5 mm) comprising both diseased and adjoining healthy tissues were excised and surface-sterilized with 0.1% mercuric chloride (</w:t>
      </w:r>
      <w:proofErr w:type="spellStart"/>
      <w:r w:rsidRPr="00054FF7">
        <w:rPr>
          <w:rFonts w:ascii="Times New Roman" w:hAnsi="Times New Roman" w:cs="Times New Roman"/>
          <w:sz w:val="24"/>
          <w:szCs w:val="24"/>
        </w:rPr>
        <w:t>HgCl</w:t>
      </w:r>
      <w:proofErr w:type="spellEnd"/>
      <w:r w:rsidRPr="00054FF7">
        <w:rPr>
          <w:rFonts w:ascii="Times New Roman" w:hAnsi="Times New Roman" w:cs="Times New Roman"/>
          <w:sz w:val="24"/>
          <w:szCs w:val="24"/>
        </w:rPr>
        <w:t xml:space="preserve">₂) for 30 seconds. These tissue pieces were then rinsed thoroughly three times with sterile distilled water. Under aseptic conditions, the sterilized tissues were placed onto sterile Petri dishes containing PDA medium. The plates were incubated at a temperature of 20–25 °C for 5 to 6 days. Once fungal growth was observed, a portion of the developing colony was excised using a cork borer and transferred to a fresh PDA plate to establish a pure culture. Additionally, a bit of the mycelium was transferred to PDA slants for long-term preservation. The pure culture of </w:t>
      </w:r>
      <w:proofErr w:type="spellStart"/>
      <w:r w:rsidRPr="00054FF7">
        <w:rPr>
          <w:rStyle w:val="Emphasis"/>
          <w:rFonts w:ascii="Times New Roman" w:hAnsi="Times New Roman" w:cs="Times New Roman"/>
          <w:sz w:val="24"/>
          <w:szCs w:val="24"/>
        </w:rPr>
        <w:t>Fusarium</w:t>
      </w:r>
      <w:proofErr w:type="spellEnd"/>
      <w:r w:rsidRPr="00054FF7">
        <w:rPr>
          <w:rStyle w:val="Emphasis"/>
          <w:rFonts w:ascii="Times New Roman" w:hAnsi="Times New Roman" w:cs="Times New Roman"/>
          <w:sz w:val="24"/>
          <w:szCs w:val="24"/>
        </w:rPr>
        <w:t xml:space="preserve">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was sustained on PDA slants for the duration of the study through regular sub-culturing onto fresh medium and was stored at 4 °C in a refrigerator for preservation.</w:t>
      </w:r>
    </w:p>
    <w:p w14:paraId="10FE01A5" w14:textId="77777777" w:rsidR="00E566EB" w:rsidRPr="00054FF7" w:rsidRDefault="00E566EB" w:rsidP="000F40B8">
      <w:pPr>
        <w:spacing w:after="0" w:line="360" w:lineRule="auto"/>
        <w:jc w:val="both"/>
        <w:rPr>
          <w:rFonts w:ascii="Times New Roman" w:hAnsi="Times New Roman" w:cs="Times New Roman"/>
          <w:b/>
          <w:sz w:val="24"/>
          <w:szCs w:val="24"/>
        </w:rPr>
      </w:pPr>
    </w:p>
    <w:p w14:paraId="7B91D31B"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Plant Material</w:t>
      </w:r>
    </w:p>
    <w:p w14:paraId="245CAD8B" w14:textId="77777777" w:rsidR="000F40B8" w:rsidRPr="00054FF7" w:rsidRDefault="000F40B8" w:rsidP="000F40B8">
      <w:pPr>
        <w:spacing w:after="0" w:line="360" w:lineRule="auto"/>
        <w:ind w:firstLine="720"/>
        <w:jc w:val="both"/>
        <w:rPr>
          <w:rFonts w:ascii="Times New Roman" w:hAnsi="Times New Roman" w:cs="Times New Roman"/>
          <w:sz w:val="24"/>
          <w:szCs w:val="24"/>
        </w:rPr>
      </w:pPr>
      <w:r w:rsidRPr="00054FF7">
        <w:rPr>
          <w:rFonts w:ascii="Times New Roman" w:hAnsi="Times New Roman" w:cs="Times New Roman"/>
          <w:sz w:val="24"/>
          <w:szCs w:val="24"/>
        </w:rPr>
        <w:t xml:space="preserve">Seeds of </w:t>
      </w:r>
      <w:proofErr w:type="gramStart"/>
      <w:r w:rsidRPr="00054FF7">
        <w:rPr>
          <w:rFonts w:ascii="Times New Roman" w:hAnsi="Times New Roman" w:cs="Times New Roman"/>
          <w:sz w:val="24"/>
          <w:szCs w:val="24"/>
        </w:rPr>
        <w:t>chickpea  variety</w:t>
      </w:r>
      <w:proofErr w:type="gramEnd"/>
      <w:r w:rsidRPr="00054FF7">
        <w:rPr>
          <w:rFonts w:ascii="Times New Roman" w:hAnsi="Times New Roman" w:cs="Times New Roman"/>
          <w:sz w:val="24"/>
          <w:szCs w:val="24"/>
        </w:rPr>
        <w:t xml:space="preserve"> </w:t>
      </w:r>
      <w:r w:rsidRPr="00054FF7">
        <w:rPr>
          <w:rFonts w:ascii="Times New Roman" w:hAnsi="Times New Roman" w:cs="Times New Roman"/>
          <w:bCs/>
          <w:sz w:val="24"/>
          <w:szCs w:val="24"/>
        </w:rPr>
        <w:t>“</w:t>
      </w:r>
      <w:r w:rsidRPr="00054FF7">
        <w:rPr>
          <w:rFonts w:ascii="Times New Roman" w:hAnsi="Times New Roman" w:cs="Times New Roman"/>
        </w:rPr>
        <w:t>Pusa Chickpea 10216</w:t>
      </w:r>
      <w:r w:rsidRPr="00054FF7">
        <w:rPr>
          <w:rFonts w:ascii="Times New Roman" w:hAnsi="Times New Roman" w:cs="Times New Roman"/>
          <w:sz w:val="24"/>
          <w:szCs w:val="24"/>
        </w:rPr>
        <w:t>”  were obtained from ICAR-Indian Institute of Pulse Research, Kanpur, India. Seeds were surface sterilized with 0.1% HgCl2 for 30sec, washed thrice with sterile distilled water and sown as per experimental design.</w:t>
      </w:r>
    </w:p>
    <w:p w14:paraId="127A755B" w14:textId="77777777" w:rsidR="00E566EB" w:rsidRPr="00054FF7" w:rsidRDefault="00E566EB" w:rsidP="000F40B8">
      <w:pPr>
        <w:spacing w:after="0" w:line="360" w:lineRule="auto"/>
        <w:jc w:val="both"/>
        <w:rPr>
          <w:rFonts w:ascii="Times New Roman" w:hAnsi="Times New Roman" w:cs="Times New Roman"/>
          <w:b/>
          <w:bCs/>
          <w:sz w:val="24"/>
          <w:szCs w:val="24"/>
        </w:rPr>
      </w:pPr>
    </w:p>
    <w:p w14:paraId="7EF4DEF3" w14:textId="77777777" w:rsidR="000F40B8" w:rsidRPr="00054FF7" w:rsidRDefault="000F40B8" w:rsidP="000F40B8">
      <w:pPr>
        <w:spacing w:after="0" w:line="360" w:lineRule="auto"/>
        <w:jc w:val="both"/>
        <w:rPr>
          <w:rFonts w:ascii="Times New Roman" w:hAnsi="Times New Roman" w:cs="Times New Roman"/>
          <w:b/>
          <w:bCs/>
          <w:sz w:val="24"/>
          <w:szCs w:val="24"/>
        </w:rPr>
      </w:pPr>
      <w:proofErr w:type="spellStart"/>
      <w:r w:rsidRPr="00054FF7">
        <w:rPr>
          <w:rFonts w:ascii="Times New Roman" w:hAnsi="Times New Roman" w:cs="Times New Roman"/>
          <w:b/>
          <w:bCs/>
          <w:sz w:val="24"/>
          <w:szCs w:val="24"/>
        </w:rPr>
        <w:t>Pathogenecity</w:t>
      </w:r>
      <w:proofErr w:type="spellEnd"/>
      <w:r w:rsidRPr="00054FF7">
        <w:rPr>
          <w:rFonts w:ascii="Times New Roman" w:hAnsi="Times New Roman" w:cs="Times New Roman"/>
          <w:b/>
          <w:bCs/>
          <w:sz w:val="24"/>
          <w:szCs w:val="24"/>
        </w:rPr>
        <w:t xml:space="preserve"> test </w:t>
      </w:r>
    </w:p>
    <w:p w14:paraId="131A07A4"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 xml:space="preserve">The chickpea variety “Pusa Chickpea 10216” was selected to assess the pathogenicity of </w:t>
      </w:r>
      <w:proofErr w:type="spellStart"/>
      <w:r w:rsidRPr="00054FF7">
        <w:rPr>
          <w:rStyle w:val="Emphasis"/>
          <w:rFonts w:ascii="Times New Roman" w:hAnsi="Times New Roman" w:cs="Times New Roman"/>
          <w:sz w:val="24"/>
          <w:szCs w:val="24"/>
        </w:rPr>
        <w:t>Fusarium</w:t>
      </w:r>
      <w:proofErr w:type="spellEnd"/>
      <w:r w:rsidRPr="00054FF7">
        <w:rPr>
          <w:rStyle w:val="Emphasis"/>
          <w:rFonts w:ascii="Times New Roman" w:hAnsi="Times New Roman" w:cs="Times New Roman"/>
          <w:sz w:val="24"/>
          <w:szCs w:val="24"/>
        </w:rPr>
        <w:t xml:space="preserve">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Seeds were surface-sterilized using 1% sodium hypochlorite for 30 seconds, followed by two rinses with sterile distilled water, and then allowed to air dry. A sterilized soil mixture comprising sandy loam, vermicompost, and farmyard manure in a 2:1:1 ratio was prepared by autoclaving at 15 lbs pressure for 30 minutes over three consecutive days. Half of this sterilized soil was amended with crushed mycelial powder of </w:t>
      </w:r>
      <w:r w:rsidRPr="00054FF7">
        <w:rPr>
          <w:rStyle w:val="Emphasis"/>
          <w:rFonts w:ascii="Times New Roman" w:hAnsi="Times New Roman" w:cs="Times New Roman"/>
          <w:sz w:val="24"/>
          <w:szCs w:val="24"/>
        </w:rPr>
        <w:t xml:space="preserve">F.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The treated seeds were sown in 15 × 10 cm² pots and maintained under greenhouse conditions. As controls, untreated seeds were planted in both</w:t>
      </w:r>
      <w:r w:rsidRPr="00054FF7">
        <w:t xml:space="preserve"> </w:t>
      </w:r>
      <w:r w:rsidRPr="00054FF7">
        <w:rPr>
          <w:rFonts w:ascii="Times New Roman" w:hAnsi="Times New Roman" w:cs="Times New Roman"/>
          <w:sz w:val="24"/>
          <w:szCs w:val="24"/>
        </w:rPr>
        <w:t>pathogen-infested and pathogen-free soil to serve as positive and negative controls, respectively.</w:t>
      </w:r>
    </w:p>
    <w:p w14:paraId="68A3DFB0"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sz w:val="24"/>
          <w:szCs w:val="24"/>
        </w:rPr>
      </w:pPr>
    </w:p>
    <w:p w14:paraId="71C95D3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lastRenderedPageBreak/>
        <w:t>Vermicompost</w:t>
      </w:r>
    </w:p>
    <w:p w14:paraId="550A17F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Vermicompost was obtained from the vermicompost production unit at</w:t>
      </w:r>
      <w:r w:rsidRPr="00054FF7">
        <w:rPr>
          <w:rFonts w:ascii="Times New Roman" w:hAnsi="Times New Roman" w:cs="Times New Roman"/>
          <w:b/>
          <w:sz w:val="24"/>
          <w:szCs w:val="24"/>
        </w:rPr>
        <w:t xml:space="preserve"> </w:t>
      </w:r>
      <w:r w:rsidRPr="00054FF7">
        <w:rPr>
          <w:rFonts w:ascii="Times New Roman" w:hAnsi="Times New Roman" w:cs="Times New Roman"/>
          <w:sz w:val="24"/>
          <w:szCs w:val="24"/>
        </w:rPr>
        <w:t>Faculty of Agricultural Sciences and Allied Industries, Rama University, Kanpur, India</w:t>
      </w:r>
    </w:p>
    <w:p w14:paraId="7F464AD9"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color w:val="000000"/>
          <w:sz w:val="24"/>
          <w:szCs w:val="24"/>
        </w:rPr>
      </w:pPr>
    </w:p>
    <w:p w14:paraId="46B26B2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color w:val="000000"/>
          <w:sz w:val="24"/>
          <w:szCs w:val="24"/>
        </w:rPr>
        <w:t xml:space="preserve">Source of BCAs used </w:t>
      </w:r>
    </w:p>
    <w:p w14:paraId="45C5AEFA" w14:textId="77777777" w:rsidR="000F40B8" w:rsidRPr="00054FF7" w:rsidRDefault="000F40B8" w:rsidP="000F40B8">
      <w:pPr>
        <w:autoSpaceDE w:val="0"/>
        <w:autoSpaceDN w:val="0"/>
        <w:adjustRightInd w:val="0"/>
        <w:spacing w:after="0" w:line="360" w:lineRule="auto"/>
        <w:ind w:firstLine="360"/>
        <w:jc w:val="both"/>
        <w:rPr>
          <w:rFonts w:ascii="Times New Roman" w:hAnsi="Times New Roman" w:cs="Times New Roman"/>
          <w:color w:val="000000"/>
          <w:sz w:val="24"/>
          <w:szCs w:val="24"/>
        </w:rPr>
      </w:pPr>
      <w:r w:rsidRPr="00054FF7">
        <w:rPr>
          <w:rFonts w:ascii="Times New Roman" w:hAnsi="Times New Roman" w:cs="Times New Roman"/>
          <w:color w:val="000000"/>
          <w:sz w:val="24"/>
          <w:szCs w:val="24"/>
        </w:rPr>
        <w:t xml:space="preserve"> The biological control agents used in this study </w:t>
      </w:r>
      <w:r w:rsidRPr="00054FF7">
        <w:rPr>
          <w:rFonts w:ascii="Times New Roman" w:hAnsi="Times New Roman" w:cs="Times New Roman"/>
          <w:i/>
          <w:color w:val="000000"/>
          <w:sz w:val="24"/>
          <w:szCs w:val="24"/>
        </w:rPr>
        <w:t>viz</w:t>
      </w:r>
      <w:r w:rsidRPr="00054FF7">
        <w:rPr>
          <w:rFonts w:ascii="Times New Roman" w:hAnsi="Times New Roman" w:cs="Times New Roman"/>
          <w:color w:val="000000"/>
          <w:sz w:val="24"/>
          <w:szCs w:val="24"/>
        </w:rPr>
        <w:t xml:space="preserve">. </w:t>
      </w:r>
      <w:proofErr w:type="spellStart"/>
      <w:r w:rsidRPr="00054FF7">
        <w:rPr>
          <w:rFonts w:ascii="Times New Roman" w:hAnsi="Times New Roman" w:cs="Times New Roman"/>
          <w:i/>
          <w:color w:val="000000"/>
          <w:sz w:val="24"/>
          <w:szCs w:val="24"/>
        </w:rPr>
        <w:t>Trichoderma</w:t>
      </w:r>
      <w:proofErr w:type="spellEnd"/>
      <w:r w:rsidRPr="00054FF7">
        <w:rPr>
          <w:rFonts w:ascii="Times New Roman" w:hAnsi="Times New Roman" w:cs="Times New Roman"/>
          <w:i/>
          <w:color w:val="000000"/>
          <w:sz w:val="24"/>
          <w:szCs w:val="24"/>
        </w:rPr>
        <w:t xml:space="preserve"> </w:t>
      </w:r>
      <w:proofErr w:type="spellStart"/>
      <w:r w:rsidRPr="00054FF7">
        <w:rPr>
          <w:rFonts w:ascii="Times New Roman" w:hAnsi="Times New Roman" w:cs="Times New Roman"/>
          <w:i/>
          <w:color w:val="000000"/>
          <w:sz w:val="24"/>
          <w:szCs w:val="24"/>
        </w:rPr>
        <w:t>harzianum</w:t>
      </w:r>
      <w:proofErr w:type="spellEnd"/>
      <w:r w:rsidRPr="00054FF7">
        <w:rPr>
          <w:rFonts w:ascii="Times New Roman" w:hAnsi="Times New Roman" w:cs="Times New Roman"/>
          <w:color w:val="000000"/>
          <w:sz w:val="24"/>
          <w:szCs w:val="24"/>
        </w:rPr>
        <w:t xml:space="preserve">, </w:t>
      </w:r>
      <w:r w:rsidRPr="00054FF7">
        <w:rPr>
          <w:rFonts w:ascii="Times New Roman" w:hAnsi="Times New Roman" w:cs="Times New Roman"/>
          <w:i/>
          <w:color w:val="000000"/>
          <w:sz w:val="24"/>
          <w:szCs w:val="24"/>
        </w:rPr>
        <w:t xml:space="preserve">Pseudomonas </w:t>
      </w:r>
      <w:proofErr w:type="spellStart"/>
      <w:r w:rsidRPr="00054FF7">
        <w:rPr>
          <w:rFonts w:ascii="Times New Roman" w:hAnsi="Times New Roman" w:cs="Times New Roman"/>
          <w:i/>
          <w:color w:val="000000"/>
          <w:sz w:val="24"/>
          <w:szCs w:val="24"/>
        </w:rPr>
        <w:t>fluorescens</w:t>
      </w:r>
      <w:proofErr w:type="spellEnd"/>
      <w:r w:rsidRPr="00054FF7">
        <w:rPr>
          <w:rFonts w:ascii="Times New Roman" w:hAnsi="Times New Roman" w:cs="Times New Roman"/>
          <w:color w:val="000000"/>
          <w:sz w:val="24"/>
          <w:szCs w:val="24"/>
        </w:rPr>
        <w:t xml:space="preserve"> and </w:t>
      </w:r>
      <w:r w:rsidRPr="00054FF7">
        <w:rPr>
          <w:rFonts w:ascii="Times New Roman" w:hAnsi="Times New Roman" w:cs="Times New Roman"/>
          <w:i/>
          <w:color w:val="000000"/>
          <w:sz w:val="24"/>
          <w:szCs w:val="24"/>
        </w:rPr>
        <w:t>Bacillus subtilis</w:t>
      </w:r>
      <w:r w:rsidRPr="00054FF7">
        <w:rPr>
          <w:rFonts w:ascii="Times New Roman" w:hAnsi="Times New Roman" w:cs="Times New Roman"/>
          <w:color w:val="000000"/>
          <w:sz w:val="24"/>
          <w:szCs w:val="24"/>
        </w:rPr>
        <w:t xml:space="preserve"> were obtained from the culture repository of </w:t>
      </w:r>
      <w:r w:rsidRPr="00054FF7">
        <w:rPr>
          <w:rFonts w:ascii="Times New Roman" w:hAnsi="Times New Roman" w:cs="Times New Roman"/>
          <w:sz w:val="24"/>
          <w:szCs w:val="24"/>
        </w:rPr>
        <w:t>Department Plant Pathology, Faculty of Agricultural Sciences and Allied Industries, Rama University, Kanpur, India</w:t>
      </w:r>
      <w:r w:rsidRPr="00054FF7">
        <w:rPr>
          <w:rFonts w:ascii="Times New Roman" w:hAnsi="Times New Roman" w:cs="Times New Roman"/>
          <w:color w:val="000000"/>
          <w:sz w:val="24"/>
          <w:szCs w:val="24"/>
        </w:rPr>
        <w:t>.</w:t>
      </w:r>
    </w:p>
    <w:p w14:paraId="4BD697AB"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10"/>
          <w:szCs w:val="10"/>
        </w:rPr>
      </w:pPr>
    </w:p>
    <w:p w14:paraId="028555B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Microbial fortification of vermicompost</w:t>
      </w:r>
    </w:p>
    <w:p w14:paraId="5035F1BF" w14:textId="77777777" w:rsidR="00E566EB" w:rsidRPr="00054FF7" w:rsidRDefault="00E566EB" w:rsidP="000F40B8">
      <w:pPr>
        <w:spacing w:after="0" w:line="360" w:lineRule="auto"/>
        <w:jc w:val="both"/>
        <w:rPr>
          <w:rFonts w:ascii="Times New Roman" w:hAnsi="Times New Roman" w:cs="Times New Roman"/>
          <w:b/>
          <w:bCs/>
          <w:sz w:val="24"/>
          <w:szCs w:val="24"/>
        </w:rPr>
      </w:pPr>
      <w:r w:rsidRPr="00054FF7">
        <w:rPr>
          <w:rFonts w:ascii="Times New Roman" w:hAnsi="Times New Roman" w:cs="Times New Roman"/>
          <w:sz w:val="24"/>
          <w:szCs w:val="24"/>
        </w:rPr>
        <w:t xml:space="preserve">Three biological control agents (BCAs) </w:t>
      </w:r>
      <w:proofErr w:type="spellStart"/>
      <w:r w:rsidRPr="00054FF7">
        <w:rPr>
          <w:rStyle w:val="Emphasis"/>
          <w:rFonts w:ascii="Times New Roman" w:hAnsi="Times New Roman" w:cs="Times New Roman"/>
          <w:sz w:val="24"/>
          <w:szCs w:val="24"/>
        </w:rPr>
        <w:t>Trichoderma</w:t>
      </w:r>
      <w:proofErr w:type="spellEnd"/>
      <w:r w:rsidRPr="00054FF7">
        <w:rPr>
          <w:rStyle w:val="Emphasis"/>
          <w:rFonts w:ascii="Times New Roman" w:hAnsi="Times New Roman" w:cs="Times New Roman"/>
          <w:sz w:val="24"/>
          <w:szCs w:val="24"/>
        </w:rPr>
        <w:t xml:space="preserve">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 </w:t>
      </w:r>
      <w:r w:rsidRPr="00054FF7">
        <w:rPr>
          <w:rStyle w:val="Emphasis"/>
          <w:rFonts w:ascii="Times New Roman" w:hAnsi="Times New Roman" w:cs="Times New Roman"/>
          <w:sz w:val="24"/>
          <w:szCs w:val="24"/>
        </w:rPr>
        <w:t xml:space="preserve">Pseudomonas </w:t>
      </w:r>
      <w:proofErr w:type="spellStart"/>
      <w:r w:rsidRPr="00054FF7">
        <w:rPr>
          <w:rStyle w:val="Emphasis"/>
          <w:rFonts w:ascii="Times New Roman" w:hAnsi="Times New Roman" w:cs="Times New Roman"/>
          <w:sz w:val="24"/>
          <w:szCs w:val="24"/>
        </w:rPr>
        <w:t>fluorescens</w:t>
      </w:r>
      <w:proofErr w:type="spellEnd"/>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Bacillus subtilis</w:t>
      </w:r>
      <w:r w:rsidRPr="00054FF7">
        <w:rPr>
          <w:rFonts w:ascii="Times New Roman" w:hAnsi="Times New Roman" w:cs="Times New Roman"/>
          <w:sz w:val="24"/>
          <w:szCs w:val="24"/>
        </w:rPr>
        <w:t xml:space="preserve"> were selected for this study due to their proven compatibility and established effectiveness in suppressing soilborne diseases in various crops. Each of these BCAs was used separately to enrich freshly prepared vermicompost. For bacterial treatments, 1 liter of 2-day-old cultures grown in nutrient broth (NB), with an approximate cell density of 2 × 10⁸ CFU/ml, was thoroughly mixed with 25 kg of vermicompost in individual trays. Similarly, for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1 liter of a 5-day-old culture grown in potato dextrose broth (PDB), with a CFU count of around 4 × 10⁷, was blended into a separate tray containing 25 kg of vermicompost. All trays were placed in shaded conditions and covered with dark polyethylene sheets for 10 days to allow the BCAs to acclimate and colonize the substrate.</w:t>
      </w:r>
    </w:p>
    <w:p w14:paraId="408802EE"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Table 1 </w:t>
      </w:r>
      <w:r w:rsidRPr="00054FF7">
        <w:rPr>
          <w:rFonts w:ascii="Times New Roman" w:hAnsi="Times New Roman" w:cs="Times New Roman"/>
          <w:sz w:val="24"/>
          <w:szCs w:val="24"/>
        </w:rPr>
        <w:t>Combination of treatments</w:t>
      </w:r>
      <w:r w:rsidRPr="00054FF7">
        <w:rPr>
          <w:rFonts w:ascii="Times New Roman" w:hAnsi="Times New Roman" w:cs="Times New Roman"/>
          <w:b/>
          <w:bCs/>
          <w:sz w:val="24"/>
          <w:szCs w:val="24"/>
        </w:rPr>
        <w:t xml:space="preserve"> </w:t>
      </w:r>
      <w:r w:rsidRPr="00054FF7">
        <w:rPr>
          <w:rFonts w:ascii="Times New Roman" w:hAnsi="Times New Roman" w:cs="Times New Roman"/>
          <w:sz w:val="24"/>
          <w:szCs w:val="24"/>
        </w:rPr>
        <w:t xml:space="preserve">used for conducting experiment </w:t>
      </w:r>
    </w:p>
    <w:tbl>
      <w:tblPr>
        <w:tblStyle w:val="TableGrid"/>
        <w:tblW w:w="7049" w:type="dxa"/>
        <w:jc w:val="center"/>
        <w:tblLook w:val="04A0" w:firstRow="1" w:lastRow="0" w:firstColumn="1" w:lastColumn="0" w:noHBand="0" w:noVBand="1"/>
      </w:tblPr>
      <w:tblGrid>
        <w:gridCol w:w="1309"/>
        <w:gridCol w:w="5740"/>
      </w:tblGrid>
      <w:tr w:rsidR="000F40B8" w:rsidRPr="00054FF7" w14:paraId="64D3DE3E" w14:textId="77777777" w:rsidTr="00A4498E">
        <w:trPr>
          <w:trHeight w:val="562"/>
          <w:jc w:val="center"/>
        </w:trPr>
        <w:tc>
          <w:tcPr>
            <w:tcW w:w="1309" w:type="dxa"/>
          </w:tcPr>
          <w:p w14:paraId="3CE54D70" w14:textId="77777777" w:rsidR="000F40B8" w:rsidRPr="00054FF7" w:rsidRDefault="000F40B8" w:rsidP="00A4498E">
            <w:pPr>
              <w:pStyle w:val="NormalWeb"/>
              <w:spacing w:before="0" w:beforeAutospacing="0" w:after="0" w:afterAutospacing="0" w:line="360" w:lineRule="auto"/>
              <w:jc w:val="center"/>
            </w:pPr>
            <w:r w:rsidRPr="00054FF7">
              <w:rPr>
                <w:b/>
                <w:bCs/>
              </w:rPr>
              <w:t>Treatment No.</w:t>
            </w:r>
          </w:p>
        </w:tc>
        <w:tc>
          <w:tcPr>
            <w:tcW w:w="5740" w:type="dxa"/>
          </w:tcPr>
          <w:p w14:paraId="43D88785" w14:textId="77777777" w:rsidR="000F40B8" w:rsidRPr="00054FF7" w:rsidRDefault="000F40B8" w:rsidP="00A4498E">
            <w:pPr>
              <w:pStyle w:val="NormalWeb"/>
              <w:spacing w:before="0" w:beforeAutospacing="0" w:after="0" w:afterAutospacing="0" w:line="360" w:lineRule="auto"/>
              <w:jc w:val="center"/>
            </w:pPr>
            <w:r w:rsidRPr="00054FF7">
              <w:rPr>
                <w:b/>
                <w:bCs/>
              </w:rPr>
              <w:t>Treatment</w:t>
            </w:r>
          </w:p>
        </w:tc>
      </w:tr>
      <w:tr w:rsidR="000F40B8" w:rsidRPr="00054FF7" w14:paraId="1D5DF965" w14:textId="77777777" w:rsidTr="00A4498E">
        <w:trPr>
          <w:trHeight w:val="385"/>
          <w:jc w:val="center"/>
        </w:trPr>
        <w:tc>
          <w:tcPr>
            <w:tcW w:w="1309" w:type="dxa"/>
          </w:tcPr>
          <w:p w14:paraId="2F01E410"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1</w:t>
            </w:r>
          </w:p>
        </w:tc>
        <w:tc>
          <w:tcPr>
            <w:tcW w:w="5740" w:type="dxa"/>
          </w:tcPr>
          <w:p w14:paraId="76971718" w14:textId="77777777" w:rsidR="000F40B8" w:rsidRPr="00054FF7" w:rsidRDefault="000F40B8" w:rsidP="00A4498E">
            <w:pPr>
              <w:tabs>
                <w:tab w:val="left" w:pos="180"/>
                <w:tab w:val="left" w:pos="360"/>
                <w:tab w:val="left" w:pos="540"/>
              </w:tabs>
              <w:spacing w:line="360" w:lineRule="auto"/>
              <w:jc w:val="both"/>
              <w:rPr>
                <w:rFonts w:ascii="Times New Roman" w:hAnsi="Times New Roman" w:cs="Times New Roman"/>
                <w:bCs/>
                <w:sz w:val="24"/>
                <w:szCs w:val="24"/>
              </w:rPr>
            </w:pPr>
            <w:proofErr w:type="spellStart"/>
            <w:r w:rsidRPr="00054FF7">
              <w:rPr>
                <w:rFonts w:ascii="Times New Roman" w:hAnsi="Times New Roman" w:cs="Times New Roman"/>
                <w:bCs/>
                <w:sz w:val="24"/>
                <w:szCs w:val="24"/>
              </w:rPr>
              <w:t>Vermicompost</w:t>
            </w:r>
            <w:proofErr w:type="spellEnd"/>
            <w:r w:rsidRPr="00054FF7">
              <w:rPr>
                <w:rFonts w:ascii="Times New Roman" w:hAnsi="Times New Roman" w:cs="Times New Roman"/>
                <w:bCs/>
                <w:sz w:val="24"/>
                <w:szCs w:val="24"/>
              </w:rPr>
              <w:t xml:space="preserve"> +</w:t>
            </w:r>
            <w:proofErr w:type="spellStart"/>
            <w:r w:rsidRPr="00054FF7">
              <w:rPr>
                <w:rFonts w:ascii="Times New Roman" w:hAnsi="Times New Roman" w:cs="Times New Roman"/>
                <w:bCs/>
                <w:i/>
                <w:iCs/>
                <w:sz w:val="24"/>
                <w:szCs w:val="24"/>
              </w:rPr>
              <w:t>Trichoderma</w:t>
            </w:r>
            <w:proofErr w:type="spellEnd"/>
            <w:r w:rsidRPr="00054FF7">
              <w:rPr>
                <w:rFonts w:ascii="Times New Roman" w:hAnsi="Times New Roman" w:cs="Times New Roman"/>
                <w:bCs/>
                <w:i/>
                <w:iCs/>
                <w:sz w:val="24"/>
                <w:szCs w:val="24"/>
              </w:rPr>
              <w:t xml:space="preserve"> </w:t>
            </w:r>
            <w:proofErr w:type="spellStart"/>
            <w:r w:rsidRPr="00054FF7">
              <w:rPr>
                <w:rFonts w:ascii="Times New Roman" w:hAnsi="Times New Roman" w:cs="Times New Roman"/>
                <w:bCs/>
                <w:i/>
                <w:iCs/>
                <w:sz w:val="24"/>
                <w:szCs w:val="24"/>
              </w:rPr>
              <w:t>harzianum</w:t>
            </w:r>
            <w:proofErr w:type="spellEnd"/>
            <w:r w:rsidRPr="00054FF7">
              <w:rPr>
                <w:rFonts w:ascii="Times New Roman" w:hAnsi="Times New Roman" w:cs="Times New Roman"/>
                <w:bCs/>
                <w:iCs/>
                <w:sz w:val="24"/>
                <w:szCs w:val="24"/>
              </w:rPr>
              <w:t>+ Pathogen</w:t>
            </w:r>
          </w:p>
        </w:tc>
      </w:tr>
      <w:tr w:rsidR="000F40B8" w:rsidRPr="00054FF7" w14:paraId="5BDA3E03" w14:textId="77777777" w:rsidTr="00A4498E">
        <w:trPr>
          <w:trHeight w:val="281"/>
          <w:jc w:val="center"/>
        </w:trPr>
        <w:tc>
          <w:tcPr>
            <w:tcW w:w="1309" w:type="dxa"/>
          </w:tcPr>
          <w:p w14:paraId="39354CF7"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2</w:t>
            </w:r>
          </w:p>
        </w:tc>
        <w:tc>
          <w:tcPr>
            <w:tcW w:w="5740" w:type="dxa"/>
          </w:tcPr>
          <w:p w14:paraId="4CD67F30" w14:textId="77777777" w:rsidR="000F40B8" w:rsidRPr="00054FF7" w:rsidRDefault="000F40B8" w:rsidP="00A4498E">
            <w:pPr>
              <w:spacing w:line="360" w:lineRule="auto"/>
              <w:jc w:val="both"/>
              <w:rPr>
                <w:rFonts w:ascii="Times New Roman" w:hAnsi="Times New Roman" w:cs="Times New Roman"/>
                <w:sz w:val="24"/>
                <w:szCs w:val="24"/>
              </w:rPr>
            </w:pPr>
            <w:r w:rsidRPr="00054FF7">
              <w:rPr>
                <w:rFonts w:ascii="Times New Roman" w:hAnsi="Times New Roman" w:cs="Times New Roman"/>
                <w:bCs/>
                <w:sz w:val="24"/>
                <w:szCs w:val="24"/>
              </w:rPr>
              <w:t>Vermicompost</w:t>
            </w:r>
            <w:r w:rsidRPr="00054FF7">
              <w:rPr>
                <w:rFonts w:ascii="Times New Roman" w:hAnsi="Times New Roman" w:cs="Times New Roman"/>
                <w:bCs/>
                <w:i/>
                <w:iCs/>
                <w:sz w:val="24"/>
                <w:szCs w:val="24"/>
              </w:rPr>
              <w:t xml:space="preserve"> +  Bacillus subtilis + </w:t>
            </w:r>
            <w:r w:rsidRPr="00054FF7">
              <w:rPr>
                <w:rFonts w:ascii="Times New Roman" w:hAnsi="Times New Roman" w:cs="Times New Roman"/>
                <w:bCs/>
                <w:sz w:val="24"/>
                <w:szCs w:val="24"/>
              </w:rPr>
              <w:t>Pathogen</w:t>
            </w:r>
          </w:p>
        </w:tc>
      </w:tr>
      <w:tr w:rsidR="000F40B8" w:rsidRPr="00054FF7" w14:paraId="42B66591" w14:textId="77777777" w:rsidTr="00A4498E">
        <w:trPr>
          <w:trHeight w:val="417"/>
          <w:jc w:val="center"/>
        </w:trPr>
        <w:tc>
          <w:tcPr>
            <w:tcW w:w="1309" w:type="dxa"/>
          </w:tcPr>
          <w:p w14:paraId="5E89D04E"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3</w:t>
            </w:r>
          </w:p>
        </w:tc>
        <w:tc>
          <w:tcPr>
            <w:tcW w:w="5740" w:type="dxa"/>
          </w:tcPr>
          <w:p w14:paraId="68092AA8" w14:textId="77777777" w:rsidR="000F40B8" w:rsidRPr="00054FF7" w:rsidRDefault="000F40B8" w:rsidP="00A4498E">
            <w:pPr>
              <w:spacing w:line="360" w:lineRule="auto"/>
              <w:jc w:val="both"/>
              <w:rPr>
                <w:rFonts w:ascii="Times New Roman" w:hAnsi="Times New Roman" w:cs="Times New Roman"/>
                <w:bCs/>
                <w:sz w:val="24"/>
                <w:szCs w:val="24"/>
                <w:lang w:val="en-IN"/>
              </w:rPr>
            </w:pPr>
            <w:proofErr w:type="spellStart"/>
            <w:r w:rsidRPr="00054FF7">
              <w:rPr>
                <w:rFonts w:ascii="Times New Roman" w:hAnsi="Times New Roman" w:cs="Times New Roman"/>
                <w:bCs/>
                <w:sz w:val="24"/>
                <w:szCs w:val="24"/>
              </w:rPr>
              <w:t>Vermicompost</w:t>
            </w:r>
            <w:proofErr w:type="spellEnd"/>
            <w:r w:rsidRPr="00054FF7">
              <w:rPr>
                <w:rFonts w:ascii="Times New Roman" w:hAnsi="Times New Roman" w:cs="Times New Roman"/>
                <w:bCs/>
                <w:i/>
                <w:iCs/>
                <w:sz w:val="24"/>
                <w:szCs w:val="24"/>
              </w:rPr>
              <w:t xml:space="preserve"> + Pseudomonas </w:t>
            </w:r>
            <w:proofErr w:type="spellStart"/>
            <w:r w:rsidRPr="00054FF7">
              <w:rPr>
                <w:rFonts w:ascii="Times New Roman" w:hAnsi="Times New Roman" w:cs="Times New Roman"/>
                <w:bCs/>
                <w:i/>
                <w:iCs/>
                <w:sz w:val="24"/>
                <w:szCs w:val="24"/>
              </w:rPr>
              <w:t>flourescens</w:t>
            </w:r>
            <w:proofErr w:type="spellEnd"/>
            <w:r w:rsidRPr="00054FF7">
              <w:rPr>
                <w:rFonts w:ascii="Times New Roman" w:hAnsi="Times New Roman" w:cs="Times New Roman"/>
                <w:bCs/>
                <w:i/>
                <w:iCs/>
                <w:sz w:val="24"/>
                <w:szCs w:val="24"/>
              </w:rPr>
              <w:t xml:space="preserve"> + </w:t>
            </w:r>
            <w:r w:rsidRPr="00054FF7">
              <w:rPr>
                <w:rFonts w:ascii="Times New Roman" w:hAnsi="Times New Roman" w:cs="Times New Roman"/>
                <w:bCs/>
                <w:sz w:val="24"/>
                <w:szCs w:val="24"/>
              </w:rPr>
              <w:t>Pathogen</w:t>
            </w:r>
          </w:p>
        </w:tc>
      </w:tr>
      <w:tr w:rsidR="000F40B8" w:rsidRPr="00054FF7" w14:paraId="7FA3DD9D" w14:textId="77777777" w:rsidTr="00A4498E">
        <w:trPr>
          <w:trHeight w:val="477"/>
          <w:jc w:val="center"/>
        </w:trPr>
        <w:tc>
          <w:tcPr>
            <w:tcW w:w="1309" w:type="dxa"/>
          </w:tcPr>
          <w:p w14:paraId="6A635326"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4</w:t>
            </w:r>
          </w:p>
        </w:tc>
        <w:tc>
          <w:tcPr>
            <w:tcW w:w="5740" w:type="dxa"/>
          </w:tcPr>
          <w:p w14:paraId="7F79D316" w14:textId="77777777" w:rsidR="000F40B8" w:rsidRPr="00054FF7" w:rsidRDefault="000F40B8" w:rsidP="00A4498E">
            <w:pPr>
              <w:spacing w:line="360" w:lineRule="auto"/>
              <w:jc w:val="both"/>
              <w:rPr>
                <w:rFonts w:ascii="Times New Roman" w:hAnsi="Times New Roman" w:cs="Times New Roman"/>
                <w:bCs/>
                <w:sz w:val="24"/>
                <w:szCs w:val="24"/>
                <w:lang w:val="en-IN"/>
              </w:rPr>
            </w:pPr>
            <w:r w:rsidRPr="00054FF7">
              <w:rPr>
                <w:rFonts w:ascii="Times New Roman" w:hAnsi="Times New Roman" w:cs="Times New Roman"/>
                <w:bCs/>
                <w:sz w:val="24"/>
                <w:szCs w:val="24"/>
              </w:rPr>
              <w:t>Vermicompost</w:t>
            </w:r>
            <w:r w:rsidRPr="00054FF7">
              <w:rPr>
                <w:rFonts w:ascii="Times New Roman" w:hAnsi="Times New Roman" w:cs="Times New Roman"/>
                <w:bCs/>
                <w:iCs/>
                <w:sz w:val="24"/>
                <w:szCs w:val="24"/>
              </w:rPr>
              <w:t xml:space="preserve"> + Pathogen </w:t>
            </w:r>
          </w:p>
        </w:tc>
      </w:tr>
      <w:tr w:rsidR="000F40B8" w:rsidRPr="00054FF7" w14:paraId="6D051AF0" w14:textId="77777777" w:rsidTr="00A4498E">
        <w:trPr>
          <w:trHeight w:val="492"/>
          <w:jc w:val="center"/>
        </w:trPr>
        <w:tc>
          <w:tcPr>
            <w:tcW w:w="1309" w:type="dxa"/>
          </w:tcPr>
          <w:p w14:paraId="4C79BC28"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5</w:t>
            </w:r>
          </w:p>
        </w:tc>
        <w:tc>
          <w:tcPr>
            <w:tcW w:w="5740" w:type="dxa"/>
          </w:tcPr>
          <w:p w14:paraId="75342890"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bCs/>
                <w:sz w:val="24"/>
                <w:szCs w:val="24"/>
              </w:rPr>
              <w:t xml:space="preserve">Control  (Only vermicompost) </w:t>
            </w:r>
          </w:p>
        </w:tc>
      </w:tr>
    </w:tbl>
    <w:p w14:paraId="77E7687D" w14:textId="77777777" w:rsidR="001B779C" w:rsidRPr="00054FF7" w:rsidRDefault="001B779C" w:rsidP="000F40B8">
      <w:pPr>
        <w:autoSpaceDE w:val="0"/>
        <w:autoSpaceDN w:val="0"/>
        <w:adjustRightInd w:val="0"/>
        <w:spacing w:after="0" w:line="360" w:lineRule="auto"/>
        <w:jc w:val="both"/>
        <w:rPr>
          <w:rFonts w:ascii="Times New Roman" w:hAnsi="Times New Roman" w:cs="Times New Roman"/>
          <w:b/>
          <w:sz w:val="24"/>
          <w:szCs w:val="24"/>
        </w:rPr>
      </w:pPr>
    </w:p>
    <w:p w14:paraId="03A074A1"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Pot experiments</w:t>
      </w:r>
    </w:p>
    <w:p w14:paraId="3DA709A6"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8"/>
          <w:szCs w:val="28"/>
        </w:rPr>
        <w:t xml:space="preserve">  </w:t>
      </w:r>
      <w:r w:rsidR="00E566EB" w:rsidRPr="00054FF7">
        <w:rPr>
          <w:rFonts w:ascii="Times New Roman" w:hAnsi="Times New Roman" w:cs="Times New Roman"/>
          <w:sz w:val="24"/>
          <w:szCs w:val="24"/>
        </w:rPr>
        <w:t xml:space="preserve">Plastic pots (15 × 10 cm) were used to evaluate the plant growth-promoting and antagonistic effects of vermicompost fortified with </w:t>
      </w:r>
      <w:r w:rsidR="00E566EB" w:rsidRPr="00054FF7">
        <w:rPr>
          <w:rStyle w:val="Emphasis"/>
          <w:rFonts w:ascii="Times New Roman" w:hAnsi="Times New Roman" w:cs="Times New Roman"/>
          <w:sz w:val="24"/>
          <w:szCs w:val="24"/>
        </w:rPr>
        <w:t xml:space="preserve">F. </w:t>
      </w:r>
      <w:proofErr w:type="spellStart"/>
      <w:r w:rsidR="00E566EB" w:rsidRPr="00054FF7">
        <w:rPr>
          <w:rStyle w:val="Emphasis"/>
          <w:rFonts w:ascii="Times New Roman" w:hAnsi="Times New Roman" w:cs="Times New Roman"/>
          <w:sz w:val="24"/>
          <w:szCs w:val="24"/>
        </w:rPr>
        <w:t>oxysporum</w:t>
      </w:r>
      <w:proofErr w:type="spellEnd"/>
      <w:r w:rsidR="00E566EB" w:rsidRPr="00054FF7">
        <w:rPr>
          <w:rFonts w:ascii="Times New Roman" w:hAnsi="Times New Roman" w:cs="Times New Roman"/>
          <w:sz w:val="24"/>
          <w:szCs w:val="24"/>
        </w:rPr>
        <w:t xml:space="preserve"> antagonists. Sterilized soil was </w:t>
      </w:r>
      <w:r w:rsidR="00E566EB" w:rsidRPr="00054FF7">
        <w:rPr>
          <w:rFonts w:ascii="Times New Roman" w:hAnsi="Times New Roman" w:cs="Times New Roman"/>
          <w:sz w:val="24"/>
          <w:szCs w:val="24"/>
        </w:rPr>
        <w:lastRenderedPageBreak/>
        <w:t xml:space="preserve">mixed with microbially fortified vermicompost in a 1:1 (w/w) ratio (1.5 kg per pot). Treatments included vermicompost enriched individually with </w:t>
      </w:r>
      <w:r w:rsidR="00E566EB" w:rsidRPr="00054FF7">
        <w:rPr>
          <w:rStyle w:val="Emphasis"/>
          <w:rFonts w:ascii="Times New Roman" w:hAnsi="Times New Roman" w:cs="Times New Roman"/>
          <w:sz w:val="24"/>
          <w:szCs w:val="24"/>
        </w:rPr>
        <w:t xml:space="preserve">T. </w:t>
      </w:r>
      <w:proofErr w:type="spellStart"/>
      <w:r w:rsidR="00E566EB" w:rsidRPr="00054FF7">
        <w:rPr>
          <w:rStyle w:val="Emphasis"/>
          <w:rFonts w:ascii="Times New Roman" w:hAnsi="Times New Roman" w:cs="Times New Roman"/>
          <w:sz w:val="24"/>
          <w:szCs w:val="24"/>
        </w:rPr>
        <w:t>harzianum</w:t>
      </w:r>
      <w:proofErr w:type="spellEnd"/>
      <w:r w:rsidR="00E566EB" w:rsidRPr="00054FF7">
        <w:rPr>
          <w:rFonts w:ascii="Times New Roman" w:hAnsi="Times New Roman" w:cs="Times New Roman"/>
          <w:sz w:val="24"/>
          <w:szCs w:val="24"/>
        </w:rPr>
        <w:t xml:space="preserve">, </w:t>
      </w:r>
      <w:r w:rsidR="00E566EB" w:rsidRPr="00054FF7">
        <w:rPr>
          <w:rStyle w:val="Emphasis"/>
          <w:rFonts w:ascii="Times New Roman" w:hAnsi="Times New Roman" w:cs="Times New Roman"/>
          <w:sz w:val="24"/>
          <w:szCs w:val="24"/>
        </w:rPr>
        <w:t>B. subtilis</w:t>
      </w:r>
      <w:r w:rsidR="00E566EB" w:rsidRPr="00054FF7">
        <w:rPr>
          <w:rFonts w:ascii="Times New Roman" w:hAnsi="Times New Roman" w:cs="Times New Roman"/>
          <w:sz w:val="24"/>
          <w:szCs w:val="24"/>
        </w:rPr>
        <w:t xml:space="preserve">, and </w:t>
      </w:r>
      <w:r w:rsidR="00E566EB" w:rsidRPr="00054FF7">
        <w:rPr>
          <w:rStyle w:val="Emphasis"/>
          <w:rFonts w:ascii="Times New Roman" w:hAnsi="Times New Roman" w:cs="Times New Roman"/>
          <w:sz w:val="24"/>
          <w:szCs w:val="24"/>
        </w:rPr>
        <w:t>P. fluorescens</w:t>
      </w:r>
      <w:r w:rsidR="00E566EB" w:rsidRPr="00054FF7">
        <w:rPr>
          <w:rFonts w:ascii="Times New Roman" w:hAnsi="Times New Roman" w:cs="Times New Roman"/>
          <w:sz w:val="24"/>
          <w:szCs w:val="24"/>
        </w:rPr>
        <w:t>. Positive control pots contained only vermicompost, while negative controls had only sterile soil.</w:t>
      </w:r>
    </w:p>
    <w:p w14:paraId="4C29F1E2"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4"/>
          <w:szCs w:val="24"/>
        </w:rPr>
      </w:pPr>
    </w:p>
    <w:p w14:paraId="00313702"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Pathogen inoculation</w:t>
      </w:r>
    </w:p>
    <w:p w14:paraId="7B17FB46" w14:textId="77777777" w:rsidR="00E566EB" w:rsidRPr="00054FF7" w:rsidRDefault="00E566EB" w:rsidP="000F40B8">
      <w:pPr>
        <w:tabs>
          <w:tab w:val="left" w:pos="1440"/>
        </w:tabs>
        <w:suppressAutoHyphens/>
        <w:spacing w:after="0" w:line="360" w:lineRule="auto"/>
        <w:jc w:val="both"/>
        <w:rPr>
          <w:rFonts w:ascii="Times New Roman" w:hAnsi="Times New Roman" w:cs="Times New Roman"/>
          <w:color w:val="000000"/>
          <w:sz w:val="24"/>
          <w:szCs w:val="24"/>
        </w:rPr>
      </w:pPr>
      <w:r w:rsidRPr="00054FF7">
        <w:rPr>
          <w:rFonts w:ascii="Times New Roman" w:hAnsi="Times New Roman" w:cs="Times New Roman"/>
          <w:sz w:val="24"/>
          <w:szCs w:val="24"/>
        </w:rPr>
        <w:t xml:space="preserve">Spore suspension was prepared by adding 20 ml of sterile distilled water to 5–7-day-old fungal cultures, followed by gentle scraping with a spore harvester. The conidial concentration was adjusted to 2–3 × 10⁷ conidia/ml using a </w:t>
      </w:r>
      <w:proofErr w:type="spellStart"/>
      <w:r w:rsidRPr="00054FF7">
        <w:rPr>
          <w:rFonts w:ascii="Times New Roman" w:hAnsi="Times New Roman" w:cs="Times New Roman"/>
          <w:sz w:val="24"/>
          <w:szCs w:val="24"/>
        </w:rPr>
        <w:t>haemocytometer</w:t>
      </w:r>
      <w:proofErr w:type="spellEnd"/>
      <w:r w:rsidRPr="00054FF7">
        <w:rPr>
          <w:rFonts w:ascii="Times New Roman" w:hAnsi="Times New Roman" w:cs="Times New Roman"/>
          <w:sz w:val="24"/>
          <w:szCs w:val="24"/>
        </w:rPr>
        <w:t>. For all five treatments, 5 ml of this suspension was applied to each seedling via soil drenching, wherein the fungal suspension was pipetted around the root zone. Prior to inoculation, seedling roots were slightly wounded approximately 1 cm from the stem using a sterile needle to facilitate pathogen entry. Wilt symptoms were monitored for up to five weeks post-inoculation.</w:t>
      </w:r>
      <w:r w:rsidR="000F40B8" w:rsidRPr="00054FF7">
        <w:rPr>
          <w:rFonts w:ascii="Times New Roman" w:hAnsi="Times New Roman" w:cs="Times New Roman"/>
          <w:color w:val="000000"/>
          <w:sz w:val="24"/>
          <w:szCs w:val="24"/>
        </w:rPr>
        <w:tab/>
      </w:r>
    </w:p>
    <w:p w14:paraId="620FAB6F" w14:textId="77777777" w:rsidR="00E566EB" w:rsidRPr="00054FF7" w:rsidRDefault="00E566EB" w:rsidP="000F40B8">
      <w:pPr>
        <w:tabs>
          <w:tab w:val="left" w:pos="1440"/>
        </w:tabs>
        <w:suppressAutoHyphens/>
        <w:spacing w:after="0" w:line="360" w:lineRule="auto"/>
        <w:jc w:val="both"/>
        <w:rPr>
          <w:rFonts w:ascii="Times New Roman" w:hAnsi="Times New Roman" w:cs="Times New Roman"/>
          <w:b/>
          <w:sz w:val="24"/>
          <w:szCs w:val="24"/>
        </w:rPr>
      </w:pPr>
    </w:p>
    <w:p w14:paraId="0E30A50F" w14:textId="77777777" w:rsidR="000F40B8" w:rsidRPr="00054FF7" w:rsidRDefault="000F40B8" w:rsidP="000F40B8">
      <w:pPr>
        <w:tabs>
          <w:tab w:val="left" w:pos="1440"/>
        </w:tabs>
        <w:suppressAutoHyphens/>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Observations recorded  </w:t>
      </w:r>
    </w:p>
    <w:p w14:paraId="7B38DADB" w14:textId="77777777" w:rsidR="00E566EB" w:rsidRPr="00054FF7" w:rsidRDefault="00E566EB" w:rsidP="00DA7334">
      <w:pPr>
        <w:pStyle w:val="NormalWeb"/>
        <w:spacing w:line="360" w:lineRule="auto"/>
        <w:jc w:val="both"/>
      </w:pPr>
      <w:r w:rsidRPr="00054FF7">
        <w:t>Observations on various morpho-physiological traits were recorded at 30, 60, and 90 days after sowing (DAS) using a random sampling method. Three plants per treatment per replication were randomly selected for data collection. The values were averaged for each replication, and the means were used for statistical analysis. Standard agronomic practices were followed to ensure healthy crop growth.</w:t>
      </w:r>
    </w:p>
    <w:p w14:paraId="4F30FC6B" w14:textId="77777777" w:rsidR="000F40B8" w:rsidRPr="00054FF7" w:rsidRDefault="000F40B8" w:rsidP="000F40B8">
      <w:pPr>
        <w:tabs>
          <w:tab w:val="left" w:pos="1164"/>
          <w:tab w:val="left" w:pos="3479"/>
        </w:tabs>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Biochemical Analysis </w:t>
      </w:r>
      <w:r w:rsidRPr="00054FF7">
        <w:rPr>
          <w:rFonts w:ascii="Times New Roman" w:hAnsi="Times New Roman" w:cs="Times New Roman"/>
          <w:b/>
          <w:sz w:val="24"/>
          <w:szCs w:val="24"/>
        </w:rPr>
        <w:tab/>
      </w:r>
    </w:p>
    <w:p w14:paraId="25506E43" w14:textId="77777777" w:rsidR="000F40B8" w:rsidRPr="00054FF7" w:rsidRDefault="000F40B8" w:rsidP="000F40B8">
      <w:pPr>
        <w:spacing w:after="0" w:line="360" w:lineRule="auto"/>
        <w:ind w:firstLine="720"/>
        <w:jc w:val="both"/>
        <w:rPr>
          <w:rFonts w:ascii="Times New Roman" w:hAnsi="Times New Roman" w:cs="Times New Roman"/>
          <w:sz w:val="24"/>
          <w:szCs w:val="24"/>
        </w:rPr>
      </w:pPr>
      <w:r w:rsidRPr="00054FF7">
        <w:rPr>
          <w:rFonts w:ascii="Times New Roman" w:hAnsi="Times New Roman" w:cs="Times New Roman"/>
          <w:sz w:val="24"/>
          <w:szCs w:val="24"/>
        </w:rPr>
        <w:t>Biochemical analysis for determination of different antioxidants and ROS (H</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O</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 xml:space="preserve">) in the leaves of chickpea plants at different time intervals after pathogen inoculation was performed according to the method of Singh </w:t>
      </w:r>
      <w:r w:rsidRPr="00054FF7">
        <w:rPr>
          <w:rFonts w:ascii="Times New Roman" w:hAnsi="Times New Roman" w:cs="Times New Roman"/>
          <w:i/>
          <w:sz w:val="24"/>
          <w:szCs w:val="24"/>
        </w:rPr>
        <w:t>et al</w:t>
      </w:r>
      <w:r w:rsidRPr="00054FF7">
        <w:rPr>
          <w:rFonts w:ascii="Times New Roman" w:hAnsi="Times New Roman" w:cs="Times New Roman"/>
          <w:sz w:val="24"/>
          <w:szCs w:val="24"/>
        </w:rPr>
        <w:t xml:space="preserve">. (2013). The enzymatic assays namely </w:t>
      </w:r>
      <w:r w:rsidRPr="00054FF7">
        <w:rPr>
          <w:rFonts w:ascii="Times New Roman" w:hAnsi="Times New Roman" w:cs="Times New Roman"/>
          <w:sz w:val="24"/>
          <w:szCs w:val="24"/>
          <w:shd w:val="clear" w:color="auto" w:fill="FFFFFF"/>
        </w:rPr>
        <w:t>phenylalanine ammonia-lyase (PAL), peroxidase (PO), polyphenol oxidase (PPO), superoxide dismutase (SOD) and total phenol content (TPC)</w:t>
      </w:r>
      <w:r w:rsidRPr="00054FF7">
        <w:rPr>
          <w:rFonts w:ascii="Times New Roman" w:hAnsi="Times New Roman" w:cs="Times New Roman"/>
          <w:sz w:val="24"/>
          <w:szCs w:val="24"/>
        </w:rPr>
        <w:t xml:space="preserve"> was performed after 0, 24, 48, 72 and 96 h pathogen inoculation as described by Jain </w:t>
      </w:r>
      <w:r w:rsidRPr="00054FF7">
        <w:rPr>
          <w:rFonts w:ascii="Times New Roman" w:hAnsi="Times New Roman" w:cs="Times New Roman"/>
          <w:i/>
          <w:sz w:val="24"/>
          <w:szCs w:val="24"/>
        </w:rPr>
        <w:t>et al</w:t>
      </w:r>
      <w:r w:rsidRPr="00054FF7">
        <w:rPr>
          <w:rFonts w:ascii="Times New Roman" w:hAnsi="Times New Roman" w:cs="Times New Roman"/>
          <w:sz w:val="24"/>
          <w:szCs w:val="24"/>
        </w:rPr>
        <w:t>. (2011).</w:t>
      </w:r>
    </w:p>
    <w:p w14:paraId="19A2CE91" w14:textId="77777777" w:rsidR="005A3B07" w:rsidRPr="00054FF7" w:rsidRDefault="005A3B07" w:rsidP="000F40B8">
      <w:pPr>
        <w:tabs>
          <w:tab w:val="left" w:pos="6048"/>
        </w:tabs>
        <w:spacing w:after="0" w:line="360" w:lineRule="auto"/>
        <w:jc w:val="both"/>
        <w:outlineLvl w:val="2"/>
        <w:rPr>
          <w:rFonts w:ascii="Times New Roman" w:hAnsi="Times New Roman" w:cs="Times New Roman"/>
          <w:b/>
          <w:i/>
          <w:iCs/>
          <w:sz w:val="14"/>
          <w:szCs w:val="14"/>
        </w:rPr>
      </w:pPr>
    </w:p>
    <w:p w14:paraId="15DB5C6E" w14:textId="77777777" w:rsidR="000F40B8" w:rsidRPr="00054FF7" w:rsidRDefault="000F40B8" w:rsidP="000F40B8">
      <w:pPr>
        <w:tabs>
          <w:tab w:val="left" w:pos="6048"/>
        </w:tabs>
        <w:spacing w:after="0" w:line="360" w:lineRule="auto"/>
        <w:jc w:val="both"/>
        <w:outlineLvl w:val="2"/>
        <w:rPr>
          <w:rFonts w:ascii="Times New Roman" w:hAnsi="Times New Roman" w:cs="Times New Roman"/>
          <w:i/>
          <w:iCs/>
          <w:sz w:val="24"/>
          <w:szCs w:val="24"/>
        </w:rPr>
      </w:pPr>
      <w:r w:rsidRPr="00054FF7">
        <w:rPr>
          <w:rFonts w:ascii="Times New Roman" w:hAnsi="Times New Roman" w:cs="Times New Roman"/>
          <w:b/>
          <w:i/>
          <w:iCs/>
          <w:sz w:val="24"/>
          <w:szCs w:val="24"/>
        </w:rPr>
        <w:t>Superoxide dismutase (SOD) assay</w:t>
      </w:r>
      <w:r w:rsidRPr="00054FF7">
        <w:rPr>
          <w:rFonts w:ascii="Times New Roman" w:hAnsi="Times New Roman" w:cs="Times New Roman"/>
          <w:b/>
          <w:i/>
          <w:iCs/>
          <w:sz w:val="24"/>
          <w:szCs w:val="24"/>
        </w:rPr>
        <w:tab/>
      </w:r>
    </w:p>
    <w:p w14:paraId="1B75B3F1" w14:textId="77777777" w:rsidR="000F40B8" w:rsidRPr="00054FF7" w:rsidRDefault="000F40B8" w:rsidP="000F40B8">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 xml:space="preserve">SOD (EC 1.15.1.1) activity was assayed following the method of </w:t>
      </w:r>
      <w:proofErr w:type="spellStart"/>
      <w:r w:rsidRPr="00054FF7">
        <w:rPr>
          <w:rFonts w:ascii="Times New Roman" w:hAnsi="Times New Roman" w:cs="Times New Roman"/>
          <w:sz w:val="24"/>
          <w:szCs w:val="24"/>
        </w:rPr>
        <w:t>Fridovich</w:t>
      </w:r>
      <w:proofErr w:type="spellEnd"/>
      <w:r w:rsidRPr="00054FF7">
        <w:rPr>
          <w:rFonts w:ascii="Times New Roman" w:hAnsi="Times New Roman" w:cs="Times New Roman"/>
          <w:sz w:val="24"/>
          <w:szCs w:val="24"/>
        </w:rPr>
        <w:t xml:space="preserve"> (1974) by measuring the ability of enzyme extract from samples to inhibit photochemical reduction of </w:t>
      </w:r>
      <w:proofErr w:type="spellStart"/>
      <w:r w:rsidRPr="00054FF7">
        <w:rPr>
          <w:rFonts w:ascii="Times New Roman" w:hAnsi="Times New Roman" w:cs="Times New Roman"/>
          <w:sz w:val="24"/>
          <w:szCs w:val="24"/>
        </w:rPr>
        <w:t>nitroblue</w:t>
      </w:r>
      <w:proofErr w:type="spellEnd"/>
      <w:r w:rsidRPr="00054FF7">
        <w:rPr>
          <w:rFonts w:ascii="Times New Roman" w:hAnsi="Times New Roman" w:cs="Times New Roman"/>
          <w:sz w:val="24"/>
          <w:szCs w:val="24"/>
        </w:rPr>
        <w:t xml:space="preserve"> tetrazolium (NBT) chloride. </w:t>
      </w:r>
      <w:r w:rsidR="00E566EB" w:rsidRPr="00054FF7">
        <w:rPr>
          <w:rFonts w:ascii="Times New Roman" w:hAnsi="Times New Roman" w:cs="Times New Roman"/>
          <w:sz w:val="24"/>
          <w:szCs w:val="24"/>
        </w:rPr>
        <w:t xml:space="preserve">Fresh leaves (0.1 g) from each treatment group were ground in 2.0 ml of extraction buffer (0.1 M phosphate buffer with 0.5 mM EDTA, pH 7.5) using </w:t>
      </w:r>
      <w:r w:rsidR="00E566EB" w:rsidRPr="00054FF7">
        <w:rPr>
          <w:rFonts w:ascii="Times New Roman" w:hAnsi="Times New Roman" w:cs="Times New Roman"/>
          <w:sz w:val="24"/>
          <w:szCs w:val="24"/>
        </w:rPr>
        <w:lastRenderedPageBreak/>
        <w:t xml:space="preserve">a chilled mortar and pestle. The resulting homogenate was centrifuged at 15,000 × g for 20 minutes at 4 °C. For the assay, the reaction mixture was prepared with 200 mM methionine, 2.25 mM NBT, 3 mM EDTA, 100 mM phosphate buffer (pH 7.8), 1.5 M sodium carbonate, and the enzyme extract, adjusting the total volume to 3 ml. The reaction was initiated by adding 0.4 ml of 2 </w:t>
      </w:r>
      <w:proofErr w:type="spellStart"/>
      <w:r w:rsidR="00E566EB" w:rsidRPr="00054FF7">
        <w:rPr>
          <w:rFonts w:ascii="Times New Roman" w:hAnsi="Times New Roman" w:cs="Times New Roman"/>
          <w:sz w:val="24"/>
          <w:szCs w:val="24"/>
        </w:rPr>
        <w:t>μM</w:t>
      </w:r>
      <w:proofErr w:type="spellEnd"/>
      <w:r w:rsidR="00E566EB" w:rsidRPr="00054FF7">
        <w:rPr>
          <w:rFonts w:ascii="Times New Roman" w:hAnsi="Times New Roman" w:cs="Times New Roman"/>
          <w:sz w:val="24"/>
          <w:szCs w:val="24"/>
        </w:rPr>
        <w:t xml:space="preserve"> riboflavin, and the tubes were exposed to light from two 15 W fluorescent lamps for 15 minutes. Tubes without enzyme extract were used as controls. The reaction was stopped by turning off the light and placing the tubes in the dark until absorbance was measured at 560 nm. One unit of superoxide dismutase (SOD) activity was defined as the amount of enzyme required to inhibit the absorbance by 50% compared to the control lacking the enzyme.</w:t>
      </w:r>
    </w:p>
    <w:p w14:paraId="0D84DF13" w14:textId="77777777" w:rsidR="005A3B07" w:rsidRPr="00054FF7" w:rsidRDefault="005A3B07" w:rsidP="000F40B8">
      <w:pPr>
        <w:spacing w:after="0" w:line="360" w:lineRule="auto"/>
        <w:jc w:val="both"/>
        <w:rPr>
          <w:rFonts w:ascii="Times New Roman" w:hAnsi="Times New Roman" w:cs="Times New Roman"/>
          <w:b/>
          <w:i/>
          <w:iCs/>
          <w:sz w:val="24"/>
          <w:szCs w:val="24"/>
        </w:rPr>
      </w:pPr>
    </w:p>
    <w:p w14:paraId="3D6E8A0F" w14:textId="77777777" w:rsidR="000F40B8" w:rsidRPr="00054FF7" w:rsidRDefault="000F40B8" w:rsidP="000F40B8">
      <w:pPr>
        <w:spacing w:after="0" w:line="360" w:lineRule="auto"/>
        <w:jc w:val="both"/>
        <w:rPr>
          <w:rFonts w:ascii="Times New Roman" w:hAnsi="Times New Roman" w:cs="Times New Roman"/>
          <w:b/>
          <w:i/>
          <w:iCs/>
          <w:sz w:val="24"/>
          <w:szCs w:val="24"/>
        </w:rPr>
      </w:pPr>
      <w:r w:rsidRPr="00054FF7">
        <w:rPr>
          <w:rFonts w:ascii="Times New Roman" w:hAnsi="Times New Roman" w:cs="Times New Roman"/>
          <w:b/>
          <w:i/>
          <w:iCs/>
          <w:sz w:val="24"/>
          <w:szCs w:val="24"/>
        </w:rPr>
        <w:t>Phenylalanine ammonia-lyase (PAL) assay</w:t>
      </w:r>
    </w:p>
    <w:p w14:paraId="54B33717" w14:textId="77777777" w:rsidR="00E566EB" w:rsidRPr="00054FF7" w:rsidRDefault="00E566EB" w:rsidP="00E566EB">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 xml:space="preserve">A 0.1 g leaf sample from each treatment was ground in 2 ml of 0.1 M sodium borate buffer (pH 7.0, 4 °C) containing 1.4 </w:t>
      </w:r>
      <w:proofErr w:type="spellStart"/>
      <w:r w:rsidRPr="00054FF7">
        <w:rPr>
          <w:rFonts w:ascii="Times New Roman" w:hAnsi="Times New Roman" w:cs="Times New Roman"/>
          <w:sz w:val="24"/>
          <w:szCs w:val="24"/>
        </w:rPr>
        <w:t>mM</w:t>
      </w:r>
      <w:proofErr w:type="spellEnd"/>
      <w:r w:rsidRPr="00054FF7">
        <w:rPr>
          <w:rFonts w:ascii="Times New Roman" w:hAnsi="Times New Roman" w:cs="Times New Roman"/>
          <w:sz w:val="24"/>
          <w:szCs w:val="24"/>
        </w:rPr>
        <w:t xml:space="preserve"> β-</w:t>
      </w:r>
      <w:proofErr w:type="spellStart"/>
      <w:r w:rsidRPr="00054FF7">
        <w:rPr>
          <w:rFonts w:ascii="Times New Roman" w:hAnsi="Times New Roman" w:cs="Times New Roman"/>
          <w:sz w:val="24"/>
          <w:szCs w:val="24"/>
        </w:rPr>
        <w:t>mercaptoethanol</w:t>
      </w:r>
      <w:proofErr w:type="spellEnd"/>
      <w:r w:rsidRPr="00054FF7">
        <w:rPr>
          <w:rFonts w:ascii="Times New Roman" w:hAnsi="Times New Roman" w:cs="Times New Roman"/>
          <w:sz w:val="24"/>
          <w:szCs w:val="24"/>
        </w:rPr>
        <w:t>, using chilled equipment. The homogenate was centrifuged at 16,000 rpm for 15 minutes at 4 °C, and the supernatant was collected as the enzyme extract. For the enzyme assay, 0.2 ml of the extract was mixed with 0.5 ml of 0.2 M borate buffer (pH 8.7) and 1.3 ml of distilled water. The reaction was started by adding 1 ml of 0.1 M phenylalanine (pH 8.7) and incubated at 32 °C for 30 minutes. To stop the reaction, 0.5 ml of 1 M trichloroacetic acid (TCA) was added. Phenylalanine ammonia-lyase (PAL; EC 4.1.3.5) activity was quantified by measuring the formation of trans-cinnamic acid at 290 nm, following the method described by Brueske (1980). The results were expressed as µmol of trans-cinnamic acid per gram of fresh weight (FW).</w:t>
      </w:r>
    </w:p>
    <w:p w14:paraId="7A555ECB" w14:textId="77777777" w:rsidR="00E566EB" w:rsidRPr="00054FF7" w:rsidRDefault="00E566EB" w:rsidP="000F40B8">
      <w:pPr>
        <w:spacing w:after="0" w:line="360" w:lineRule="auto"/>
        <w:jc w:val="both"/>
        <w:rPr>
          <w:rFonts w:ascii="Times New Roman" w:hAnsi="Times New Roman" w:cs="Times New Roman"/>
          <w:sz w:val="18"/>
          <w:szCs w:val="18"/>
        </w:rPr>
      </w:pPr>
    </w:p>
    <w:p w14:paraId="38229219"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i/>
          <w:iCs/>
          <w:sz w:val="24"/>
          <w:szCs w:val="24"/>
        </w:rPr>
        <w:t>Total phenolic content (TPC) assay</w:t>
      </w:r>
    </w:p>
    <w:p w14:paraId="214BA8C5" w14:textId="77777777" w:rsidR="00661AE0" w:rsidRPr="00054FF7" w:rsidRDefault="00661AE0" w:rsidP="000F40B8">
      <w:pPr>
        <w:spacing w:after="0" w:line="360" w:lineRule="auto"/>
        <w:jc w:val="both"/>
        <w:rPr>
          <w:rFonts w:ascii="Times New Roman" w:hAnsi="Times New Roman" w:cs="Times New Roman"/>
          <w:sz w:val="28"/>
          <w:szCs w:val="28"/>
        </w:rPr>
      </w:pPr>
      <w:r w:rsidRPr="00054FF7">
        <w:rPr>
          <w:rFonts w:ascii="Times New Roman" w:hAnsi="Times New Roman" w:cs="Times New Roman"/>
          <w:sz w:val="24"/>
          <w:szCs w:val="24"/>
        </w:rPr>
        <w:t xml:space="preserve">Total phenolic content (TPC) was estimated using the method described by Zheng and Shetty (2000). Leaf samples (0.1 g) were soaked in 5 ml of 95% ethanol and stored at 0 °C for 48 hours. The samples were then homogenized and centrifuged at 13,000 rpm for 10 minutes. From the resulting supernatant, 1 ml was taken and mixed with 1 ml of 95% ethanol, 5 ml of sterile distilled water, and 0.5 ml of 50% </w:t>
      </w:r>
      <w:proofErr w:type="spellStart"/>
      <w:r w:rsidRPr="00054FF7">
        <w:rPr>
          <w:rFonts w:ascii="Times New Roman" w:hAnsi="Times New Roman" w:cs="Times New Roman"/>
          <w:sz w:val="24"/>
          <w:szCs w:val="24"/>
        </w:rPr>
        <w:t>Folin</w:t>
      </w:r>
      <w:proofErr w:type="spellEnd"/>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Ciocalteu</w:t>
      </w:r>
      <w:proofErr w:type="spellEnd"/>
      <w:r w:rsidRPr="00054FF7">
        <w:rPr>
          <w:rFonts w:ascii="Times New Roman" w:hAnsi="Times New Roman" w:cs="Times New Roman"/>
          <w:sz w:val="24"/>
          <w:szCs w:val="24"/>
        </w:rPr>
        <w:t xml:space="preserve"> reagent. The mixture was thoroughly mixed and, after 5 minutes, 1 ml of 5% sodium carbonate solution was added. The reaction mixture was left to stand for 1 hour, after which the absorbance was measured at 725 nm. A standard curve was generated using different concentrations of gallic acid (GA; Sigma-Aldrich-27645) in 95% ethanol, and TPC was expressed as mg gallic acid equivalents (GAE) per gram of fresh weight (FW).</w:t>
      </w:r>
    </w:p>
    <w:p w14:paraId="6E963F51" w14:textId="77777777" w:rsidR="00661AE0" w:rsidRPr="00054FF7" w:rsidRDefault="00661AE0" w:rsidP="000F40B8">
      <w:pPr>
        <w:spacing w:after="0" w:line="360" w:lineRule="auto"/>
        <w:jc w:val="both"/>
        <w:rPr>
          <w:rFonts w:ascii="Times New Roman" w:hAnsi="Times New Roman" w:cs="Times New Roman"/>
          <w:sz w:val="24"/>
          <w:szCs w:val="24"/>
        </w:rPr>
      </w:pPr>
    </w:p>
    <w:p w14:paraId="1507F7A5" w14:textId="77777777" w:rsidR="000F40B8" w:rsidRPr="00054FF7" w:rsidRDefault="000F40B8" w:rsidP="000F40B8">
      <w:pPr>
        <w:spacing w:after="0" w:line="360" w:lineRule="auto"/>
        <w:jc w:val="both"/>
        <w:rPr>
          <w:rFonts w:ascii="Times New Roman" w:hAnsi="Times New Roman" w:cs="Times New Roman"/>
          <w:b/>
          <w:bCs/>
          <w:i/>
          <w:iCs/>
          <w:sz w:val="24"/>
          <w:szCs w:val="24"/>
        </w:rPr>
      </w:pPr>
      <w:r w:rsidRPr="00054FF7">
        <w:rPr>
          <w:rFonts w:ascii="Times New Roman" w:hAnsi="Times New Roman" w:cs="Times New Roman"/>
          <w:b/>
          <w:bCs/>
          <w:i/>
          <w:iCs/>
          <w:sz w:val="24"/>
          <w:szCs w:val="24"/>
        </w:rPr>
        <w:t>Polyphenol oxidase (PPO) assay</w:t>
      </w:r>
    </w:p>
    <w:p w14:paraId="6DB43A19" w14:textId="77777777" w:rsidR="00661AE0" w:rsidRPr="00054FF7" w:rsidRDefault="00661AE0" w:rsidP="00661AE0">
      <w:pPr>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 xml:space="preserve">Leaf tissue (0.1 g) was homogenized in 2 ml of ice-cold 0.1 M phosphate buffer (pH 6.5). The homogenate was then centrifuged at 16,000 rpm for 30 minutes at 4 °C, and the resulting supernatant was used directly for the enzyme assay. The reaction mixture consisted of 0.4 ml of 1 mM catechol and 0.4 ml of the enzyme extract, both added to 3 ml of 0.05 M sodium phosphate buffer (pH 6.5). A control reaction containing only the substrate was also prepared. Polyphenol oxidase (PPO; EC 1.14.18.1) activity was assessed using catechol as the substrate, and the increase in absorbance was measured at 405 nm as described by </w:t>
      </w:r>
      <w:proofErr w:type="spellStart"/>
      <w:r w:rsidRPr="00054FF7">
        <w:rPr>
          <w:rFonts w:ascii="Times New Roman" w:hAnsi="Times New Roman" w:cs="Times New Roman"/>
          <w:sz w:val="24"/>
          <w:szCs w:val="24"/>
        </w:rPr>
        <w:t>Gauillard</w:t>
      </w:r>
      <w:proofErr w:type="spellEnd"/>
      <w:r w:rsidRPr="00054FF7">
        <w:rPr>
          <w:rFonts w:ascii="Times New Roman" w:hAnsi="Times New Roman" w:cs="Times New Roman"/>
          <w:sz w:val="24"/>
          <w:szCs w:val="24"/>
        </w:rPr>
        <w:t xml:space="preserve"> </w:t>
      </w:r>
      <w:commentRangeStart w:id="3"/>
      <w:r w:rsidRPr="00054FF7">
        <w:rPr>
          <w:rFonts w:ascii="Times New Roman" w:hAnsi="Times New Roman" w:cs="Times New Roman"/>
          <w:sz w:val="24"/>
          <w:szCs w:val="24"/>
        </w:rPr>
        <w:t xml:space="preserve">et al. </w:t>
      </w:r>
      <w:commentRangeEnd w:id="3"/>
      <w:r w:rsidR="00A02766">
        <w:rPr>
          <w:rStyle w:val="CommentReference"/>
        </w:rPr>
        <w:commentReference w:id="3"/>
      </w:r>
      <w:r w:rsidRPr="00054FF7">
        <w:rPr>
          <w:rFonts w:ascii="Times New Roman" w:hAnsi="Times New Roman" w:cs="Times New Roman"/>
          <w:sz w:val="24"/>
          <w:szCs w:val="24"/>
        </w:rPr>
        <w:t>(1993). PPO activity was expressed as the rate of change in optical density per minute per gram of fresh weight (ΔOD min⁻¹ g⁻¹ FW) based on the linear portion of the absorbance curve.</w:t>
      </w:r>
    </w:p>
    <w:p w14:paraId="3625C406" w14:textId="77777777" w:rsidR="00661AE0" w:rsidRPr="00054FF7" w:rsidRDefault="00661AE0" w:rsidP="000F40B8">
      <w:pPr>
        <w:spacing w:after="0" w:line="360" w:lineRule="auto"/>
        <w:jc w:val="both"/>
        <w:rPr>
          <w:rFonts w:ascii="Times New Roman" w:hAnsi="Times New Roman" w:cs="Times New Roman"/>
          <w:sz w:val="24"/>
          <w:szCs w:val="24"/>
        </w:rPr>
      </w:pPr>
    </w:p>
    <w:p w14:paraId="61DDE63B" w14:textId="77777777" w:rsidR="000F40B8" w:rsidRPr="00054FF7" w:rsidRDefault="000F40B8" w:rsidP="000F40B8">
      <w:pPr>
        <w:spacing w:after="0" w:line="360" w:lineRule="auto"/>
        <w:jc w:val="both"/>
        <w:rPr>
          <w:rFonts w:ascii="Times New Roman" w:hAnsi="Times New Roman" w:cs="Times New Roman"/>
          <w:b/>
          <w:bCs/>
          <w:i/>
          <w:iCs/>
          <w:color w:val="000000"/>
          <w:sz w:val="24"/>
          <w:szCs w:val="24"/>
        </w:rPr>
      </w:pPr>
      <w:r w:rsidRPr="00054FF7">
        <w:rPr>
          <w:rFonts w:ascii="Times New Roman" w:hAnsi="Times New Roman" w:cs="Times New Roman"/>
          <w:b/>
          <w:bCs/>
          <w:i/>
          <w:iCs/>
          <w:color w:val="000000"/>
          <w:sz w:val="24"/>
          <w:szCs w:val="24"/>
        </w:rPr>
        <w:t>Peroxidase (PO) assay</w:t>
      </w:r>
    </w:p>
    <w:p w14:paraId="18D64D49" w14:textId="77777777" w:rsidR="00661AE0" w:rsidRPr="00054FF7" w:rsidRDefault="00661AE0" w:rsidP="000F40B8">
      <w:pPr>
        <w:spacing w:after="0" w:line="360" w:lineRule="auto"/>
        <w:jc w:val="both"/>
        <w:rPr>
          <w:rFonts w:ascii="Times New Roman" w:hAnsi="Times New Roman" w:cs="Times New Roman"/>
          <w:color w:val="000000"/>
          <w:sz w:val="28"/>
          <w:szCs w:val="28"/>
        </w:rPr>
      </w:pPr>
      <w:r w:rsidRPr="00054FF7">
        <w:rPr>
          <w:rFonts w:ascii="Times New Roman" w:hAnsi="Times New Roman" w:cs="Times New Roman"/>
          <w:sz w:val="24"/>
          <w:szCs w:val="24"/>
        </w:rPr>
        <w:t xml:space="preserve">Peroxidase (PO; EC 1.11.1.7) activity was measured following the method of Hammerschmidt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(1982) with minor modifications. Individual leaf samples (0.1 g) were homogenized in 2 ml of 0.1 M phosphate buffer (pH 7.0) at 4 °C. The homogenates were centrifuged at 16,000 × g for 15 minutes at 4 °C, and the resulting supernatants were used as the enzyme source. The reaction mixture contained 1.5 ml of 0.05 M pyrogallol, 0.05 ml of the enzyme extract, and 0.5 ml of 1% (v/v) hydrogen peroxide. A control without the enzyme extract was also prepared. Absorbance was recorded at 420 nm at 30-second intervals over a period of 3 minutes. Peroxidase activity was expressed as units of change in absorbance per minute per gram of fresh weight (U min⁻¹ g⁻¹ FW).</w:t>
      </w:r>
    </w:p>
    <w:p w14:paraId="705FB9EA" w14:textId="77777777" w:rsidR="00661AE0" w:rsidRPr="00054FF7" w:rsidRDefault="00661AE0" w:rsidP="000F40B8">
      <w:pPr>
        <w:spacing w:after="0" w:line="360" w:lineRule="auto"/>
        <w:jc w:val="both"/>
        <w:rPr>
          <w:rFonts w:ascii="Times New Roman" w:hAnsi="Times New Roman" w:cs="Times New Roman"/>
          <w:color w:val="000000"/>
          <w:sz w:val="24"/>
          <w:szCs w:val="24"/>
        </w:rPr>
      </w:pPr>
    </w:p>
    <w:p w14:paraId="236C4264"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Determination of Disease Incidence </w:t>
      </w:r>
    </w:p>
    <w:p w14:paraId="0B3BBDE3" w14:textId="77777777" w:rsidR="00661AE0" w:rsidRPr="00054FF7" w:rsidRDefault="00661AE0" w:rsidP="00661AE0">
      <w:pPr>
        <w:pStyle w:val="NormalWeb"/>
        <w:spacing w:line="360" w:lineRule="auto"/>
        <w:jc w:val="both"/>
      </w:pPr>
      <w:r w:rsidRPr="00054FF7">
        <w:t xml:space="preserve">Disease incidence was assessed using a 0–4 scale based on the severity of wilt symptoms, as described by Song </w:t>
      </w:r>
      <w:r w:rsidRPr="00054FF7">
        <w:rPr>
          <w:i/>
          <w:iCs/>
        </w:rPr>
        <w:t>et al</w:t>
      </w:r>
      <w:r w:rsidRPr="00054FF7">
        <w:t>. (2004). A score of 0 indicated a completely healthy plant with no visible symptoms, while a score of 4 represented a fully wilted plant. Intermediate scores reflected varying levels of disease severity:</w:t>
      </w:r>
    </w:p>
    <w:p w14:paraId="0DF072DA" w14:textId="77777777" w:rsidR="00661AE0" w:rsidRPr="00054FF7" w:rsidRDefault="00661AE0" w:rsidP="00661AE0">
      <w:pPr>
        <w:pStyle w:val="NormalWeb"/>
        <w:numPr>
          <w:ilvl w:val="0"/>
          <w:numId w:val="5"/>
        </w:numPr>
        <w:spacing w:line="360" w:lineRule="auto"/>
      </w:pPr>
      <w:r w:rsidRPr="00054FF7">
        <w:rPr>
          <w:rStyle w:val="Strong"/>
        </w:rPr>
        <w:t>Scale 1</w:t>
      </w:r>
      <w:r w:rsidRPr="00054FF7">
        <w:t>: 1–20% leaf yellowing and wilting</w:t>
      </w:r>
    </w:p>
    <w:p w14:paraId="5C72D050" w14:textId="77777777" w:rsidR="00661AE0" w:rsidRPr="00054FF7" w:rsidRDefault="00661AE0" w:rsidP="00661AE0">
      <w:pPr>
        <w:pStyle w:val="NormalWeb"/>
        <w:numPr>
          <w:ilvl w:val="0"/>
          <w:numId w:val="5"/>
        </w:numPr>
        <w:spacing w:line="360" w:lineRule="auto"/>
      </w:pPr>
      <w:r w:rsidRPr="00054FF7">
        <w:rPr>
          <w:rStyle w:val="Strong"/>
        </w:rPr>
        <w:t>Scale 2</w:t>
      </w:r>
      <w:r w:rsidRPr="00054FF7">
        <w:t>: 21–40% leaf yellowing and wilting</w:t>
      </w:r>
    </w:p>
    <w:p w14:paraId="3BAE72F7" w14:textId="77777777" w:rsidR="00661AE0" w:rsidRPr="00054FF7" w:rsidRDefault="00661AE0" w:rsidP="00661AE0">
      <w:pPr>
        <w:pStyle w:val="NormalWeb"/>
        <w:numPr>
          <w:ilvl w:val="0"/>
          <w:numId w:val="5"/>
        </w:numPr>
        <w:spacing w:line="360" w:lineRule="auto"/>
      </w:pPr>
      <w:r w:rsidRPr="00054FF7">
        <w:rPr>
          <w:rStyle w:val="Strong"/>
        </w:rPr>
        <w:t>Scale 3</w:t>
      </w:r>
      <w:r w:rsidRPr="00054FF7">
        <w:t>: 41–60% leaf yellowing and wilting</w:t>
      </w:r>
    </w:p>
    <w:p w14:paraId="2E7D48C5" w14:textId="77777777" w:rsidR="000F40B8" w:rsidRPr="00054FF7" w:rsidRDefault="00661AE0" w:rsidP="00661AE0">
      <w:pPr>
        <w:pStyle w:val="NormalWeb"/>
        <w:numPr>
          <w:ilvl w:val="0"/>
          <w:numId w:val="5"/>
        </w:numPr>
        <w:spacing w:line="360" w:lineRule="auto"/>
      </w:pPr>
      <w:r w:rsidRPr="00054FF7">
        <w:rPr>
          <w:rStyle w:val="Strong"/>
        </w:rPr>
        <w:lastRenderedPageBreak/>
        <w:t>Scale 4</w:t>
      </w:r>
      <w:r w:rsidRPr="00054FF7">
        <w:t>: Entire plant exhibited yellowing and complete wilting, indicating full infection</w:t>
      </w:r>
    </w:p>
    <w:p w14:paraId="175D7BA5" w14:textId="77777777" w:rsidR="000F40B8" w:rsidRPr="00054FF7" w:rsidRDefault="000F40B8" w:rsidP="000F40B8">
      <w:pPr>
        <w:autoSpaceDE w:val="0"/>
        <w:autoSpaceDN w:val="0"/>
        <w:adjustRightInd w:val="0"/>
        <w:spacing w:after="0" w:line="360" w:lineRule="auto"/>
        <w:rPr>
          <w:rFonts w:ascii="Times New Roman" w:hAnsi="Times New Roman" w:cs="Times New Roman"/>
          <w:color w:val="000000"/>
          <w:sz w:val="24"/>
          <w:szCs w:val="24"/>
        </w:rPr>
      </w:pPr>
      <m:oMathPara>
        <m:oMath>
          <m:r>
            <m:rPr>
              <m:sty m:val="p"/>
            </m:rPr>
            <w:rPr>
              <w:rFonts w:ascii="Cambria Math" w:hAnsi="Times New Roman" w:cs="Times New Roman"/>
              <w:color w:val="000000"/>
              <w:sz w:val="24"/>
              <w:szCs w:val="24"/>
            </w:rPr>
            <m:t xml:space="preserve">Disease incidence </m:t>
          </m:r>
          <m:d>
            <m:dPr>
              <m:ctrlPr>
                <w:rPr>
                  <w:rFonts w:ascii="Cambria Math" w:hAnsi="Times New Roman" w:cs="Times New Roman"/>
                  <w:color w:val="000000"/>
                  <w:sz w:val="24"/>
                  <w:szCs w:val="24"/>
                </w:rPr>
              </m:ctrlPr>
            </m:dPr>
            <m:e>
              <m:r>
                <m:rPr>
                  <m:sty m:val="p"/>
                </m:rPr>
                <w:rPr>
                  <w:rFonts w:ascii="Cambria Math" w:hAnsi="Times New Roman" w:cs="Times New Roman"/>
                  <w:color w:val="000000"/>
                  <w:sz w:val="24"/>
                  <w:szCs w:val="24"/>
                </w:rPr>
                <m:t>%</m:t>
              </m:r>
            </m:e>
          </m:d>
          <m:r>
            <m:rPr>
              <m:sty m:val="p"/>
            </m:rP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 xml:space="preserve">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number of plants infected</m:t>
              </m:r>
            </m:num>
            <m:den>
              <m:r>
                <m:rPr>
                  <m:sty m:val="p"/>
                </m:rPr>
                <w:rPr>
                  <w:rFonts w:ascii="Cambria Math" w:hAnsi="Times New Roman" w:cs="Times New Roman"/>
                  <w:color w:val="000000"/>
                  <w:sz w:val="24"/>
                  <w:szCs w:val="24"/>
                </w:rPr>
                <m:t xml:space="preserve">highest 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 xml:space="preserve"> total number of plants</m:t>
              </m:r>
            </m:den>
          </m:f>
        </m:oMath>
      </m:oMathPara>
    </w:p>
    <w:p w14:paraId="785D26C1" w14:textId="77777777" w:rsidR="000F40B8" w:rsidRPr="00054FF7" w:rsidRDefault="000F40B8" w:rsidP="000F40B8">
      <w:pPr>
        <w:pStyle w:val="NormalWeb"/>
        <w:spacing w:line="360" w:lineRule="auto"/>
        <w:jc w:val="both"/>
        <w:rPr>
          <w:b/>
        </w:rPr>
      </w:pPr>
      <w:r w:rsidRPr="00054FF7">
        <w:rPr>
          <w:b/>
        </w:rPr>
        <w:t>Results</w:t>
      </w:r>
    </w:p>
    <w:p w14:paraId="28A4B4B3" w14:textId="77777777" w:rsidR="000F40B8" w:rsidRPr="00054FF7" w:rsidRDefault="000F40B8" w:rsidP="000F40B8">
      <w:pPr>
        <w:rPr>
          <w:rFonts w:ascii="Times New Roman" w:hAnsi="Times New Roman" w:cs="Times New Roman"/>
          <w:b/>
          <w:bCs/>
          <w:sz w:val="24"/>
          <w:szCs w:val="24"/>
        </w:rPr>
      </w:pPr>
      <w:r w:rsidRPr="00054FF7">
        <w:rPr>
          <w:rFonts w:ascii="Times New Roman" w:hAnsi="Times New Roman" w:cs="Times New Roman"/>
          <w:b/>
          <w:sz w:val="24"/>
          <w:szCs w:val="28"/>
        </w:rPr>
        <w:t xml:space="preserve">Isolation, purification and maintenance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isolates</w:t>
      </w:r>
    </w:p>
    <w:p w14:paraId="51B4F0CC" w14:textId="77777777" w:rsidR="000F40B8" w:rsidRPr="00054FF7" w:rsidRDefault="000F40B8" w:rsidP="005A3B07">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054FF7">
        <w:rPr>
          <w:rFonts w:ascii="Times New Roman" w:hAnsi="Times New Roman" w:cs="Times New Roman"/>
          <w:color w:val="000000"/>
          <w:sz w:val="24"/>
          <w:szCs w:val="24"/>
        </w:rPr>
        <w:t xml:space="preserve">The isolates purified and identified as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color w:val="000000"/>
          <w:sz w:val="24"/>
          <w:szCs w:val="24"/>
        </w:rPr>
        <w:t xml:space="preserve">based on morphological and cultural characters using the descriptions given by </w:t>
      </w:r>
      <w:commentRangeStart w:id="4"/>
      <w:r w:rsidRPr="00054FF7">
        <w:rPr>
          <w:rFonts w:ascii="Times New Roman" w:hAnsi="Times New Roman" w:cs="Times New Roman"/>
          <w:color w:val="000000"/>
          <w:sz w:val="24"/>
          <w:szCs w:val="24"/>
        </w:rPr>
        <w:t xml:space="preserve">C.M.I (1970). </w:t>
      </w:r>
      <w:commentRangeEnd w:id="4"/>
      <w:r w:rsidR="002C0EFA">
        <w:rPr>
          <w:rStyle w:val="CommentReference"/>
        </w:rPr>
        <w:commentReference w:id="4"/>
      </w:r>
      <w:r w:rsidRPr="00054FF7">
        <w:rPr>
          <w:rFonts w:ascii="Times New Roman" w:hAnsi="Times New Roman" w:cs="Times New Roman"/>
          <w:color w:val="000000"/>
          <w:sz w:val="24"/>
          <w:szCs w:val="24"/>
        </w:rPr>
        <w:t xml:space="preserve">The isolates were designated serially from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1 to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7</w:t>
      </w:r>
      <w:r w:rsidRPr="00054FF7">
        <w:rPr>
          <w:rFonts w:ascii="Times New Roman" w:hAnsi="Times New Roman" w:cs="Times New Roman"/>
          <w:color w:val="000000"/>
        </w:rPr>
        <w:t xml:space="preserve">. </w:t>
      </w:r>
      <w:r w:rsidRPr="00054FF7">
        <w:rPr>
          <w:rFonts w:ascii="Times New Roman" w:hAnsi="Times New Roman" w:cs="Times New Roman"/>
          <w:color w:val="000000"/>
          <w:sz w:val="24"/>
          <w:szCs w:val="24"/>
        </w:rPr>
        <w:t>The purified isolates were</w:t>
      </w:r>
      <w:r w:rsidRPr="00054FF7">
        <w:rPr>
          <w:rFonts w:ascii="Times New Roman" w:hAnsi="Times New Roman" w:cs="Times New Roman"/>
          <w:sz w:val="24"/>
          <w:szCs w:val="24"/>
        </w:rPr>
        <w:t xml:space="preserve"> maintained in PDA slants and stored at 4 ͦ C for further use. </w:t>
      </w:r>
    </w:p>
    <w:p w14:paraId="25869DAC" w14:textId="77777777" w:rsidR="000F40B8" w:rsidRPr="00054FF7" w:rsidRDefault="000F40B8" w:rsidP="000F40B8">
      <w:pPr>
        <w:pStyle w:val="ListParagraph"/>
        <w:autoSpaceDE w:val="0"/>
        <w:autoSpaceDN w:val="0"/>
        <w:adjustRightInd w:val="0"/>
        <w:spacing w:after="0" w:line="360" w:lineRule="auto"/>
        <w:ind w:left="0"/>
        <w:contextualSpacing w:val="0"/>
        <w:jc w:val="both"/>
        <w:rPr>
          <w:rFonts w:ascii="Times New Roman" w:hAnsi="Times New Roman" w:cs="Times New Roman"/>
          <w:sz w:val="24"/>
          <w:szCs w:val="24"/>
        </w:rPr>
      </w:pPr>
      <w:r w:rsidRPr="00054FF7">
        <w:rPr>
          <w:rFonts w:ascii="Times New Roman" w:hAnsi="Times New Roman" w:cs="Times New Roman"/>
          <w:b/>
          <w:sz w:val="24"/>
          <w:szCs w:val="28"/>
        </w:rPr>
        <w:t xml:space="preserve">Test of pathogenicity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isolates</w:t>
      </w:r>
    </w:p>
    <w:p w14:paraId="385BA7FA" w14:textId="67D1195E"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w:t>
      </w:r>
      <w:r w:rsidRPr="00054FF7">
        <w:rPr>
          <w:rFonts w:ascii="Times New Roman" w:hAnsi="Times New Roman" w:cs="Times New Roman"/>
          <w:sz w:val="24"/>
          <w:szCs w:val="24"/>
        </w:rPr>
        <w:tab/>
        <w:t xml:space="preserve">After isolation and purification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from the collected samples, they were subjected to the pathogenicity tests on susceptible genotype of chickpea cultivar “Pusa Chickpea 10216” through soil inoculation method. Out of 7 isolates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tested for pathogenicity, 5 isolates showed typical wilt symptoms like drooping and wilting of lower leaves. Plants showed </w:t>
      </w:r>
      <w:r w:rsidRPr="00054FF7">
        <w:rPr>
          <w:rFonts w:ascii="Times New Roman" w:hAnsi="Times New Roman" w:cs="Times New Roman"/>
          <w:color w:val="000000" w:themeColor="text1"/>
          <w:sz w:val="24"/>
          <w:szCs w:val="24"/>
        </w:rPr>
        <w:t>yellowing of the lower leaves, occasional formation of adventitious roots, wilting of leaves and young stems, defoliation, marginal necrosis of the remaining leaves, and finally death of the</w:t>
      </w:r>
      <w:r w:rsidRPr="00054FF7">
        <w:rPr>
          <w:rFonts w:ascii="Times New Roman" w:hAnsi="Times New Roman" w:cs="Times New Roman"/>
          <w:color w:val="231F20"/>
          <w:sz w:val="24"/>
          <w:szCs w:val="24"/>
        </w:rPr>
        <w:t xml:space="preserve"> plant</w:t>
      </w:r>
      <w:r w:rsidRPr="00054FF7">
        <w:rPr>
          <w:rFonts w:ascii="Times New Roman" w:hAnsi="Times New Roman" w:cs="Times New Roman"/>
          <w:sz w:val="24"/>
          <w:szCs w:val="24"/>
        </w:rPr>
        <w:t xml:space="preserve">. Thus, 7 isolates showed positive result for Koch’s postulate while the remaining 2 isolates failed to prove Koch’s postulate indicating their non-pathogenicity to chickpea. Those 5 isolates which showed positive results for Koch’s postulate were selected for further study. The selected isolates were named as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1,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2,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3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4,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5 (</w:t>
      </w:r>
      <w:commentRangeStart w:id="5"/>
      <w:r w:rsidRPr="00054FF7">
        <w:rPr>
          <w:rFonts w:ascii="Times New Roman" w:hAnsi="Times New Roman" w:cs="Times New Roman"/>
          <w:color w:val="000000"/>
          <w:sz w:val="24"/>
          <w:szCs w:val="24"/>
        </w:rPr>
        <w:t>Table 1)</w:t>
      </w:r>
      <w:r w:rsidRPr="00054FF7">
        <w:rPr>
          <w:rFonts w:ascii="Times New Roman" w:hAnsi="Times New Roman" w:cs="Times New Roman"/>
          <w:sz w:val="24"/>
          <w:szCs w:val="24"/>
        </w:rPr>
        <w:t xml:space="preserve">. </w:t>
      </w:r>
      <w:commentRangeEnd w:id="5"/>
      <w:r w:rsidR="00815341">
        <w:rPr>
          <w:rStyle w:val="CommentReference"/>
        </w:rPr>
        <w:commentReference w:id="5"/>
      </w:r>
      <w:r w:rsidRPr="00054FF7">
        <w:rPr>
          <w:rFonts w:ascii="Times New Roman" w:hAnsi="Times New Roman" w:cs="Times New Roman"/>
          <w:sz w:val="24"/>
          <w:szCs w:val="24"/>
        </w:rPr>
        <w:t xml:space="preserve">The colony characteristics of these isolates were </w:t>
      </w:r>
      <w:proofErr w:type="gramStart"/>
      <w:r w:rsidRPr="00054FF7">
        <w:rPr>
          <w:rFonts w:ascii="Times New Roman" w:hAnsi="Times New Roman" w:cs="Times New Roman"/>
          <w:sz w:val="24"/>
          <w:szCs w:val="24"/>
        </w:rPr>
        <w:t>studied .These</w:t>
      </w:r>
      <w:proofErr w:type="gramEnd"/>
      <w:r w:rsidRPr="00054FF7">
        <w:rPr>
          <w:rFonts w:ascii="Times New Roman" w:hAnsi="Times New Roman" w:cs="Times New Roman"/>
          <w:sz w:val="24"/>
          <w:szCs w:val="24"/>
        </w:rPr>
        <w:t xml:space="preserve"> selected isolates were further studied for per cent disease incidence (PDI) through ‘soil inoculation’ method. The results of pathogenicity are presented in Table 2.</w:t>
      </w:r>
    </w:p>
    <w:p w14:paraId="2F47E927" w14:textId="77777777" w:rsidR="000F40B8" w:rsidRPr="00054FF7" w:rsidRDefault="000F40B8" w:rsidP="000F40B8">
      <w:pPr>
        <w:spacing w:line="360" w:lineRule="auto"/>
        <w:rPr>
          <w:rFonts w:ascii="Times New Roman" w:hAnsi="Times New Roman" w:cs="Times New Roman"/>
          <w:sz w:val="24"/>
          <w:szCs w:val="24"/>
        </w:rPr>
      </w:pPr>
      <w:r w:rsidRPr="00054FF7">
        <w:rPr>
          <w:rFonts w:ascii="Times New Roman" w:hAnsi="Times New Roman" w:cs="Times New Roman"/>
          <w:b/>
          <w:bCs/>
          <w:sz w:val="24"/>
          <w:szCs w:val="24"/>
        </w:rPr>
        <w:t xml:space="preserve">Table </w:t>
      </w:r>
      <w:r w:rsidR="005A3B07" w:rsidRPr="00054FF7">
        <w:rPr>
          <w:rFonts w:ascii="Times New Roman" w:hAnsi="Times New Roman" w:cs="Times New Roman"/>
          <w:b/>
          <w:bCs/>
          <w:sz w:val="24"/>
          <w:szCs w:val="24"/>
        </w:rPr>
        <w:t xml:space="preserve">2 </w:t>
      </w:r>
      <w:r w:rsidRPr="00054FF7">
        <w:rPr>
          <w:rFonts w:ascii="Times New Roman" w:hAnsi="Times New Roman" w:cs="Times New Roman"/>
          <w:sz w:val="24"/>
          <w:szCs w:val="24"/>
        </w:rPr>
        <w:t xml:space="preserve">Test of pathogenicity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isolates collected from different districts of Eastern Uttar Pradesh</w:t>
      </w:r>
    </w:p>
    <w:tbl>
      <w:tblPr>
        <w:tblStyle w:val="TableGrid"/>
        <w:tblW w:w="6723" w:type="dxa"/>
        <w:jc w:val="center"/>
        <w:tblLook w:val="04A0" w:firstRow="1" w:lastRow="0" w:firstColumn="1" w:lastColumn="0" w:noHBand="0" w:noVBand="1"/>
      </w:tblPr>
      <w:tblGrid>
        <w:gridCol w:w="882"/>
        <w:gridCol w:w="1620"/>
        <w:gridCol w:w="2241"/>
        <w:gridCol w:w="1980"/>
      </w:tblGrid>
      <w:tr w:rsidR="000F40B8" w:rsidRPr="00054FF7" w14:paraId="77905259" w14:textId="77777777" w:rsidTr="00A4498E">
        <w:trPr>
          <w:trHeight w:val="322"/>
          <w:jc w:val="center"/>
        </w:trPr>
        <w:tc>
          <w:tcPr>
            <w:tcW w:w="882" w:type="dxa"/>
          </w:tcPr>
          <w:p w14:paraId="74C8540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S. No.</w:t>
            </w:r>
          </w:p>
        </w:tc>
        <w:tc>
          <w:tcPr>
            <w:tcW w:w="1620" w:type="dxa"/>
          </w:tcPr>
          <w:p w14:paraId="444BBE9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Isolate name</w:t>
            </w:r>
          </w:p>
        </w:tc>
        <w:tc>
          <w:tcPr>
            <w:tcW w:w="2241" w:type="dxa"/>
          </w:tcPr>
          <w:p w14:paraId="28DACBF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Root rot symptoms</w:t>
            </w:r>
          </w:p>
        </w:tc>
        <w:tc>
          <w:tcPr>
            <w:tcW w:w="1980" w:type="dxa"/>
          </w:tcPr>
          <w:p w14:paraId="6CCFB64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Koch postulates</w:t>
            </w:r>
          </w:p>
        </w:tc>
      </w:tr>
      <w:tr w:rsidR="000F40B8" w:rsidRPr="00054FF7" w14:paraId="0C2DD8D2" w14:textId="77777777" w:rsidTr="00A4498E">
        <w:trPr>
          <w:trHeight w:val="301"/>
          <w:jc w:val="center"/>
        </w:trPr>
        <w:tc>
          <w:tcPr>
            <w:tcW w:w="882" w:type="dxa"/>
          </w:tcPr>
          <w:p w14:paraId="76B42613"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1</w:t>
            </w:r>
          </w:p>
        </w:tc>
        <w:tc>
          <w:tcPr>
            <w:tcW w:w="1620" w:type="dxa"/>
          </w:tcPr>
          <w:p w14:paraId="7825AFF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Foc1</w:t>
            </w:r>
          </w:p>
        </w:tc>
        <w:tc>
          <w:tcPr>
            <w:tcW w:w="2241" w:type="dxa"/>
          </w:tcPr>
          <w:p w14:paraId="58DBB94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00605F1F"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208932D3" w14:textId="77777777" w:rsidTr="00A4498E">
        <w:trPr>
          <w:trHeight w:val="301"/>
          <w:jc w:val="center"/>
        </w:trPr>
        <w:tc>
          <w:tcPr>
            <w:tcW w:w="882" w:type="dxa"/>
          </w:tcPr>
          <w:p w14:paraId="55E398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2</w:t>
            </w:r>
          </w:p>
        </w:tc>
        <w:tc>
          <w:tcPr>
            <w:tcW w:w="1620" w:type="dxa"/>
          </w:tcPr>
          <w:p w14:paraId="175989EA"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w:t>
            </w:r>
          </w:p>
        </w:tc>
        <w:tc>
          <w:tcPr>
            <w:tcW w:w="2241" w:type="dxa"/>
          </w:tcPr>
          <w:p w14:paraId="610C818A"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7D2796E"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33E71EBB" w14:textId="77777777" w:rsidTr="00A4498E">
        <w:trPr>
          <w:trHeight w:val="301"/>
          <w:jc w:val="center"/>
        </w:trPr>
        <w:tc>
          <w:tcPr>
            <w:tcW w:w="882" w:type="dxa"/>
          </w:tcPr>
          <w:p w14:paraId="4A6F958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lastRenderedPageBreak/>
              <w:t>3</w:t>
            </w:r>
          </w:p>
        </w:tc>
        <w:tc>
          <w:tcPr>
            <w:tcW w:w="1620" w:type="dxa"/>
          </w:tcPr>
          <w:p w14:paraId="35C843D2"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3</w:t>
            </w:r>
          </w:p>
        </w:tc>
        <w:tc>
          <w:tcPr>
            <w:tcW w:w="2241" w:type="dxa"/>
          </w:tcPr>
          <w:p w14:paraId="5EDE98B8"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1C95A4F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7B7C4DF3" w14:textId="77777777" w:rsidTr="00A4498E">
        <w:trPr>
          <w:trHeight w:val="322"/>
          <w:jc w:val="center"/>
        </w:trPr>
        <w:tc>
          <w:tcPr>
            <w:tcW w:w="882" w:type="dxa"/>
          </w:tcPr>
          <w:p w14:paraId="4492B4D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4</w:t>
            </w:r>
          </w:p>
        </w:tc>
        <w:tc>
          <w:tcPr>
            <w:tcW w:w="1620" w:type="dxa"/>
          </w:tcPr>
          <w:p w14:paraId="4B306BD4"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w:t>
            </w:r>
          </w:p>
        </w:tc>
        <w:tc>
          <w:tcPr>
            <w:tcW w:w="2241" w:type="dxa"/>
          </w:tcPr>
          <w:p w14:paraId="1BA5880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860FAA5"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7F773CAC" w14:textId="77777777" w:rsidTr="00A4498E">
        <w:trPr>
          <w:trHeight w:val="301"/>
          <w:jc w:val="center"/>
        </w:trPr>
        <w:tc>
          <w:tcPr>
            <w:tcW w:w="882" w:type="dxa"/>
          </w:tcPr>
          <w:p w14:paraId="6AC764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5</w:t>
            </w:r>
          </w:p>
        </w:tc>
        <w:tc>
          <w:tcPr>
            <w:tcW w:w="1620" w:type="dxa"/>
          </w:tcPr>
          <w:p w14:paraId="7E6595AC"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5</w:t>
            </w:r>
          </w:p>
        </w:tc>
        <w:tc>
          <w:tcPr>
            <w:tcW w:w="2241" w:type="dxa"/>
          </w:tcPr>
          <w:p w14:paraId="1A2BD81B"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1F0E3796"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15AE0F33" w14:textId="77777777" w:rsidTr="00A4498E">
        <w:trPr>
          <w:trHeight w:val="301"/>
          <w:jc w:val="center"/>
        </w:trPr>
        <w:tc>
          <w:tcPr>
            <w:tcW w:w="882" w:type="dxa"/>
          </w:tcPr>
          <w:p w14:paraId="1C5F81C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6</w:t>
            </w:r>
          </w:p>
        </w:tc>
        <w:tc>
          <w:tcPr>
            <w:tcW w:w="1620" w:type="dxa"/>
          </w:tcPr>
          <w:p w14:paraId="170198EA"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6</w:t>
            </w:r>
          </w:p>
        </w:tc>
        <w:tc>
          <w:tcPr>
            <w:tcW w:w="2241" w:type="dxa"/>
          </w:tcPr>
          <w:p w14:paraId="33540DA5"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A9C351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39C3D71E" w14:textId="77777777" w:rsidTr="00A4498E">
        <w:trPr>
          <w:trHeight w:val="322"/>
          <w:jc w:val="center"/>
        </w:trPr>
        <w:tc>
          <w:tcPr>
            <w:tcW w:w="882" w:type="dxa"/>
          </w:tcPr>
          <w:p w14:paraId="5189C8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7</w:t>
            </w:r>
          </w:p>
        </w:tc>
        <w:tc>
          <w:tcPr>
            <w:tcW w:w="1620" w:type="dxa"/>
          </w:tcPr>
          <w:p w14:paraId="2DDBFB6F"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7</w:t>
            </w:r>
          </w:p>
        </w:tc>
        <w:tc>
          <w:tcPr>
            <w:tcW w:w="2241" w:type="dxa"/>
          </w:tcPr>
          <w:p w14:paraId="6B499D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022753B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bl>
    <w:p w14:paraId="29207DDB" w14:textId="77777777" w:rsidR="000F40B8" w:rsidRPr="00054FF7" w:rsidRDefault="000F40B8" w:rsidP="000F40B8">
      <w:pPr>
        <w:spacing w:before="100" w:beforeAutospacing="1" w:after="100" w:afterAutospacing="1" w:line="360" w:lineRule="auto"/>
        <w:jc w:val="both"/>
        <w:rPr>
          <w:rFonts w:ascii="Times New Roman" w:hAnsi="Times New Roman" w:cs="Times New Roman"/>
          <w:b/>
          <w:sz w:val="24"/>
          <w:szCs w:val="28"/>
        </w:rPr>
      </w:pPr>
      <w:r w:rsidRPr="00054FF7">
        <w:rPr>
          <w:rFonts w:ascii="Times New Roman" w:hAnsi="Times New Roman" w:cs="Times New Roman"/>
          <w:b/>
          <w:sz w:val="24"/>
          <w:szCs w:val="28"/>
        </w:rPr>
        <w:t xml:space="preserve">Study of the effect of selected isolates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on chickpea in pots</w:t>
      </w:r>
    </w:p>
    <w:p w14:paraId="5E8910E0" w14:textId="77777777" w:rsidR="00661AE0" w:rsidRPr="00054FF7" w:rsidRDefault="00661AE0" w:rsidP="00661AE0">
      <w:pPr>
        <w:spacing w:before="100" w:beforeAutospacing="1" w:after="100" w:afterAutospacing="1" w:line="360" w:lineRule="auto"/>
        <w:jc w:val="both"/>
        <w:rPr>
          <w:rFonts w:ascii="Times New Roman" w:hAnsi="Times New Roman" w:cs="Times New Roman"/>
          <w:sz w:val="28"/>
          <w:szCs w:val="28"/>
        </w:rPr>
      </w:pPr>
      <w:r w:rsidRPr="00054FF7">
        <w:rPr>
          <w:rFonts w:ascii="Times New Roman" w:hAnsi="Times New Roman" w:cs="Times New Roman"/>
          <w:sz w:val="24"/>
          <w:szCs w:val="24"/>
        </w:rPr>
        <w:t xml:space="preserve">The percent disease incidence (PDI) of ten selected </w:t>
      </w:r>
      <w:proofErr w:type="spellStart"/>
      <w:r w:rsidRPr="00054FF7">
        <w:rPr>
          <w:rStyle w:val="Emphasis"/>
          <w:rFonts w:ascii="Times New Roman" w:hAnsi="Times New Roman" w:cs="Times New Roman"/>
          <w:sz w:val="24"/>
          <w:szCs w:val="24"/>
        </w:rPr>
        <w:t>Fusarium</w:t>
      </w:r>
      <w:proofErr w:type="spellEnd"/>
      <w:r w:rsidRPr="00054FF7">
        <w:rPr>
          <w:rStyle w:val="Emphasis"/>
          <w:rFonts w:ascii="Times New Roman" w:hAnsi="Times New Roman" w:cs="Times New Roman"/>
          <w:sz w:val="24"/>
          <w:szCs w:val="24"/>
        </w:rPr>
        <w:t xml:space="preserve">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isolates was evaluated under greenhouse conditions using a soil inoculation method. Observations were recorded from 30 to 120 days after inoculation (DAI) (Table 3). No PDI was observed for any isolate at 30 DAI. However, by 60 DAI, isolates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 and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 showed PDIs of 19.52% and 16.43%, respectively. By 90 DAI, all ten isolates exhibited varying levels of disease incidence. The highest PDI at this stage was recorded for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 (35.55%), followed by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8 (30.12%), with other isolates showing comparatively lower values.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2 consistently showed the highest PDI from 60 to 120 DAI, while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 ranked second in aggressiveness during 90–120 DAI. Based on these results (Table 3),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2, isolated from Kanpur, was identified as the most virulent and was therefore selected as the test pathogen for further experimentation.</w:t>
      </w:r>
    </w:p>
    <w:p w14:paraId="4B5944CE" w14:textId="77777777" w:rsidR="000F40B8" w:rsidRPr="00054FF7" w:rsidRDefault="005A3B07" w:rsidP="000F40B8">
      <w:pPr>
        <w:spacing w:before="100" w:beforeAutospacing="1" w:after="100" w:afterAutospacing="1"/>
        <w:jc w:val="both"/>
        <w:rPr>
          <w:rFonts w:ascii="Times New Roman" w:hAnsi="Times New Roman" w:cs="Times New Roman"/>
          <w:sz w:val="24"/>
          <w:szCs w:val="24"/>
        </w:rPr>
      </w:pPr>
      <w:r w:rsidRPr="00054FF7">
        <w:rPr>
          <w:rFonts w:ascii="Times New Roman" w:hAnsi="Times New Roman" w:cs="Times New Roman"/>
          <w:b/>
          <w:bCs/>
          <w:sz w:val="24"/>
          <w:szCs w:val="24"/>
          <w:lang w:val="en-GB"/>
        </w:rPr>
        <w:t>Table 3</w:t>
      </w:r>
      <w:r w:rsidR="000F40B8" w:rsidRPr="00054FF7">
        <w:rPr>
          <w:rFonts w:ascii="Times New Roman" w:hAnsi="Times New Roman" w:cs="Times New Roman"/>
          <w:b/>
          <w:bCs/>
          <w:sz w:val="24"/>
          <w:szCs w:val="24"/>
          <w:lang w:val="en-GB"/>
        </w:rPr>
        <w:t xml:space="preserve"> </w:t>
      </w:r>
      <w:r w:rsidR="000F40B8" w:rsidRPr="00054FF7">
        <w:rPr>
          <w:rFonts w:ascii="Times New Roman" w:hAnsi="Times New Roman" w:cs="Times New Roman"/>
          <w:sz w:val="24"/>
          <w:szCs w:val="24"/>
          <w:lang w:val="en-GB"/>
        </w:rPr>
        <w:t xml:space="preserve">Effect </w:t>
      </w:r>
      <w:r w:rsidR="000F40B8" w:rsidRPr="00054FF7">
        <w:rPr>
          <w:rFonts w:ascii="Times New Roman" w:hAnsi="Times New Roman" w:cs="Times New Roman"/>
          <w:sz w:val="24"/>
          <w:szCs w:val="24"/>
        </w:rPr>
        <w:t xml:space="preserve">of selected </w:t>
      </w:r>
      <w:r w:rsidR="000F40B8" w:rsidRPr="00054FF7">
        <w:rPr>
          <w:rFonts w:ascii="Times New Roman" w:hAnsi="Times New Roman" w:cs="Times New Roman"/>
          <w:bCs/>
          <w:i/>
          <w:sz w:val="26"/>
          <w:szCs w:val="28"/>
        </w:rPr>
        <w:t xml:space="preserve">F. </w:t>
      </w:r>
      <w:proofErr w:type="spellStart"/>
      <w:r w:rsidR="000F40B8" w:rsidRPr="00054FF7">
        <w:rPr>
          <w:rFonts w:ascii="Times New Roman" w:hAnsi="Times New Roman" w:cs="Times New Roman"/>
          <w:bCs/>
          <w:i/>
          <w:sz w:val="26"/>
          <w:szCs w:val="28"/>
        </w:rPr>
        <w:t>oxysporum</w:t>
      </w:r>
      <w:proofErr w:type="spellEnd"/>
      <w:r w:rsidR="000F40B8" w:rsidRPr="00054FF7">
        <w:rPr>
          <w:rFonts w:ascii="Times New Roman" w:hAnsi="Times New Roman" w:cs="Times New Roman"/>
          <w:sz w:val="24"/>
          <w:szCs w:val="24"/>
        </w:rPr>
        <w:t xml:space="preserve"> isolates on disease incidence of chickpea through soil inoculation method</w:t>
      </w:r>
      <w:r w:rsidR="000F40B8" w:rsidRPr="00054FF7">
        <w:rPr>
          <w:rFonts w:ascii="Times New Roman" w:hAnsi="Times New Roman" w:cs="Times New Roman"/>
          <w:b/>
          <w:bCs/>
          <w:sz w:val="24"/>
          <w:szCs w:val="24"/>
        </w:rPr>
        <w:t xml:space="preserve">. </w:t>
      </w:r>
      <w:r w:rsidR="000F40B8" w:rsidRPr="00054FF7">
        <w:rPr>
          <w:rFonts w:ascii="Times New Roman" w:hAnsi="Times New Roman" w:cs="Times New Roman"/>
          <w:sz w:val="24"/>
          <w:szCs w:val="24"/>
        </w:rPr>
        <w:t xml:space="preserve">Results are expressed as mean of triplicates </w:t>
      </w:r>
      <w:r w:rsidR="000F40B8" w:rsidRPr="00054FF7">
        <w:rPr>
          <w:rFonts w:ascii="Times New Roman" w:hAnsi="Times New Roman" w:cs="Times New Roman"/>
        </w:rPr>
        <w:t>± S.D.</w:t>
      </w:r>
    </w:p>
    <w:tbl>
      <w:tblPr>
        <w:tblStyle w:val="TableGrid"/>
        <w:tblW w:w="8118" w:type="dxa"/>
        <w:jc w:val="center"/>
        <w:tblLook w:val="04A0" w:firstRow="1" w:lastRow="0" w:firstColumn="1" w:lastColumn="0" w:noHBand="0" w:noVBand="1"/>
      </w:tblPr>
      <w:tblGrid>
        <w:gridCol w:w="1647"/>
        <w:gridCol w:w="981"/>
        <w:gridCol w:w="1350"/>
        <w:gridCol w:w="1350"/>
        <w:gridCol w:w="1350"/>
        <w:gridCol w:w="1440"/>
      </w:tblGrid>
      <w:tr w:rsidR="000F40B8" w:rsidRPr="00054FF7" w14:paraId="0DAB75A2" w14:textId="77777777" w:rsidTr="00A4498E">
        <w:trPr>
          <w:trHeight w:val="276"/>
          <w:jc w:val="center"/>
        </w:trPr>
        <w:tc>
          <w:tcPr>
            <w:tcW w:w="1647" w:type="dxa"/>
            <w:vMerge w:val="restart"/>
          </w:tcPr>
          <w:p w14:paraId="3AB16E19" w14:textId="77777777" w:rsidR="000F40B8" w:rsidRPr="00054FF7" w:rsidRDefault="000F40B8" w:rsidP="00A4498E">
            <w:pPr>
              <w:spacing w:line="360" w:lineRule="auto"/>
              <w:rPr>
                <w:rFonts w:ascii="Times New Roman" w:hAnsi="Times New Roman" w:cs="Times New Roman"/>
                <w:b/>
                <w:bCs/>
                <w:sz w:val="24"/>
                <w:szCs w:val="24"/>
              </w:rPr>
            </w:pPr>
            <w:r w:rsidRPr="00054FF7">
              <w:rPr>
                <w:rFonts w:ascii="Times New Roman" w:hAnsi="Times New Roman" w:cs="Times New Roman"/>
                <w:b/>
                <w:bCs/>
                <w:sz w:val="24"/>
                <w:szCs w:val="24"/>
              </w:rPr>
              <w:t>Name of the isolates</w:t>
            </w:r>
          </w:p>
        </w:tc>
        <w:tc>
          <w:tcPr>
            <w:tcW w:w="6471" w:type="dxa"/>
            <w:gridSpan w:val="5"/>
          </w:tcPr>
          <w:p w14:paraId="43D99810"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 xml:space="preserve">Per cent disease incidence (%) </w:t>
            </w:r>
          </w:p>
        </w:tc>
      </w:tr>
      <w:tr w:rsidR="000F40B8" w:rsidRPr="00054FF7" w14:paraId="29999464" w14:textId="77777777" w:rsidTr="00A4498E">
        <w:trPr>
          <w:trHeight w:val="276"/>
          <w:jc w:val="center"/>
        </w:trPr>
        <w:tc>
          <w:tcPr>
            <w:tcW w:w="1647" w:type="dxa"/>
            <w:vMerge/>
          </w:tcPr>
          <w:p w14:paraId="05CC76D6" w14:textId="77777777" w:rsidR="000F40B8" w:rsidRPr="00054FF7" w:rsidRDefault="000F40B8" w:rsidP="00A4498E">
            <w:pPr>
              <w:spacing w:line="360" w:lineRule="auto"/>
              <w:rPr>
                <w:rFonts w:ascii="Times New Roman" w:hAnsi="Times New Roman" w:cs="Times New Roman"/>
                <w:b/>
                <w:bCs/>
                <w:sz w:val="24"/>
                <w:szCs w:val="24"/>
              </w:rPr>
            </w:pPr>
          </w:p>
        </w:tc>
        <w:tc>
          <w:tcPr>
            <w:tcW w:w="6471" w:type="dxa"/>
            <w:gridSpan w:val="5"/>
          </w:tcPr>
          <w:p w14:paraId="0FF79EF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Days after inoculation</w:t>
            </w:r>
          </w:p>
        </w:tc>
      </w:tr>
      <w:tr w:rsidR="000F40B8" w:rsidRPr="00054FF7" w14:paraId="0448803F" w14:textId="77777777" w:rsidTr="00A4498E">
        <w:trPr>
          <w:trHeight w:val="331"/>
          <w:jc w:val="center"/>
        </w:trPr>
        <w:tc>
          <w:tcPr>
            <w:tcW w:w="1647" w:type="dxa"/>
            <w:vMerge/>
          </w:tcPr>
          <w:p w14:paraId="03DE7814" w14:textId="77777777" w:rsidR="000F40B8" w:rsidRPr="00054FF7" w:rsidRDefault="000F40B8" w:rsidP="00A4498E">
            <w:pPr>
              <w:spacing w:line="360" w:lineRule="auto"/>
              <w:rPr>
                <w:rFonts w:ascii="Times New Roman" w:hAnsi="Times New Roman" w:cs="Times New Roman"/>
                <w:b/>
                <w:bCs/>
                <w:sz w:val="24"/>
                <w:szCs w:val="24"/>
              </w:rPr>
            </w:pPr>
          </w:p>
        </w:tc>
        <w:tc>
          <w:tcPr>
            <w:tcW w:w="981" w:type="dxa"/>
          </w:tcPr>
          <w:p w14:paraId="08B1502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30</w:t>
            </w:r>
          </w:p>
        </w:tc>
        <w:tc>
          <w:tcPr>
            <w:tcW w:w="1350" w:type="dxa"/>
          </w:tcPr>
          <w:p w14:paraId="155C236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60</w:t>
            </w:r>
          </w:p>
        </w:tc>
        <w:tc>
          <w:tcPr>
            <w:tcW w:w="1350" w:type="dxa"/>
          </w:tcPr>
          <w:p w14:paraId="0AC64A2F"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90</w:t>
            </w:r>
          </w:p>
        </w:tc>
        <w:tc>
          <w:tcPr>
            <w:tcW w:w="1350" w:type="dxa"/>
          </w:tcPr>
          <w:p w14:paraId="7418AFE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105</w:t>
            </w:r>
          </w:p>
        </w:tc>
        <w:tc>
          <w:tcPr>
            <w:tcW w:w="1440" w:type="dxa"/>
          </w:tcPr>
          <w:p w14:paraId="72215861"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120</w:t>
            </w:r>
          </w:p>
        </w:tc>
      </w:tr>
      <w:tr w:rsidR="000F40B8" w:rsidRPr="00054FF7" w14:paraId="3CB04ACC" w14:textId="77777777" w:rsidTr="00A4498E">
        <w:trPr>
          <w:trHeight w:val="331"/>
          <w:jc w:val="center"/>
        </w:trPr>
        <w:tc>
          <w:tcPr>
            <w:tcW w:w="1647" w:type="dxa"/>
          </w:tcPr>
          <w:p w14:paraId="6C6C9FDD"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Control</w:t>
            </w:r>
          </w:p>
        </w:tc>
        <w:tc>
          <w:tcPr>
            <w:tcW w:w="981" w:type="dxa"/>
          </w:tcPr>
          <w:p w14:paraId="1E3DDD3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465C719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37F0CF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C2243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440" w:type="dxa"/>
          </w:tcPr>
          <w:p w14:paraId="697B5D1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r>
      <w:tr w:rsidR="000F40B8" w:rsidRPr="00054FF7" w14:paraId="7FDA6EC4" w14:textId="77777777" w:rsidTr="00A4498E">
        <w:trPr>
          <w:trHeight w:val="372"/>
          <w:jc w:val="center"/>
        </w:trPr>
        <w:tc>
          <w:tcPr>
            <w:tcW w:w="1647" w:type="dxa"/>
          </w:tcPr>
          <w:p w14:paraId="52325A76"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1</w:t>
            </w:r>
          </w:p>
        </w:tc>
        <w:tc>
          <w:tcPr>
            <w:tcW w:w="981" w:type="dxa"/>
          </w:tcPr>
          <w:p w14:paraId="70C53F59"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A1C3B6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081FEB3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23.63 ±5.25</w:t>
            </w:r>
          </w:p>
        </w:tc>
        <w:tc>
          <w:tcPr>
            <w:tcW w:w="1350" w:type="dxa"/>
          </w:tcPr>
          <w:p w14:paraId="4B8F35B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47.95 ±8.22</w:t>
            </w:r>
          </w:p>
        </w:tc>
        <w:tc>
          <w:tcPr>
            <w:tcW w:w="1440" w:type="dxa"/>
          </w:tcPr>
          <w:p w14:paraId="500C385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70.25 ±13.41</w:t>
            </w:r>
          </w:p>
        </w:tc>
      </w:tr>
      <w:tr w:rsidR="000F40B8" w:rsidRPr="00054FF7" w14:paraId="43BAC474" w14:textId="77777777" w:rsidTr="00A4498E">
        <w:trPr>
          <w:trHeight w:val="372"/>
          <w:jc w:val="center"/>
        </w:trPr>
        <w:tc>
          <w:tcPr>
            <w:tcW w:w="1647" w:type="dxa"/>
          </w:tcPr>
          <w:p w14:paraId="79D85D7F"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w:t>
            </w:r>
          </w:p>
        </w:tc>
        <w:tc>
          <w:tcPr>
            <w:tcW w:w="981" w:type="dxa"/>
          </w:tcPr>
          <w:p w14:paraId="7C87BA8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0CEFA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19.52 ±5.25</w:t>
            </w:r>
          </w:p>
        </w:tc>
        <w:tc>
          <w:tcPr>
            <w:tcW w:w="1350" w:type="dxa"/>
          </w:tcPr>
          <w:p w14:paraId="5153465E"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35.55 ±7.33</w:t>
            </w:r>
          </w:p>
        </w:tc>
        <w:tc>
          <w:tcPr>
            <w:tcW w:w="1350" w:type="dxa"/>
          </w:tcPr>
          <w:p w14:paraId="02BF568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53.85 ±8.33</w:t>
            </w:r>
          </w:p>
        </w:tc>
        <w:tc>
          <w:tcPr>
            <w:tcW w:w="1440" w:type="dxa"/>
          </w:tcPr>
          <w:p w14:paraId="0166118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89.63 ±14.33</w:t>
            </w:r>
          </w:p>
        </w:tc>
      </w:tr>
      <w:tr w:rsidR="000F40B8" w:rsidRPr="00054FF7" w14:paraId="12CE3700" w14:textId="77777777" w:rsidTr="00A4498E">
        <w:trPr>
          <w:trHeight w:val="372"/>
          <w:jc w:val="center"/>
        </w:trPr>
        <w:tc>
          <w:tcPr>
            <w:tcW w:w="1647" w:type="dxa"/>
          </w:tcPr>
          <w:p w14:paraId="6F0F7C42" w14:textId="77777777" w:rsidR="000F40B8" w:rsidRPr="00054FF7" w:rsidRDefault="000F40B8" w:rsidP="00A4498E">
            <w:pPr>
              <w:spacing w:line="360" w:lineRule="auto"/>
              <w:rPr>
                <w:rFonts w:ascii="Times New Roman" w:hAnsi="Times New Roman" w:cs="Times New Roman"/>
                <w:sz w:val="24"/>
                <w:szCs w:val="24"/>
                <w:u w:val="single"/>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3</w:t>
            </w:r>
          </w:p>
        </w:tc>
        <w:tc>
          <w:tcPr>
            <w:tcW w:w="981" w:type="dxa"/>
          </w:tcPr>
          <w:p w14:paraId="401EF32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63E14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8C6827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22.75 ±6.38</w:t>
            </w:r>
          </w:p>
        </w:tc>
        <w:tc>
          <w:tcPr>
            <w:tcW w:w="1350" w:type="dxa"/>
          </w:tcPr>
          <w:p w14:paraId="5288CEA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42.32 ±9.75</w:t>
            </w:r>
          </w:p>
        </w:tc>
        <w:tc>
          <w:tcPr>
            <w:tcW w:w="1440" w:type="dxa"/>
          </w:tcPr>
          <w:p w14:paraId="656C9CF4"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65.85 ±14.33</w:t>
            </w:r>
          </w:p>
        </w:tc>
      </w:tr>
      <w:tr w:rsidR="000F40B8" w:rsidRPr="00054FF7" w14:paraId="2EDB2320" w14:textId="77777777" w:rsidTr="00A4498E">
        <w:trPr>
          <w:trHeight w:val="372"/>
          <w:jc w:val="center"/>
        </w:trPr>
        <w:tc>
          <w:tcPr>
            <w:tcW w:w="1647" w:type="dxa"/>
          </w:tcPr>
          <w:p w14:paraId="0C20C63B" w14:textId="77777777" w:rsidR="000F40B8" w:rsidRPr="00054FF7" w:rsidRDefault="000F40B8" w:rsidP="00A4498E">
            <w:pPr>
              <w:spacing w:line="360" w:lineRule="auto"/>
              <w:rPr>
                <w:rFonts w:ascii="Times New Roman" w:hAnsi="Times New Roman" w:cs="Times New Roman"/>
                <w:sz w:val="24"/>
                <w:szCs w:val="24"/>
                <w:u w:val="single"/>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w:t>
            </w:r>
          </w:p>
        </w:tc>
        <w:tc>
          <w:tcPr>
            <w:tcW w:w="981" w:type="dxa"/>
          </w:tcPr>
          <w:p w14:paraId="606186F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884BC01"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16.43 ±5.25</w:t>
            </w:r>
          </w:p>
        </w:tc>
        <w:tc>
          <w:tcPr>
            <w:tcW w:w="1350" w:type="dxa"/>
          </w:tcPr>
          <w:p w14:paraId="372D444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30.12 ±6.25</w:t>
            </w:r>
          </w:p>
        </w:tc>
        <w:tc>
          <w:tcPr>
            <w:tcW w:w="1350" w:type="dxa"/>
          </w:tcPr>
          <w:p w14:paraId="5EA086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47.51 ±8.22</w:t>
            </w:r>
          </w:p>
        </w:tc>
        <w:tc>
          <w:tcPr>
            <w:tcW w:w="1440" w:type="dxa"/>
          </w:tcPr>
          <w:p w14:paraId="4F4BED4B"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81.25 ±10.25</w:t>
            </w:r>
          </w:p>
        </w:tc>
      </w:tr>
      <w:tr w:rsidR="000F40B8" w:rsidRPr="00054FF7" w14:paraId="09B6E14C" w14:textId="77777777" w:rsidTr="00A4498E">
        <w:trPr>
          <w:trHeight w:val="372"/>
          <w:jc w:val="center"/>
        </w:trPr>
        <w:tc>
          <w:tcPr>
            <w:tcW w:w="1647" w:type="dxa"/>
          </w:tcPr>
          <w:p w14:paraId="27DF440A"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5</w:t>
            </w:r>
          </w:p>
        </w:tc>
        <w:tc>
          <w:tcPr>
            <w:tcW w:w="981" w:type="dxa"/>
          </w:tcPr>
          <w:p w14:paraId="3B41FD1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D9628F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34ADDFD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21.40 ±8.45</w:t>
            </w:r>
          </w:p>
        </w:tc>
        <w:tc>
          <w:tcPr>
            <w:tcW w:w="1350" w:type="dxa"/>
          </w:tcPr>
          <w:p w14:paraId="0D706AB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31.42 ±9.25</w:t>
            </w:r>
          </w:p>
        </w:tc>
        <w:tc>
          <w:tcPr>
            <w:tcW w:w="1440" w:type="dxa"/>
          </w:tcPr>
          <w:p w14:paraId="2CBA7F6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62.70 ±12.33</w:t>
            </w:r>
          </w:p>
        </w:tc>
      </w:tr>
    </w:tbl>
    <w:p w14:paraId="47EDE7A4" w14:textId="77777777" w:rsidR="000F40B8" w:rsidRPr="00054FF7" w:rsidRDefault="000F40B8" w:rsidP="000F40B8">
      <w:pPr>
        <w:spacing w:line="360" w:lineRule="auto"/>
        <w:jc w:val="both"/>
        <w:rPr>
          <w:rFonts w:ascii="Times New Roman" w:hAnsi="Times New Roman" w:cs="Times New Roman"/>
          <w:b/>
          <w:sz w:val="14"/>
          <w:szCs w:val="12"/>
        </w:rPr>
      </w:pPr>
    </w:p>
    <w:p w14:paraId="0CDC5FEA"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 xml:space="preserve">Effect of biofortified vermicompost on defense related enzymes in chickpea plants challenged with </w:t>
      </w:r>
      <w:r w:rsidRPr="00054FF7">
        <w:rPr>
          <w:rFonts w:ascii="Times New Roman" w:hAnsi="Times New Roman" w:cs="Times New Roman"/>
          <w:b/>
          <w:i/>
          <w:sz w:val="24"/>
        </w:rPr>
        <w:t>F</w:t>
      </w:r>
      <w:r w:rsidRPr="00054FF7">
        <w:rPr>
          <w:rFonts w:ascii="Times New Roman" w:hAnsi="Times New Roman" w:cs="Times New Roman"/>
          <w:b/>
          <w:sz w:val="24"/>
        </w:rPr>
        <w:t xml:space="preserve">. </w:t>
      </w:r>
      <w:proofErr w:type="spellStart"/>
      <w:r w:rsidRPr="00054FF7">
        <w:rPr>
          <w:rFonts w:ascii="Times New Roman" w:hAnsi="Times New Roman" w:cs="Times New Roman"/>
          <w:b/>
          <w:i/>
          <w:sz w:val="24"/>
        </w:rPr>
        <w:t>oxysporum</w:t>
      </w:r>
      <w:proofErr w:type="spellEnd"/>
      <w:r w:rsidRPr="00054FF7">
        <w:rPr>
          <w:rFonts w:ascii="Times New Roman" w:hAnsi="Times New Roman" w:cs="Times New Roman"/>
          <w:b/>
          <w:sz w:val="24"/>
        </w:rPr>
        <w:t xml:space="preserve"> f. sp. </w:t>
      </w:r>
      <w:proofErr w:type="spellStart"/>
      <w:r w:rsidRPr="00054FF7">
        <w:rPr>
          <w:rFonts w:ascii="Times New Roman" w:hAnsi="Times New Roman" w:cs="Times New Roman"/>
          <w:b/>
          <w:i/>
          <w:sz w:val="24"/>
        </w:rPr>
        <w:t>ciceris</w:t>
      </w:r>
      <w:proofErr w:type="spellEnd"/>
      <w:r w:rsidRPr="00054FF7">
        <w:rPr>
          <w:rFonts w:ascii="Times New Roman" w:hAnsi="Times New Roman" w:cs="Times New Roman"/>
          <w:b/>
          <w:sz w:val="24"/>
        </w:rPr>
        <w:t xml:space="preserve"> </w:t>
      </w:r>
    </w:p>
    <w:p w14:paraId="7D58459B" w14:textId="77777777" w:rsidR="000F40B8" w:rsidRPr="00054FF7" w:rsidRDefault="000F40B8" w:rsidP="000F40B8">
      <w:pPr>
        <w:spacing w:line="360" w:lineRule="auto"/>
        <w:rPr>
          <w:rFonts w:ascii="Times New Roman" w:hAnsi="Times New Roman" w:cs="Times New Roman"/>
          <w:b/>
          <w:i/>
          <w:color w:val="000000" w:themeColor="text1"/>
          <w:sz w:val="24"/>
          <w:szCs w:val="24"/>
        </w:rPr>
      </w:pPr>
      <w:r w:rsidRPr="00054FF7">
        <w:rPr>
          <w:rFonts w:ascii="Times New Roman" w:hAnsi="Times New Roman" w:cs="Times New Roman"/>
          <w:b/>
          <w:i/>
          <w:color w:val="000000" w:themeColor="text1"/>
          <w:sz w:val="24"/>
          <w:szCs w:val="24"/>
        </w:rPr>
        <w:lastRenderedPageBreak/>
        <w:t xml:space="preserve">Phenylalanine Ammonia Lyase (PAL) </w:t>
      </w:r>
    </w:p>
    <w:p w14:paraId="3E7354F4" w14:textId="77777777" w:rsidR="00D36426" w:rsidRPr="00054FF7" w:rsidRDefault="00D36426" w:rsidP="00DA7334">
      <w:pPr>
        <w:spacing w:line="360" w:lineRule="auto"/>
        <w:jc w:val="both"/>
        <w:rPr>
          <w:rFonts w:ascii="Times New Roman" w:hAnsi="Times New Roman" w:cs="Times New Roman"/>
          <w:b/>
          <w:i/>
          <w:color w:val="000000" w:themeColor="text1"/>
          <w:sz w:val="28"/>
          <w:szCs w:val="28"/>
        </w:rPr>
      </w:pPr>
      <w:r w:rsidRPr="00054FF7">
        <w:rPr>
          <w:rFonts w:ascii="Times New Roman" w:hAnsi="Times New Roman" w:cs="Times New Roman"/>
          <w:sz w:val="24"/>
          <w:szCs w:val="24"/>
        </w:rPr>
        <w:t xml:space="preserve">PAL activity showed a significant increase across all treatments up to 48 hours, after which a decline was observed. The highest PAL activity at 48 hours was noted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-fortified </w:t>
      </w:r>
      <w:proofErr w:type="spellStart"/>
      <w:r w:rsidRPr="00054FF7">
        <w:rPr>
          <w:rFonts w:ascii="Times New Roman" w:hAnsi="Times New Roman" w:cs="Times New Roman"/>
          <w:sz w:val="24"/>
          <w:szCs w:val="24"/>
        </w:rPr>
        <w:t>vermicompost</w:t>
      </w:r>
      <w:proofErr w:type="spellEnd"/>
      <w:r w:rsidRPr="00054FF7">
        <w:rPr>
          <w:rFonts w:ascii="Times New Roman" w:hAnsi="Times New Roman" w:cs="Times New Roman"/>
          <w:sz w:val="24"/>
          <w:szCs w:val="24"/>
        </w:rPr>
        <w:t xml:space="preserve"> (T1), followed by treatments T2, T3, and T4. Specifically, T1 exhibited a 3.6-fold increase in PAL activity compared to the control. Similarly, T2 and T3 recorded 3.5-fold and 2.5-fold increases, respectively. Even plants treated with non-fortified vermicompost (T4) demonstrated elevated PAL levels relative to the control, with a 2.3-fold increase observed at 48 hours (Figure </w:t>
      </w:r>
      <w:r w:rsidR="00120B41">
        <w:rPr>
          <w:rFonts w:ascii="Times New Roman" w:hAnsi="Times New Roman" w:cs="Times New Roman"/>
          <w:sz w:val="24"/>
          <w:szCs w:val="24"/>
        </w:rPr>
        <w:t>1</w:t>
      </w:r>
      <w:r w:rsidRPr="00054FF7">
        <w:rPr>
          <w:rFonts w:ascii="Times New Roman" w:hAnsi="Times New Roman" w:cs="Times New Roman"/>
          <w:sz w:val="24"/>
          <w:szCs w:val="24"/>
        </w:rPr>
        <w:t>).</w:t>
      </w:r>
    </w:p>
    <w:p w14:paraId="698EE20A"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rPr>
        <w:drawing>
          <wp:inline distT="0" distB="0" distL="0" distR="0" wp14:anchorId="03C48B36" wp14:editId="261D53FC">
            <wp:extent cx="4019181" cy="245711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19476" cy="2457294"/>
                    </a:xfrm>
                    <a:prstGeom prst="rect">
                      <a:avLst/>
                    </a:prstGeom>
                    <a:noFill/>
                    <a:ln w="9525">
                      <a:noFill/>
                      <a:miter lim="800000"/>
                      <a:headEnd/>
                      <a:tailEnd/>
                    </a:ln>
                  </pic:spPr>
                </pic:pic>
              </a:graphicData>
            </a:graphic>
          </wp:inline>
        </w:drawing>
      </w:r>
    </w:p>
    <w:p w14:paraId="29828BD3"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sz w:val="24"/>
          <w:szCs w:val="24"/>
        </w:rPr>
        <w:t>Figure</w:t>
      </w:r>
      <w:r w:rsidRPr="00054FF7">
        <w:rPr>
          <w:rFonts w:ascii="Times New Roman" w:hAnsi="Times New Roman" w:cs="Times New Roman"/>
          <w:b/>
          <w:sz w:val="24"/>
        </w:rPr>
        <w:t xml:space="preserve"> </w:t>
      </w:r>
      <w:r w:rsidR="00120B41">
        <w:rPr>
          <w:rFonts w:ascii="Times New Roman" w:hAnsi="Times New Roman" w:cs="Times New Roman"/>
          <w:b/>
          <w:sz w:val="24"/>
        </w:rPr>
        <w:t>1</w:t>
      </w:r>
      <w:r w:rsidRPr="00054FF7">
        <w:rPr>
          <w:rFonts w:ascii="Times New Roman" w:hAnsi="Times New Roman" w:cs="Times New Roman"/>
          <w:b/>
          <w:sz w:val="24"/>
        </w:rPr>
        <w:t xml:space="preserve"> </w:t>
      </w:r>
      <w:r w:rsidRPr="00054FF7">
        <w:rPr>
          <w:rFonts w:ascii="Times New Roman" w:hAnsi="Times New Roman" w:cs="Times New Roman"/>
          <w:sz w:val="24"/>
          <w:szCs w:val="24"/>
          <w:lang w:val="en-IN"/>
        </w:rPr>
        <w:t xml:space="preserve">PAL activity at different time intervals in chickpea raised from seeds sown in soil amended with biofortified vermicompost challenged with </w:t>
      </w:r>
      <w:r w:rsidRPr="00054FF7">
        <w:rPr>
          <w:rFonts w:ascii="Times New Roman" w:hAnsi="Times New Roman" w:cs="Times New Roman"/>
          <w:i/>
          <w:iCs/>
          <w:sz w:val="24"/>
          <w:szCs w:val="24"/>
          <w:lang w:val="en-IN"/>
        </w:rPr>
        <w:t xml:space="preserve">F. </w:t>
      </w:r>
      <w:proofErr w:type="spellStart"/>
      <w:r w:rsidRPr="00054FF7">
        <w:rPr>
          <w:rFonts w:ascii="Times New Roman" w:hAnsi="Times New Roman" w:cs="Times New Roman"/>
          <w:i/>
          <w:iCs/>
          <w:sz w:val="24"/>
          <w:szCs w:val="24"/>
          <w:lang w:val="en-IN"/>
        </w:rPr>
        <w:t>oxysporum</w:t>
      </w:r>
      <w:proofErr w:type="spellEnd"/>
      <w:r w:rsidRPr="00054FF7">
        <w:rPr>
          <w:rFonts w:ascii="Times New Roman" w:hAnsi="Times New Roman" w:cs="Times New Roman"/>
          <w:sz w:val="24"/>
          <w:szCs w:val="24"/>
          <w:lang w:val="en-IN"/>
        </w:rPr>
        <w:t xml:space="preserve">. </w:t>
      </w:r>
    </w:p>
    <w:p w14:paraId="103AF09A" w14:textId="77777777" w:rsidR="000F40B8" w:rsidRPr="00054FF7" w:rsidRDefault="000F40B8" w:rsidP="000F40B8">
      <w:pPr>
        <w:spacing w:line="360" w:lineRule="auto"/>
        <w:rPr>
          <w:rFonts w:ascii="Times New Roman" w:hAnsi="Times New Roman" w:cs="Times New Roman"/>
          <w:b/>
          <w:i/>
          <w:sz w:val="24"/>
        </w:rPr>
      </w:pPr>
      <w:r w:rsidRPr="00054FF7">
        <w:rPr>
          <w:rFonts w:ascii="Times New Roman" w:hAnsi="Times New Roman" w:cs="Times New Roman"/>
          <w:b/>
          <w:i/>
          <w:sz w:val="24"/>
        </w:rPr>
        <w:t>Peroxidase (PO)</w:t>
      </w:r>
    </w:p>
    <w:p w14:paraId="402CFA58" w14:textId="77777777" w:rsidR="00DA7334" w:rsidRPr="00054FF7" w:rsidRDefault="00DA7334" w:rsidP="00DA7334">
      <w:pPr>
        <w:spacing w:line="360" w:lineRule="auto"/>
        <w:jc w:val="both"/>
        <w:rPr>
          <w:rFonts w:ascii="Times New Roman" w:hAnsi="Times New Roman" w:cs="Times New Roman"/>
          <w:b/>
          <w:i/>
          <w:sz w:val="24"/>
          <w:szCs w:val="24"/>
        </w:rPr>
      </w:pPr>
      <w:r w:rsidRPr="00054FF7">
        <w:rPr>
          <w:rFonts w:ascii="Times New Roman" w:hAnsi="Times New Roman" w:cs="Times New Roman"/>
          <w:sz w:val="24"/>
          <w:szCs w:val="24"/>
        </w:rPr>
        <w:t xml:space="preserve">Peroxidase (PO) activity increased significantly across all treatments up to 72 hours, followed by a subsequent decline. The highest PO activity at 72 hours was observed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-enriched </w:t>
      </w:r>
      <w:proofErr w:type="spellStart"/>
      <w:r w:rsidRPr="00054FF7">
        <w:rPr>
          <w:rFonts w:ascii="Times New Roman" w:hAnsi="Times New Roman" w:cs="Times New Roman"/>
          <w:sz w:val="24"/>
          <w:szCs w:val="24"/>
        </w:rPr>
        <w:t>vermicompost</w:t>
      </w:r>
      <w:proofErr w:type="spellEnd"/>
      <w:r w:rsidRPr="00054FF7">
        <w:rPr>
          <w:rFonts w:ascii="Times New Roman" w:hAnsi="Times New Roman" w:cs="Times New Roman"/>
          <w:sz w:val="24"/>
          <w:szCs w:val="24"/>
        </w:rPr>
        <w:t xml:space="preserve"> (T1), followed by T2, T3, and T4. At this time point, T1 recorded an 8.2-fold increase in PO activity relative to the control. Treatments T2 and T3 also showed substantial increases of 7.5- and 4.5-fold, respectively. Even plants grown with non-fortified vermicompost (T4) exhibited higher PO levels compared to the control, with 3.09- and 2.3-fold increases at 48 and 72 hours, respectively (Figure </w:t>
      </w:r>
      <w:r w:rsidR="00120B41">
        <w:rPr>
          <w:rFonts w:ascii="Times New Roman" w:hAnsi="Times New Roman" w:cs="Times New Roman"/>
          <w:sz w:val="24"/>
          <w:szCs w:val="24"/>
        </w:rPr>
        <w:t>2</w:t>
      </w:r>
      <w:r w:rsidRPr="00054FF7">
        <w:rPr>
          <w:rFonts w:ascii="Times New Roman" w:hAnsi="Times New Roman" w:cs="Times New Roman"/>
          <w:sz w:val="24"/>
          <w:szCs w:val="24"/>
        </w:rPr>
        <w:t>).</w:t>
      </w:r>
    </w:p>
    <w:p w14:paraId="188CD6DE"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rPr>
        <w:lastRenderedPageBreak/>
        <w:drawing>
          <wp:inline distT="0" distB="0" distL="0" distR="0" wp14:anchorId="4E2BBB52" wp14:editId="7EBE0B48">
            <wp:extent cx="3657490" cy="226771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669661" cy="2275258"/>
                    </a:xfrm>
                    <a:prstGeom prst="rect">
                      <a:avLst/>
                    </a:prstGeom>
                    <a:noFill/>
                    <a:ln w="9525">
                      <a:noFill/>
                      <a:miter lim="800000"/>
                      <a:headEnd/>
                      <a:tailEnd/>
                    </a:ln>
                  </pic:spPr>
                </pic:pic>
              </a:graphicData>
            </a:graphic>
          </wp:inline>
        </w:drawing>
      </w:r>
    </w:p>
    <w:p w14:paraId="6E1BAE67" w14:textId="77777777" w:rsidR="000F40B8" w:rsidRPr="00054FF7" w:rsidRDefault="000F40B8" w:rsidP="000F40B8">
      <w:pPr>
        <w:spacing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Figure </w:t>
      </w:r>
      <w:r w:rsidR="00120B41">
        <w:rPr>
          <w:rFonts w:ascii="Times New Roman" w:hAnsi="Times New Roman" w:cs="Times New Roman"/>
          <w:b/>
          <w:bCs/>
          <w:sz w:val="24"/>
          <w:szCs w:val="24"/>
        </w:rPr>
        <w:t>2</w:t>
      </w:r>
      <w:r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PO activity</w:t>
      </w:r>
    </w:p>
    <w:p w14:paraId="36FEA89E" w14:textId="77777777" w:rsidR="000F40B8" w:rsidRPr="00054FF7" w:rsidRDefault="000F40B8" w:rsidP="000F40B8">
      <w:pPr>
        <w:spacing w:line="360" w:lineRule="auto"/>
        <w:jc w:val="both"/>
        <w:rPr>
          <w:rFonts w:ascii="Times New Roman" w:hAnsi="Times New Roman" w:cs="Times New Roman"/>
          <w:b/>
          <w:i/>
          <w:sz w:val="24"/>
          <w:szCs w:val="24"/>
        </w:rPr>
      </w:pPr>
      <w:r w:rsidRPr="00054FF7">
        <w:rPr>
          <w:rFonts w:ascii="Times New Roman" w:hAnsi="Times New Roman" w:cs="Times New Roman"/>
          <w:b/>
          <w:i/>
          <w:sz w:val="24"/>
          <w:szCs w:val="24"/>
        </w:rPr>
        <w:t xml:space="preserve">Polyphenol </w:t>
      </w:r>
      <w:proofErr w:type="spellStart"/>
      <w:r w:rsidRPr="00054FF7">
        <w:rPr>
          <w:rFonts w:ascii="Times New Roman" w:hAnsi="Times New Roman" w:cs="Times New Roman"/>
          <w:b/>
          <w:i/>
          <w:sz w:val="24"/>
          <w:szCs w:val="24"/>
        </w:rPr>
        <w:t>oxydase</w:t>
      </w:r>
      <w:proofErr w:type="spellEnd"/>
      <w:r w:rsidRPr="00054FF7">
        <w:rPr>
          <w:rFonts w:ascii="Times New Roman" w:hAnsi="Times New Roman" w:cs="Times New Roman"/>
          <w:b/>
          <w:i/>
          <w:sz w:val="24"/>
          <w:szCs w:val="24"/>
        </w:rPr>
        <w:t xml:space="preserve"> (PPO)</w:t>
      </w:r>
    </w:p>
    <w:p w14:paraId="62979155" w14:textId="77777777" w:rsidR="00DA7334" w:rsidRPr="00054FF7" w:rsidRDefault="00DA7334" w:rsidP="000F40B8">
      <w:pPr>
        <w:spacing w:line="360" w:lineRule="auto"/>
        <w:jc w:val="both"/>
        <w:rPr>
          <w:rFonts w:ascii="Times New Roman" w:hAnsi="Times New Roman" w:cs="Times New Roman"/>
          <w:b/>
          <w:i/>
          <w:sz w:val="28"/>
          <w:szCs w:val="28"/>
        </w:rPr>
      </w:pPr>
      <w:r w:rsidRPr="00054FF7">
        <w:rPr>
          <w:rFonts w:ascii="Times New Roman" w:hAnsi="Times New Roman" w:cs="Times New Roman"/>
          <w:sz w:val="24"/>
          <w:szCs w:val="24"/>
        </w:rPr>
        <w:t xml:space="preserve">Polyphenol oxidase (PPO) activity showed a notable increase in all treatments up to 72 hours, after which a decline was observed. The highest PPO activity at 72 hours was found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-fortified </w:t>
      </w:r>
      <w:proofErr w:type="spellStart"/>
      <w:r w:rsidRPr="00054FF7">
        <w:rPr>
          <w:rFonts w:ascii="Times New Roman" w:hAnsi="Times New Roman" w:cs="Times New Roman"/>
          <w:sz w:val="24"/>
          <w:szCs w:val="24"/>
        </w:rPr>
        <w:t>vermicompost</w:t>
      </w:r>
      <w:proofErr w:type="spellEnd"/>
      <w:r w:rsidRPr="00054FF7">
        <w:rPr>
          <w:rFonts w:ascii="Times New Roman" w:hAnsi="Times New Roman" w:cs="Times New Roman"/>
          <w:sz w:val="24"/>
          <w:szCs w:val="24"/>
        </w:rPr>
        <w:t xml:space="preserve"> (T1), followed by treatments T2, T3, and T4. At this time point, T1 exhibited a 5.4-fold increase in PPO levels compared to the control. Plants receiving only vermicompost (T4) also demonstrated elevated PPO activity, showing a 2.3-fold increase over the control at 72 hours (Figure </w:t>
      </w:r>
      <w:r w:rsidR="00120B41">
        <w:rPr>
          <w:rFonts w:ascii="Times New Roman" w:hAnsi="Times New Roman" w:cs="Times New Roman"/>
          <w:sz w:val="24"/>
          <w:szCs w:val="24"/>
        </w:rPr>
        <w:t>3</w:t>
      </w:r>
      <w:r w:rsidRPr="00054FF7">
        <w:rPr>
          <w:rFonts w:ascii="Times New Roman" w:hAnsi="Times New Roman" w:cs="Times New Roman"/>
          <w:sz w:val="24"/>
          <w:szCs w:val="24"/>
        </w:rPr>
        <w:t>).</w:t>
      </w:r>
    </w:p>
    <w:p w14:paraId="6BAF6535"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rPr>
        <w:drawing>
          <wp:inline distT="0" distB="0" distL="0" distR="0" wp14:anchorId="5BC3C8D5" wp14:editId="00FC8101">
            <wp:extent cx="4062711" cy="2310388"/>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066489" cy="2312537"/>
                    </a:xfrm>
                    <a:prstGeom prst="rect">
                      <a:avLst/>
                    </a:prstGeom>
                    <a:noFill/>
                    <a:ln w="9525">
                      <a:noFill/>
                      <a:miter lim="800000"/>
                      <a:headEnd/>
                      <a:tailEnd/>
                    </a:ln>
                  </pic:spPr>
                </pic:pic>
              </a:graphicData>
            </a:graphic>
          </wp:inline>
        </w:drawing>
      </w:r>
    </w:p>
    <w:p w14:paraId="42CAA1B5" w14:textId="77777777" w:rsidR="000F40B8" w:rsidRPr="00054FF7" w:rsidRDefault="000F40B8" w:rsidP="000F40B8">
      <w:pPr>
        <w:widowControl w:val="0"/>
        <w:autoSpaceDE w:val="0"/>
        <w:autoSpaceDN w:val="0"/>
        <w:adjustRightInd w:val="0"/>
        <w:spacing w:before="240" w:after="0" w:line="360" w:lineRule="auto"/>
        <w:jc w:val="both"/>
        <w:rPr>
          <w:rFonts w:ascii="Times New Roman" w:hAnsi="Times New Roman" w:cs="Times New Roman"/>
          <w:sz w:val="24"/>
          <w:szCs w:val="24"/>
        </w:rPr>
      </w:pPr>
      <w:r w:rsidRPr="00054FF7">
        <w:rPr>
          <w:rFonts w:ascii="Times New Roman" w:hAnsi="Times New Roman" w:cs="Times New Roman"/>
          <w:b/>
          <w:sz w:val="24"/>
        </w:rPr>
        <w:t xml:space="preserve">Figure </w:t>
      </w:r>
      <w:r w:rsidR="00120B41">
        <w:rPr>
          <w:rFonts w:ascii="Times New Roman" w:hAnsi="Times New Roman" w:cs="Times New Roman"/>
          <w:b/>
          <w:sz w:val="24"/>
        </w:rPr>
        <w:t>3</w:t>
      </w:r>
      <w:r w:rsidR="005A3B07"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PPO activity</w:t>
      </w:r>
      <w:r w:rsidRPr="00054FF7">
        <w:rPr>
          <w:rFonts w:ascii="Times New Roman" w:hAnsi="Times New Roman" w:cs="Times New Roman"/>
          <w:b/>
          <w:bCs/>
          <w:sz w:val="24"/>
          <w:szCs w:val="24"/>
        </w:rPr>
        <w:t xml:space="preserve">. </w:t>
      </w:r>
    </w:p>
    <w:p w14:paraId="72AA758B" w14:textId="77777777" w:rsidR="000F40B8" w:rsidRPr="00054FF7" w:rsidRDefault="000F40B8" w:rsidP="000F40B8">
      <w:pPr>
        <w:spacing w:line="360" w:lineRule="auto"/>
        <w:jc w:val="both"/>
        <w:rPr>
          <w:rFonts w:ascii="Times New Roman" w:hAnsi="Times New Roman" w:cs="Times New Roman"/>
          <w:b/>
          <w:sz w:val="2"/>
          <w:szCs w:val="2"/>
        </w:rPr>
      </w:pPr>
    </w:p>
    <w:p w14:paraId="106C38B4"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Total phenol content (TPC)</w:t>
      </w:r>
    </w:p>
    <w:p w14:paraId="22C817C0" w14:textId="77777777" w:rsidR="00DA7334" w:rsidRPr="00054FF7" w:rsidRDefault="00DA7334" w:rsidP="00DA7334">
      <w:pPr>
        <w:pStyle w:val="NormalWeb"/>
        <w:spacing w:line="360" w:lineRule="auto"/>
        <w:jc w:val="both"/>
      </w:pPr>
      <w:r w:rsidRPr="00054FF7">
        <w:lastRenderedPageBreak/>
        <w:t xml:space="preserve">TPC followed a pattern similar to that of PAL, peaking at 48 hours in T1 before dropping sharply. Significant differences in TPC were observed among the treatments. The highest phenolic accumulation occurred in T1, showing a 6.5-fold increase over the control. T2, T3, and T4 also showed elevated levels at 48 hours, with 5.4-, 3.9-, and 3.8-fold increases, respectively, compared to the control (Figure </w:t>
      </w:r>
      <w:r w:rsidR="00120B41">
        <w:t>4</w:t>
      </w:r>
      <w:r w:rsidRPr="00054FF7">
        <w:t>).</w:t>
      </w:r>
    </w:p>
    <w:p w14:paraId="7143E9BA" w14:textId="77777777" w:rsidR="000F40B8" w:rsidRPr="00054FF7" w:rsidRDefault="000F40B8" w:rsidP="000F40B8">
      <w:pPr>
        <w:spacing w:line="360" w:lineRule="auto"/>
        <w:ind w:firstLine="720"/>
        <w:jc w:val="both"/>
        <w:rPr>
          <w:rFonts w:ascii="Times New Roman" w:hAnsi="Times New Roman" w:cs="Times New Roman"/>
          <w:b/>
          <w:i/>
          <w:sz w:val="24"/>
        </w:rPr>
      </w:pPr>
    </w:p>
    <w:p w14:paraId="556A81A0"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rPr>
        <w:drawing>
          <wp:inline distT="0" distB="0" distL="0" distR="0" wp14:anchorId="71EDACDF" wp14:editId="460DD8FB">
            <wp:extent cx="3171269" cy="198241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174697" cy="1984562"/>
                    </a:xfrm>
                    <a:prstGeom prst="rect">
                      <a:avLst/>
                    </a:prstGeom>
                    <a:noFill/>
                    <a:ln w="9525">
                      <a:noFill/>
                      <a:miter lim="800000"/>
                      <a:headEnd/>
                      <a:tailEnd/>
                    </a:ln>
                  </pic:spPr>
                </pic:pic>
              </a:graphicData>
            </a:graphic>
          </wp:inline>
        </w:drawing>
      </w:r>
    </w:p>
    <w:p w14:paraId="71FBB71B"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bCs/>
          <w:sz w:val="24"/>
          <w:szCs w:val="24"/>
          <w:lang w:val="en-IN"/>
        </w:rPr>
        <w:t xml:space="preserve">Figure </w:t>
      </w:r>
      <w:r w:rsidR="00120B41">
        <w:rPr>
          <w:rFonts w:ascii="Times New Roman" w:hAnsi="Times New Roman" w:cs="Times New Roman"/>
          <w:b/>
          <w:bCs/>
          <w:sz w:val="24"/>
          <w:szCs w:val="24"/>
          <w:lang w:val="en-IN"/>
        </w:rPr>
        <w:t>4</w:t>
      </w:r>
      <w:r w:rsidRPr="00054FF7">
        <w:rPr>
          <w:rFonts w:ascii="Times New Roman" w:hAnsi="Times New Roman" w:cs="Times New Roman"/>
          <w:b/>
          <w:bCs/>
          <w:sz w:val="24"/>
          <w:szCs w:val="24"/>
          <w:lang w:val="en-IN"/>
        </w:rPr>
        <w:t xml:space="preserve"> </w:t>
      </w:r>
      <w:r w:rsidRPr="00054FF7">
        <w:rPr>
          <w:rFonts w:ascii="Times New Roman" w:hAnsi="Times New Roman" w:cs="Times New Roman"/>
          <w:sz w:val="24"/>
          <w:szCs w:val="24"/>
          <w:lang w:val="en-IN"/>
        </w:rPr>
        <w:t xml:space="preserve">TPC activities at different time intervals in chickpea in different treatment. </w:t>
      </w:r>
    </w:p>
    <w:p w14:paraId="60AC7ACC" w14:textId="77777777" w:rsidR="000F40B8" w:rsidRPr="00054FF7" w:rsidRDefault="00DA7334"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Discussion</w:t>
      </w:r>
    </w:p>
    <w:p w14:paraId="53EFC4D7" w14:textId="77777777" w:rsidR="000F40B8" w:rsidRPr="00054FF7" w:rsidRDefault="000F40B8" w:rsidP="000F40B8">
      <w:pPr>
        <w:spacing w:line="360" w:lineRule="auto"/>
        <w:jc w:val="both"/>
        <w:rPr>
          <w:rFonts w:ascii="Times New Roman" w:hAnsi="Times New Roman" w:cs="Times New Roman"/>
          <w:b/>
          <w:bCs/>
          <w:color w:val="000000" w:themeColor="text1"/>
          <w:sz w:val="24"/>
          <w:szCs w:val="24"/>
        </w:rPr>
      </w:pPr>
      <w:r w:rsidRPr="00054FF7">
        <w:rPr>
          <w:rFonts w:ascii="Times New Roman" w:hAnsi="Times New Roman" w:cs="Times New Roman"/>
          <w:b/>
          <w:bCs/>
          <w:color w:val="000000" w:themeColor="text1"/>
          <w:sz w:val="24"/>
          <w:szCs w:val="24"/>
        </w:rPr>
        <w:t>Effect of microbial fortified vermicompost on growth parameters of chickpea crop</w:t>
      </w:r>
    </w:p>
    <w:p w14:paraId="305F590D" w14:textId="77777777" w:rsidR="00743BD6" w:rsidRPr="00054FF7" w:rsidRDefault="00743BD6" w:rsidP="00743BD6">
      <w:pPr>
        <w:pStyle w:val="NormalWeb"/>
        <w:spacing w:line="360" w:lineRule="auto"/>
        <w:jc w:val="both"/>
      </w:pPr>
      <w:r w:rsidRPr="00054FF7">
        <w:t xml:space="preserve">It is widely accepted that the application of composts and </w:t>
      </w:r>
      <w:proofErr w:type="spellStart"/>
      <w:r w:rsidRPr="00054FF7">
        <w:t>vermicomposts</w:t>
      </w:r>
      <w:proofErr w:type="spellEnd"/>
      <w:r w:rsidRPr="00054FF7">
        <w:t xml:space="preserve"> as soil amendments can improve nutrient availability, enhance soil health, and positively influence various plant traits when compared to synthetic fertilizers (Singh </w:t>
      </w:r>
      <w:r w:rsidRPr="00054FF7">
        <w:rPr>
          <w:i/>
          <w:iCs/>
        </w:rPr>
        <w:t>et al</w:t>
      </w:r>
      <w:r w:rsidRPr="00054FF7">
        <w:t xml:space="preserve">., 2022; </w:t>
      </w:r>
      <w:proofErr w:type="spellStart"/>
      <w:r w:rsidRPr="00054FF7">
        <w:t>Oyege</w:t>
      </w:r>
      <w:proofErr w:type="spellEnd"/>
      <w:r w:rsidRPr="00054FF7">
        <w:t xml:space="preserve"> </w:t>
      </w:r>
      <w:r w:rsidRPr="00054FF7">
        <w:rPr>
          <w:i/>
          <w:iCs/>
        </w:rPr>
        <w:t>et al</w:t>
      </w:r>
      <w:r w:rsidRPr="00054FF7">
        <w:t xml:space="preserve">., 2023; </w:t>
      </w:r>
      <w:proofErr w:type="spellStart"/>
      <w:r w:rsidRPr="00054FF7">
        <w:t>Mulatu</w:t>
      </w:r>
      <w:proofErr w:type="spellEnd"/>
      <w:r w:rsidRPr="00054FF7">
        <w:t xml:space="preserve"> and </w:t>
      </w:r>
      <w:proofErr w:type="spellStart"/>
      <w:r w:rsidRPr="00054FF7">
        <w:t>Bayata</w:t>
      </w:r>
      <w:proofErr w:type="spellEnd"/>
      <w:r w:rsidRPr="00054FF7">
        <w:t xml:space="preserve">, 2024). </w:t>
      </w:r>
      <w:proofErr w:type="spellStart"/>
      <w:r w:rsidRPr="00054FF7">
        <w:t>Vermicomposts</w:t>
      </w:r>
      <w:proofErr w:type="spellEnd"/>
      <w:r w:rsidRPr="00054FF7">
        <w:t xml:space="preserve">, in particular, play a crucial role in boosting plant growth and yield due to their rich composition of micro- and macronutrients, enzymes, hormones, and vitamins. These amendments provide essential nutrients like nitrates, soluble potassium, exchangeable phosphorus, magnesium, and calcium in bioavailable forms. Additionally, </w:t>
      </w:r>
      <w:proofErr w:type="spellStart"/>
      <w:r w:rsidRPr="00054FF7">
        <w:t>vermicomposts</w:t>
      </w:r>
      <w:proofErr w:type="spellEnd"/>
      <w:r w:rsidRPr="00054FF7">
        <w:t xml:space="preserve"> offer a large surface area and numerous microsites, supporting prolonged nutrient retention and heightened microbial activity in the rhizosphere (Raza </w:t>
      </w:r>
      <w:r w:rsidRPr="00054FF7">
        <w:rPr>
          <w:i/>
          <w:iCs/>
        </w:rPr>
        <w:t>et al</w:t>
      </w:r>
      <w:r w:rsidRPr="00054FF7">
        <w:t xml:space="preserve">., 2022; Nieto-Cantero </w:t>
      </w:r>
      <w:r w:rsidRPr="00054FF7">
        <w:rPr>
          <w:i/>
          <w:iCs/>
        </w:rPr>
        <w:t>et al</w:t>
      </w:r>
      <w:r w:rsidRPr="00054FF7">
        <w:t xml:space="preserve">., 2025; Goldan </w:t>
      </w:r>
      <w:r w:rsidRPr="00054FF7">
        <w:rPr>
          <w:i/>
          <w:iCs/>
        </w:rPr>
        <w:t>et al.</w:t>
      </w:r>
      <w:r w:rsidRPr="00054FF7">
        <w:t>, 2023).</w:t>
      </w:r>
    </w:p>
    <w:p w14:paraId="54E8259B" w14:textId="77777777" w:rsidR="00743BD6" w:rsidRPr="00054FF7" w:rsidRDefault="00743BD6" w:rsidP="000F40B8">
      <w:pPr>
        <w:spacing w:line="360" w:lineRule="auto"/>
        <w:jc w:val="both"/>
        <w:rPr>
          <w:rFonts w:ascii="Times New Roman" w:hAnsi="Times New Roman" w:cs="Times New Roman"/>
          <w:color w:val="000000" w:themeColor="text1"/>
          <w:sz w:val="28"/>
          <w:szCs w:val="28"/>
        </w:rPr>
      </w:pPr>
      <w:r w:rsidRPr="00054FF7">
        <w:rPr>
          <w:rFonts w:ascii="Times New Roman" w:hAnsi="Times New Roman" w:cs="Times New Roman"/>
          <w:sz w:val="24"/>
          <w:szCs w:val="24"/>
        </w:rPr>
        <w:lastRenderedPageBreak/>
        <w:t xml:space="preserve">The use of biofortified vermicompost resulted in notable improvements in chickpea growth and a significant reduction in disease incidence. Marked differences were observed in root and shoot length, as well as dry biomass among the treatments. These findings align with previous studies. For example, Wang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(2017) reported enhanced chickpea growth when vermicompost was combined with microbial inoculants like </w:t>
      </w:r>
      <w:r w:rsidRPr="00054FF7">
        <w:rPr>
          <w:rStyle w:val="Emphasis"/>
          <w:rFonts w:ascii="Times New Roman" w:hAnsi="Times New Roman" w:cs="Times New Roman"/>
          <w:sz w:val="24"/>
          <w:szCs w:val="24"/>
        </w:rPr>
        <w:t>Bacillus pumilus</w:t>
      </w:r>
      <w:r w:rsidRPr="00054FF7">
        <w:rPr>
          <w:rFonts w:ascii="Times New Roman" w:hAnsi="Times New Roman" w:cs="Times New Roman"/>
          <w:sz w:val="24"/>
          <w:szCs w:val="24"/>
        </w:rPr>
        <w:t xml:space="preserve">, </w:t>
      </w:r>
      <w:proofErr w:type="spellStart"/>
      <w:r w:rsidRPr="00054FF7">
        <w:rPr>
          <w:rStyle w:val="Emphasis"/>
          <w:rFonts w:ascii="Times New Roman" w:hAnsi="Times New Roman" w:cs="Times New Roman"/>
          <w:sz w:val="24"/>
          <w:szCs w:val="24"/>
        </w:rPr>
        <w:t>Trichoderma</w:t>
      </w:r>
      <w:proofErr w:type="spellEnd"/>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 xml:space="preserve">Glomus </w:t>
      </w:r>
      <w:proofErr w:type="spellStart"/>
      <w:r w:rsidRPr="00054FF7">
        <w:rPr>
          <w:rStyle w:val="Emphasis"/>
          <w:rFonts w:ascii="Times New Roman" w:hAnsi="Times New Roman" w:cs="Times New Roman"/>
          <w:sz w:val="24"/>
          <w:szCs w:val="24"/>
        </w:rPr>
        <w:t>mosseae</w:t>
      </w:r>
      <w:proofErr w:type="spellEnd"/>
      <w:r w:rsidRPr="00054FF7">
        <w:rPr>
          <w:rFonts w:ascii="Times New Roman" w:hAnsi="Times New Roman" w:cs="Times New Roman"/>
          <w:sz w:val="24"/>
          <w:szCs w:val="24"/>
        </w:rPr>
        <w:t xml:space="preserve">. Similarly, Bachman and Metzger (2008) highlighted increased productivity and nematode suppression in brinjal using vermicompost and biopesticides. </w:t>
      </w:r>
      <w:r w:rsidRPr="00054FF7">
        <w:rPr>
          <w:rFonts w:ascii="Times New Roman" w:hAnsi="Times New Roman" w:cs="Times New Roman"/>
          <w:color w:val="222222"/>
          <w:sz w:val="24"/>
          <w:szCs w:val="24"/>
          <w:shd w:val="clear" w:color="auto" w:fill="FFFFFF"/>
        </w:rPr>
        <w:t>Shariati</w:t>
      </w:r>
      <w:r w:rsidRPr="00054FF7">
        <w:rPr>
          <w:rFonts w:ascii="Times New Roman" w:hAnsi="Times New Roman" w:cs="Times New Roman"/>
          <w:sz w:val="24"/>
          <w:szCs w:val="24"/>
        </w:rPr>
        <w:t xml:space="preserve">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2013 also noted the growth-promoting effects of vermicompost, especially when used alongside </w:t>
      </w:r>
      <w:r w:rsidRPr="00054FF7">
        <w:rPr>
          <w:rStyle w:val="Emphasis"/>
          <w:rFonts w:ascii="Times New Roman" w:hAnsi="Times New Roman" w:cs="Times New Roman"/>
          <w:sz w:val="24"/>
          <w:szCs w:val="24"/>
        </w:rPr>
        <w:t>Pseudomonas fluorescens</w:t>
      </w:r>
      <w:r w:rsidRPr="00054FF7">
        <w:rPr>
          <w:rFonts w:ascii="Times New Roman" w:hAnsi="Times New Roman" w:cs="Times New Roman"/>
          <w:sz w:val="24"/>
          <w:szCs w:val="24"/>
        </w:rPr>
        <w:t>-based biopesticides in chickpea.</w:t>
      </w:r>
    </w:p>
    <w:p w14:paraId="68F79C00" w14:textId="77777777" w:rsidR="000F40B8" w:rsidRPr="00054FF7" w:rsidRDefault="000F40B8" w:rsidP="000F40B8">
      <w:pPr>
        <w:spacing w:line="360" w:lineRule="auto"/>
        <w:jc w:val="both"/>
        <w:rPr>
          <w:rFonts w:ascii="Times New Roman" w:hAnsi="Times New Roman" w:cs="Times New Roman"/>
          <w:b/>
          <w:color w:val="000000" w:themeColor="text1"/>
          <w:sz w:val="24"/>
          <w:szCs w:val="24"/>
        </w:rPr>
      </w:pPr>
      <w:r w:rsidRPr="00054FF7">
        <w:rPr>
          <w:rFonts w:ascii="Times New Roman" w:hAnsi="Times New Roman" w:cs="Times New Roman"/>
          <w:b/>
          <w:color w:val="000000" w:themeColor="text1"/>
          <w:sz w:val="24"/>
          <w:szCs w:val="24"/>
        </w:rPr>
        <w:t xml:space="preserve">Effect of fortified vermicompost on activity of defense related enzymes in chickpea </w:t>
      </w:r>
    </w:p>
    <w:p w14:paraId="7E288D07" w14:textId="77777777" w:rsidR="00054FF7" w:rsidRPr="00054FF7" w:rsidRDefault="00054FF7" w:rsidP="00054FF7">
      <w:pPr>
        <w:pStyle w:val="NormalWeb"/>
        <w:spacing w:line="360" w:lineRule="auto"/>
        <w:ind w:firstLine="720"/>
        <w:jc w:val="both"/>
      </w:pPr>
      <w:r w:rsidRPr="00054FF7">
        <w:t xml:space="preserve">Plants have evolved various defense mechanisms to combat invading pathogens. The present study shows that application of biofortified vermicompost enhances these defense responses in chickpea, particularly when challenged with </w:t>
      </w:r>
      <w:proofErr w:type="spellStart"/>
      <w:r w:rsidRPr="00054FF7">
        <w:rPr>
          <w:rStyle w:val="Emphasis"/>
        </w:rPr>
        <w:t>Fusarium</w:t>
      </w:r>
      <w:proofErr w:type="spellEnd"/>
      <w:r w:rsidRPr="00054FF7">
        <w:rPr>
          <w:rStyle w:val="Emphasis"/>
        </w:rPr>
        <w:t xml:space="preserve"> </w:t>
      </w:r>
      <w:proofErr w:type="spellStart"/>
      <w:r w:rsidRPr="00054FF7">
        <w:rPr>
          <w:rStyle w:val="Emphasis"/>
        </w:rPr>
        <w:t>oxysporum</w:t>
      </w:r>
      <w:proofErr w:type="spellEnd"/>
      <w:r w:rsidRPr="00054FF7">
        <w:t xml:space="preserve">. Plants treated with vermicompost enriched with beneficial microbes like </w:t>
      </w:r>
      <w:r w:rsidRPr="00054FF7">
        <w:rPr>
          <w:rStyle w:val="Emphasis"/>
        </w:rPr>
        <w:t xml:space="preserve">T. </w:t>
      </w:r>
      <w:proofErr w:type="spellStart"/>
      <w:r w:rsidRPr="00054FF7">
        <w:rPr>
          <w:rStyle w:val="Emphasis"/>
        </w:rPr>
        <w:t>harzianum</w:t>
      </w:r>
      <w:proofErr w:type="spellEnd"/>
      <w:r w:rsidRPr="00054FF7">
        <w:t xml:space="preserve">, </w:t>
      </w:r>
      <w:r w:rsidRPr="00054FF7">
        <w:rPr>
          <w:rStyle w:val="Emphasis"/>
        </w:rPr>
        <w:t>Bacillus subtilis</w:t>
      </w:r>
      <w:r w:rsidRPr="00054FF7">
        <w:t xml:space="preserve">, and </w:t>
      </w:r>
      <w:r w:rsidRPr="00054FF7">
        <w:rPr>
          <w:rStyle w:val="Emphasis"/>
        </w:rPr>
        <w:t>Pseudomonas fluorescens</w:t>
      </w:r>
      <w:r w:rsidRPr="00054FF7">
        <w:t xml:space="preserve"> demonstrated higher levels of defense-related enzymes—PAL, PO, PPO, SOD—and total phenolic content. These responses are indicative of induced systemic resistance (ISR), which is known to be triggered by root-colonizing beneficial microbes (van der Ent </w:t>
      </w:r>
      <w:r w:rsidRPr="00054FF7">
        <w:rPr>
          <w:i/>
          <w:iCs/>
        </w:rPr>
        <w:t>et al</w:t>
      </w:r>
      <w:r w:rsidRPr="00054FF7">
        <w:t>., 2009).</w:t>
      </w:r>
    </w:p>
    <w:p w14:paraId="74B74E5C" w14:textId="77777777" w:rsidR="00054FF7" w:rsidRPr="00054FF7" w:rsidRDefault="00054FF7" w:rsidP="00054FF7">
      <w:pPr>
        <w:pStyle w:val="NormalWeb"/>
        <w:spacing w:line="360" w:lineRule="auto"/>
        <w:ind w:firstLine="720"/>
        <w:jc w:val="both"/>
      </w:pPr>
      <w:r w:rsidRPr="00054FF7">
        <w:t xml:space="preserve">Among the treatments, </w:t>
      </w:r>
      <w:r w:rsidRPr="00054FF7">
        <w:rPr>
          <w:rStyle w:val="Emphasis"/>
        </w:rPr>
        <w:t xml:space="preserve">T. </w:t>
      </w:r>
      <w:proofErr w:type="spellStart"/>
      <w:r w:rsidRPr="00054FF7">
        <w:rPr>
          <w:rStyle w:val="Emphasis"/>
        </w:rPr>
        <w:t>harzianum</w:t>
      </w:r>
      <w:proofErr w:type="spellEnd"/>
      <w:r w:rsidRPr="00054FF7">
        <w:t xml:space="preserve">-fortified </w:t>
      </w:r>
      <w:proofErr w:type="spellStart"/>
      <w:r w:rsidRPr="00054FF7">
        <w:t>vermicompost</w:t>
      </w:r>
      <w:proofErr w:type="spellEnd"/>
      <w:r w:rsidRPr="00054FF7">
        <w:t xml:space="preserve"> (T1) consistently showed the highest enzyme activities, particularly PAL at 48 h and PO and PPO at 72 h. PAL plays a key role in phenylpropanoid metabolism and is directly associated with the production of antimicrobial compounds and lignin precursors (</w:t>
      </w:r>
      <w:r w:rsidR="00120B41">
        <w:t xml:space="preserve">Bisen </w:t>
      </w:r>
      <w:r w:rsidR="00120B41" w:rsidRPr="00120B41">
        <w:rPr>
          <w:i/>
          <w:iCs/>
        </w:rPr>
        <w:t>et al</w:t>
      </w:r>
      <w:r w:rsidR="00120B41">
        <w:t xml:space="preserve">., 2019; </w:t>
      </w:r>
      <w:r w:rsidRPr="00054FF7">
        <w:t xml:space="preserve">Nawrocka </w:t>
      </w:r>
      <w:r w:rsidRPr="00054FF7">
        <w:rPr>
          <w:i/>
          <w:iCs/>
        </w:rPr>
        <w:t>et al</w:t>
      </w:r>
      <w:r w:rsidRPr="00054FF7">
        <w:t xml:space="preserve">., 2018; </w:t>
      </w:r>
      <w:proofErr w:type="spellStart"/>
      <w:r w:rsidRPr="00054FF7">
        <w:t>AbuQamar</w:t>
      </w:r>
      <w:proofErr w:type="spellEnd"/>
      <w:r w:rsidRPr="00054FF7">
        <w:t xml:space="preserve"> </w:t>
      </w:r>
      <w:r w:rsidRPr="00054FF7">
        <w:rPr>
          <w:i/>
          <w:iCs/>
        </w:rPr>
        <w:t>et al</w:t>
      </w:r>
      <w:r w:rsidRPr="00054FF7">
        <w:t xml:space="preserve">., 2017). Similar findings were reported by </w:t>
      </w:r>
      <w:proofErr w:type="spellStart"/>
      <w:r w:rsidRPr="00054FF7">
        <w:t>Amooaghaie</w:t>
      </w:r>
      <w:proofErr w:type="spellEnd"/>
      <w:r w:rsidRPr="00054FF7">
        <w:t xml:space="preserve"> </w:t>
      </w:r>
      <w:r w:rsidRPr="00054FF7">
        <w:rPr>
          <w:i/>
          <w:iCs/>
        </w:rPr>
        <w:t>et al</w:t>
      </w:r>
      <w:r w:rsidRPr="00054FF7">
        <w:t xml:space="preserve">. (2018), who observed increased resistance in psyllium with combined application of vermicompost and </w:t>
      </w:r>
      <w:r w:rsidRPr="00054FF7">
        <w:rPr>
          <w:rStyle w:val="Emphasis"/>
        </w:rPr>
        <w:t>B. subtilis</w:t>
      </w:r>
      <w:r w:rsidRPr="00054FF7">
        <w:t>.</w:t>
      </w:r>
    </w:p>
    <w:p w14:paraId="37461356" w14:textId="77777777" w:rsidR="00054FF7" w:rsidRPr="00054FF7" w:rsidRDefault="00054FF7" w:rsidP="00054FF7">
      <w:pPr>
        <w:pStyle w:val="NormalWeb"/>
        <w:spacing w:line="360" w:lineRule="auto"/>
        <w:ind w:firstLine="720"/>
        <w:jc w:val="both"/>
      </w:pPr>
      <w:r w:rsidRPr="00054FF7">
        <w:t xml:space="preserve">Enzymes such as SOD and PO are crucial for mitigating oxidative stress and enhancing cell wall fortification (Jain </w:t>
      </w:r>
      <w:r w:rsidRPr="00054FF7">
        <w:rPr>
          <w:i/>
          <w:iCs/>
        </w:rPr>
        <w:t>et al</w:t>
      </w:r>
      <w:r w:rsidRPr="00054FF7">
        <w:t xml:space="preserve">., 2012; Rao </w:t>
      </w:r>
      <w:r w:rsidRPr="00054FF7">
        <w:rPr>
          <w:i/>
          <w:iCs/>
        </w:rPr>
        <w:t>et al</w:t>
      </w:r>
      <w:r w:rsidRPr="00054FF7">
        <w:t xml:space="preserve">., 2015). Our findings of increased PO levels up to 72 h align with reports in cucumber treated with vermicompost under </w:t>
      </w:r>
      <w:r w:rsidRPr="00054FF7">
        <w:rPr>
          <w:rStyle w:val="Emphasis"/>
        </w:rPr>
        <w:t>Pythium</w:t>
      </w:r>
      <w:r w:rsidRPr="00054FF7">
        <w:t xml:space="preserve"> infection (Sabbagh and Valizadeh, 2016). PPO activity also rose significantly in all treated plants, supporting previous reports that link PPO induction with enhanced resistance (Jain et al., 2012).</w:t>
      </w:r>
    </w:p>
    <w:p w14:paraId="1660A416" w14:textId="77777777" w:rsidR="00054FF7" w:rsidRPr="00054FF7" w:rsidRDefault="00054FF7" w:rsidP="00054FF7">
      <w:pPr>
        <w:pStyle w:val="NormalWeb"/>
        <w:spacing w:line="360" w:lineRule="auto"/>
        <w:ind w:firstLine="720"/>
        <w:jc w:val="both"/>
      </w:pPr>
      <w:r w:rsidRPr="00054FF7">
        <w:lastRenderedPageBreak/>
        <w:t xml:space="preserve">Overall, the elevated activity of PAL, PO, and PPO in biofortified treatments—especially with </w:t>
      </w:r>
      <w:r w:rsidRPr="00054FF7">
        <w:rPr>
          <w:rStyle w:val="Emphasis"/>
        </w:rPr>
        <w:t xml:space="preserve">T. </w:t>
      </w:r>
      <w:proofErr w:type="spellStart"/>
      <w:r w:rsidRPr="00054FF7">
        <w:rPr>
          <w:rStyle w:val="Emphasis"/>
        </w:rPr>
        <w:t>harzianum</w:t>
      </w:r>
      <w:proofErr w:type="spellEnd"/>
      <w:r w:rsidRPr="00054FF7">
        <w:t xml:space="preserve">—suggests an effective defense strategy through enzyme-mediated resistance. These results confirm earlier findings by Bosco et al. (2017) in chickpea and emphasize the role of fortified vermicompost as a sustainable approach to improve disease resistance against </w:t>
      </w:r>
      <w:r w:rsidRPr="00054FF7">
        <w:rPr>
          <w:rStyle w:val="Emphasis"/>
        </w:rPr>
        <w:t xml:space="preserve">F. </w:t>
      </w:r>
      <w:proofErr w:type="spellStart"/>
      <w:r w:rsidRPr="00054FF7">
        <w:rPr>
          <w:rStyle w:val="Emphasis"/>
        </w:rPr>
        <w:t>oxysporum</w:t>
      </w:r>
      <w:proofErr w:type="spellEnd"/>
      <w:r w:rsidRPr="00054FF7">
        <w:t>.</w:t>
      </w:r>
    </w:p>
    <w:p w14:paraId="14838B4E" w14:textId="77777777" w:rsidR="000F40B8" w:rsidRPr="00054FF7" w:rsidRDefault="000F40B8"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Conclusion</w:t>
      </w:r>
    </w:p>
    <w:p w14:paraId="1583E25D" w14:textId="77777777" w:rsidR="000F40B8" w:rsidRPr="00054FF7" w:rsidRDefault="000F40B8" w:rsidP="000F40B8">
      <w:pPr>
        <w:pStyle w:val="NormalWeb"/>
        <w:spacing w:line="360" w:lineRule="auto"/>
        <w:jc w:val="both"/>
      </w:pPr>
      <w:r w:rsidRPr="00054FF7">
        <w:t xml:space="preserve">The findings of this study suggest that the application of vermicompost, whether used alone or enriched with agriculturally beneficial microorganisms, offers a sustainable and environmentally responsible method for managing plant diseases. This approach holds strong potential to support sustainable agricultural practices. Specifically, biofortifying vermicompost with microbes such as </w:t>
      </w:r>
      <w:proofErr w:type="spellStart"/>
      <w:r w:rsidRPr="00054FF7">
        <w:rPr>
          <w:rStyle w:val="Emphasis"/>
        </w:rPr>
        <w:t>Trichoderma</w:t>
      </w:r>
      <w:proofErr w:type="spellEnd"/>
      <w:r w:rsidRPr="00054FF7">
        <w:rPr>
          <w:rStyle w:val="Emphasis"/>
        </w:rPr>
        <w:t xml:space="preserve"> </w:t>
      </w:r>
      <w:proofErr w:type="spellStart"/>
      <w:r w:rsidRPr="00054FF7">
        <w:rPr>
          <w:rStyle w:val="Emphasis"/>
        </w:rPr>
        <w:t>harzianum</w:t>
      </w:r>
      <w:proofErr w:type="spellEnd"/>
      <w:r w:rsidRPr="00054FF7">
        <w:t xml:space="preserve">, </w:t>
      </w:r>
      <w:r w:rsidRPr="00054FF7">
        <w:rPr>
          <w:rStyle w:val="Emphasis"/>
        </w:rPr>
        <w:t xml:space="preserve">Pseudomonas </w:t>
      </w:r>
      <w:proofErr w:type="spellStart"/>
      <w:r w:rsidRPr="00054FF7">
        <w:rPr>
          <w:rStyle w:val="Emphasis"/>
        </w:rPr>
        <w:t>fluorescens</w:t>
      </w:r>
      <w:proofErr w:type="spellEnd"/>
      <w:r w:rsidRPr="00054FF7">
        <w:t xml:space="preserve">, and </w:t>
      </w:r>
      <w:r w:rsidRPr="00054FF7">
        <w:rPr>
          <w:rStyle w:val="Emphasis"/>
        </w:rPr>
        <w:t>Bacillus subtilis</w:t>
      </w:r>
      <w:r w:rsidRPr="00054FF7">
        <w:t xml:space="preserve"> was found to enhance plant growth and improve the nutritional quality of tomato crops. These results indicate that biofortified vermicompost could be further evaluated in large-scale field applications as part of an eco-friendly plant disease management strategy. Additionally, vermicomposting represents a valuable method for converting organic waste into nutrient-rich compost, thereby contributing to waste reduction and environmental cleanliness.</w:t>
      </w:r>
    </w:p>
    <w:p w14:paraId="7F8FD802" w14:textId="77777777" w:rsidR="000F40B8" w:rsidRPr="00054FF7" w:rsidRDefault="00054FF7" w:rsidP="000F40B8">
      <w:pPr>
        <w:spacing w:before="100" w:beforeAutospacing="1" w:after="100" w:afterAutospacing="1" w:line="360" w:lineRule="auto"/>
        <w:jc w:val="both"/>
        <w:rPr>
          <w:rFonts w:ascii="Times New Roman" w:hAnsi="Times New Roman" w:cs="Times New Roman"/>
          <w:b/>
          <w:sz w:val="24"/>
          <w:szCs w:val="24"/>
        </w:rPr>
      </w:pPr>
      <w:commentRangeStart w:id="6"/>
      <w:r w:rsidRPr="00054FF7">
        <w:rPr>
          <w:rFonts w:ascii="Times New Roman" w:hAnsi="Times New Roman" w:cs="Times New Roman"/>
          <w:b/>
          <w:sz w:val="24"/>
          <w:szCs w:val="24"/>
        </w:rPr>
        <w:t>Reference</w:t>
      </w:r>
      <w:commentRangeEnd w:id="6"/>
      <w:r w:rsidR="003E19A0">
        <w:rPr>
          <w:rStyle w:val="CommentReference"/>
        </w:rPr>
        <w:commentReference w:id="6"/>
      </w:r>
    </w:p>
    <w:p w14:paraId="4C5EB6D8"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054FF7">
        <w:rPr>
          <w:rFonts w:ascii="Times New Roman" w:hAnsi="Times New Roman" w:cs="Times New Roman"/>
          <w:color w:val="000000" w:themeColor="text1"/>
          <w:sz w:val="24"/>
          <w:szCs w:val="24"/>
          <w:shd w:val="clear" w:color="auto" w:fill="FFFFFF"/>
        </w:rPr>
        <w:t>AbuQamar</w:t>
      </w:r>
      <w:proofErr w:type="spellEnd"/>
      <w:r w:rsidRPr="00054FF7">
        <w:rPr>
          <w:rFonts w:ascii="Times New Roman" w:hAnsi="Times New Roman" w:cs="Times New Roman"/>
          <w:color w:val="000000" w:themeColor="text1"/>
          <w:sz w:val="24"/>
          <w:szCs w:val="24"/>
          <w:shd w:val="clear" w:color="auto" w:fill="FFFFFF"/>
        </w:rPr>
        <w:t>, S., Moustafa, K. and Tran, L. S. (2017). Mechanisms and strategies of plant defense against Botrytis cinerea. </w:t>
      </w:r>
      <w:r w:rsidRPr="00054FF7">
        <w:rPr>
          <w:rFonts w:ascii="Times New Roman" w:hAnsi="Times New Roman" w:cs="Times New Roman"/>
          <w:i/>
          <w:iCs/>
          <w:color w:val="000000" w:themeColor="text1"/>
          <w:sz w:val="24"/>
          <w:szCs w:val="24"/>
          <w:shd w:val="clear" w:color="auto" w:fill="FFFFFF"/>
        </w:rPr>
        <w:t>Critical reviews in biotechnology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37</w:t>
      </w:r>
      <w:r w:rsidRPr="00054FF7">
        <w:rPr>
          <w:rFonts w:ascii="Times New Roman" w:hAnsi="Times New Roman" w:cs="Times New Roman"/>
          <w:color w:val="000000" w:themeColor="text1"/>
          <w:sz w:val="24"/>
          <w:szCs w:val="24"/>
          <w:shd w:val="clear" w:color="auto" w:fill="FFFFFF"/>
        </w:rPr>
        <w:t>(2): 262-274.</w:t>
      </w:r>
    </w:p>
    <w:p w14:paraId="68994885"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5B7FFE2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054FF7">
        <w:rPr>
          <w:rFonts w:ascii="Times New Roman" w:hAnsi="Times New Roman" w:cs="Times New Roman"/>
          <w:color w:val="000000" w:themeColor="text1"/>
          <w:sz w:val="24"/>
          <w:szCs w:val="24"/>
          <w:shd w:val="clear" w:color="auto" w:fill="FFFFFF"/>
        </w:rPr>
        <w:t>Amooaghaie</w:t>
      </w:r>
      <w:proofErr w:type="spellEnd"/>
      <w:r w:rsidRPr="00054FF7">
        <w:rPr>
          <w:rFonts w:ascii="Times New Roman" w:hAnsi="Times New Roman" w:cs="Times New Roman"/>
          <w:color w:val="000000" w:themeColor="text1"/>
          <w:sz w:val="24"/>
          <w:szCs w:val="24"/>
          <w:shd w:val="clear" w:color="auto" w:fill="FFFFFF"/>
        </w:rPr>
        <w:t xml:space="preserve">, R. and </w:t>
      </w:r>
      <w:proofErr w:type="spellStart"/>
      <w:r w:rsidRPr="00054FF7">
        <w:rPr>
          <w:rFonts w:ascii="Times New Roman" w:hAnsi="Times New Roman" w:cs="Times New Roman"/>
          <w:color w:val="000000" w:themeColor="text1"/>
          <w:sz w:val="24"/>
          <w:szCs w:val="24"/>
          <w:shd w:val="clear" w:color="auto" w:fill="FFFFFF"/>
        </w:rPr>
        <w:t>Korrani</w:t>
      </w:r>
      <w:proofErr w:type="spellEnd"/>
      <w:r w:rsidRPr="00054FF7">
        <w:rPr>
          <w:rFonts w:ascii="Times New Roman" w:hAnsi="Times New Roman" w:cs="Times New Roman"/>
          <w:color w:val="000000" w:themeColor="text1"/>
          <w:sz w:val="24"/>
          <w:szCs w:val="24"/>
          <w:shd w:val="clear" w:color="auto" w:fill="FFFFFF"/>
        </w:rPr>
        <w:t xml:space="preserve">, F. M. (2018). </w:t>
      </w:r>
      <w:r w:rsidRPr="00054FF7">
        <w:rPr>
          <w:rFonts w:ascii="Times New Roman" w:hAnsi="Times New Roman" w:cs="Times New Roman"/>
          <w:i/>
          <w:color w:val="000000" w:themeColor="text1"/>
          <w:sz w:val="24"/>
          <w:szCs w:val="24"/>
          <w:shd w:val="clear" w:color="auto" w:fill="FFFFFF"/>
        </w:rPr>
        <w:t>Bacillus</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subtilis</w:t>
      </w:r>
      <w:r w:rsidRPr="00054FF7">
        <w:rPr>
          <w:rFonts w:ascii="Times New Roman" w:hAnsi="Times New Roman" w:cs="Times New Roman"/>
          <w:color w:val="000000" w:themeColor="text1"/>
          <w:sz w:val="24"/>
          <w:szCs w:val="24"/>
          <w:shd w:val="clear" w:color="auto" w:fill="FFFFFF"/>
        </w:rPr>
        <w:t xml:space="preserve"> and Vermicompost Suppress Damping-off Disease in Psyllium through Nitric Oxide-Dependent Signaling System. </w:t>
      </w:r>
      <w:r w:rsidRPr="00054FF7">
        <w:rPr>
          <w:rFonts w:ascii="Times New Roman" w:hAnsi="Times New Roman" w:cs="Times New Roman"/>
          <w:i/>
          <w:iCs/>
          <w:color w:val="000000" w:themeColor="text1"/>
          <w:sz w:val="24"/>
          <w:szCs w:val="24"/>
          <w:shd w:val="clear" w:color="auto" w:fill="FFFFFF"/>
        </w:rPr>
        <w:t>Russian journal of plant physiology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65</w:t>
      </w:r>
      <w:r w:rsidRPr="00054FF7">
        <w:rPr>
          <w:rFonts w:ascii="Times New Roman" w:hAnsi="Times New Roman" w:cs="Times New Roman"/>
          <w:color w:val="000000" w:themeColor="text1"/>
          <w:sz w:val="24"/>
          <w:szCs w:val="24"/>
          <w:shd w:val="clear" w:color="auto" w:fill="FFFFFF"/>
        </w:rPr>
        <w:t>(3): 435-445.</w:t>
      </w:r>
    </w:p>
    <w:p w14:paraId="5846880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24DCFDD6"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Azadeh, B. F., Sariah, M. and Wong, M. Y. (2010). Characterization of </w:t>
      </w:r>
      <w:proofErr w:type="spellStart"/>
      <w:r w:rsidRPr="00054FF7">
        <w:rPr>
          <w:rFonts w:ascii="Times New Roman" w:eastAsia="Times New Roman" w:hAnsi="Times New Roman" w:cs="Times New Roman"/>
          <w:i/>
          <w:sz w:val="24"/>
          <w:szCs w:val="24"/>
          <w:lang w:eastAsia="en-IN"/>
        </w:rPr>
        <w:t>Burkholderia</w:t>
      </w:r>
      <w:proofErr w:type="spellEnd"/>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cepacia</w:t>
      </w:r>
      <w:proofErr w:type="spellEnd"/>
      <w:r w:rsidRPr="00054FF7">
        <w:rPr>
          <w:rFonts w:ascii="Times New Roman" w:eastAsia="Times New Roman" w:hAnsi="Times New Roman" w:cs="Times New Roman"/>
          <w:sz w:val="24"/>
          <w:szCs w:val="24"/>
          <w:lang w:eastAsia="en-IN"/>
        </w:rPr>
        <w:t xml:space="preserve"> </w:t>
      </w:r>
      <w:bookmarkStart w:id="7" w:name="_GoBack"/>
      <w:bookmarkEnd w:id="7"/>
      <w:proofErr w:type="spellStart"/>
      <w:r w:rsidRPr="00054FF7">
        <w:rPr>
          <w:rFonts w:ascii="Times New Roman" w:eastAsia="Times New Roman" w:hAnsi="Times New Roman" w:cs="Times New Roman"/>
          <w:sz w:val="24"/>
          <w:szCs w:val="24"/>
          <w:lang w:eastAsia="en-IN"/>
        </w:rPr>
        <w:t>genomovar</w:t>
      </w:r>
      <w:proofErr w:type="spellEnd"/>
      <w:r w:rsidRPr="00054FF7">
        <w:rPr>
          <w:rFonts w:ascii="Times New Roman" w:eastAsia="Times New Roman" w:hAnsi="Times New Roman" w:cs="Times New Roman"/>
          <w:sz w:val="24"/>
          <w:szCs w:val="24"/>
          <w:lang w:eastAsia="en-IN"/>
        </w:rPr>
        <w:t xml:space="preserve"> I as a potential biocontrol agent of </w:t>
      </w:r>
      <w:proofErr w:type="spellStart"/>
      <w:r w:rsidRPr="00054FF7">
        <w:rPr>
          <w:rFonts w:ascii="Times New Roman" w:eastAsia="Times New Roman" w:hAnsi="Times New Roman" w:cs="Times New Roman"/>
          <w:i/>
          <w:sz w:val="24"/>
          <w:szCs w:val="24"/>
          <w:lang w:eastAsia="en-IN"/>
        </w:rPr>
        <w:t>Ganoderma</w:t>
      </w:r>
      <w:proofErr w:type="spellEnd"/>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boninense</w:t>
      </w:r>
      <w:proofErr w:type="spellEnd"/>
      <w:r w:rsidRPr="00054FF7">
        <w:rPr>
          <w:rFonts w:ascii="Times New Roman" w:eastAsia="Times New Roman" w:hAnsi="Times New Roman" w:cs="Times New Roman"/>
          <w:sz w:val="24"/>
          <w:szCs w:val="24"/>
          <w:lang w:eastAsia="en-IN"/>
        </w:rPr>
        <w:t xml:space="preserve"> in oil palm. </w:t>
      </w:r>
      <w:r w:rsidRPr="00054FF7">
        <w:rPr>
          <w:rFonts w:ascii="Times New Roman" w:eastAsia="Times New Roman" w:hAnsi="Times New Roman" w:cs="Times New Roman"/>
          <w:i/>
          <w:iCs/>
          <w:sz w:val="24"/>
          <w:szCs w:val="24"/>
          <w:lang w:eastAsia="en-IN"/>
        </w:rPr>
        <w:t>African Journal of Biotechnology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9</w:t>
      </w:r>
      <w:r w:rsidRPr="00054FF7">
        <w:rPr>
          <w:rFonts w:ascii="Times New Roman" w:eastAsia="Times New Roman" w:hAnsi="Times New Roman" w:cs="Times New Roman"/>
          <w:sz w:val="24"/>
          <w:szCs w:val="24"/>
          <w:lang w:eastAsia="en-IN"/>
        </w:rPr>
        <w:t>(24), 3542-3548.</w:t>
      </w:r>
    </w:p>
    <w:p w14:paraId="4D02C24C"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DE4C95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Bachman, G. R., &amp; Metzger, J. D. (2008). Growth of bedding plants in commercial potting substrate amended with vermicompost. </w:t>
      </w:r>
      <w:r w:rsidRPr="00054FF7">
        <w:rPr>
          <w:rFonts w:ascii="Times New Roman" w:hAnsi="Times New Roman" w:cs="Times New Roman"/>
          <w:i/>
          <w:iCs/>
          <w:color w:val="222222"/>
          <w:sz w:val="24"/>
          <w:szCs w:val="24"/>
          <w:shd w:val="clear" w:color="auto" w:fill="FFFFFF"/>
        </w:rPr>
        <w:t>Bioresource technology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99</w:t>
      </w:r>
      <w:r w:rsidRPr="00054FF7">
        <w:rPr>
          <w:rFonts w:ascii="Times New Roman" w:hAnsi="Times New Roman" w:cs="Times New Roman"/>
          <w:color w:val="222222"/>
          <w:sz w:val="24"/>
          <w:szCs w:val="24"/>
          <w:shd w:val="clear" w:color="auto" w:fill="FFFFFF"/>
        </w:rPr>
        <w:t>(8), 3155-3161.</w:t>
      </w:r>
    </w:p>
    <w:p w14:paraId="4D0D898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B62591D" w14:textId="77777777" w:rsidR="00054FF7" w:rsidRPr="00054FF7" w:rsidRDefault="00054FF7" w:rsidP="00054FF7">
      <w:pPr>
        <w:spacing w:after="0" w:line="240" w:lineRule="auto"/>
        <w:jc w:val="both"/>
        <w:rPr>
          <w:rFonts w:ascii="Times New Roman" w:hAnsi="Times New Roman" w:cs="Times New Roman"/>
          <w:sz w:val="24"/>
          <w:szCs w:val="24"/>
        </w:rPr>
      </w:pPr>
      <w:r w:rsidRPr="00054FF7">
        <w:rPr>
          <w:rFonts w:ascii="Times New Roman" w:hAnsi="Times New Roman" w:cs="Times New Roman"/>
          <w:color w:val="222222"/>
          <w:sz w:val="24"/>
          <w:szCs w:val="24"/>
          <w:shd w:val="clear" w:color="auto" w:fill="FFFFFF"/>
        </w:rPr>
        <w:t>Basco, M. J., Bisen, K., Keswani, C., &amp; Singh, H. B. (2017). Biological management of Fusarium wilt of tomato using biofortified vermicompost. </w:t>
      </w:r>
      <w:proofErr w:type="spellStart"/>
      <w:r w:rsidRPr="00054FF7">
        <w:rPr>
          <w:rFonts w:ascii="Times New Roman" w:hAnsi="Times New Roman" w:cs="Times New Roman"/>
          <w:i/>
          <w:iCs/>
          <w:color w:val="222222"/>
          <w:sz w:val="24"/>
          <w:szCs w:val="24"/>
          <w:shd w:val="clear" w:color="auto" w:fill="FFFFFF"/>
        </w:rPr>
        <w:t>Mycosphere</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8</w:t>
      </w:r>
      <w:r w:rsidRPr="00054FF7">
        <w:rPr>
          <w:rFonts w:ascii="Times New Roman" w:hAnsi="Times New Roman" w:cs="Times New Roman"/>
          <w:color w:val="222222"/>
          <w:sz w:val="24"/>
          <w:szCs w:val="24"/>
          <w:shd w:val="clear" w:color="auto" w:fill="FFFFFF"/>
        </w:rPr>
        <w:t>(3), 467-483.</w:t>
      </w:r>
    </w:p>
    <w:p w14:paraId="2701692E"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C2CD3A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lastRenderedPageBreak/>
        <w:t>Bashi, Z., Rashi, B., Qadir, G., &amp; Nisa, M. (2025). Green Manuring, Vermicomposting, and Composting: A Green Technology for Soil Health. In </w:t>
      </w:r>
      <w:r w:rsidRPr="00054FF7">
        <w:rPr>
          <w:rFonts w:ascii="Times New Roman" w:hAnsi="Times New Roman" w:cs="Times New Roman"/>
          <w:i/>
          <w:iCs/>
          <w:color w:val="222222"/>
          <w:sz w:val="24"/>
          <w:szCs w:val="24"/>
          <w:shd w:val="clear" w:color="auto" w:fill="FFFFFF"/>
        </w:rPr>
        <w:t>Organic Farming</w:t>
      </w:r>
      <w:r w:rsidRPr="00054FF7">
        <w:rPr>
          <w:rFonts w:ascii="Times New Roman" w:hAnsi="Times New Roman" w:cs="Times New Roman"/>
          <w:color w:val="222222"/>
          <w:sz w:val="24"/>
          <w:szCs w:val="24"/>
          <w:shd w:val="clear" w:color="auto" w:fill="FFFFFF"/>
        </w:rPr>
        <w:t> (pp. 241-281). CRC Press.</w:t>
      </w:r>
    </w:p>
    <w:p w14:paraId="5EC1054F"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2DF59EE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Bisen, K., Singh, V., Singh, S. P., Sarma, B. K., &amp; Singh, H. B. (2019). Integration of Green Technologies for Rural Empowerment through Sustainable Agricultural Practices. </w:t>
      </w:r>
      <w:r w:rsidRPr="00054FF7">
        <w:rPr>
          <w:rFonts w:ascii="Times New Roman" w:hAnsi="Times New Roman" w:cs="Times New Roman"/>
          <w:i/>
          <w:iCs/>
          <w:color w:val="222222"/>
          <w:sz w:val="24"/>
          <w:szCs w:val="24"/>
          <w:shd w:val="clear" w:color="auto" w:fill="FFFFFF"/>
        </w:rPr>
        <w:t>RASSA Journal of Science for Society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w:t>
      </w:r>
      <w:r w:rsidRPr="00054FF7">
        <w:rPr>
          <w:rFonts w:ascii="Times New Roman" w:hAnsi="Times New Roman" w:cs="Times New Roman"/>
          <w:color w:val="222222"/>
          <w:sz w:val="24"/>
          <w:szCs w:val="24"/>
          <w:shd w:val="clear" w:color="auto" w:fill="FFFFFF"/>
        </w:rPr>
        <w:t>(1and2), 39-45.</w:t>
      </w:r>
    </w:p>
    <w:p w14:paraId="42DE2A1C" w14:textId="77777777" w:rsidR="00120B41" w:rsidRDefault="00120B41" w:rsidP="00054FF7">
      <w:pPr>
        <w:spacing w:after="0" w:line="240" w:lineRule="auto"/>
        <w:jc w:val="both"/>
        <w:rPr>
          <w:rFonts w:ascii="Times New Roman" w:hAnsi="Times New Roman" w:cs="Times New Roman"/>
          <w:color w:val="222222"/>
          <w:sz w:val="24"/>
          <w:szCs w:val="24"/>
          <w:shd w:val="clear" w:color="auto" w:fill="FFFFFF"/>
        </w:rPr>
      </w:pPr>
    </w:p>
    <w:p w14:paraId="6002495D" w14:textId="77777777" w:rsidR="00120B41" w:rsidRPr="00120B41" w:rsidRDefault="00120B41" w:rsidP="00054FF7">
      <w:pPr>
        <w:spacing w:after="0" w:line="240" w:lineRule="auto"/>
        <w:jc w:val="both"/>
        <w:rPr>
          <w:rFonts w:ascii="Times New Roman" w:hAnsi="Times New Roman" w:cs="Times New Roman"/>
          <w:color w:val="222222"/>
          <w:sz w:val="24"/>
          <w:szCs w:val="24"/>
          <w:shd w:val="clear" w:color="auto" w:fill="FFFFFF"/>
        </w:rPr>
      </w:pPr>
      <w:r w:rsidRPr="00120B41">
        <w:rPr>
          <w:rFonts w:ascii="Times New Roman" w:hAnsi="Times New Roman" w:cs="Times New Roman"/>
          <w:color w:val="222222"/>
          <w:sz w:val="24"/>
          <w:szCs w:val="24"/>
          <w:shd w:val="clear" w:color="auto" w:fill="FFFFFF"/>
        </w:rPr>
        <w:t>Bisen, K., &amp; Singh, H. B. (2019). Enhancement of antioxidants and nutritional quality of tomato inoculated with agriculturally importance microorganisms (AIMs) fortified vermicompost. </w:t>
      </w:r>
      <w:r w:rsidRPr="00120B41">
        <w:rPr>
          <w:rFonts w:ascii="Times New Roman" w:hAnsi="Times New Roman" w:cs="Times New Roman"/>
          <w:i/>
          <w:iCs/>
          <w:color w:val="222222"/>
          <w:sz w:val="24"/>
          <w:szCs w:val="24"/>
          <w:shd w:val="clear" w:color="auto" w:fill="FFFFFF"/>
        </w:rPr>
        <w:t>International Journal of Agriculture Environment and Biotechnology</w:t>
      </w:r>
      <w:r w:rsidRPr="00120B41">
        <w:rPr>
          <w:rFonts w:ascii="Times New Roman" w:hAnsi="Times New Roman" w:cs="Times New Roman"/>
          <w:color w:val="222222"/>
          <w:sz w:val="24"/>
          <w:szCs w:val="24"/>
          <w:shd w:val="clear" w:color="auto" w:fill="FFFFFF"/>
        </w:rPr>
        <w:t>, </w:t>
      </w:r>
      <w:r w:rsidRPr="00120B41">
        <w:rPr>
          <w:rFonts w:ascii="Times New Roman" w:hAnsi="Times New Roman" w:cs="Times New Roman"/>
          <w:i/>
          <w:iCs/>
          <w:color w:val="222222"/>
          <w:sz w:val="24"/>
          <w:szCs w:val="24"/>
          <w:shd w:val="clear" w:color="auto" w:fill="FFFFFF"/>
        </w:rPr>
        <w:t>12</w:t>
      </w:r>
      <w:r w:rsidRPr="00120B41">
        <w:rPr>
          <w:rFonts w:ascii="Times New Roman" w:hAnsi="Times New Roman" w:cs="Times New Roman"/>
          <w:color w:val="222222"/>
          <w:sz w:val="24"/>
          <w:szCs w:val="24"/>
          <w:shd w:val="clear" w:color="auto" w:fill="FFFFFF"/>
        </w:rPr>
        <w:t>(1), 17-22.</w:t>
      </w:r>
    </w:p>
    <w:p w14:paraId="52C562C7"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96B5F0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Bisen, K., Pal, R. K., &amp; Silas, V. J. (2023). Biofortified Vermicompost Mediated Induced Resistance Response in Tomato against </w:t>
      </w:r>
      <w:proofErr w:type="spellStart"/>
      <w:r w:rsidRPr="00054FF7">
        <w:rPr>
          <w:rFonts w:ascii="Times New Roman" w:hAnsi="Times New Roman" w:cs="Times New Roman"/>
          <w:color w:val="222222"/>
          <w:sz w:val="24"/>
          <w:szCs w:val="24"/>
          <w:shd w:val="clear" w:color="auto" w:fill="FFFFFF"/>
        </w:rPr>
        <w:t>Fusarium</w:t>
      </w:r>
      <w:proofErr w:type="spellEnd"/>
      <w:r w:rsidRPr="00054FF7">
        <w:rPr>
          <w:rFonts w:ascii="Times New Roman" w:hAnsi="Times New Roman" w:cs="Times New Roman"/>
          <w:color w:val="222222"/>
          <w:sz w:val="24"/>
          <w:szCs w:val="24"/>
          <w:shd w:val="clear" w:color="auto" w:fill="FFFFFF"/>
        </w:rPr>
        <w:t xml:space="preserve"> </w:t>
      </w:r>
      <w:proofErr w:type="spellStart"/>
      <w:r w:rsidRPr="00054FF7">
        <w:rPr>
          <w:rFonts w:ascii="Times New Roman" w:hAnsi="Times New Roman" w:cs="Times New Roman"/>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color w:val="222222"/>
          <w:sz w:val="24"/>
          <w:szCs w:val="24"/>
          <w:shd w:val="clear" w:color="auto" w:fill="FFFFFF"/>
        </w:rPr>
        <w:t>lycopersici</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Int. J. Environ. Clim. Change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13</w:t>
      </w:r>
      <w:r w:rsidRPr="00054FF7">
        <w:rPr>
          <w:rFonts w:ascii="Times New Roman" w:hAnsi="Times New Roman" w:cs="Times New Roman"/>
          <w:color w:val="222222"/>
          <w:sz w:val="24"/>
          <w:szCs w:val="24"/>
          <w:shd w:val="clear" w:color="auto" w:fill="FFFFFF"/>
        </w:rPr>
        <w:t>(12), 735-751.</w:t>
      </w:r>
    </w:p>
    <w:p w14:paraId="2728AD17"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Brueske, C. H. (1980). Phenylalanine ammonia lyase activity in tomato roots infected and resistant to the root-knot nematode, </w:t>
      </w:r>
      <w:r w:rsidRPr="00054FF7">
        <w:rPr>
          <w:rFonts w:ascii="Times New Roman" w:eastAsia="Times New Roman" w:hAnsi="Times New Roman" w:cs="Times New Roman"/>
          <w:i/>
          <w:sz w:val="24"/>
          <w:szCs w:val="24"/>
          <w:lang w:eastAsia="en-IN"/>
        </w:rPr>
        <w:t>Meloidogyne incognita</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16</w:t>
      </w:r>
      <w:r w:rsidRPr="00054FF7">
        <w:rPr>
          <w:rFonts w:ascii="Times New Roman" w:eastAsia="Times New Roman" w:hAnsi="Times New Roman" w:cs="Times New Roman"/>
          <w:sz w:val="24"/>
          <w:szCs w:val="24"/>
          <w:lang w:eastAsia="en-IN"/>
        </w:rPr>
        <w:t>(3): 409-414.</w:t>
      </w:r>
    </w:p>
    <w:p w14:paraId="5E850B6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3113ED53"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Chohan, S. A., Akbar, M., &amp; Iqbal, U. (2024).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based formulations control the wilt disease of chickpea (Cicer arietinum L.) caused by </w:t>
      </w:r>
      <w:proofErr w:type="spellStart"/>
      <w:r w:rsidRPr="00054FF7">
        <w:rPr>
          <w:rFonts w:ascii="Times New Roman" w:hAnsi="Times New Roman" w:cs="Times New Roman"/>
          <w:i/>
          <w:iCs/>
          <w:color w:val="222222"/>
          <w:sz w:val="24"/>
          <w:szCs w:val="24"/>
          <w:shd w:val="clear" w:color="auto" w:fill="FFFFFF"/>
        </w:rPr>
        <w:t>Fusarium</w:t>
      </w:r>
      <w:proofErr w:type="spellEnd"/>
      <w:r w:rsidRPr="00054FF7">
        <w:rPr>
          <w:rFonts w:ascii="Times New Roman" w:hAnsi="Times New Roman" w:cs="Times New Roman"/>
          <w:i/>
          <w:iCs/>
          <w:color w:val="222222"/>
          <w:sz w:val="24"/>
          <w:szCs w:val="24"/>
          <w:shd w:val="clear" w:color="auto" w:fill="FFFFFF"/>
        </w:rPr>
        <w:t xml:space="preserve">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ciceris</w:t>
      </w:r>
      <w:proofErr w:type="spellEnd"/>
      <w:r w:rsidRPr="00054FF7">
        <w:rPr>
          <w:rFonts w:ascii="Times New Roman" w:hAnsi="Times New Roman" w:cs="Times New Roman"/>
          <w:color w:val="222222"/>
          <w:sz w:val="24"/>
          <w:szCs w:val="24"/>
          <w:shd w:val="clear" w:color="auto" w:fill="FFFFFF"/>
        </w:rPr>
        <w:t>, better when inoculated as consortia: findings from pot experiments under field conditions. </w:t>
      </w:r>
      <w:proofErr w:type="spellStart"/>
      <w:r w:rsidRPr="00054FF7">
        <w:rPr>
          <w:rFonts w:ascii="Times New Roman" w:hAnsi="Times New Roman" w:cs="Times New Roman"/>
          <w:i/>
          <w:iCs/>
          <w:color w:val="222222"/>
          <w:sz w:val="24"/>
          <w:szCs w:val="24"/>
          <w:shd w:val="clear" w:color="auto" w:fill="FFFFFF"/>
        </w:rPr>
        <w:t>PeerJ</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 e17835.</w:t>
      </w:r>
    </w:p>
    <w:p w14:paraId="648460BE"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5803FD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Datta, D., Behera, L., Chaudhary, V. T., Kumar, S., &amp; Bisen, K. (2022). Endophytes: rendering systemic resistance to plants. In </w:t>
      </w:r>
      <w:r w:rsidRPr="00054FF7">
        <w:rPr>
          <w:rFonts w:ascii="Times New Roman" w:hAnsi="Times New Roman" w:cs="Times New Roman"/>
          <w:i/>
          <w:iCs/>
          <w:color w:val="222222"/>
          <w:sz w:val="24"/>
          <w:szCs w:val="24"/>
          <w:shd w:val="clear" w:color="auto" w:fill="FFFFFF"/>
        </w:rPr>
        <w:t>Rhizosphere Microbes: Biotic Stress Management</w:t>
      </w:r>
      <w:r w:rsidRPr="00054FF7">
        <w:rPr>
          <w:rFonts w:ascii="Times New Roman" w:hAnsi="Times New Roman" w:cs="Times New Roman"/>
          <w:color w:val="222222"/>
          <w:sz w:val="24"/>
          <w:szCs w:val="24"/>
          <w:shd w:val="clear" w:color="auto" w:fill="FFFFFF"/>
        </w:rPr>
        <w:t> (pp. 175-195). Singapore: Springer Nature Singapore.</w:t>
      </w:r>
    </w:p>
    <w:p w14:paraId="641D6395"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682347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Fridovich</w:t>
      </w:r>
      <w:proofErr w:type="spellEnd"/>
      <w:r w:rsidRPr="00054FF7">
        <w:rPr>
          <w:rFonts w:ascii="Times New Roman" w:hAnsi="Times New Roman" w:cs="Times New Roman"/>
          <w:color w:val="222222"/>
          <w:sz w:val="24"/>
          <w:szCs w:val="24"/>
          <w:shd w:val="clear" w:color="auto" w:fill="FFFFFF"/>
        </w:rPr>
        <w:t>, I. (1974). Superoxide radical and the bactericidal action of phagocytes. </w:t>
      </w:r>
      <w:r w:rsidRPr="00054FF7">
        <w:rPr>
          <w:rFonts w:ascii="Times New Roman" w:hAnsi="Times New Roman" w:cs="Times New Roman"/>
          <w:i/>
          <w:iCs/>
          <w:color w:val="222222"/>
          <w:sz w:val="24"/>
          <w:szCs w:val="24"/>
          <w:shd w:val="clear" w:color="auto" w:fill="FFFFFF"/>
        </w:rPr>
        <w:t>New England Journal of Medicine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290</w:t>
      </w:r>
      <w:r w:rsidRPr="00054FF7">
        <w:rPr>
          <w:rFonts w:ascii="Times New Roman" w:hAnsi="Times New Roman" w:cs="Times New Roman"/>
          <w:color w:val="222222"/>
          <w:sz w:val="24"/>
          <w:szCs w:val="24"/>
          <w:shd w:val="clear" w:color="auto" w:fill="FFFFFF"/>
        </w:rPr>
        <w:t>(11), 624-625.</w:t>
      </w:r>
    </w:p>
    <w:p w14:paraId="5C2414FE"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6F464AF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roofErr w:type="spellStart"/>
      <w:r w:rsidRPr="00054FF7">
        <w:rPr>
          <w:rFonts w:ascii="Times New Roman" w:eastAsia="Times New Roman" w:hAnsi="Times New Roman" w:cs="Times New Roman"/>
          <w:sz w:val="24"/>
          <w:szCs w:val="24"/>
          <w:lang w:eastAsia="en-IN"/>
        </w:rPr>
        <w:t>Gauillard</w:t>
      </w:r>
      <w:proofErr w:type="spellEnd"/>
      <w:r w:rsidRPr="00054FF7">
        <w:rPr>
          <w:rFonts w:ascii="Times New Roman" w:eastAsia="Times New Roman" w:hAnsi="Times New Roman" w:cs="Times New Roman"/>
          <w:sz w:val="24"/>
          <w:szCs w:val="24"/>
          <w:lang w:eastAsia="en-IN"/>
        </w:rPr>
        <w:t xml:space="preserve">, F., </w:t>
      </w:r>
      <w:proofErr w:type="spellStart"/>
      <w:r w:rsidRPr="00054FF7">
        <w:rPr>
          <w:rFonts w:ascii="Times New Roman" w:eastAsia="Times New Roman" w:hAnsi="Times New Roman" w:cs="Times New Roman"/>
          <w:sz w:val="24"/>
          <w:szCs w:val="24"/>
          <w:lang w:eastAsia="en-IN"/>
        </w:rPr>
        <w:t>Richardforget</w:t>
      </w:r>
      <w:proofErr w:type="spellEnd"/>
      <w:r w:rsidRPr="00054FF7">
        <w:rPr>
          <w:rFonts w:ascii="Times New Roman" w:eastAsia="Times New Roman" w:hAnsi="Times New Roman" w:cs="Times New Roman"/>
          <w:sz w:val="24"/>
          <w:szCs w:val="24"/>
          <w:lang w:eastAsia="en-IN"/>
        </w:rPr>
        <w:t xml:space="preserve">, F and Nicolas, J. (1993). New spectrophotometric assay for polyphenol oxidase activity. </w:t>
      </w:r>
      <w:r w:rsidRPr="00054FF7">
        <w:rPr>
          <w:rFonts w:ascii="Times New Roman" w:eastAsia="Times New Roman" w:hAnsi="Times New Roman" w:cs="Times New Roman"/>
          <w:i/>
          <w:iCs/>
          <w:sz w:val="24"/>
          <w:szCs w:val="24"/>
          <w:lang w:eastAsia="en-IN"/>
        </w:rPr>
        <w:t>Analytical Biochemistry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215</w:t>
      </w:r>
      <w:r w:rsidRPr="00054FF7">
        <w:rPr>
          <w:rFonts w:ascii="Times New Roman" w:eastAsia="Times New Roman" w:hAnsi="Times New Roman" w:cs="Times New Roman"/>
          <w:sz w:val="24"/>
          <w:szCs w:val="24"/>
          <w:lang w:eastAsia="en-IN"/>
        </w:rPr>
        <w:t>(1): 59-65.</w:t>
      </w:r>
    </w:p>
    <w:p w14:paraId="76B68E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4826A9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Goldan, E., </w:t>
      </w:r>
      <w:proofErr w:type="spellStart"/>
      <w:r w:rsidRPr="00054FF7">
        <w:rPr>
          <w:rFonts w:ascii="Times New Roman" w:hAnsi="Times New Roman" w:cs="Times New Roman"/>
          <w:color w:val="222222"/>
          <w:sz w:val="24"/>
          <w:szCs w:val="24"/>
          <w:shd w:val="clear" w:color="auto" w:fill="FFFFFF"/>
        </w:rPr>
        <w:t>Nedeff</w:t>
      </w:r>
      <w:proofErr w:type="spellEnd"/>
      <w:r w:rsidRPr="00054FF7">
        <w:rPr>
          <w:rFonts w:ascii="Times New Roman" w:hAnsi="Times New Roman" w:cs="Times New Roman"/>
          <w:color w:val="222222"/>
          <w:sz w:val="24"/>
          <w:szCs w:val="24"/>
          <w:shd w:val="clear" w:color="auto" w:fill="FFFFFF"/>
        </w:rPr>
        <w:t xml:space="preserve">, V., Barsan, N., Culea, M., </w:t>
      </w:r>
      <w:proofErr w:type="spellStart"/>
      <w:r w:rsidRPr="00054FF7">
        <w:rPr>
          <w:rFonts w:ascii="Times New Roman" w:hAnsi="Times New Roman" w:cs="Times New Roman"/>
          <w:color w:val="222222"/>
          <w:sz w:val="24"/>
          <w:szCs w:val="24"/>
          <w:shd w:val="clear" w:color="auto" w:fill="FFFFFF"/>
        </w:rPr>
        <w:t>Panainte-Lehadus</w:t>
      </w:r>
      <w:proofErr w:type="spellEnd"/>
      <w:r w:rsidRPr="00054FF7">
        <w:rPr>
          <w:rFonts w:ascii="Times New Roman" w:hAnsi="Times New Roman" w:cs="Times New Roman"/>
          <w:color w:val="222222"/>
          <w:sz w:val="24"/>
          <w:szCs w:val="24"/>
          <w:shd w:val="clear" w:color="auto" w:fill="FFFFFF"/>
        </w:rPr>
        <w:t xml:space="preserve">, M., </w:t>
      </w:r>
      <w:proofErr w:type="spellStart"/>
      <w:r w:rsidRPr="00054FF7">
        <w:rPr>
          <w:rFonts w:ascii="Times New Roman" w:hAnsi="Times New Roman" w:cs="Times New Roman"/>
          <w:color w:val="222222"/>
          <w:sz w:val="24"/>
          <w:szCs w:val="24"/>
          <w:shd w:val="clear" w:color="auto" w:fill="FFFFFF"/>
        </w:rPr>
        <w:t>Mosnegutu</w:t>
      </w:r>
      <w:proofErr w:type="spellEnd"/>
      <w:r w:rsidRPr="00054FF7">
        <w:rPr>
          <w:rFonts w:ascii="Times New Roman" w:hAnsi="Times New Roman" w:cs="Times New Roman"/>
          <w:color w:val="222222"/>
          <w:sz w:val="24"/>
          <w:szCs w:val="24"/>
          <w:shd w:val="clear" w:color="auto" w:fill="FFFFFF"/>
        </w:rPr>
        <w:t>, E., ... &amp; Irimia, O. (2023). Assessment of manure compost used as soil amendment—A review. </w:t>
      </w:r>
      <w:r w:rsidRPr="00054FF7">
        <w:rPr>
          <w:rFonts w:ascii="Times New Roman" w:hAnsi="Times New Roman" w:cs="Times New Roman"/>
          <w:i/>
          <w:iCs/>
          <w:color w:val="222222"/>
          <w:sz w:val="24"/>
          <w:szCs w:val="24"/>
          <w:shd w:val="clear" w:color="auto" w:fill="FFFFFF"/>
        </w:rPr>
        <w:t>Processes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11</w:t>
      </w:r>
      <w:r w:rsidRPr="00054FF7">
        <w:rPr>
          <w:rFonts w:ascii="Times New Roman" w:hAnsi="Times New Roman" w:cs="Times New Roman"/>
          <w:color w:val="222222"/>
          <w:sz w:val="24"/>
          <w:szCs w:val="24"/>
          <w:shd w:val="clear" w:color="auto" w:fill="FFFFFF"/>
        </w:rPr>
        <w:t>(4), 1167.</w:t>
      </w:r>
    </w:p>
    <w:p w14:paraId="2A41482E"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Hammerschmidt, R., Nuckles, E. M. </w:t>
      </w:r>
      <w:proofErr w:type="gramStart"/>
      <w:r w:rsidRPr="00054FF7">
        <w:rPr>
          <w:rFonts w:ascii="Times New Roman" w:eastAsia="Times New Roman" w:hAnsi="Times New Roman" w:cs="Times New Roman"/>
          <w:sz w:val="24"/>
          <w:szCs w:val="24"/>
          <w:lang w:eastAsia="en-IN"/>
        </w:rPr>
        <w:t xml:space="preserve">and  </w:t>
      </w:r>
      <w:proofErr w:type="spellStart"/>
      <w:r w:rsidRPr="00054FF7">
        <w:rPr>
          <w:rFonts w:ascii="Times New Roman" w:eastAsia="Times New Roman" w:hAnsi="Times New Roman" w:cs="Times New Roman"/>
          <w:sz w:val="24"/>
          <w:szCs w:val="24"/>
          <w:lang w:eastAsia="en-IN"/>
        </w:rPr>
        <w:t>Kuć</w:t>
      </w:r>
      <w:proofErr w:type="spellEnd"/>
      <w:proofErr w:type="gramEnd"/>
      <w:r w:rsidRPr="00054FF7">
        <w:rPr>
          <w:rFonts w:ascii="Times New Roman" w:eastAsia="Times New Roman" w:hAnsi="Times New Roman" w:cs="Times New Roman"/>
          <w:sz w:val="24"/>
          <w:szCs w:val="24"/>
          <w:lang w:eastAsia="en-IN"/>
        </w:rPr>
        <w:t xml:space="preserve">, J. (1982). Association of enhanced peroxidase activity with induced systemic resistance of cucumber to </w:t>
      </w:r>
      <w:proofErr w:type="spellStart"/>
      <w:r w:rsidRPr="00054FF7">
        <w:rPr>
          <w:rFonts w:ascii="Times New Roman" w:eastAsia="Times New Roman" w:hAnsi="Times New Roman" w:cs="Times New Roman"/>
          <w:i/>
          <w:sz w:val="24"/>
          <w:szCs w:val="24"/>
          <w:lang w:eastAsia="en-IN"/>
        </w:rPr>
        <w:t>Colletotrichum</w:t>
      </w:r>
      <w:proofErr w:type="spellEnd"/>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lagenarium</w:t>
      </w:r>
      <w:proofErr w:type="spellEnd"/>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20</w:t>
      </w:r>
      <w:r w:rsidRPr="00054FF7">
        <w:rPr>
          <w:rFonts w:ascii="Times New Roman" w:eastAsia="Times New Roman" w:hAnsi="Times New Roman" w:cs="Times New Roman"/>
          <w:sz w:val="24"/>
          <w:szCs w:val="24"/>
          <w:lang w:eastAsia="en-IN"/>
        </w:rPr>
        <w:t>(1): 73-82.</w:t>
      </w:r>
    </w:p>
    <w:p w14:paraId="257ACE33"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p>
    <w:p w14:paraId="73454AEC"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Haque, Z., Nawaz, S., Haidar, L., &amp; Ansari, M. S. A. (2025).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-enriched neem cake mitigates Fusarium wilt of chickpea (</w:t>
      </w:r>
      <w:proofErr w:type="spellStart"/>
      <w:r w:rsidRPr="00054FF7">
        <w:rPr>
          <w:rFonts w:ascii="Times New Roman" w:hAnsi="Times New Roman" w:cs="Times New Roman"/>
          <w:i/>
          <w:iCs/>
          <w:color w:val="222222"/>
          <w:sz w:val="24"/>
          <w:szCs w:val="24"/>
          <w:shd w:val="clear" w:color="auto" w:fill="FFFFFF"/>
        </w:rPr>
        <w:t>Fusarium</w:t>
      </w:r>
      <w:proofErr w:type="spellEnd"/>
      <w:r w:rsidRPr="00054FF7">
        <w:rPr>
          <w:rFonts w:ascii="Times New Roman" w:hAnsi="Times New Roman" w:cs="Times New Roman"/>
          <w:i/>
          <w:iCs/>
          <w:color w:val="222222"/>
          <w:sz w:val="24"/>
          <w:szCs w:val="24"/>
          <w:shd w:val="clear" w:color="auto" w:fill="FFFFFF"/>
        </w:rPr>
        <w:t xml:space="preserve">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ciceris</w:t>
      </w:r>
      <w:proofErr w:type="spellEnd"/>
      <w:r w:rsidRPr="00054FF7">
        <w:rPr>
          <w:rFonts w:ascii="Times New Roman" w:hAnsi="Times New Roman" w:cs="Times New Roman"/>
          <w:color w:val="222222"/>
          <w:sz w:val="24"/>
          <w:szCs w:val="24"/>
          <w:shd w:val="clear" w:color="auto" w:fill="FFFFFF"/>
        </w:rPr>
        <w:t>). </w:t>
      </w:r>
      <w:proofErr w:type="spellStart"/>
      <w:r w:rsidRPr="00054FF7">
        <w:rPr>
          <w:rFonts w:ascii="Times New Roman" w:hAnsi="Times New Roman" w:cs="Times New Roman"/>
          <w:i/>
          <w:iCs/>
          <w:color w:val="222222"/>
          <w:sz w:val="24"/>
          <w:szCs w:val="24"/>
          <w:shd w:val="clear" w:color="auto" w:fill="FFFFFF"/>
        </w:rPr>
        <w:t>BioControl</w:t>
      </w:r>
      <w:proofErr w:type="spellEnd"/>
      <w:r w:rsidRPr="00054FF7">
        <w:rPr>
          <w:rFonts w:ascii="Times New Roman" w:hAnsi="Times New Roman" w:cs="Times New Roman"/>
          <w:color w:val="222222"/>
          <w:sz w:val="24"/>
          <w:szCs w:val="24"/>
          <w:shd w:val="clear" w:color="auto" w:fill="FFFFFF"/>
        </w:rPr>
        <w:t>, 1-11.</w:t>
      </w:r>
    </w:p>
    <w:p w14:paraId="44583C1E"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Jain, A., Singh, S., Sarma, B. K. and Singh, H. B. (2012). Microbial consortium–mediated reprogramming of </w:t>
      </w:r>
      <w:proofErr w:type="spellStart"/>
      <w:r w:rsidRPr="00054FF7">
        <w:rPr>
          <w:rFonts w:ascii="Times New Roman" w:hAnsi="Times New Roman" w:cs="Times New Roman"/>
          <w:color w:val="000000" w:themeColor="text1"/>
          <w:sz w:val="24"/>
          <w:szCs w:val="24"/>
          <w:shd w:val="clear" w:color="auto" w:fill="FFFFFF"/>
        </w:rPr>
        <w:t>defence</w:t>
      </w:r>
      <w:proofErr w:type="spellEnd"/>
      <w:r w:rsidRPr="00054FF7">
        <w:rPr>
          <w:rFonts w:ascii="Times New Roman" w:hAnsi="Times New Roman" w:cs="Times New Roman"/>
          <w:color w:val="000000" w:themeColor="text1"/>
          <w:sz w:val="24"/>
          <w:szCs w:val="24"/>
          <w:shd w:val="clear" w:color="auto" w:fill="FFFFFF"/>
        </w:rPr>
        <w:t xml:space="preserve"> network in pea to enhance tolerance against </w:t>
      </w:r>
      <w:proofErr w:type="spellStart"/>
      <w:r w:rsidRPr="00054FF7">
        <w:rPr>
          <w:rFonts w:ascii="Times New Roman" w:hAnsi="Times New Roman" w:cs="Times New Roman"/>
          <w:i/>
          <w:color w:val="000000" w:themeColor="text1"/>
          <w:sz w:val="24"/>
          <w:szCs w:val="24"/>
          <w:shd w:val="clear" w:color="auto" w:fill="FFFFFF"/>
        </w:rPr>
        <w:t>Sclerotinia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sclerotiorum</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Journal of Applied Microbiology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112</w:t>
      </w:r>
      <w:r w:rsidRPr="00054FF7">
        <w:rPr>
          <w:rFonts w:ascii="Times New Roman" w:hAnsi="Times New Roman" w:cs="Times New Roman"/>
          <w:color w:val="000000" w:themeColor="text1"/>
          <w:sz w:val="24"/>
          <w:szCs w:val="24"/>
          <w:shd w:val="clear" w:color="auto" w:fill="FFFFFF"/>
        </w:rPr>
        <w:t>(3): 537-550.</w:t>
      </w:r>
    </w:p>
    <w:p w14:paraId="08071275"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25BD7E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222222"/>
          <w:sz w:val="24"/>
          <w:szCs w:val="24"/>
          <w:shd w:val="clear" w:color="auto" w:fill="FFFFFF"/>
        </w:rPr>
        <w:t xml:space="preserve">Jyoti Singh, J. S., Rajput, R. S., </w:t>
      </w:r>
      <w:proofErr w:type="spellStart"/>
      <w:r w:rsidRPr="00054FF7">
        <w:rPr>
          <w:rFonts w:ascii="Times New Roman" w:hAnsi="Times New Roman" w:cs="Times New Roman"/>
          <w:color w:val="222222"/>
          <w:sz w:val="24"/>
          <w:szCs w:val="24"/>
          <w:shd w:val="clear" w:color="auto" w:fill="FFFFFF"/>
        </w:rPr>
        <w:t>Kartikay</w:t>
      </w:r>
      <w:proofErr w:type="spellEnd"/>
      <w:r w:rsidRPr="00054FF7">
        <w:rPr>
          <w:rFonts w:ascii="Times New Roman" w:hAnsi="Times New Roman" w:cs="Times New Roman"/>
          <w:color w:val="222222"/>
          <w:sz w:val="24"/>
          <w:szCs w:val="24"/>
          <w:shd w:val="clear" w:color="auto" w:fill="FFFFFF"/>
        </w:rPr>
        <w:t xml:space="preserve"> </w:t>
      </w:r>
      <w:proofErr w:type="spellStart"/>
      <w:r w:rsidRPr="00054FF7">
        <w:rPr>
          <w:rFonts w:ascii="Times New Roman" w:hAnsi="Times New Roman" w:cs="Times New Roman"/>
          <w:color w:val="222222"/>
          <w:sz w:val="24"/>
          <w:szCs w:val="24"/>
          <w:shd w:val="clear" w:color="auto" w:fill="FFFFFF"/>
        </w:rPr>
        <w:t>Bisen</w:t>
      </w:r>
      <w:proofErr w:type="spellEnd"/>
      <w:r w:rsidRPr="00054FF7">
        <w:rPr>
          <w:rFonts w:ascii="Times New Roman" w:hAnsi="Times New Roman" w:cs="Times New Roman"/>
          <w:color w:val="222222"/>
          <w:sz w:val="24"/>
          <w:szCs w:val="24"/>
          <w:shd w:val="clear" w:color="auto" w:fill="FFFFFF"/>
        </w:rPr>
        <w:t xml:space="preserve">, K. B., Surendra Singh, S. S., &amp; Singh, H. B. (2017). Role of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secondary metabolites in plant growth promotion and biological control. In </w:t>
      </w:r>
      <w:r w:rsidRPr="00054FF7">
        <w:rPr>
          <w:rFonts w:ascii="Times New Roman" w:hAnsi="Times New Roman" w:cs="Times New Roman"/>
          <w:i/>
          <w:iCs/>
          <w:color w:val="222222"/>
          <w:sz w:val="24"/>
          <w:szCs w:val="24"/>
          <w:shd w:val="clear" w:color="auto" w:fill="FFFFFF"/>
        </w:rPr>
        <w:t>Advances in PGPR research</w:t>
      </w:r>
      <w:r w:rsidRPr="00054FF7">
        <w:rPr>
          <w:rFonts w:ascii="Times New Roman" w:hAnsi="Times New Roman" w:cs="Times New Roman"/>
          <w:color w:val="222222"/>
          <w:sz w:val="24"/>
          <w:szCs w:val="24"/>
          <w:shd w:val="clear" w:color="auto" w:fill="FFFFFF"/>
        </w:rPr>
        <w:t> (pp. 411-426). Wallingford UK: CABI.</w:t>
      </w:r>
    </w:p>
    <w:p w14:paraId="687600F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20F29D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Kumar, N., Hong, S., Zhu, Y., Garay, A., Yang, J., Henderson, D., ... &amp; Li, Y. (2025). Comprehensive review of chickpea (</w:t>
      </w:r>
      <w:r w:rsidRPr="00054FF7">
        <w:rPr>
          <w:rFonts w:ascii="Times New Roman" w:hAnsi="Times New Roman" w:cs="Times New Roman"/>
          <w:i/>
          <w:iCs/>
          <w:color w:val="222222"/>
          <w:sz w:val="24"/>
          <w:szCs w:val="24"/>
          <w:shd w:val="clear" w:color="auto" w:fill="FFFFFF"/>
        </w:rPr>
        <w:t>Cicer arietinum</w:t>
      </w:r>
      <w:r w:rsidRPr="00054FF7">
        <w:rPr>
          <w:rFonts w:ascii="Times New Roman" w:hAnsi="Times New Roman" w:cs="Times New Roman"/>
          <w:color w:val="222222"/>
          <w:sz w:val="24"/>
          <w:szCs w:val="24"/>
          <w:shd w:val="clear" w:color="auto" w:fill="FFFFFF"/>
        </w:rPr>
        <w:t>): Nutritional significance, health benefits, techno‐functionalities, and food applications. </w:t>
      </w:r>
      <w:r w:rsidRPr="00054FF7">
        <w:rPr>
          <w:rFonts w:ascii="Times New Roman" w:hAnsi="Times New Roman" w:cs="Times New Roman"/>
          <w:i/>
          <w:iCs/>
          <w:color w:val="222222"/>
          <w:sz w:val="24"/>
          <w:szCs w:val="24"/>
          <w:shd w:val="clear" w:color="auto" w:fill="FFFFFF"/>
        </w:rPr>
        <w:t>Comprehensive Reviews in Food Science and Food Safety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24</w:t>
      </w:r>
      <w:r w:rsidRPr="00054FF7">
        <w:rPr>
          <w:rFonts w:ascii="Times New Roman" w:hAnsi="Times New Roman" w:cs="Times New Roman"/>
          <w:color w:val="222222"/>
          <w:sz w:val="24"/>
          <w:szCs w:val="24"/>
          <w:shd w:val="clear" w:color="auto" w:fill="FFFFFF"/>
        </w:rPr>
        <w:t>(2), e70152.</w:t>
      </w:r>
    </w:p>
    <w:p w14:paraId="6AC411F6"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EF1FECD"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Kumari, R., Kumar, V., </w:t>
      </w:r>
      <w:proofErr w:type="spellStart"/>
      <w:r w:rsidRPr="00054FF7">
        <w:rPr>
          <w:rFonts w:ascii="Times New Roman" w:hAnsi="Times New Roman" w:cs="Times New Roman"/>
          <w:color w:val="222222"/>
          <w:sz w:val="24"/>
          <w:szCs w:val="24"/>
          <w:shd w:val="clear" w:color="auto" w:fill="FFFFFF"/>
        </w:rPr>
        <w:t>Arukha</w:t>
      </w:r>
      <w:proofErr w:type="spellEnd"/>
      <w:r w:rsidRPr="00054FF7">
        <w:rPr>
          <w:rFonts w:ascii="Times New Roman" w:hAnsi="Times New Roman" w:cs="Times New Roman"/>
          <w:color w:val="222222"/>
          <w:sz w:val="24"/>
          <w:szCs w:val="24"/>
          <w:shd w:val="clear" w:color="auto" w:fill="FFFFFF"/>
        </w:rPr>
        <w:t xml:space="preserve">, A. P., Rabbee, M. F., Ameen, F., &amp; Koul, B. (2024). Screening of the biocontrol efficacy of potent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strains against </w:t>
      </w:r>
      <w:proofErr w:type="spellStart"/>
      <w:r w:rsidRPr="00054FF7">
        <w:rPr>
          <w:rFonts w:ascii="Times New Roman" w:hAnsi="Times New Roman" w:cs="Times New Roman"/>
          <w:i/>
          <w:iCs/>
          <w:color w:val="222222"/>
          <w:sz w:val="24"/>
          <w:szCs w:val="24"/>
          <w:shd w:val="clear" w:color="auto" w:fill="FFFFFF"/>
        </w:rPr>
        <w:t>Fusarium</w:t>
      </w:r>
      <w:proofErr w:type="spellEnd"/>
      <w:r w:rsidRPr="00054FF7">
        <w:rPr>
          <w:rFonts w:ascii="Times New Roman" w:hAnsi="Times New Roman" w:cs="Times New Roman"/>
          <w:i/>
          <w:iCs/>
          <w:color w:val="222222"/>
          <w:sz w:val="24"/>
          <w:szCs w:val="24"/>
          <w:shd w:val="clear" w:color="auto" w:fill="FFFFFF"/>
        </w:rPr>
        <w:t xml:space="preserve">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w:t>
      </w:r>
      <w:proofErr w:type="spellEnd"/>
      <w:r w:rsidRPr="00054FF7">
        <w:rPr>
          <w:rFonts w:ascii="Times New Roman" w:hAnsi="Times New Roman" w:cs="Times New Roman"/>
          <w:color w:val="222222"/>
          <w:sz w:val="24"/>
          <w:szCs w:val="24"/>
          <w:shd w:val="clear" w:color="auto" w:fill="FFFFFF"/>
        </w:rPr>
        <w:t xml:space="preserve"> and </w:t>
      </w:r>
      <w:proofErr w:type="spellStart"/>
      <w:r w:rsidRPr="00054FF7">
        <w:rPr>
          <w:rFonts w:ascii="Times New Roman" w:hAnsi="Times New Roman" w:cs="Times New Roman"/>
          <w:i/>
          <w:iCs/>
          <w:color w:val="222222"/>
          <w:sz w:val="24"/>
          <w:szCs w:val="24"/>
          <w:shd w:val="clear" w:color="auto" w:fill="FFFFFF"/>
        </w:rPr>
        <w:t>Scelrotium</w:t>
      </w:r>
      <w:proofErr w:type="spellEnd"/>
      <w:r w:rsidRPr="00054FF7">
        <w:rPr>
          <w:rFonts w:ascii="Times New Roman" w:hAnsi="Times New Roman" w:cs="Times New Roman"/>
          <w:i/>
          <w:iCs/>
          <w:color w:val="222222"/>
          <w:sz w:val="24"/>
          <w:szCs w:val="24"/>
          <w:shd w:val="clear" w:color="auto" w:fill="FFFFFF"/>
        </w:rPr>
        <w:t xml:space="preserve"> </w:t>
      </w:r>
      <w:proofErr w:type="spellStart"/>
      <w:r w:rsidRPr="00054FF7">
        <w:rPr>
          <w:rFonts w:ascii="Times New Roman" w:hAnsi="Times New Roman" w:cs="Times New Roman"/>
          <w:i/>
          <w:iCs/>
          <w:color w:val="222222"/>
          <w:sz w:val="24"/>
          <w:szCs w:val="24"/>
          <w:shd w:val="clear" w:color="auto" w:fill="FFFFFF"/>
        </w:rPr>
        <w:t>rolfsii</w:t>
      </w:r>
      <w:proofErr w:type="spellEnd"/>
      <w:r w:rsidRPr="00054FF7">
        <w:rPr>
          <w:rFonts w:ascii="Times New Roman" w:hAnsi="Times New Roman" w:cs="Times New Roman"/>
          <w:color w:val="222222"/>
          <w:sz w:val="24"/>
          <w:szCs w:val="24"/>
          <w:shd w:val="clear" w:color="auto" w:fill="FFFFFF"/>
        </w:rPr>
        <w:t xml:space="preserve"> causing wilt and collar rot in chickpea. </w:t>
      </w:r>
      <w:r w:rsidRPr="00054FF7">
        <w:rPr>
          <w:rFonts w:ascii="Times New Roman" w:hAnsi="Times New Roman" w:cs="Times New Roman"/>
          <w:i/>
          <w:iCs/>
          <w:color w:val="222222"/>
          <w:sz w:val="24"/>
          <w:szCs w:val="24"/>
          <w:shd w:val="clear" w:color="auto" w:fill="FFFFFF"/>
        </w:rPr>
        <w:t>Microorganisms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(7), 1280.</w:t>
      </w:r>
    </w:p>
    <w:p w14:paraId="24C9090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F6BB2BF"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hAnsi="Times New Roman" w:cs="Times New Roman"/>
          <w:color w:val="222222"/>
          <w:sz w:val="24"/>
          <w:szCs w:val="24"/>
          <w:shd w:val="clear" w:color="auto" w:fill="FFFFFF"/>
        </w:rPr>
        <w:t xml:space="preserve">Mulatu, G., &amp; </w:t>
      </w:r>
      <w:proofErr w:type="spellStart"/>
      <w:r w:rsidRPr="00054FF7">
        <w:rPr>
          <w:rFonts w:ascii="Times New Roman" w:hAnsi="Times New Roman" w:cs="Times New Roman"/>
          <w:color w:val="222222"/>
          <w:sz w:val="24"/>
          <w:szCs w:val="24"/>
          <w:shd w:val="clear" w:color="auto" w:fill="FFFFFF"/>
        </w:rPr>
        <w:t>Bayata</w:t>
      </w:r>
      <w:proofErr w:type="spellEnd"/>
      <w:r w:rsidRPr="00054FF7">
        <w:rPr>
          <w:rFonts w:ascii="Times New Roman" w:hAnsi="Times New Roman" w:cs="Times New Roman"/>
          <w:color w:val="222222"/>
          <w:sz w:val="24"/>
          <w:szCs w:val="24"/>
          <w:shd w:val="clear" w:color="auto" w:fill="FFFFFF"/>
        </w:rPr>
        <w:t>, A. (2024). Vermicompost as Organic Amendment: Effects on Some Soil Physical, Biological Properties and Crops Performance on Acidic Soil: A Review. </w:t>
      </w:r>
      <w:r w:rsidRPr="00054FF7">
        <w:rPr>
          <w:rFonts w:ascii="Times New Roman" w:hAnsi="Times New Roman" w:cs="Times New Roman"/>
          <w:i/>
          <w:iCs/>
          <w:color w:val="222222"/>
          <w:sz w:val="24"/>
          <w:szCs w:val="24"/>
          <w:shd w:val="clear" w:color="auto" w:fill="FFFFFF"/>
        </w:rPr>
        <w:t>Frontiers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(4), 66-73.</w:t>
      </w:r>
    </w:p>
    <w:p w14:paraId="71B5307C"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F1202D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Nawrocka, J., </w:t>
      </w:r>
      <w:proofErr w:type="spellStart"/>
      <w:r w:rsidRPr="00054FF7">
        <w:rPr>
          <w:rFonts w:ascii="Times New Roman" w:hAnsi="Times New Roman" w:cs="Times New Roman"/>
          <w:color w:val="000000" w:themeColor="text1"/>
          <w:sz w:val="24"/>
          <w:szCs w:val="24"/>
          <w:shd w:val="clear" w:color="auto" w:fill="FFFFFF"/>
        </w:rPr>
        <w:t>Małolepsza</w:t>
      </w:r>
      <w:proofErr w:type="spellEnd"/>
      <w:r w:rsidRPr="00054FF7">
        <w:rPr>
          <w:rFonts w:ascii="Times New Roman" w:hAnsi="Times New Roman" w:cs="Times New Roman"/>
          <w:color w:val="000000" w:themeColor="text1"/>
          <w:sz w:val="24"/>
          <w:szCs w:val="24"/>
          <w:shd w:val="clear" w:color="auto" w:fill="FFFFFF"/>
        </w:rPr>
        <w:t xml:space="preserve">, U., Szymczak, K. and Szczech, M. (2018). Involvement of metabolic components, volatile compounds, PR proteins, and mechanical strengthening in multilayer protection of cucumber plants against </w:t>
      </w:r>
      <w:proofErr w:type="spellStart"/>
      <w:r w:rsidRPr="00054FF7">
        <w:rPr>
          <w:rFonts w:ascii="Times New Roman" w:hAnsi="Times New Roman" w:cs="Times New Roman"/>
          <w:i/>
          <w:color w:val="000000" w:themeColor="text1"/>
          <w:sz w:val="24"/>
          <w:szCs w:val="24"/>
          <w:shd w:val="clear" w:color="auto" w:fill="FFFFFF"/>
        </w:rPr>
        <w:t>Rhizoctonia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solani</w:t>
      </w:r>
      <w:proofErr w:type="spellEnd"/>
      <w:r w:rsidRPr="00054FF7">
        <w:rPr>
          <w:rFonts w:ascii="Times New Roman" w:hAnsi="Times New Roman" w:cs="Times New Roman"/>
          <w:color w:val="000000" w:themeColor="text1"/>
          <w:sz w:val="24"/>
          <w:szCs w:val="24"/>
          <w:shd w:val="clear" w:color="auto" w:fill="FFFFFF"/>
        </w:rPr>
        <w:t xml:space="preserve"> activated by </w:t>
      </w:r>
      <w:proofErr w:type="spellStart"/>
      <w:r w:rsidRPr="00054FF7">
        <w:rPr>
          <w:rFonts w:ascii="Times New Roman" w:hAnsi="Times New Roman" w:cs="Times New Roman"/>
          <w:i/>
          <w:color w:val="000000" w:themeColor="text1"/>
          <w:sz w:val="24"/>
          <w:szCs w:val="24"/>
          <w:shd w:val="clear" w:color="auto" w:fill="FFFFFF"/>
        </w:rPr>
        <w:t>Trichoderma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atroviride</w:t>
      </w:r>
      <w:proofErr w:type="spellEnd"/>
      <w:r w:rsidRPr="00054FF7">
        <w:rPr>
          <w:rFonts w:ascii="Times New Roman" w:hAnsi="Times New Roman" w:cs="Times New Roman"/>
          <w:color w:val="000000" w:themeColor="text1"/>
          <w:sz w:val="24"/>
          <w:szCs w:val="24"/>
          <w:shd w:val="clear" w:color="auto" w:fill="FFFFFF"/>
        </w:rPr>
        <w:t xml:space="preserve"> TRS25. </w:t>
      </w:r>
      <w:proofErr w:type="spellStart"/>
      <w:r w:rsidRPr="00054FF7">
        <w:rPr>
          <w:rFonts w:ascii="Times New Roman" w:hAnsi="Times New Roman" w:cs="Times New Roman"/>
          <w:i/>
          <w:iCs/>
          <w:color w:val="000000" w:themeColor="text1"/>
          <w:sz w:val="24"/>
          <w:szCs w:val="24"/>
          <w:shd w:val="clear" w:color="auto" w:fill="FFFFFF"/>
        </w:rPr>
        <w:t>Protoplasma</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255</w:t>
      </w:r>
      <w:r w:rsidRPr="00054FF7">
        <w:rPr>
          <w:rFonts w:ascii="Times New Roman" w:hAnsi="Times New Roman" w:cs="Times New Roman"/>
          <w:color w:val="000000" w:themeColor="text1"/>
          <w:sz w:val="24"/>
          <w:szCs w:val="24"/>
          <w:shd w:val="clear" w:color="auto" w:fill="FFFFFF"/>
        </w:rPr>
        <w:t>(1): 359-373.</w:t>
      </w:r>
    </w:p>
    <w:p w14:paraId="01043E2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AD08F7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Nieto-Cantero, J., García-López, A. M., </w:t>
      </w:r>
      <w:proofErr w:type="spellStart"/>
      <w:r w:rsidRPr="00054FF7">
        <w:rPr>
          <w:rFonts w:ascii="Times New Roman" w:hAnsi="Times New Roman" w:cs="Times New Roman"/>
          <w:color w:val="222222"/>
          <w:sz w:val="24"/>
          <w:szCs w:val="24"/>
          <w:shd w:val="clear" w:color="auto" w:fill="FFFFFF"/>
        </w:rPr>
        <w:t>Recena</w:t>
      </w:r>
      <w:proofErr w:type="spellEnd"/>
      <w:r w:rsidRPr="00054FF7">
        <w:rPr>
          <w:rFonts w:ascii="Times New Roman" w:hAnsi="Times New Roman" w:cs="Times New Roman"/>
          <w:color w:val="222222"/>
          <w:sz w:val="24"/>
          <w:szCs w:val="24"/>
          <w:shd w:val="clear" w:color="auto" w:fill="FFFFFF"/>
        </w:rPr>
        <w:t>, R., Quintero, J. M., &amp; Delgado, A. (2025). Recycling Manure as Vermicompost: Assessing Phosphorus Fertilizer Efficiency and Effects on Soil Health Under Different Soil Management. </w:t>
      </w:r>
      <w:r w:rsidRPr="00054FF7">
        <w:rPr>
          <w:rFonts w:ascii="Times New Roman" w:hAnsi="Times New Roman" w:cs="Times New Roman"/>
          <w:i/>
          <w:iCs/>
          <w:color w:val="222222"/>
          <w:sz w:val="24"/>
          <w:szCs w:val="24"/>
          <w:shd w:val="clear" w:color="auto" w:fill="FFFFFF"/>
        </w:rPr>
        <w:t>Journal of Soil Science and Plant Nutrition</w:t>
      </w:r>
      <w:r w:rsidRPr="00054FF7">
        <w:rPr>
          <w:rFonts w:ascii="Times New Roman" w:hAnsi="Times New Roman" w:cs="Times New Roman"/>
          <w:color w:val="222222"/>
          <w:sz w:val="24"/>
          <w:szCs w:val="24"/>
          <w:shd w:val="clear" w:color="auto" w:fill="FFFFFF"/>
        </w:rPr>
        <w:t>, 1-16.</w:t>
      </w:r>
    </w:p>
    <w:p w14:paraId="4E1DB94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558C7D8"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Oyege</w:t>
      </w:r>
      <w:proofErr w:type="spellEnd"/>
      <w:r w:rsidRPr="00054FF7">
        <w:rPr>
          <w:rFonts w:ascii="Times New Roman" w:hAnsi="Times New Roman" w:cs="Times New Roman"/>
          <w:color w:val="222222"/>
          <w:sz w:val="24"/>
          <w:szCs w:val="24"/>
          <w:shd w:val="clear" w:color="auto" w:fill="FFFFFF"/>
        </w:rPr>
        <w:t>, I., &amp; Balaji Bhaskar, M. S. (2023). Effects of vermicompost on soil and plant health and promoting sustainable agriculture. </w:t>
      </w:r>
      <w:r w:rsidRPr="00054FF7">
        <w:rPr>
          <w:rFonts w:ascii="Times New Roman" w:hAnsi="Times New Roman" w:cs="Times New Roman"/>
          <w:i/>
          <w:iCs/>
          <w:color w:val="222222"/>
          <w:sz w:val="24"/>
          <w:szCs w:val="24"/>
          <w:shd w:val="clear" w:color="auto" w:fill="FFFFFF"/>
        </w:rPr>
        <w:t>Soil Systems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7</w:t>
      </w:r>
      <w:r w:rsidRPr="00054FF7">
        <w:rPr>
          <w:rFonts w:ascii="Times New Roman" w:hAnsi="Times New Roman" w:cs="Times New Roman"/>
          <w:color w:val="222222"/>
          <w:sz w:val="24"/>
          <w:szCs w:val="24"/>
          <w:shd w:val="clear" w:color="auto" w:fill="FFFFFF"/>
        </w:rPr>
        <w:t>(4), 101.</w:t>
      </w:r>
    </w:p>
    <w:p w14:paraId="19F787BB"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81ED7BE"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Rao, G. S., Reddy, N. N. R., and Surekha, C. (2015). Induction of plant systemic resistance in Legumes </w:t>
      </w:r>
      <w:proofErr w:type="spellStart"/>
      <w:r w:rsidRPr="00054FF7">
        <w:rPr>
          <w:rFonts w:ascii="Times New Roman" w:hAnsi="Times New Roman" w:cs="Times New Roman"/>
          <w:i/>
          <w:color w:val="000000" w:themeColor="text1"/>
          <w:sz w:val="24"/>
          <w:szCs w:val="24"/>
          <w:shd w:val="clear" w:color="auto" w:fill="FFFFFF"/>
        </w:rPr>
        <w:t>Cajanus</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cajan</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Vigna</w:t>
      </w:r>
      <w:proofErr w:type="spellEnd"/>
      <w:r w:rsidRPr="00054FF7">
        <w:rPr>
          <w:rFonts w:ascii="Times New Roman" w:hAnsi="Times New Roman" w:cs="Times New Roman"/>
          <w:i/>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radiata</w:t>
      </w:r>
      <w:proofErr w:type="spellEnd"/>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Vigna mungo</w:t>
      </w:r>
      <w:r w:rsidRPr="00054FF7">
        <w:rPr>
          <w:rFonts w:ascii="Times New Roman" w:hAnsi="Times New Roman" w:cs="Times New Roman"/>
          <w:color w:val="000000" w:themeColor="text1"/>
          <w:sz w:val="24"/>
          <w:szCs w:val="24"/>
          <w:shd w:val="clear" w:color="auto" w:fill="FFFFFF"/>
        </w:rPr>
        <w:t xml:space="preserve"> against plant pathogens </w:t>
      </w:r>
      <w:proofErr w:type="spellStart"/>
      <w:r w:rsidRPr="00054FF7">
        <w:rPr>
          <w:rFonts w:ascii="Times New Roman" w:hAnsi="Times New Roman" w:cs="Times New Roman"/>
          <w:i/>
          <w:color w:val="000000" w:themeColor="text1"/>
          <w:sz w:val="24"/>
          <w:szCs w:val="24"/>
          <w:shd w:val="clear" w:color="auto" w:fill="FFFFFF"/>
        </w:rPr>
        <w:t>Fusarium</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oxysporum</w:t>
      </w:r>
      <w:proofErr w:type="spellEnd"/>
      <w:r w:rsidRPr="00054FF7">
        <w:rPr>
          <w:rFonts w:ascii="Times New Roman" w:hAnsi="Times New Roman" w:cs="Times New Roman"/>
          <w:color w:val="000000" w:themeColor="text1"/>
          <w:sz w:val="24"/>
          <w:szCs w:val="24"/>
          <w:shd w:val="clear" w:color="auto" w:fill="FFFFFF"/>
        </w:rPr>
        <w:t xml:space="preserve"> and </w:t>
      </w:r>
      <w:proofErr w:type="spellStart"/>
      <w:r w:rsidRPr="00054FF7">
        <w:rPr>
          <w:rFonts w:ascii="Times New Roman" w:hAnsi="Times New Roman" w:cs="Times New Roman"/>
          <w:color w:val="000000" w:themeColor="text1"/>
          <w:sz w:val="24"/>
          <w:szCs w:val="24"/>
          <w:shd w:val="clear" w:color="auto" w:fill="FFFFFF"/>
        </w:rPr>
        <w:t>A</w:t>
      </w:r>
      <w:r w:rsidRPr="00054FF7">
        <w:rPr>
          <w:rFonts w:ascii="Times New Roman" w:hAnsi="Times New Roman" w:cs="Times New Roman"/>
          <w:i/>
          <w:color w:val="000000" w:themeColor="text1"/>
          <w:sz w:val="24"/>
          <w:szCs w:val="24"/>
          <w:shd w:val="clear" w:color="auto" w:fill="FFFFFF"/>
        </w:rPr>
        <w:t>lternaria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alternata</w:t>
      </w:r>
      <w:proofErr w:type="spellEnd"/>
      <w:r w:rsidRPr="00054FF7">
        <w:rPr>
          <w:rFonts w:ascii="Times New Roman" w:hAnsi="Times New Roman" w:cs="Times New Roman"/>
          <w:color w:val="000000" w:themeColor="text1"/>
          <w:sz w:val="24"/>
          <w:szCs w:val="24"/>
          <w:shd w:val="clear" w:color="auto" w:fill="FFFFFF"/>
        </w:rPr>
        <w:t xml:space="preserve">–a </w:t>
      </w:r>
      <w:r w:rsidRPr="00054FF7">
        <w:rPr>
          <w:rFonts w:ascii="Times New Roman" w:hAnsi="Times New Roman" w:cs="Times New Roman"/>
          <w:i/>
          <w:color w:val="000000" w:themeColor="text1"/>
          <w:sz w:val="24"/>
          <w:szCs w:val="24"/>
          <w:shd w:val="clear" w:color="auto" w:fill="FFFFFF"/>
        </w:rPr>
        <w:t>Trichoderma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viride</w:t>
      </w:r>
      <w:r w:rsidRPr="00054FF7">
        <w:rPr>
          <w:rFonts w:ascii="Times New Roman" w:hAnsi="Times New Roman" w:cs="Times New Roman"/>
          <w:color w:val="000000" w:themeColor="text1"/>
          <w:sz w:val="24"/>
          <w:szCs w:val="24"/>
          <w:shd w:val="clear" w:color="auto" w:fill="FFFFFF"/>
        </w:rPr>
        <w:t xml:space="preserve"> mediated reprogramming of plant defense mechanism. </w:t>
      </w:r>
      <w:r w:rsidRPr="00054FF7">
        <w:rPr>
          <w:rFonts w:ascii="Times New Roman" w:hAnsi="Times New Roman" w:cs="Times New Roman"/>
          <w:i/>
          <w:iCs/>
          <w:color w:val="000000" w:themeColor="text1"/>
          <w:sz w:val="24"/>
          <w:szCs w:val="24"/>
          <w:shd w:val="clear" w:color="auto" w:fill="FFFFFF"/>
        </w:rPr>
        <w:t>International Journal of Recent Scientific Research</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w:t>
      </w:r>
      <w:r w:rsidRPr="00054FF7">
        <w:rPr>
          <w:rFonts w:ascii="Times New Roman" w:hAnsi="Times New Roman" w:cs="Times New Roman"/>
          <w:color w:val="000000" w:themeColor="text1"/>
          <w:sz w:val="24"/>
          <w:szCs w:val="24"/>
          <w:shd w:val="clear" w:color="auto" w:fill="FFFFFF"/>
        </w:rPr>
        <w:t>(5): 4270-4280.</w:t>
      </w:r>
    </w:p>
    <w:p w14:paraId="624760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74C001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Raza, S. T., Wu, J., Rene, E. R., Ali, Z., &amp; Chen, Z. (2022). Reuse of agricultural wastes, manure, and biochar as an organic amendment: A review on its implications for vermicomposting technology. </w:t>
      </w:r>
      <w:r w:rsidRPr="00054FF7">
        <w:rPr>
          <w:rFonts w:ascii="Times New Roman" w:hAnsi="Times New Roman" w:cs="Times New Roman"/>
          <w:i/>
          <w:iCs/>
          <w:color w:val="222222"/>
          <w:sz w:val="24"/>
          <w:szCs w:val="24"/>
          <w:shd w:val="clear" w:color="auto" w:fill="FFFFFF"/>
        </w:rPr>
        <w:t>Journal of Cleaner Production</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360</w:t>
      </w:r>
      <w:r w:rsidRPr="00054FF7">
        <w:rPr>
          <w:rFonts w:ascii="Times New Roman" w:hAnsi="Times New Roman" w:cs="Times New Roman"/>
          <w:color w:val="222222"/>
          <w:sz w:val="24"/>
          <w:szCs w:val="24"/>
          <w:shd w:val="clear" w:color="auto" w:fill="FFFFFF"/>
        </w:rPr>
        <w:t>, 132200.</w:t>
      </w:r>
    </w:p>
    <w:p w14:paraId="69ACEDF6"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A31F49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Shanmugam, V., and </w:t>
      </w:r>
      <w:proofErr w:type="spellStart"/>
      <w:r w:rsidRPr="00054FF7">
        <w:rPr>
          <w:rFonts w:ascii="Times New Roman" w:hAnsi="Times New Roman" w:cs="Times New Roman"/>
          <w:color w:val="000000" w:themeColor="text1"/>
          <w:sz w:val="24"/>
          <w:szCs w:val="24"/>
          <w:shd w:val="clear" w:color="auto" w:fill="FFFFFF"/>
        </w:rPr>
        <w:t>Kanoujia</w:t>
      </w:r>
      <w:proofErr w:type="spellEnd"/>
      <w:r w:rsidRPr="00054FF7">
        <w:rPr>
          <w:rFonts w:ascii="Times New Roman" w:hAnsi="Times New Roman" w:cs="Times New Roman"/>
          <w:color w:val="000000" w:themeColor="text1"/>
          <w:sz w:val="24"/>
          <w:szCs w:val="24"/>
          <w:shd w:val="clear" w:color="auto" w:fill="FFFFFF"/>
        </w:rPr>
        <w:t xml:space="preserve">, N. (2011). Biological management of vascular wilt of tomato caused by </w:t>
      </w:r>
      <w:proofErr w:type="spellStart"/>
      <w:r w:rsidRPr="00054FF7">
        <w:rPr>
          <w:rFonts w:ascii="Times New Roman" w:hAnsi="Times New Roman" w:cs="Times New Roman"/>
          <w:i/>
          <w:iCs/>
          <w:color w:val="000000" w:themeColor="text1"/>
          <w:sz w:val="24"/>
          <w:szCs w:val="24"/>
          <w:shd w:val="clear" w:color="auto" w:fill="FFFFFF"/>
        </w:rPr>
        <w:t>Fusarium</w:t>
      </w:r>
      <w:proofErr w:type="spellEnd"/>
      <w:r w:rsidRPr="00054FF7">
        <w:rPr>
          <w:rFonts w:ascii="Times New Roman" w:hAnsi="Times New Roman" w:cs="Times New Roman"/>
          <w:i/>
          <w:iCs/>
          <w:color w:val="000000" w:themeColor="text1"/>
          <w:sz w:val="24"/>
          <w:szCs w:val="24"/>
          <w:shd w:val="clear" w:color="auto" w:fill="FFFFFF"/>
        </w:rPr>
        <w:t xml:space="preserve"> </w:t>
      </w:r>
      <w:proofErr w:type="spellStart"/>
      <w:r w:rsidRPr="00054FF7">
        <w:rPr>
          <w:rFonts w:ascii="Times New Roman" w:hAnsi="Times New Roman" w:cs="Times New Roman"/>
          <w:i/>
          <w:iCs/>
          <w:color w:val="000000" w:themeColor="text1"/>
          <w:sz w:val="24"/>
          <w:szCs w:val="24"/>
          <w:shd w:val="clear" w:color="auto" w:fill="FFFFFF"/>
        </w:rPr>
        <w:t>oxysporum</w:t>
      </w:r>
      <w:proofErr w:type="spellEnd"/>
      <w:r w:rsidRPr="00054FF7">
        <w:rPr>
          <w:rFonts w:ascii="Times New Roman" w:hAnsi="Times New Roman" w:cs="Times New Roman"/>
          <w:color w:val="000000" w:themeColor="text1"/>
          <w:sz w:val="24"/>
          <w:szCs w:val="24"/>
          <w:shd w:val="clear" w:color="auto" w:fill="FFFFFF"/>
        </w:rPr>
        <w:t xml:space="preserve"> f. sp. </w:t>
      </w:r>
      <w:proofErr w:type="spellStart"/>
      <w:r w:rsidRPr="00054FF7">
        <w:rPr>
          <w:rFonts w:ascii="Times New Roman" w:hAnsi="Times New Roman" w:cs="Times New Roman"/>
          <w:i/>
          <w:iCs/>
          <w:color w:val="000000" w:themeColor="text1"/>
          <w:sz w:val="24"/>
          <w:szCs w:val="24"/>
          <w:shd w:val="clear" w:color="auto" w:fill="FFFFFF"/>
        </w:rPr>
        <w:t>lycospersici</w:t>
      </w:r>
      <w:proofErr w:type="spellEnd"/>
      <w:r w:rsidRPr="00054FF7">
        <w:rPr>
          <w:rFonts w:ascii="Times New Roman" w:hAnsi="Times New Roman" w:cs="Times New Roman"/>
          <w:color w:val="000000" w:themeColor="text1"/>
          <w:sz w:val="24"/>
          <w:szCs w:val="24"/>
          <w:shd w:val="clear" w:color="auto" w:fill="FFFFFF"/>
        </w:rPr>
        <w:t xml:space="preserve"> by plant growth-promoting rhizobacterial mixture. </w:t>
      </w:r>
      <w:r w:rsidRPr="00054FF7">
        <w:rPr>
          <w:rFonts w:ascii="Times New Roman" w:hAnsi="Times New Roman" w:cs="Times New Roman"/>
          <w:i/>
          <w:iCs/>
          <w:color w:val="000000" w:themeColor="text1"/>
          <w:sz w:val="24"/>
          <w:szCs w:val="24"/>
          <w:shd w:val="clear" w:color="auto" w:fill="FFFFFF"/>
        </w:rPr>
        <w:t>Biological Control</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57</w:t>
      </w:r>
      <w:r w:rsidRPr="00054FF7">
        <w:rPr>
          <w:rFonts w:ascii="Times New Roman" w:hAnsi="Times New Roman" w:cs="Times New Roman"/>
          <w:color w:val="000000" w:themeColor="text1"/>
          <w:sz w:val="24"/>
          <w:szCs w:val="24"/>
          <w:shd w:val="clear" w:color="auto" w:fill="FFFFFF"/>
        </w:rPr>
        <w:t>(2): 85-93.</w:t>
      </w:r>
    </w:p>
    <w:p w14:paraId="5982541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7E02E59"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Shariati, S., Alikhani, H. A., &amp; </w:t>
      </w:r>
      <w:proofErr w:type="spellStart"/>
      <w:r w:rsidRPr="00054FF7">
        <w:rPr>
          <w:rFonts w:ascii="Times New Roman" w:hAnsi="Times New Roman" w:cs="Times New Roman"/>
          <w:color w:val="222222"/>
          <w:sz w:val="24"/>
          <w:szCs w:val="24"/>
          <w:shd w:val="clear" w:color="auto" w:fill="FFFFFF"/>
        </w:rPr>
        <w:t>Pourbabaei</w:t>
      </w:r>
      <w:proofErr w:type="spellEnd"/>
      <w:r w:rsidRPr="00054FF7">
        <w:rPr>
          <w:rFonts w:ascii="Times New Roman" w:hAnsi="Times New Roman" w:cs="Times New Roman"/>
          <w:color w:val="222222"/>
          <w:sz w:val="24"/>
          <w:szCs w:val="24"/>
          <w:shd w:val="clear" w:color="auto" w:fill="FFFFFF"/>
        </w:rPr>
        <w:t>, A. (2013). Application of vermicompost as a carrier of phosphate solubilizing bacteria (</w:t>
      </w:r>
      <w:r w:rsidRPr="00054FF7">
        <w:rPr>
          <w:rFonts w:ascii="Times New Roman" w:hAnsi="Times New Roman" w:cs="Times New Roman"/>
          <w:i/>
          <w:iCs/>
          <w:color w:val="222222"/>
          <w:sz w:val="24"/>
          <w:szCs w:val="24"/>
          <w:shd w:val="clear" w:color="auto" w:fill="FFFFFF"/>
        </w:rPr>
        <w:t>Pseudomonas fluorescens</w:t>
      </w:r>
      <w:r w:rsidRPr="00054FF7">
        <w:rPr>
          <w:rFonts w:ascii="Times New Roman" w:hAnsi="Times New Roman" w:cs="Times New Roman"/>
          <w:color w:val="222222"/>
          <w:sz w:val="24"/>
          <w:szCs w:val="24"/>
          <w:shd w:val="clear" w:color="auto" w:fill="FFFFFF"/>
        </w:rPr>
        <w:t>) in increase growth parameters of maize.</w:t>
      </w:r>
    </w:p>
    <w:p w14:paraId="6E5EF72D"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lastRenderedPageBreak/>
        <w:t xml:space="preserve">Singh, A., Jain, A., Sarma, B. K., Abhilash, P. C. and Singh, H. B. (2013). Solid waste management of temple floral offerings by vermicomposting using </w:t>
      </w:r>
      <w:proofErr w:type="spellStart"/>
      <w:r w:rsidRPr="00054FF7">
        <w:rPr>
          <w:rFonts w:ascii="Times New Roman" w:hAnsi="Times New Roman" w:cs="Times New Roman"/>
          <w:i/>
          <w:color w:val="000000" w:themeColor="text1"/>
          <w:sz w:val="24"/>
          <w:szCs w:val="24"/>
          <w:shd w:val="clear" w:color="auto" w:fill="FFFFFF"/>
        </w:rPr>
        <w:t>Eisenia</w:t>
      </w:r>
      <w:proofErr w:type="spellEnd"/>
      <w:r w:rsidRPr="00054FF7">
        <w:rPr>
          <w:rFonts w:ascii="Times New Roman" w:hAnsi="Times New Roman" w:cs="Times New Roman"/>
          <w:i/>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fetida</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Waste management</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33</w:t>
      </w:r>
      <w:r w:rsidRPr="00054FF7">
        <w:rPr>
          <w:rFonts w:ascii="Times New Roman" w:hAnsi="Times New Roman" w:cs="Times New Roman"/>
          <w:color w:val="000000" w:themeColor="text1"/>
          <w:sz w:val="24"/>
          <w:szCs w:val="24"/>
          <w:shd w:val="clear" w:color="auto" w:fill="FFFFFF"/>
        </w:rPr>
        <w:t>(5): 1113-1118.</w:t>
      </w:r>
    </w:p>
    <w:p w14:paraId="4C3D7A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D8F6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Singh, V. K., Malhi, G. S., Kaur, M., Singh, G., &amp; Jatav, H. S. (2022). Use of organic soil amendments for improving soil ecosystem health and crop productivity. </w:t>
      </w:r>
      <w:r w:rsidRPr="00054FF7">
        <w:rPr>
          <w:rFonts w:ascii="Times New Roman" w:hAnsi="Times New Roman" w:cs="Times New Roman"/>
          <w:i/>
          <w:iCs/>
          <w:color w:val="222222"/>
          <w:sz w:val="24"/>
          <w:szCs w:val="24"/>
          <w:shd w:val="clear" w:color="auto" w:fill="FFFFFF"/>
        </w:rPr>
        <w:t>Ecosystem Services</w:t>
      </w:r>
      <w:r w:rsidRPr="00054FF7">
        <w:rPr>
          <w:rFonts w:ascii="Times New Roman" w:hAnsi="Times New Roman" w:cs="Times New Roman"/>
          <w:color w:val="222222"/>
          <w:sz w:val="24"/>
          <w:szCs w:val="24"/>
          <w:shd w:val="clear" w:color="auto" w:fill="FFFFFF"/>
        </w:rPr>
        <w:t>.</w:t>
      </w:r>
    </w:p>
    <w:p w14:paraId="3158EC24"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Song, W., Zhou, L., Yang, C., Cao, X., Zhang, L. and Liu, X. (2004). Tomato </w:t>
      </w:r>
      <w:r w:rsidRPr="00054FF7">
        <w:rPr>
          <w:rFonts w:ascii="Times New Roman" w:eastAsia="Times New Roman" w:hAnsi="Times New Roman" w:cs="Times New Roman"/>
          <w:i/>
          <w:sz w:val="24"/>
          <w:szCs w:val="24"/>
          <w:lang w:eastAsia="en-IN"/>
        </w:rPr>
        <w:t>Fusarium</w:t>
      </w:r>
      <w:r w:rsidRPr="00054FF7">
        <w:rPr>
          <w:rFonts w:ascii="Times New Roman" w:eastAsia="Times New Roman" w:hAnsi="Times New Roman" w:cs="Times New Roman"/>
          <w:sz w:val="24"/>
          <w:szCs w:val="24"/>
          <w:lang w:eastAsia="en-IN"/>
        </w:rPr>
        <w:t xml:space="preserve"> wilt and its chemical control strategies in a hydroponic system. </w:t>
      </w:r>
      <w:r w:rsidRPr="00054FF7">
        <w:rPr>
          <w:rFonts w:ascii="Times New Roman" w:eastAsia="Times New Roman" w:hAnsi="Times New Roman" w:cs="Times New Roman"/>
          <w:i/>
          <w:iCs/>
          <w:sz w:val="24"/>
          <w:szCs w:val="24"/>
          <w:lang w:eastAsia="en-IN"/>
        </w:rPr>
        <w:t>Crop protection</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23</w:t>
      </w:r>
      <w:r w:rsidRPr="00054FF7">
        <w:rPr>
          <w:rFonts w:ascii="Times New Roman" w:eastAsia="Times New Roman" w:hAnsi="Times New Roman" w:cs="Times New Roman"/>
          <w:sz w:val="24"/>
          <w:szCs w:val="24"/>
          <w:lang w:eastAsia="en-IN"/>
        </w:rPr>
        <w:t>(3): 243-247.</w:t>
      </w:r>
    </w:p>
    <w:p w14:paraId="3B67EFD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D686E30"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Van der Ent, S., Van Wees, S. C. and Pieterse, C. M. (2009). </w:t>
      </w:r>
      <w:proofErr w:type="spellStart"/>
      <w:r w:rsidRPr="00054FF7">
        <w:rPr>
          <w:rFonts w:ascii="Times New Roman" w:hAnsi="Times New Roman" w:cs="Times New Roman"/>
          <w:color w:val="000000" w:themeColor="text1"/>
          <w:sz w:val="24"/>
          <w:szCs w:val="24"/>
          <w:shd w:val="clear" w:color="auto" w:fill="FFFFFF"/>
        </w:rPr>
        <w:t>Jasmonate</w:t>
      </w:r>
      <w:proofErr w:type="spellEnd"/>
      <w:r w:rsidRPr="00054FF7">
        <w:rPr>
          <w:rFonts w:ascii="Times New Roman" w:hAnsi="Times New Roman" w:cs="Times New Roman"/>
          <w:color w:val="000000" w:themeColor="text1"/>
          <w:sz w:val="24"/>
          <w:szCs w:val="24"/>
          <w:shd w:val="clear" w:color="auto" w:fill="FFFFFF"/>
        </w:rPr>
        <w:t xml:space="preserve"> signaling in plant interactions with resistance-inducing beneficial microbes. </w:t>
      </w:r>
      <w:r w:rsidRPr="00054FF7">
        <w:rPr>
          <w:rFonts w:ascii="Times New Roman" w:hAnsi="Times New Roman" w:cs="Times New Roman"/>
          <w:i/>
          <w:iCs/>
          <w:color w:val="000000" w:themeColor="text1"/>
          <w:sz w:val="24"/>
          <w:szCs w:val="24"/>
          <w:shd w:val="clear" w:color="auto" w:fill="FFFFFF"/>
        </w:rPr>
        <w:t>Phytochemistry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70</w:t>
      </w:r>
      <w:r w:rsidRPr="00054FF7">
        <w:rPr>
          <w:rFonts w:ascii="Times New Roman" w:hAnsi="Times New Roman" w:cs="Times New Roman"/>
          <w:color w:val="000000" w:themeColor="text1"/>
          <w:sz w:val="24"/>
          <w:szCs w:val="24"/>
          <w:shd w:val="clear" w:color="auto" w:fill="FFFFFF"/>
        </w:rPr>
        <w:t>(13-14): 1581-1588.</w:t>
      </w:r>
    </w:p>
    <w:p w14:paraId="4A57D691"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6CF5C2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Wang, X. X., Zhao, F., Zhang, G., Zhang, Y. and Yang, L. (2017). Vermicompost improves tomato yield and quality and the biochemical properties of soils with different tomato planting history in a greenhouse study. </w:t>
      </w:r>
      <w:r w:rsidRPr="00054FF7">
        <w:rPr>
          <w:rFonts w:ascii="Times New Roman" w:hAnsi="Times New Roman" w:cs="Times New Roman"/>
          <w:i/>
          <w:iCs/>
          <w:color w:val="000000" w:themeColor="text1"/>
          <w:sz w:val="24"/>
          <w:szCs w:val="24"/>
          <w:shd w:val="clear" w:color="auto" w:fill="FFFFFF"/>
        </w:rPr>
        <w:t>Frontiers in plant science</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8</w:t>
      </w:r>
      <w:r w:rsidRPr="00054FF7">
        <w:rPr>
          <w:rFonts w:ascii="Times New Roman" w:hAnsi="Times New Roman" w:cs="Times New Roman"/>
          <w:color w:val="000000" w:themeColor="text1"/>
          <w:sz w:val="24"/>
          <w:szCs w:val="24"/>
          <w:shd w:val="clear" w:color="auto" w:fill="FFFFFF"/>
        </w:rPr>
        <w:t>: 1978.</w:t>
      </w:r>
    </w:p>
    <w:p w14:paraId="7C1032F0"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47F2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Wonglom</w:t>
      </w:r>
      <w:proofErr w:type="spellEnd"/>
      <w:r w:rsidRPr="00054FF7">
        <w:rPr>
          <w:rFonts w:ascii="Times New Roman" w:hAnsi="Times New Roman" w:cs="Times New Roman"/>
          <w:color w:val="222222"/>
          <w:sz w:val="24"/>
          <w:szCs w:val="24"/>
          <w:shd w:val="clear" w:color="auto" w:fill="FFFFFF"/>
        </w:rPr>
        <w:t xml:space="preserve">, P., </w:t>
      </w:r>
      <w:proofErr w:type="spellStart"/>
      <w:r w:rsidRPr="00054FF7">
        <w:rPr>
          <w:rFonts w:ascii="Times New Roman" w:hAnsi="Times New Roman" w:cs="Times New Roman"/>
          <w:color w:val="222222"/>
          <w:sz w:val="24"/>
          <w:szCs w:val="24"/>
          <w:shd w:val="clear" w:color="auto" w:fill="FFFFFF"/>
        </w:rPr>
        <w:t>Ruangwong</w:t>
      </w:r>
      <w:proofErr w:type="spellEnd"/>
      <w:r w:rsidRPr="00054FF7">
        <w:rPr>
          <w:rFonts w:ascii="Times New Roman" w:hAnsi="Times New Roman" w:cs="Times New Roman"/>
          <w:color w:val="222222"/>
          <w:sz w:val="24"/>
          <w:szCs w:val="24"/>
          <w:shd w:val="clear" w:color="auto" w:fill="FFFFFF"/>
        </w:rPr>
        <w:t xml:space="preserve">, O. U., </w:t>
      </w:r>
      <w:proofErr w:type="spellStart"/>
      <w:r w:rsidRPr="00054FF7">
        <w:rPr>
          <w:rFonts w:ascii="Times New Roman" w:hAnsi="Times New Roman" w:cs="Times New Roman"/>
          <w:color w:val="222222"/>
          <w:sz w:val="24"/>
          <w:szCs w:val="24"/>
          <w:shd w:val="clear" w:color="auto" w:fill="FFFFFF"/>
        </w:rPr>
        <w:t>Poncheewin</w:t>
      </w:r>
      <w:proofErr w:type="spellEnd"/>
      <w:r w:rsidRPr="00054FF7">
        <w:rPr>
          <w:rFonts w:ascii="Times New Roman" w:hAnsi="Times New Roman" w:cs="Times New Roman"/>
          <w:color w:val="222222"/>
          <w:sz w:val="24"/>
          <w:szCs w:val="24"/>
          <w:shd w:val="clear" w:color="auto" w:fill="FFFFFF"/>
        </w:rPr>
        <w:t xml:space="preserve">, W., Arikit, S., </w:t>
      </w:r>
      <w:proofErr w:type="spellStart"/>
      <w:r w:rsidRPr="00054FF7">
        <w:rPr>
          <w:rFonts w:ascii="Times New Roman" w:hAnsi="Times New Roman" w:cs="Times New Roman"/>
          <w:color w:val="222222"/>
          <w:sz w:val="24"/>
          <w:szCs w:val="24"/>
          <w:shd w:val="clear" w:color="auto" w:fill="FFFFFF"/>
        </w:rPr>
        <w:t>Riangwong</w:t>
      </w:r>
      <w:proofErr w:type="spellEnd"/>
      <w:r w:rsidRPr="00054FF7">
        <w:rPr>
          <w:rFonts w:ascii="Times New Roman" w:hAnsi="Times New Roman" w:cs="Times New Roman"/>
          <w:color w:val="222222"/>
          <w:sz w:val="24"/>
          <w:szCs w:val="24"/>
          <w:shd w:val="clear" w:color="auto" w:fill="FFFFFF"/>
        </w:rPr>
        <w:t xml:space="preserve">, K., &amp; </w:t>
      </w:r>
      <w:proofErr w:type="spellStart"/>
      <w:r w:rsidRPr="00054FF7">
        <w:rPr>
          <w:rFonts w:ascii="Times New Roman" w:hAnsi="Times New Roman" w:cs="Times New Roman"/>
          <w:color w:val="222222"/>
          <w:sz w:val="24"/>
          <w:szCs w:val="24"/>
          <w:shd w:val="clear" w:color="auto" w:fill="FFFFFF"/>
        </w:rPr>
        <w:t>Sunpapao</w:t>
      </w:r>
      <w:proofErr w:type="spellEnd"/>
      <w:r w:rsidRPr="00054FF7">
        <w:rPr>
          <w:rFonts w:ascii="Times New Roman" w:hAnsi="Times New Roman" w:cs="Times New Roman"/>
          <w:color w:val="222222"/>
          <w:sz w:val="24"/>
          <w:szCs w:val="24"/>
          <w:shd w:val="clear" w:color="auto" w:fill="FFFFFF"/>
        </w:rPr>
        <w:t xml:space="preserve">, A. (2024). </w:t>
      </w:r>
      <w:proofErr w:type="spellStart"/>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-bioenriched</w:t>
      </w:r>
      <w:proofErr w:type="spellEnd"/>
      <w:r w:rsidRPr="00054FF7">
        <w:rPr>
          <w:rFonts w:ascii="Times New Roman" w:hAnsi="Times New Roman" w:cs="Times New Roman"/>
          <w:color w:val="222222"/>
          <w:sz w:val="24"/>
          <w:szCs w:val="24"/>
          <w:shd w:val="clear" w:color="auto" w:fill="FFFFFF"/>
        </w:rPr>
        <w:t xml:space="preserve"> </w:t>
      </w:r>
      <w:proofErr w:type="spellStart"/>
      <w:r w:rsidRPr="00054FF7">
        <w:rPr>
          <w:rFonts w:ascii="Times New Roman" w:hAnsi="Times New Roman" w:cs="Times New Roman"/>
          <w:color w:val="222222"/>
          <w:sz w:val="24"/>
          <w:szCs w:val="24"/>
          <w:shd w:val="clear" w:color="auto" w:fill="FFFFFF"/>
        </w:rPr>
        <w:t>vermicompost</w:t>
      </w:r>
      <w:proofErr w:type="spellEnd"/>
      <w:r w:rsidRPr="00054FF7">
        <w:rPr>
          <w:rFonts w:ascii="Times New Roman" w:hAnsi="Times New Roman" w:cs="Times New Roman"/>
          <w:color w:val="222222"/>
          <w:sz w:val="24"/>
          <w:szCs w:val="24"/>
          <w:shd w:val="clear" w:color="auto" w:fill="FFFFFF"/>
        </w:rPr>
        <w:t xml:space="preserve"> induces defense response and promotes plant growth in Thai rice variety “Chor Khing”. </w:t>
      </w:r>
      <w:r w:rsidRPr="00054FF7">
        <w:rPr>
          <w:rFonts w:ascii="Times New Roman" w:hAnsi="Times New Roman" w:cs="Times New Roman"/>
          <w:i/>
          <w:iCs/>
          <w:color w:val="222222"/>
          <w:sz w:val="24"/>
          <w:szCs w:val="24"/>
          <w:shd w:val="clear" w:color="auto" w:fill="FFFFFF"/>
        </w:rPr>
        <w:t>Journal of Fungi</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(8), 582.</w:t>
      </w:r>
    </w:p>
    <w:p w14:paraId="6CF1627C"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035C0ECF" w14:textId="77777777" w:rsidR="00054FF7" w:rsidRPr="00BC5AC9"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Zheng, Z. and Shetty, K. (2000). Solid-state bioconversion of phenolics from cranberry pomace and role of Lentinus edodes β-glucosidase. </w:t>
      </w:r>
      <w:r w:rsidRPr="00054FF7">
        <w:rPr>
          <w:rFonts w:ascii="Times New Roman" w:eastAsia="Times New Roman" w:hAnsi="Times New Roman" w:cs="Times New Roman"/>
          <w:i/>
          <w:iCs/>
          <w:sz w:val="24"/>
          <w:szCs w:val="24"/>
          <w:lang w:eastAsia="en-IN"/>
        </w:rPr>
        <w:t>Journal of Agricultural and Food 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48</w:t>
      </w:r>
      <w:r w:rsidRPr="00054FF7">
        <w:rPr>
          <w:rFonts w:ascii="Times New Roman" w:eastAsia="Times New Roman" w:hAnsi="Times New Roman" w:cs="Times New Roman"/>
          <w:sz w:val="24"/>
          <w:szCs w:val="24"/>
          <w:lang w:eastAsia="en-IN"/>
        </w:rPr>
        <w:t>(3): 895-900.</w:t>
      </w:r>
    </w:p>
    <w:p w14:paraId="7DB0D411" w14:textId="77777777" w:rsidR="00054FF7" w:rsidRPr="000F40B8" w:rsidRDefault="00054FF7" w:rsidP="000F40B8">
      <w:pPr>
        <w:spacing w:before="100" w:beforeAutospacing="1" w:after="100" w:afterAutospacing="1" w:line="360" w:lineRule="auto"/>
        <w:jc w:val="both"/>
        <w:rPr>
          <w:rFonts w:ascii="Times New Roman" w:hAnsi="Times New Roman" w:cs="Times New Roman"/>
          <w:b/>
          <w:sz w:val="24"/>
          <w:szCs w:val="24"/>
        </w:rPr>
      </w:pPr>
    </w:p>
    <w:sectPr w:rsidR="00054FF7" w:rsidRPr="000F40B8" w:rsidSect="005A3B07">
      <w:headerReference w:type="even" r:id="rId13"/>
      <w:headerReference w:type="default" r:id="rId14"/>
      <w:footerReference w:type="even" r:id="rId15"/>
      <w:footerReference w:type="default" r:id="rId16"/>
      <w:headerReference w:type="first" r:id="rId17"/>
      <w:footerReference w:type="first" r:id="rId18"/>
      <w:pgSz w:w="12240" w:h="15840"/>
      <w:pgMar w:top="126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orche" w:date="2025-07-09T00:07:00Z" w:initials="M">
    <w:p w14:paraId="6FD7B4E6" w14:textId="4143DE01" w:rsidR="005C1585" w:rsidRDefault="005C1585">
      <w:pPr>
        <w:pStyle w:val="CommentText"/>
      </w:pPr>
      <w:r>
        <w:rPr>
          <w:rStyle w:val="CommentReference"/>
        </w:rPr>
        <w:annotationRef/>
      </w:r>
    </w:p>
  </w:comment>
  <w:comment w:id="1" w:author="Moorche" w:date="2025-07-09T00:13:00Z" w:initials="M">
    <w:p w14:paraId="2A4DE65D" w14:textId="7021CE10" w:rsidR="005C1585" w:rsidRDefault="005C1585">
      <w:pPr>
        <w:pStyle w:val="CommentText"/>
      </w:pPr>
      <w:r>
        <w:rPr>
          <w:rStyle w:val="CommentReference"/>
        </w:rPr>
        <w:annotationRef/>
      </w:r>
      <w:r>
        <w:t>Italic</w:t>
      </w:r>
    </w:p>
  </w:comment>
  <w:comment w:id="2" w:author="Moorche" w:date="2025-07-09T00:13:00Z" w:initials="M">
    <w:p w14:paraId="63A8AF57" w14:textId="595B9AC9" w:rsidR="005C1585" w:rsidRDefault="005C1585">
      <w:pPr>
        <w:pStyle w:val="CommentText"/>
      </w:pPr>
      <w:r>
        <w:rPr>
          <w:rStyle w:val="CommentReference"/>
        </w:rPr>
        <w:annotationRef/>
      </w:r>
    </w:p>
  </w:comment>
  <w:comment w:id="3" w:author="Moorche" w:date="2025-07-09T00:24:00Z" w:initials="M">
    <w:p w14:paraId="2039E3DC" w14:textId="61F5474B" w:rsidR="00A02766" w:rsidRDefault="00A02766">
      <w:pPr>
        <w:pStyle w:val="CommentText"/>
      </w:pPr>
      <w:r>
        <w:rPr>
          <w:rStyle w:val="CommentReference"/>
        </w:rPr>
        <w:annotationRef/>
      </w:r>
      <w:r>
        <w:t>italic</w:t>
      </w:r>
    </w:p>
  </w:comment>
  <w:comment w:id="4" w:author="Moorche" w:date="2025-07-09T00:28:00Z" w:initials="M">
    <w:p w14:paraId="35FB616D" w14:textId="5CD6DD40" w:rsidR="002C0EFA" w:rsidRDefault="002C0EFA">
      <w:pPr>
        <w:pStyle w:val="CommentText"/>
      </w:pPr>
      <w:r>
        <w:rPr>
          <w:rStyle w:val="CommentReference"/>
        </w:rPr>
        <w:annotationRef/>
      </w:r>
      <w:r>
        <w:t>Not seen in reference section please incorporate it</w:t>
      </w:r>
    </w:p>
  </w:comment>
  <w:comment w:id="5" w:author="Moorche" w:date="2025-07-09T00:32:00Z" w:initials="M">
    <w:p w14:paraId="1F258749" w14:textId="723F9884" w:rsidR="00815341" w:rsidRDefault="00815341">
      <w:pPr>
        <w:pStyle w:val="CommentText"/>
      </w:pPr>
      <w:r>
        <w:rPr>
          <w:rStyle w:val="CommentReference"/>
        </w:rPr>
        <w:annotationRef/>
      </w:r>
      <w:r>
        <w:t>Foc1, foc2 mentioned in table -2 not in one please correct it</w:t>
      </w:r>
    </w:p>
  </w:comment>
  <w:comment w:id="6" w:author="Moorche" w:date="2025-07-09T00:41:00Z" w:initials="M">
    <w:p w14:paraId="3BEE3163" w14:textId="3B1A6EBF" w:rsidR="003E19A0" w:rsidRDefault="003E19A0">
      <w:pPr>
        <w:pStyle w:val="CommentText"/>
      </w:pPr>
      <w:r>
        <w:rPr>
          <w:rStyle w:val="CommentReference"/>
        </w:rPr>
        <w:annotationRef/>
      </w:r>
      <w:r>
        <w:t xml:space="preserve">Reference check with coated one is needed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7B4E6" w15:done="0"/>
  <w15:commentEx w15:paraId="2A4DE65D" w15:done="0"/>
  <w15:commentEx w15:paraId="63A8AF57" w15:done="0"/>
  <w15:commentEx w15:paraId="2039E3DC" w15:done="0"/>
  <w15:commentEx w15:paraId="35FB616D" w15:done="0"/>
  <w15:commentEx w15:paraId="1F258749" w15:done="0"/>
  <w15:commentEx w15:paraId="3BEE316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6F17" w14:textId="77777777" w:rsidR="00AD1A45" w:rsidRDefault="00AD1A45" w:rsidP="002C0F09">
      <w:pPr>
        <w:spacing w:after="0" w:line="240" w:lineRule="auto"/>
      </w:pPr>
      <w:r>
        <w:separator/>
      </w:r>
    </w:p>
  </w:endnote>
  <w:endnote w:type="continuationSeparator" w:id="0">
    <w:p w14:paraId="0D2DF087" w14:textId="77777777" w:rsidR="00AD1A45" w:rsidRDefault="00AD1A45" w:rsidP="002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D894" w14:textId="77777777" w:rsidR="002C0F09" w:rsidRDefault="002C0F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1639" w14:textId="77777777" w:rsidR="002C0F09" w:rsidRDefault="002C0F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ED57" w14:textId="77777777" w:rsidR="002C0F09" w:rsidRDefault="002C0F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FA5D" w14:textId="77777777" w:rsidR="00AD1A45" w:rsidRDefault="00AD1A45" w:rsidP="002C0F09">
      <w:pPr>
        <w:spacing w:after="0" w:line="240" w:lineRule="auto"/>
      </w:pPr>
      <w:r>
        <w:separator/>
      </w:r>
    </w:p>
  </w:footnote>
  <w:footnote w:type="continuationSeparator" w:id="0">
    <w:p w14:paraId="69EDB146" w14:textId="77777777" w:rsidR="00AD1A45" w:rsidRDefault="00AD1A45" w:rsidP="002C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865A" w14:textId="4B82E2B6" w:rsidR="002C0F09" w:rsidRDefault="00AD1A45">
    <w:pPr>
      <w:pStyle w:val="Header"/>
    </w:pPr>
    <w:r>
      <w:rPr>
        <w:noProof/>
      </w:rPr>
      <w:pict w14:anchorId="0F40F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7758" w14:textId="4F700D4F" w:rsidR="002C0F09" w:rsidRDefault="00AD1A45">
    <w:pPr>
      <w:pStyle w:val="Header"/>
    </w:pPr>
    <w:r>
      <w:rPr>
        <w:noProof/>
      </w:rPr>
      <w:pict w14:anchorId="5F8A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7974" w14:textId="1C96893B" w:rsidR="002C0F09" w:rsidRDefault="00AD1A45">
    <w:pPr>
      <w:pStyle w:val="Header"/>
    </w:pPr>
    <w:r>
      <w:rPr>
        <w:noProof/>
      </w:rPr>
      <w:pict w14:anchorId="05D02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641"/>
    <w:multiLevelType w:val="multilevel"/>
    <w:tmpl w:val="625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23A0"/>
    <w:multiLevelType w:val="hybridMultilevel"/>
    <w:tmpl w:val="180835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E2430"/>
    <w:multiLevelType w:val="hybridMultilevel"/>
    <w:tmpl w:val="671644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250835"/>
    <w:multiLevelType w:val="hybridMultilevel"/>
    <w:tmpl w:val="2B5AA9DE"/>
    <w:lvl w:ilvl="0" w:tplc="8A8211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C41BF"/>
    <w:multiLevelType w:val="hybridMultilevel"/>
    <w:tmpl w:val="D85CD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orche">
    <w15:presenceInfo w15:providerId="None" w15:userId="Moor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40B8"/>
    <w:rsid w:val="00012456"/>
    <w:rsid w:val="00054FF7"/>
    <w:rsid w:val="000F40B8"/>
    <w:rsid w:val="00120B41"/>
    <w:rsid w:val="00153F5E"/>
    <w:rsid w:val="001B779C"/>
    <w:rsid w:val="002C0EFA"/>
    <w:rsid w:val="002C0F09"/>
    <w:rsid w:val="002F2518"/>
    <w:rsid w:val="003B5223"/>
    <w:rsid w:val="003E19A0"/>
    <w:rsid w:val="005A3B07"/>
    <w:rsid w:val="005C1585"/>
    <w:rsid w:val="005D4F7C"/>
    <w:rsid w:val="00661AE0"/>
    <w:rsid w:val="006E2223"/>
    <w:rsid w:val="00743BD6"/>
    <w:rsid w:val="00815341"/>
    <w:rsid w:val="00855B82"/>
    <w:rsid w:val="008C765E"/>
    <w:rsid w:val="00A02766"/>
    <w:rsid w:val="00AD1A45"/>
    <w:rsid w:val="00D36426"/>
    <w:rsid w:val="00DA7334"/>
    <w:rsid w:val="00E566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9EAEC"/>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0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40B8"/>
    <w:rPr>
      <w:i/>
      <w:iCs/>
    </w:rPr>
  </w:style>
  <w:style w:type="character" w:styleId="Strong">
    <w:name w:val="Strong"/>
    <w:basedOn w:val="DefaultParagraphFont"/>
    <w:uiPriority w:val="22"/>
    <w:qFormat/>
    <w:rsid w:val="000F40B8"/>
    <w:rPr>
      <w:b/>
      <w:bCs/>
    </w:rPr>
  </w:style>
  <w:style w:type="table" w:styleId="TableGrid">
    <w:name w:val="Table Grid"/>
    <w:basedOn w:val="TableNormal"/>
    <w:uiPriority w:val="59"/>
    <w:rsid w:val="000F40B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40B8"/>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odyText">
    <w:name w:val="Body Text"/>
    <w:basedOn w:val="Normal"/>
    <w:link w:val="BodyTextChar"/>
    <w:rsid w:val="000F40B8"/>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F40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F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B8"/>
    <w:rPr>
      <w:rFonts w:ascii="Tahoma" w:hAnsi="Tahoma" w:cs="Tahoma"/>
      <w:sz w:val="16"/>
      <w:szCs w:val="16"/>
    </w:rPr>
  </w:style>
  <w:style w:type="paragraph" w:styleId="ListParagraph">
    <w:name w:val="List Paragraph"/>
    <w:basedOn w:val="Normal"/>
    <w:uiPriority w:val="34"/>
    <w:qFormat/>
    <w:rsid w:val="000F40B8"/>
    <w:pPr>
      <w:ind w:left="720"/>
      <w:contextualSpacing/>
    </w:pPr>
    <w:rPr>
      <w:rFonts w:eastAsiaTheme="minorEastAsia" w:cs="Mangal"/>
      <w:szCs w:val="20"/>
      <w:lang w:bidi="hi-IN"/>
    </w:rPr>
  </w:style>
  <w:style w:type="character" w:styleId="Hyperlink">
    <w:name w:val="Hyperlink"/>
    <w:basedOn w:val="DefaultParagraphFont"/>
    <w:uiPriority w:val="99"/>
    <w:unhideWhenUsed/>
    <w:rsid w:val="000F40B8"/>
    <w:rPr>
      <w:color w:val="0000FF"/>
      <w:u w:val="single"/>
    </w:rPr>
  </w:style>
  <w:style w:type="character" w:customStyle="1" w:styleId="UnresolvedMention">
    <w:name w:val="Unresolved Mention"/>
    <w:basedOn w:val="DefaultParagraphFont"/>
    <w:uiPriority w:val="99"/>
    <w:semiHidden/>
    <w:unhideWhenUsed/>
    <w:rsid w:val="00012456"/>
    <w:rPr>
      <w:color w:val="605E5C"/>
      <w:shd w:val="clear" w:color="auto" w:fill="E1DFDD"/>
    </w:rPr>
  </w:style>
  <w:style w:type="paragraph" w:styleId="Header">
    <w:name w:val="header"/>
    <w:basedOn w:val="Normal"/>
    <w:link w:val="HeaderChar"/>
    <w:uiPriority w:val="99"/>
    <w:unhideWhenUsed/>
    <w:rsid w:val="002C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09"/>
  </w:style>
  <w:style w:type="paragraph" w:styleId="Footer">
    <w:name w:val="footer"/>
    <w:basedOn w:val="Normal"/>
    <w:link w:val="FooterChar"/>
    <w:uiPriority w:val="99"/>
    <w:unhideWhenUsed/>
    <w:rsid w:val="002C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09"/>
  </w:style>
  <w:style w:type="character" w:styleId="CommentReference">
    <w:name w:val="annotation reference"/>
    <w:basedOn w:val="DefaultParagraphFont"/>
    <w:uiPriority w:val="99"/>
    <w:semiHidden/>
    <w:unhideWhenUsed/>
    <w:rsid w:val="005C1585"/>
    <w:rPr>
      <w:sz w:val="16"/>
      <w:szCs w:val="16"/>
    </w:rPr>
  </w:style>
  <w:style w:type="paragraph" w:styleId="CommentText">
    <w:name w:val="annotation text"/>
    <w:basedOn w:val="Normal"/>
    <w:link w:val="CommentTextChar"/>
    <w:uiPriority w:val="99"/>
    <w:semiHidden/>
    <w:unhideWhenUsed/>
    <w:rsid w:val="005C1585"/>
    <w:pPr>
      <w:spacing w:line="240" w:lineRule="auto"/>
    </w:pPr>
    <w:rPr>
      <w:sz w:val="20"/>
      <w:szCs w:val="20"/>
    </w:rPr>
  </w:style>
  <w:style w:type="character" w:customStyle="1" w:styleId="CommentTextChar">
    <w:name w:val="Comment Text Char"/>
    <w:basedOn w:val="DefaultParagraphFont"/>
    <w:link w:val="CommentText"/>
    <w:uiPriority w:val="99"/>
    <w:semiHidden/>
    <w:rsid w:val="005C1585"/>
    <w:rPr>
      <w:sz w:val="20"/>
      <w:szCs w:val="20"/>
    </w:rPr>
  </w:style>
  <w:style w:type="paragraph" w:styleId="CommentSubject">
    <w:name w:val="annotation subject"/>
    <w:basedOn w:val="CommentText"/>
    <w:next w:val="CommentText"/>
    <w:link w:val="CommentSubjectChar"/>
    <w:uiPriority w:val="99"/>
    <w:semiHidden/>
    <w:unhideWhenUsed/>
    <w:rsid w:val="005C1585"/>
    <w:rPr>
      <w:b/>
      <w:bCs/>
    </w:rPr>
  </w:style>
  <w:style w:type="character" w:customStyle="1" w:styleId="CommentSubjectChar">
    <w:name w:val="Comment Subject Char"/>
    <w:basedOn w:val="CommentTextChar"/>
    <w:link w:val="CommentSubject"/>
    <w:uiPriority w:val="99"/>
    <w:semiHidden/>
    <w:rsid w:val="005C1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6975">
      <w:bodyDiv w:val="1"/>
      <w:marLeft w:val="0"/>
      <w:marRight w:val="0"/>
      <w:marTop w:val="0"/>
      <w:marBottom w:val="0"/>
      <w:divBdr>
        <w:top w:val="none" w:sz="0" w:space="0" w:color="auto"/>
        <w:left w:val="none" w:sz="0" w:space="0" w:color="auto"/>
        <w:bottom w:val="none" w:sz="0" w:space="0" w:color="auto"/>
        <w:right w:val="none" w:sz="0" w:space="0" w:color="auto"/>
      </w:divBdr>
    </w:div>
    <w:div w:id="272369990">
      <w:bodyDiv w:val="1"/>
      <w:marLeft w:val="0"/>
      <w:marRight w:val="0"/>
      <w:marTop w:val="0"/>
      <w:marBottom w:val="0"/>
      <w:divBdr>
        <w:top w:val="none" w:sz="0" w:space="0" w:color="auto"/>
        <w:left w:val="none" w:sz="0" w:space="0" w:color="auto"/>
        <w:bottom w:val="none" w:sz="0" w:space="0" w:color="auto"/>
        <w:right w:val="none" w:sz="0" w:space="0" w:color="auto"/>
      </w:divBdr>
    </w:div>
    <w:div w:id="328796421">
      <w:bodyDiv w:val="1"/>
      <w:marLeft w:val="0"/>
      <w:marRight w:val="0"/>
      <w:marTop w:val="0"/>
      <w:marBottom w:val="0"/>
      <w:divBdr>
        <w:top w:val="none" w:sz="0" w:space="0" w:color="auto"/>
        <w:left w:val="none" w:sz="0" w:space="0" w:color="auto"/>
        <w:bottom w:val="none" w:sz="0" w:space="0" w:color="auto"/>
        <w:right w:val="none" w:sz="0" w:space="0" w:color="auto"/>
      </w:divBdr>
    </w:div>
    <w:div w:id="481237050">
      <w:bodyDiv w:val="1"/>
      <w:marLeft w:val="0"/>
      <w:marRight w:val="0"/>
      <w:marTop w:val="0"/>
      <w:marBottom w:val="0"/>
      <w:divBdr>
        <w:top w:val="none" w:sz="0" w:space="0" w:color="auto"/>
        <w:left w:val="none" w:sz="0" w:space="0" w:color="auto"/>
        <w:bottom w:val="none" w:sz="0" w:space="0" w:color="auto"/>
        <w:right w:val="none" w:sz="0" w:space="0" w:color="auto"/>
      </w:divBdr>
    </w:div>
    <w:div w:id="640774384">
      <w:bodyDiv w:val="1"/>
      <w:marLeft w:val="0"/>
      <w:marRight w:val="0"/>
      <w:marTop w:val="0"/>
      <w:marBottom w:val="0"/>
      <w:divBdr>
        <w:top w:val="none" w:sz="0" w:space="0" w:color="auto"/>
        <w:left w:val="none" w:sz="0" w:space="0" w:color="auto"/>
        <w:bottom w:val="none" w:sz="0" w:space="0" w:color="auto"/>
        <w:right w:val="none" w:sz="0" w:space="0" w:color="auto"/>
      </w:divBdr>
    </w:div>
    <w:div w:id="778187363">
      <w:bodyDiv w:val="1"/>
      <w:marLeft w:val="0"/>
      <w:marRight w:val="0"/>
      <w:marTop w:val="0"/>
      <w:marBottom w:val="0"/>
      <w:divBdr>
        <w:top w:val="none" w:sz="0" w:space="0" w:color="auto"/>
        <w:left w:val="none" w:sz="0" w:space="0" w:color="auto"/>
        <w:bottom w:val="none" w:sz="0" w:space="0" w:color="auto"/>
        <w:right w:val="none" w:sz="0" w:space="0" w:color="auto"/>
      </w:divBdr>
    </w:div>
    <w:div w:id="789667708">
      <w:bodyDiv w:val="1"/>
      <w:marLeft w:val="0"/>
      <w:marRight w:val="0"/>
      <w:marTop w:val="0"/>
      <w:marBottom w:val="0"/>
      <w:divBdr>
        <w:top w:val="none" w:sz="0" w:space="0" w:color="auto"/>
        <w:left w:val="none" w:sz="0" w:space="0" w:color="auto"/>
        <w:bottom w:val="none" w:sz="0" w:space="0" w:color="auto"/>
        <w:right w:val="none" w:sz="0" w:space="0" w:color="auto"/>
      </w:divBdr>
    </w:div>
    <w:div w:id="972056872">
      <w:bodyDiv w:val="1"/>
      <w:marLeft w:val="0"/>
      <w:marRight w:val="0"/>
      <w:marTop w:val="0"/>
      <w:marBottom w:val="0"/>
      <w:divBdr>
        <w:top w:val="none" w:sz="0" w:space="0" w:color="auto"/>
        <w:left w:val="none" w:sz="0" w:space="0" w:color="auto"/>
        <w:bottom w:val="none" w:sz="0" w:space="0" w:color="auto"/>
        <w:right w:val="none" w:sz="0" w:space="0" w:color="auto"/>
      </w:divBdr>
    </w:div>
    <w:div w:id="1038238062">
      <w:bodyDiv w:val="1"/>
      <w:marLeft w:val="0"/>
      <w:marRight w:val="0"/>
      <w:marTop w:val="0"/>
      <w:marBottom w:val="0"/>
      <w:divBdr>
        <w:top w:val="none" w:sz="0" w:space="0" w:color="auto"/>
        <w:left w:val="none" w:sz="0" w:space="0" w:color="auto"/>
        <w:bottom w:val="none" w:sz="0" w:space="0" w:color="auto"/>
        <w:right w:val="none" w:sz="0" w:space="0" w:color="auto"/>
      </w:divBdr>
    </w:div>
    <w:div w:id="1345211905">
      <w:bodyDiv w:val="1"/>
      <w:marLeft w:val="0"/>
      <w:marRight w:val="0"/>
      <w:marTop w:val="0"/>
      <w:marBottom w:val="0"/>
      <w:divBdr>
        <w:top w:val="none" w:sz="0" w:space="0" w:color="auto"/>
        <w:left w:val="none" w:sz="0" w:space="0" w:color="auto"/>
        <w:bottom w:val="none" w:sz="0" w:space="0" w:color="auto"/>
        <w:right w:val="none" w:sz="0" w:space="0" w:color="auto"/>
      </w:divBdr>
    </w:div>
    <w:div w:id="1357779218">
      <w:bodyDiv w:val="1"/>
      <w:marLeft w:val="0"/>
      <w:marRight w:val="0"/>
      <w:marTop w:val="0"/>
      <w:marBottom w:val="0"/>
      <w:divBdr>
        <w:top w:val="none" w:sz="0" w:space="0" w:color="auto"/>
        <w:left w:val="none" w:sz="0" w:space="0" w:color="auto"/>
        <w:bottom w:val="none" w:sz="0" w:space="0" w:color="auto"/>
        <w:right w:val="none" w:sz="0" w:space="0" w:color="auto"/>
      </w:divBdr>
    </w:div>
    <w:div w:id="1608191906">
      <w:bodyDiv w:val="1"/>
      <w:marLeft w:val="0"/>
      <w:marRight w:val="0"/>
      <w:marTop w:val="0"/>
      <w:marBottom w:val="0"/>
      <w:divBdr>
        <w:top w:val="none" w:sz="0" w:space="0" w:color="auto"/>
        <w:left w:val="none" w:sz="0" w:space="0" w:color="auto"/>
        <w:bottom w:val="none" w:sz="0" w:space="0" w:color="auto"/>
        <w:right w:val="none" w:sz="0" w:space="0" w:color="auto"/>
      </w:divBdr>
    </w:div>
    <w:div w:id="1664433876">
      <w:bodyDiv w:val="1"/>
      <w:marLeft w:val="0"/>
      <w:marRight w:val="0"/>
      <w:marTop w:val="0"/>
      <w:marBottom w:val="0"/>
      <w:divBdr>
        <w:top w:val="none" w:sz="0" w:space="0" w:color="auto"/>
        <w:left w:val="none" w:sz="0" w:space="0" w:color="auto"/>
        <w:bottom w:val="none" w:sz="0" w:space="0" w:color="auto"/>
        <w:right w:val="none" w:sz="0" w:space="0" w:color="auto"/>
      </w:divBdr>
    </w:div>
    <w:div w:id="2107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c:creator>
  <cp:lastModifiedBy>Moorche</cp:lastModifiedBy>
  <cp:revision>24</cp:revision>
  <dcterms:created xsi:type="dcterms:W3CDTF">2025-07-05T06:05:00Z</dcterms:created>
  <dcterms:modified xsi:type="dcterms:W3CDTF">2025-07-09T07:42:00Z</dcterms:modified>
</cp:coreProperties>
</file>