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C012" w14:textId="4B6E85AE" w:rsidR="00D06C96" w:rsidRPr="00C100F0" w:rsidRDefault="00D06C96" w:rsidP="00D06C96">
      <w:pPr>
        <w:pStyle w:val="Heading1"/>
        <w:spacing w:before="0"/>
        <w:ind w:left="412" w:right="99"/>
        <w:jc w:val="right"/>
        <w:rPr>
          <w:rStyle w:val="Emphasis"/>
          <w:rFonts w:ascii="Arial" w:hAnsi="Arial" w:cs="Arial"/>
          <w:iCs w:val="0"/>
          <w:sz w:val="32"/>
          <w:szCs w:val="20"/>
          <w:u w:val="single"/>
        </w:rPr>
      </w:pPr>
      <w:r w:rsidRPr="00C100F0">
        <w:rPr>
          <w:rStyle w:val="Emphasis"/>
          <w:rFonts w:ascii="Arial" w:hAnsi="Arial" w:cs="Arial"/>
          <w:iCs w:val="0"/>
          <w:sz w:val="32"/>
          <w:szCs w:val="20"/>
          <w:u w:val="single"/>
        </w:rPr>
        <w:t>Original research article</w:t>
      </w:r>
    </w:p>
    <w:p w14:paraId="6A0B31E9" w14:textId="77777777" w:rsidR="00D06C96" w:rsidRPr="00C100F0" w:rsidRDefault="00D06C96" w:rsidP="00D06C96">
      <w:pPr>
        <w:pStyle w:val="Heading1"/>
        <w:spacing w:before="0"/>
        <w:ind w:left="412" w:right="99"/>
        <w:jc w:val="right"/>
        <w:rPr>
          <w:rStyle w:val="Emphasis"/>
          <w:rFonts w:ascii="Arial" w:hAnsi="Arial" w:cs="Arial"/>
          <w:iCs w:val="0"/>
          <w:sz w:val="32"/>
          <w:szCs w:val="20"/>
          <w:u w:val="single"/>
        </w:rPr>
      </w:pPr>
    </w:p>
    <w:p w14:paraId="09A9C6DF" w14:textId="74759C32" w:rsidR="006F67FA" w:rsidRPr="00C100F0" w:rsidRDefault="008616EA" w:rsidP="00D06C96">
      <w:pPr>
        <w:pStyle w:val="Heading1"/>
        <w:spacing w:before="0"/>
        <w:ind w:left="412" w:right="99"/>
        <w:jc w:val="right"/>
        <w:rPr>
          <w:rStyle w:val="Emphasis"/>
          <w:rFonts w:ascii="Arial" w:hAnsi="Arial" w:cs="Arial"/>
          <w:i w:val="0"/>
          <w:iCs w:val="0"/>
          <w:sz w:val="32"/>
          <w:szCs w:val="20"/>
        </w:rPr>
      </w:pPr>
      <w:r w:rsidRPr="00C100F0">
        <w:rPr>
          <w:rStyle w:val="Emphasis"/>
          <w:rFonts w:ascii="Arial" w:hAnsi="Arial" w:cs="Arial"/>
          <w:i w:val="0"/>
          <w:iCs w:val="0"/>
          <w:sz w:val="32"/>
          <w:szCs w:val="20"/>
        </w:rPr>
        <w:t xml:space="preserve">Response of Organic Manures </w:t>
      </w:r>
      <w:r w:rsidR="004C1869" w:rsidRPr="00C100F0">
        <w:rPr>
          <w:rStyle w:val="Emphasis"/>
          <w:rFonts w:ascii="Arial" w:hAnsi="Arial" w:cs="Arial"/>
          <w:i w:val="0"/>
          <w:iCs w:val="0"/>
          <w:sz w:val="32"/>
          <w:szCs w:val="20"/>
        </w:rPr>
        <w:t>and GA</w:t>
      </w:r>
      <w:r w:rsidR="004C1869" w:rsidRPr="00C100F0">
        <w:rPr>
          <w:rStyle w:val="Emphasis"/>
          <w:rFonts w:ascii="Cambria Math" w:hAnsi="Cambria Math" w:cs="Cambria Math"/>
          <w:i w:val="0"/>
          <w:iCs w:val="0"/>
          <w:sz w:val="32"/>
          <w:szCs w:val="20"/>
        </w:rPr>
        <w:t>₃</w:t>
      </w:r>
      <w:r w:rsidR="004C1869" w:rsidRPr="00C100F0">
        <w:rPr>
          <w:rStyle w:val="Emphasis"/>
          <w:rFonts w:ascii="Arial" w:hAnsi="Arial" w:cs="Arial"/>
          <w:i w:val="0"/>
          <w:iCs w:val="0"/>
          <w:sz w:val="32"/>
          <w:szCs w:val="20"/>
        </w:rPr>
        <w:t xml:space="preserve"> on Growth and </w:t>
      </w:r>
      <w:r w:rsidR="00D06C96" w:rsidRPr="00C100F0">
        <w:rPr>
          <w:rStyle w:val="Emphasis"/>
          <w:rFonts w:ascii="Arial" w:hAnsi="Arial" w:cs="Arial"/>
          <w:i w:val="0"/>
          <w:iCs w:val="0"/>
          <w:sz w:val="32"/>
          <w:szCs w:val="20"/>
        </w:rPr>
        <w:t>Yield of</w:t>
      </w:r>
      <w:r w:rsidR="004C1869" w:rsidRPr="00C100F0">
        <w:rPr>
          <w:rStyle w:val="Emphasis"/>
          <w:rFonts w:ascii="Arial" w:hAnsi="Arial" w:cs="Arial"/>
          <w:i w:val="0"/>
          <w:iCs w:val="0"/>
          <w:sz w:val="32"/>
          <w:szCs w:val="20"/>
        </w:rPr>
        <w:t xml:space="preserve"> Tomato (</w:t>
      </w:r>
      <w:r w:rsidR="004C1869" w:rsidRPr="00C100F0">
        <w:rPr>
          <w:rStyle w:val="Emphasis"/>
          <w:rFonts w:ascii="Arial" w:hAnsi="Arial" w:cs="Arial"/>
          <w:iCs w:val="0"/>
          <w:sz w:val="32"/>
          <w:szCs w:val="20"/>
        </w:rPr>
        <w:t>Lycopersicon esculentum</w:t>
      </w:r>
      <w:r w:rsidR="004C1869" w:rsidRPr="00C100F0">
        <w:rPr>
          <w:rStyle w:val="Emphasis"/>
          <w:rFonts w:ascii="Arial" w:hAnsi="Arial" w:cs="Arial"/>
          <w:i w:val="0"/>
          <w:iCs w:val="0"/>
          <w:sz w:val="32"/>
          <w:szCs w:val="20"/>
        </w:rPr>
        <w:t> L.)</w:t>
      </w:r>
    </w:p>
    <w:p w14:paraId="5EF60E7E" w14:textId="77777777" w:rsidR="00D06C96" w:rsidRPr="00C100F0" w:rsidRDefault="00D06C96" w:rsidP="00D06C96">
      <w:pPr>
        <w:pStyle w:val="Heading1"/>
        <w:spacing w:before="0"/>
        <w:ind w:left="412" w:right="99"/>
        <w:jc w:val="right"/>
        <w:rPr>
          <w:rFonts w:ascii="Arial" w:hAnsi="Arial" w:cs="Arial"/>
          <w:sz w:val="20"/>
          <w:szCs w:val="20"/>
        </w:rPr>
      </w:pPr>
    </w:p>
    <w:p w14:paraId="0446C362" w14:textId="28CC9C14" w:rsidR="007532FB" w:rsidRDefault="007532FB">
      <w:pPr>
        <w:pStyle w:val="BodyText"/>
        <w:spacing w:before="3"/>
        <w:rPr>
          <w:sz w:val="28"/>
        </w:rPr>
      </w:pPr>
    </w:p>
    <w:p w14:paraId="4C8C6D94" w14:textId="77777777" w:rsidR="00E30B43" w:rsidRPr="00C100F0" w:rsidRDefault="00E30B43">
      <w:pPr>
        <w:pStyle w:val="BodyText"/>
        <w:spacing w:before="3"/>
        <w:rPr>
          <w:sz w:val="28"/>
        </w:rPr>
      </w:pPr>
    </w:p>
    <w:p w14:paraId="29C22F5D" w14:textId="65FCD3CA" w:rsidR="007532FB" w:rsidRPr="00C100F0" w:rsidRDefault="001C72ED" w:rsidP="001C72ED">
      <w:pPr>
        <w:pStyle w:val="Heading1"/>
        <w:ind w:left="0"/>
        <w:jc w:val="center"/>
        <w:rPr>
          <w:rFonts w:ascii="Arial" w:hAnsi="Arial" w:cs="Arial"/>
        </w:rPr>
      </w:pPr>
      <w:r w:rsidRPr="00C100F0">
        <w:rPr>
          <w:rFonts w:ascii="Arial" w:hAnsi="Arial" w:cs="Arial"/>
        </w:rPr>
        <w:t>ABSTRACT</w:t>
      </w:r>
    </w:p>
    <w:p w14:paraId="62FA728A" w14:textId="421D012F" w:rsidR="007F4ACD" w:rsidRPr="00C100F0" w:rsidRDefault="007F4ACD"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The present investigation aimed to evaluate the influence of various organic manures and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concentrations on the growth and yield performance of tomato (</w:t>
      </w:r>
      <w:r w:rsidRPr="00C100F0">
        <w:rPr>
          <w:rFonts w:ascii="Arial" w:hAnsi="Arial" w:cs="Arial"/>
          <w:i/>
          <w:iCs/>
          <w:sz w:val="20"/>
          <w:szCs w:val="24"/>
          <w:lang w:val="en-IN" w:eastAsia="en-IN"/>
        </w:rPr>
        <w:t>Lycopersicon esculentum</w:t>
      </w:r>
      <w:r w:rsidRPr="00C100F0">
        <w:rPr>
          <w:rFonts w:ascii="Arial" w:hAnsi="Arial" w:cs="Arial"/>
          <w:sz w:val="20"/>
          <w:szCs w:val="24"/>
          <w:lang w:val="en-IN" w:eastAsia="en-IN"/>
        </w:rPr>
        <w:t xml:space="preserve"> L.). Conducted at the Post Harvest and Value Addition Laboratory, Mewar University, Rajasthan, during February–May 2024–25, the study employed a completely randomized design with nine treatment combinations and three replications. Organic sources included farmyard manure (FYM), vermicompost, and poultry manure, while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was applied at 0, 25, 50, and 75 ppm. The results revealed that both organic manures and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had a significant and positive impact on plant growth and fruit yield parameters.</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Among the organic treatments, poultry manure @ 2.5 t/ha significantly enhanced plant height, number of branches per plant, and stem girth across all observation intervals (30, 60 DAT, and harvest). It also resulted in the highest number of fruits per plant (32.25), fruit girth (5.95 cm), average fruit weight (59.5 g), and fruit yield (351.75 q/ha). Similarly,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at 75 ppm produced the most vigorous vegetative growth, maximum shoot girth, and superior yield attributes—highest fruit count (33.75), fruit girth (6.03 cm), and fruit weight (61.0 g). The synergistic effect of enriched nutrient availability from poultry manure and the physiological stimulation by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contributed to overall improvement in growth and productivity.</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The findings underscore the effectiveness of integrating organic manures with optimal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concentrations to enhance tomato yield sustainably. Such strategies can not only reduce reliance on chemical fertilizers but also improve soil health and crop quality, supporting climate-resilient vegetable production.</w:t>
      </w:r>
    </w:p>
    <w:p w14:paraId="3D0906A7" w14:textId="77777777" w:rsidR="007F4ACD" w:rsidRPr="00C100F0" w:rsidRDefault="007F4ACD" w:rsidP="00593A6B">
      <w:pPr>
        <w:widowControl/>
        <w:autoSpaceDE/>
        <w:autoSpaceDN/>
        <w:spacing w:before="100" w:beforeAutospacing="1" w:after="100" w:afterAutospacing="1"/>
        <w:jc w:val="both"/>
        <w:rPr>
          <w:rFonts w:ascii="Arial" w:hAnsi="Arial" w:cs="Arial"/>
          <w:i/>
          <w:sz w:val="20"/>
          <w:szCs w:val="24"/>
          <w:lang w:val="en-IN" w:eastAsia="en-IN"/>
        </w:rPr>
      </w:pPr>
      <w:r w:rsidRPr="00C100F0">
        <w:rPr>
          <w:rFonts w:ascii="Arial" w:hAnsi="Arial" w:cs="Arial"/>
          <w:b/>
          <w:bCs/>
          <w:i/>
          <w:sz w:val="20"/>
          <w:szCs w:val="24"/>
          <w:lang w:val="en-IN" w:eastAsia="en-IN"/>
        </w:rPr>
        <w:t>Keywords</w:t>
      </w:r>
      <w:r w:rsidRPr="00C100F0">
        <w:rPr>
          <w:rFonts w:ascii="Arial" w:hAnsi="Arial" w:cs="Arial"/>
          <w:i/>
          <w:sz w:val="20"/>
          <w:szCs w:val="24"/>
          <w:lang w:val="en-IN" w:eastAsia="en-IN"/>
        </w:rPr>
        <w:t>: Tomato, Poultry manure, Vermicompost, Gibberellic acid, Organic farming, Yield enhancement</w:t>
      </w:r>
    </w:p>
    <w:p w14:paraId="7ADA497A" w14:textId="333D265E" w:rsidR="006D7D59" w:rsidRPr="00C100F0" w:rsidRDefault="006D7D59" w:rsidP="00D06C96">
      <w:pPr>
        <w:pStyle w:val="NormalWeb"/>
        <w:spacing w:before="120" w:beforeAutospacing="0" w:after="0" w:afterAutospacing="0"/>
        <w:jc w:val="both"/>
        <w:rPr>
          <w:rFonts w:ascii="Arial" w:hAnsi="Arial" w:cs="Arial"/>
          <w:b/>
          <w:sz w:val="20"/>
        </w:rPr>
      </w:pPr>
    </w:p>
    <w:p w14:paraId="0709850C" w14:textId="01C4D057" w:rsidR="007532FB" w:rsidRPr="00C100F0" w:rsidRDefault="007F4ACD" w:rsidP="007F4ACD">
      <w:pPr>
        <w:pStyle w:val="ListParagraph"/>
        <w:numPr>
          <w:ilvl w:val="0"/>
          <w:numId w:val="6"/>
        </w:numPr>
        <w:jc w:val="both"/>
        <w:rPr>
          <w:rFonts w:ascii="Arial" w:hAnsi="Arial" w:cs="Arial"/>
          <w:b/>
          <w:bCs/>
          <w:sz w:val="24"/>
          <w:szCs w:val="24"/>
        </w:rPr>
      </w:pPr>
      <w:r w:rsidRPr="00C100F0">
        <w:rPr>
          <w:rFonts w:ascii="Arial" w:hAnsi="Arial" w:cs="Arial"/>
          <w:b/>
          <w:bCs/>
          <w:sz w:val="24"/>
          <w:szCs w:val="24"/>
        </w:rPr>
        <w:t xml:space="preserve">   INTRODUCTION</w:t>
      </w:r>
    </w:p>
    <w:p w14:paraId="61F37838" w14:textId="0A29BA21" w:rsidR="00593A6B" w:rsidRPr="00C100F0" w:rsidRDefault="00593A6B"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Tomato (</w:t>
      </w:r>
      <w:r w:rsidRPr="00C100F0">
        <w:rPr>
          <w:rFonts w:ascii="Arial" w:hAnsi="Arial" w:cs="Arial"/>
          <w:i/>
          <w:iCs/>
          <w:sz w:val="20"/>
          <w:szCs w:val="24"/>
          <w:lang w:val="en-IN" w:eastAsia="en-IN"/>
        </w:rPr>
        <w:t>Lycopersicon esculentum</w:t>
      </w:r>
      <w:r w:rsidRPr="00C100F0">
        <w:rPr>
          <w:rFonts w:ascii="Arial" w:hAnsi="Arial" w:cs="Arial"/>
          <w:sz w:val="20"/>
          <w:szCs w:val="24"/>
          <w:lang w:val="en-IN" w:eastAsia="en-IN"/>
        </w:rPr>
        <w:t xml:space="preserve"> L.), an important member of the Solanaceae family, is widely grown across the globe for fresh consumption and processing due to its high nutritive value and contribution to farm income, especially for small and marginal farmers (Anonymous, 2022–23). India is one of the major producers of tomato, with an area of about 8.44 lakh hectares, a production of 21.18 million tonnes, and a productivity of 25.1 t/ha (Anonymous, 2022–23). Despite its importance, the sustainability and productivity of tomato cultivation often depend on soil fertility management and the use of suitable growth regulators.</w:t>
      </w:r>
      <w:r w:rsidR="006757C9" w:rsidRPr="00C100F0">
        <w:rPr>
          <w:rFonts w:ascii="Arial" w:hAnsi="Arial" w:cs="Arial"/>
          <w:sz w:val="20"/>
          <w:szCs w:val="24"/>
          <w:lang w:val="en-IN" w:eastAsia="en-IN"/>
        </w:rPr>
        <w:t xml:space="preserve"> </w:t>
      </w:r>
      <w:r w:rsidR="00405395" w:rsidRPr="00405395">
        <w:rPr>
          <w:rFonts w:ascii="Arial" w:hAnsi="Arial" w:cs="Arial"/>
          <w:sz w:val="20"/>
          <w:szCs w:val="24"/>
          <w:highlight w:val="yellow"/>
          <w:lang w:val="en-IN" w:eastAsia="en-IN"/>
        </w:rPr>
        <w:t>Organic manures, such as farmyard manure (FYM), vermicompost, and poultry manure, play a vital role in improving various aspects of soil health (</w:t>
      </w:r>
      <w:proofErr w:type="spellStart"/>
      <w:r w:rsidR="00405395" w:rsidRPr="00405395">
        <w:rPr>
          <w:rFonts w:ascii="Arial" w:hAnsi="Arial" w:cs="Arial"/>
          <w:sz w:val="20"/>
          <w:szCs w:val="24"/>
          <w:highlight w:val="yellow"/>
          <w:lang w:val="en-IN" w:eastAsia="en-IN"/>
        </w:rPr>
        <w:t>Dotaniya</w:t>
      </w:r>
      <w:proofErr w:type="spellEnd"/>
      <w:r w:rsidR="00405395" w:rsidRPr="00405395">
        <w:rPr>
          <w:rFonts w:ascii="Arial" w:hAnsi="Arial" w:cs="Arial"/>
          <w:sz w:val="20"/>
          <w:szCs w:val="24"/>
          <w:highlight w:val="yellow"/>
          <w:lang w:val="en-IN" w:eastAsia="en-IN"/>
        </w:rPr>
        <w:t xml:space="preserve"> et al., 2020). The organic inputs enhance soil physical properties (</w:t>
      </w:r>
      <w:proofErr w:type="spellStart"/>
      <w:r w:rsidR="00405395" w:rsidRPr="00405395">
        <w:rPr>
          <w:rFonts w:ascii="Arial" w:hAnsi="Arial" w:cs="Arial"/>
          <w:sz w:val="20"/>
          <w:szCs w:val="24"/>
          <w:highlight w:val="yellow"/>
          <w:lang w:val="en-IN" w:eastAsia="en-IN"/>
        </w:rPr>
        <w:t>Khandagle</w:t>
      </w:r>
      <w:proofErr w:type="spellEnd"/>
      <w:r w:rsidR="00405395" w:rsidRPr="00405395">
        <w:rPr>
          <w:rFonts w:ascii="Arial" w:hAnsi="Arial" w:cs="Arial"/>
          <w:sz w:val="20"/>
          <w:szCs w:val="24"/>
          <w:highlight w:val="yellow"/>
          <w:lang w:val="en-IN" w:eastAsia="en-IN"/>
        </w:rPr>
        <w:t xml:space="preserve"> et al., 2019a), chemical properties (</w:t>
      </w:r>
      <w:proofErr w:type="spellStart"/>
      <w:r w:rsidR="00405395" w:rsidRPr="00405395">
        <w:rPr>
          <w:rFonts w:ascii="Arial" w:hAnsi="Arial" w:cs="Arial"/>
          <w:sz w:val="20"/>
          <w:szCs w:val="24"/>
          <w:highlight w:val="yellow"/>
          <w:lang w:val="en-IN" w:eastAsia="en-IN"/>
        </w:rPr>
        <w:t>Khandagle</w:t>
      </w:r>
      <w:proofErr w:type="spellEnd"/>
      <w:r w:rsidR="00405395" w:rsidRPr="00405395">
        <w:rPr>
          <w:rFonts w:ascii="Arial" w:hAnsi="Arial" w:cs="Arial"/>
          <w:sz w:val="20"/>
          <w:szCs w:val="24"/>
          <w:highlight w:val="yellow"/>
          <w:lang w:val="en-IN" w:eastAsia="en-IN"/>
        </w:rPr>
        <w:t xml:space="preserve"> et al., 2019b), and biological properties (</w:t>
      </w:r>
      <w:proofErr w:type="spellStart"/>
      <w:r w:rsidR="00405395" w:rsidRPr="00405395">
        <w:rPr>
          <w:rFonts w:ascii="Arial" w:hAnsi="Arial" w:cs="Arial"/>
          <w:sz w:val="20"/>
          <w:szCs w:val="24"/>
          <w:highlight w:val="yellow"/>
          <w:lang w:val="en-IN" w:eastAsia="en-IN"/>
        </w:rPr>
        <w:t>Yashona</w:t>
      </w:r>
      <w:proofErr w:type="spellEnd"/>
      <w:r w:rsidR="00405395" w:rsidRPr="00405395">
        <w:rPr>
          <w:rFonts w:ascii="Arial" w:hAnsi="Arial" w:cs="Arial"/>
          <w:sz w:val="20"/>
          <w:szCs w:val="24"/>
          <w:highlight w:val="yellow"/>
          <w:lang w:val="en-IN" w:eastAsia="en-IN"/>
        </w:rPr>
        <w:t xml:space="preserve"> et al., 2018). Further, the regular application of organic manures helps increase soil organic carbon content (Aher et al., 2019). The enhanced organic carbon acts as a habitat for variety of microbes and enhances the spore life of the beneficial microbes in adverse conditions which is crucial for long-term soil fertility and climate resilience (Argal et al., 2015). The release of nutrients from the mineralization of added organics enhances yield and nutrient uptake of the crops (</w:t>
      </w:r>
      <w:proofErr w:type="spellStart"/>
      <w:r w:rsidR="00405395" w:rsidRPr="00405395">
        <w:rPr>
          <w:rFonts w:ascii="Arial" w:hAnsi="Arial" w:cs="Arial"/>
          <w:sz w:val="20"/>
          <w:szCs w:val="24"/>
          <w:highlight w:val="yellow"/>
          <w:lang w:val="en-IN" w:eastAsia="en-IN"/>
        </w:rPr>
        <w:t>Mandale</w:t>
      </w:r>
      <w:proofErr w:type="spellEnd"/>
      <w:r w:rsidR="00405395" w:rsidRPr="00405395">
        <w:rPr>
          <w:rFonts w:ascii="Arial" w:hAnsi="Arial" w:cs="Arial"/>
          <w:sz w:val="20"/>
          <w:szCs w:val="24"/>
          <w:highlight w:val="yellow"/>
          <w:lang w:val="en-IN" w:eastAsia="en-IN"/>
        </w:rPr>
        <w:t xml:space="preserve"> et al., 2019). These improvements in soil properties contribute significantly to support sustainable vegetable production </w:t>
      </w:r>
      <w:r w:rsidRPr="00405395">
        <w:rPr>
          <w:rFonts w:ascii="Arial" w:hAnsi="Arial" w:cs="Arial"/>
          <w:sz w:val="20"/>
          <w:szCs w:val="24"/>
          <w:highlight w:val="yellow"/>
          <w:lang w:val="en-IN" w:eastAsia="en-IN"/>
        </w:rPr>
        <w:t xml:space="preserve">(Abdelkader, 2019; Gaur, 1991; </w:t>
      </w:r>
      <w:proofErr w:type="spellStart"/>
      <w:r w:rsidRPr="00405395">
        <w:rPr>
          <w:rFonts w:ascii="Arial" w:hAnsi="Arial" w:cs="Arial"/>
          <w:sz w:val="20"/>
          <w:szCs w:val="24"/>
          <w:highlight w:val="yellow"/>
          <w:lang w:val="en-IN" w:eastAsia="en-IN"/>
        </w:rPr>
        <w:t>Tolessa</w:t>
      </w:r>
      <w:proofErr w:type="spellEnd"/>
      <w:r w:rsidRPr="00405395">
        <w:rPr>
          <w:rFonts w:ascii="Arial" w:hAnsi="Arial" w:cs="Arial"/>
          <w:sz w:val="20"/>
          <w:szCs w:val="24"/>
          <w:highlight w:val="yellow"/>
          <w:lang w:val="en-IN" w:eastAsia="en-IN"/>
        </w:rPr>
        <w:t xml:space="preserve"> and Friesen, 2001).</w:t>
      </w:r>
      <w:r w:rsidRPr="00C100F0">
        <w:rPr>
          <w:rFonts w:ascii="Arial" w:hAnsi="Arial" w:cs="Arial"/>
          <w:sz w:val="20"/>
          <w:szCs w:val="24"/>
          <w:lang w:val="en-IN" w:eastAsia="en-IN"/>
        </w:rPr>
        <w:t xml:space="preserve"> Vermicompost, for example, enhances nutrient retention and promotes root growth through bioactive compounds produced by earthworms (</w:t>
      </w:r>
      <w:proofErr w:type="spellStart"/>
      <w:r w:rsidRPr="00C100F0">
        <w:rPr>
          <w:rFonts w:ascii="Arial" w:hAnsi="Arial" w:cs="Arial"/>
          <w:sz w:val="20"/>
          <w:szCs w:val="24"/>
          <w:lang w:val="en-IN" w:eastAsia="en-IN"/>
        </w:rPr>
        <w:t>Salroo</w:t>
      </w:r>
      <w:proofErr w:type="spellEnd"/>
      <w:r w:rsidRPr="00C100F0">
        <w:rPr>
          <w:rFonts w:ascii="Arial" w:hAnsi="Arial" w:cs="Arial"/>
          <w:sz w:val="20"/>
          <w:szCs w:val="24"/>
          <w:lang w:val="en-IN" w:eastAsia="en-IN"/>
        </w:rPr>
        <w:t xml:space="preserve"> et al., 2002; Yasari and Patwardhan, 2006). Poultry manure provides readily available macro- and micronutrients, contributing to improved soil health (Gaur, 1991).</w:t>
      </w:r>
      <w:r w:rsidR="00F215BE">
        <w:rPr>
          <w:rFonts w:ascii="Arial" w:hAnsi="Arial" w:cs="Arial"/>
          <w:sz w:val="20"/>
          <w:szCs w:val="24"/>
          <w:lang w:val="en-IN" w:eastAsia="en-IN"/>
        </w:rPr>
        <w:t xml:space="preserve"> </w:t>
      </w:r>
      <w:r w:rsidR="00F215BE" w:rsidRPr="00F215BE">
        <w:rPr>
          <w:rFonts w:ascii="Arial" w:hAnsi="Arial" w:cs="Arial"/>
          <w:sz w:val="20"/>
          <w:szCs w:val="24"/>
          <w:highlight w:val="yellow"/>
          <w:lang w:val="en-IN" w:eastAsia="en-IN"/>
        </w:rPr>
        <w:t xml:space="preserve">Besides improvement in soil properties and crop yield, the organic inputs also known for enhancing the nutritional properties of the crop produce (Aher et al., 2018; </w:t>
      </w:r>
      <w:proofErr w:type="spellStart"/>
      <w:r w:rsidR="00F215BE" w:rsidRPr="00F215BE">
        <w:rPr>
          <w:rFonts w:ascii="Arial" w:hAnsi="Arial" w:cs="Arial"/>
          <w:sz w:val="20"/>
          <w:szCs w:val="24"/>
          <w:highlight w:val="yellow"/>
          <w:lang w:val="en-IN" w:eastAsia="en-IN"/>
        </w:rPr>
        <w:t>Yashona</w:t>
      </w:r>
      <w:proofErr w:type="spellEnd"/>
      <w:r w:rsidR="00F215BE" w:rsidRPr="00F215BE">
        <w:rPr>
          <w:rFonts w:ascii="Arial" w:hAnsi="Arial" w:cs="Arial"/>
          <w:sz w:val="20"/>
          <w:szCs w:val="24"/>
          <w:highlight w:val="yellow"/>
          <w:lang w:val="en-IN" w:eastAsia="en-IN"/>
        </w:rPr>
        <w:t xml:space="preserve"> et al., 2018).</w:t>
      </w:r>
      <w:r w:rsidRPr="00C100F0">
        <w:rPr>
          <w:rFonts w:ascii="Arial" w:hAnsi="Arial" w:cs="Arial"/>
          <w:sz w:val="20"/>
          <w:szCs w:val="24"/>
          <w:lang w:val="en-IN" w:eastAsia="en-IN"/>
        </w:rPr>
        <w:t xml:space="preserve"> Plant </w:t>
      </w:r>
      <w:r w:rsidRPr="00C100F0">
        <w:rPr>
          <w:rFonts w:ascii="Arial" w:hAnsi="Arial" w:cs="Arial"/>
          <w:sz w:val="20"/>
          <w:szCs w:val="24"/>
          <w:lang w:val="en-IN" w:eastAsia="en-IN"/>
        </w:rPr>
        <w:lastRenderedPageBreak/>
        <w:t>growth regulators like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are also well known for promoting cell elongation, early flowering, and fruit set, which can help overcome pollination issues and improve yield and fruit quality (Sheraz et al., 2010; Rashwan et al., 2018). However, excessive concentrations may inhibit flowering, indicating the need for careful optimization. </w:t>
      </w:r>
    </w:p>
    <w:p w14:paraId="566C09F5" w14:textId="09C6EAD4" w:rsidR="006757C9" w:rsidRPr="00C100F0" w:rsidRDefault="00593A6B" w:rsidP="006757C9">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 xml:space="preserve">Tomato production is frequently challenged by declining soil fertility, poor nutrient use efficiency, and the overuse of chemical fertilizers, which negatively affect soil structure and long-term productivity. Integrating organic manures with plant growth regulators offers a promising approach to enhance nutrient availability, stimulate hormonal balance, and improve plant </w:t>
      </w:r>
      <w:proofErr w:type="spellStart"/>
      <w:r w:rsidRPr="00C100F0">
        <w:rPr>
          <w:rFonts w:ascii="Arial" w:hAnsi="Arial" w:cs="Arial"/>
          <w:sz w:val="20"/>
          <w:szCs w:val="24"/>
          <w:lang w:val="en-IN" w:eastAsia="en-IN"/>
        </w:rPr>
        <w:t>vigor</w:t>
      </w:r>
      <w:proofErr w:type="spellEnd"/>
      <w:r w:rsidRPr="00C100F0">
        <w:rPr>
          <w:rFonts w:ascii="Arial" w:hAnsi="Arial" w:cs="Arial"/>
          <w:sz w:val="20"/>
          <w:szCs w:val="24"/>
          <w:lang w:val="en-IN" w:eastAsia="en-IN"/>
        </w:rPr>
        <w:t xml:space="preserve"> under varying </w:t>
      </w:r>
      <w:proofErr w:type="spellStart"/>
      <w:r w:rsidRPr="00C100F0">
        <w:rPr>
          <w:rFonts w:ascii="Arial" w:hAnsi="Arial" w:cs="Arial"/>
          <w:sz w:val="20"/>
          <w:szCs w:val="24"/>
          <w:lang w:val="en-IN" w:eastAsia="en-IN"/>
        </w:rPr>
        <w:t>agro</w:t>
      </w:r>
      <w:proofErr w:type="spellEnd"/>
      <w:r w:rsidRPr="00C100F0">
        <w:rPr>
          <w:rFonts w:ascii="Arial" w:hAnsi="Arial" w:cs="Arial"/>
          <w:sz w:val="20"/>
          <w:szCs w:val="24"/>
          <w:lang w:val="en-IN" w:eastAsia="en-IN"/>
        </w:rPr>
        <w:t>-climatic conditions. Furthermore, the adoption of organic inputs like poultry manure and vermicompost aligns with eco-friendly agricultural practices and ensures the production of residue-free vegetables. This approach is particularly relevant for meeting consumer demands for healthy food and minimizing environmental degradation caused by intensive chemical input use in vegetable cultivation.</w:t>
      </w:r>
      <w:r w:rsidR="006757C9" w:rsidRPr="00C100F0">
        <w:rPr>
          <w:rFonts w:ascii="Arial" w:hAnsi="Arial" w:cs="Arial"/>
          <w:sz w:val="20"/>
          <w:szCs w:val="24"/>
          <w:lang w:val="en-IN" w:eastAsia="en-IN"/>
        </w:rPr>
        <w:t xml:space="preserve"> Given the increasing demand for safe, sustainable vegetable production, the present investigation entitled “Response of Organic Manures and GA</w:t>
      </w:r>
      <w:r w:rsidR="006757C9" w:rsidRPr="00C100F0">
        <w:rPr>
          <w:rFonts w:ascii="Cambria Math" w:hAnsi="Cambria Math" w:cs="Cambria Math"/>
          <w:sz w:val="20"/>
          <w:szCs w:val="24"/>
          <w:lang w:val="en-IN" w:eastAsia="en-IN"/>
        </w:rPr>
        <w:t>₃</w:t>
      </w:r>
      <w:r w:rsidR="006757C9" w:rsidRPr="00C100F0">
        <w:rPr>
          <w:rFonts w:ascii="Arial" w:hAnsi="Arial" w:cs="Arial"/>
          <w:sz w:val="20"/>
          <w:szCs w:val="24"/>
          <w:lang w:val="en-IN" w:eastAsia="en-IN"/>
        </w:rPr>
        <w:t xml:space="preserve"> on Growth, Yield and Quality of Tomato (</w:t>
      </w:r>
      <w:r w:rsidR="006757C9" w:rsidRPr="00C100F0">
        <w:rPr>
          <w:rFonts w:ascii="Arial" w:hAnsi="Arial" w:cs="Arial"/>
          <w:i/>
          <w:iCs/>
          <w:sz w:val="20"/>
          <w:szCs w:val="24"/>
          <w:lang w:val="en-IN" w:eastAsia="en-IN"/>
        </w:rPr>
        <w:t>Lycopersicon esculentum</w:t>
      </w:r>
      <w:r w:rsidR="006757C9" w:rsidRPr="00C100F0">
        <w:rPr>
          <w:rFonts w:ascii="Arial" w:hAnsi="Arial" w:cs="Arial"/>
          <w:sz w:val="20"/>
          <w:szCs w:val="24"/>
          <w:lang w:val="en-IN" w:eastAsia="en-IN"/>
        </w:rPr>
        <w:t xml:space="preserve"> L.)” was undertaken to study the integrated effect of organic nutrient sources and GA</w:t>
      </w:r>
      <w:r w:rsidR="006757C9" w:rsidRPr="00C100F0">
        <w:rPr>
          <w:rFonts w:ascii="Cambria Math" w:hAnsi="Cambria Math" w:cs="Cambria Math"/>
          <w:sz w:val="20"/>
          <w:szCs w:val="24"/>
          <w:lang w:val="en-IN" w:eastAsia="en-IN"/>
        </w:rPr>
        <w:t>₃</w:t>
      </w:r>
      <w:r w:rsidR="006757C9" w:rsidRPr="00C100F0">
        <w:rPr>
          <w:rFonts w:ascii="Arial" w:hAnsi="Arial" w:cs="Arial"/>
          <w:sz w:val="20"/>
          <w:szCs w:val="24"/>
          <w:lang w:val="en-IN" w:eastAsia="en-IN"/>
        </w:rPr>
        <w:t xml:space="preserve"> on the growth, yield, and quality of tomato.</w:t>
      </w:r>
    </w:p>
    <w:p w14:paraId="634DDE60" w14:textId="2D576C67" w:rsidR="007532FB" w:rsidRPr="00C100F0" w:rsidRDefault="00593A6B" w:rsidP="00FC093E">
      <w:pPr>
        <w:pStyle w:val="ListParagraph"/>
        <w:widowControl/>
        <w:numPr>
          <w:ilvl w:val="0"/>
          <w:numId w:val="6"/>
        </w:numPr>
        <w:autoSpaceDE/>
        <w:autoSpaceDN/>
        <w:spacing w:before="100" w:beforeAutospacing="1" w:after="100" w:afterAutospacing="1"/>
        <w:jc w:val="both"/>
        <w:rPr>
          <w:rFonts w:ascii="Arial" w:hAnsi="Arial" w:cs="Arial"/>
          <w:b/>
          <w:sz w:val="24"/>
        </w:rPr>
      </w:pPr>
      <w:r w:rsidRPr="00C100F0">
        <w:rPr>
          <w:rFonts w:ascii="Arial" w:hAnsi="Arial" w:cs="Arial"/>
          <w:b/>
        </w:rPr>
        <w:t>MATERIALS</w:t>
      </w:r>
      <w:r w:rsidRPr="00C100F0">
        <w:rPr>
          <w:rFonts w:ascii="Arial" w:hAnsi="Arial" w:cs="Arial"/>
          <w:b/>
          <w:spacing w:val="-4"/>
        </w:rPr>
        <w:t xml:space="preserve"> </w:t>
      </w:r>
      <w:r w:rsidRPr="00C100F0">
        <w:rPr>
          <w:rFonts w:ascii="Arial" w:hAnsi="Arial" w:cs="Arial"/>
          <w:b/>
        </w:rPr>
        <w:t>AND</w:t>
      </w:r>
      <w:r w:rsidRPr="00C100F0">
        <w:rPr>
          <w:rFonts w:ascii="Arial" w:hAnsi="Arial" w:cs="Arial"/>
          <w:b/>
          <w:spacing w:val="-3"/>
        </w:rPr>
        <w:t xml:space="preserve"> </w:t>
      </w:r>
      <w:r w:rsidRPr="00C100F0">
        <w:rPr>
          <w:rFonts w:ascii="Arial" w:hAnsi="Arial" w:cs="Arial"/>
          <w:b/>
        </w:rPr>
        <w:t>METHODS</w:t>
      </w:r>
    </w:p>
    <w:p w14:paraId="215CC4E6" w14:textId="77777777" w:rsidR="00593A6B" w:rsidRPr="00C100F0" w:rsidRDefault="00593A6B" w:rsidP="00593A6B">
      <w:pPr>
        <w:jc w:val="both"/>
        <w:rPr>
          <w:rFonts w:ascii="Arial" w:hAnsi="Arial" w:cs="Arial"/>
          <w:sz w:val="20"/>
          <w:szCs w:val="24"/>
        </w:rPr>
      </w:pPr>
    </w:p>
    <w:p w14:paraId="427581D0" w14:textId="3C8D8D0C"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1. Experimental Site and Duration</w:t>
      </w:r>
    </w:p>
    <w:p w14:paraId="3101E5E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study was conducted during the </w:t>
      </w:r>
      <w:r w:rsidRPr="00C100F0">
        <w:rPr>
          <w:rStyle w:val="Emphasis"/>
          <w:rFonts w:ascii="Arial" w:hAnsi="Arial" w:cs="Arial"/>
          <w:sz w:val="20"/>
          <w:szCs w:val="20"/>
        </w:rPr>
        <w:t>Rabi</w:t>
      </w:r>
      <w:r w:rsidRPr="00C100F0">
        <w:rPr>
          <w:rFonts w:ascii="Arial" w:hAnsi="Arial" w:cs="Arial"/>
          <w:sz w:val="20"/>
          <w:szCs w:val="20"/>
        </w:rPr>
        <w:t xml:space="preserve"> season from </w:t>
      </w:r>
      <w:r w:rsidRPr="00C100F0">
        <w:rPr>
          <w:rStyle w:val="Strong"/>
          <w:rFonts w:ascii="Arial" w:hAnsi="Arial" w:cs="Arial"/>
          <w:b w:val="0"/>
          <w:sz w:val="20"/>
          <w:szCs w:val="20"/>
        </w:rPr>
        <w:t>February to May 2024–25</w:t>
      </w:r>
      <w:r w:rsidRPr="00C100F0">
        <w:rPr>
          <w:rFonts w:ascii="Arial" w:hAnsi="Arial" w:cs="Arial"/>
          <w:sz w:val="20"/>
          <w:szCs w:val="20"/>
        </w:rPr>
        <w:t xml:space="preserve"> at the </w:t>
      </w:r>
      <w:r w:rsidRPr="00C100F0">
        <w:rPr>
          <w:rStyle w:val="Strong"/>
          <w:rFonts w:ascii="Arial" w:hAnsi="Arial" w:cs="Arial"/>
          <w:b w:val="0"/>
          <w:sz w:val="20"/>
          <w:szCs w:val="20"/>
        </w:rPr>
        <w:t>Post Harvest and Value Addition Laboratory</w:t>
      </w:r>
      <w:r w:rsidRPr="00C100F0">
        <w:rPr>
          <w:rFonts w:ascii="Arial" w:hAnsi="Arial" w:cs="Arial"/>
          <w:sz w:val="20"/>
          <w:szCs w:val="20"/>
        </w:rPr>
        <w:t xml:space="preserve">, Department of Agriculture (Horticulture), Fruit Science, Faculty of Agriculture and Veterinary Sciences, </w:t>
      </w:r>
      <w:r w:rsidRPr="00C100F0">
        <w:rPr>
          <w:rStyle w:val="Strong"/>
          <w:rFonts w:ascii="Arial" w:hAnsi="Arial" w:cs="Arial"/>
          <w:b w:val="0"/>
          <w:sz w:val="20"/>
          <w:szCs w:val="20"/>
        </w:rPr>
        <w:t>Mewar University</w:t>
      </w:r>
      <w:r w:rsidRPr="00C100F0">
        <w:rPr>
          <w:rFonts w:ascii="Arial" w:hAnsi="Arial" w:cs="Arial"/>
          <w:sz w:val="20"/>
          <w:szCs w:val="20"/>
        </w:rPr>
        <w:t xml:space="preserve">, </w:t>
      </w:r>
      <w:proofErr w:type="spellStart"/>
      <w:r w:rsidRPr="00C100F0">
        <w:rPr>
          <w:rFonts w:ascii="Arial" w:hAnsi="Arial" w:cs="Arial"/>
          <w:sz w:val="20"/>
          <w:szCs w:val="20"/>
        </w:rPr>
        <w:t>Gangrar</w:t>
      </w:r>
      <w:proofErr w:type="spellEnd"/>
      <w:r w:rsidRPr="00C100F0">
        <w:rPr>
          <w:rFonts w:ascii="Arial" w:hAnsi="Arial" w:cs="Arial"/>
          <w:sz w:val="20"/>
          <w:szCs w:val="20"/>
        </w:rPr>
        <w:t xml:space="preserve">, Chittorgarh, Rajasthan. The experimental site is situated in a semi-arid </w:t>
      </w:r>
      <w:proofErr w:type="spellStart"/>
      <w:r w:rsidRPr="00C100F0">
        <w:rPr>
          <w:rFonts w:ascii="Arial" w:hAnsi="Arial" w:cs="Arial"/>
          <w:sz w:val="20"/>
          <w:szCs w:val="20"/>
        </w:rPr>
        <w:t>agro</w:t>
      </w:r>
      <w:proofErr w:type="spellEnd"/>
      <w:r w:rsidRPr="00C100F0">
        <w:rPr>
          <w:rFonts w:ascii="Arial" w:hAnsi="Arial" w:cs="Arial"/>
          <w:sz w:val="20"/>
          <w:szCs w:val="20"/>
        </w:rPr>
        <w:t>-climatic zone characterized by sandy loam soil, moderate fertility, and good drainage.</w:t>
      </w:r>
    </w:p>
    <w:p w14:paraId="30DE7503" w14:textId="5902D352"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2. Experimental Design and Treatments</w:t>
      </w:r>
    </w:p>
    <w:p w14:paraId="613BCB9B"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experiment was laid out in a </w:t>
      </w:r>
      <w:r w:rsidRPr="00C100F0">
        <w:rPr>
          <w:rStyle w:val="Strong"/>
          <w:rFonts w:ascii="Arial" w:hAnsi="Arial" w:cs="Arial"/>
          <w:b w:val="0"/>
          <w:sz w:val="20"/>
          <w:szCs w:val="20"/>
        </w:rPr>
        <w:t>Completely Randomized Design (CRD)</w:t>
      </w:r>
      <w:r w:rsidRPr="00C100F0">
        <w:rPr>
          <w:rFonts w:ascii="Arial" w:hAnsi="Arial" w:cs="Arial"/>
          <w:sz w:val="20"/>
          <w:szCs w:val="20"/>
        </w:rPr>
        <w:t xml:space="preserve"> with </w:t>
      </w:r>
      <w:r w:rsidRPr="00C100F0">
        <w:rPr>
          <w:rStyle w:val="Strong"/>
          <w:rFonts w:ascii="Arial" w:hAnsi="Arial" w:cs="Arial"/>
          <w:b w:val="0"/>
          <w:sz w:val="20"/>
          <w:szCs w:val="20"/>
        </w:rPr>
        <w:t>nine treatment combinations</w:t>
      </w:r>
      <w:r w:rsidRPr="00C100F0">
        <w:rPr>
          <w:rFonts w:ascii="Arial" w:hAnsi="Arial" w:cs="Arial"/>
          <w:sz w:val="20"/>
          <w:szCs w:val="20"/>
        </w:rPr>
        <w:t xml:space="preserve"> and </w:t>
      </w:r>
      <w:r w:rsidRPr="00C100F0">
        <w:rPr>
          <w:rStyle w:val="Strong"/>
          <w:rFonts w:ascii="Arial" w:hAnsi="Arial" w:cs="Arial"/>
          <w:b w:val="0"/>
          <w:sz w:val="20"/>
          <w:szCs w:val="20"/>
        </w:rPr>
        <w:t>three replications</w:t>
      </w:r>
      <w:r w:rsidRPr="00C100F0">
        <w:rPr>
          <w:rFonts w:ascii="Arial" w:hAnsi="Arial" w:cs="Arial"/>
          <w:sz w:val="20"/>
          <w:szCs w:val="20"/>
        </w:rPr>
        <w:t xml:space="preserve">. The treatments comprised combinations of </w:t>
      </w:r>
      <w:r w:rsidRPr="00C100F0">
        <w:rPr>
          <w:rStyle w:val="Strong"/>
          <w:rFonts w:ascii="Arial" w:hAnsi="Arial" w:cs="Arial"/>
          <w:b w:val="0"/>
          <w:sz w:val="20"/>
          <w:szCs w:val="20"/>
        </w:rPr>
        <w:t>three organic manure types</w:t>
      </w:r>
      <w:r w:rsidRPr="00C100F0">
        <w:rPr>
          <w:rFonts w:ascii="Arial" w:hAnsi="Arial" w:cs="Arial"/>
          <w:sz w:val="20"/>
          <w:szCs w:val="20"/>
        </w:rPr>
        <w:t xml:space="preserve"> and </w:t>
      </w:r>
      <w:r w:rsidRPr="00C100F0">
        <w:rPr>
          <w:rStyle w:val="Strong"/>
          <w:rFonts w:ascii="Arial" w:hAnsi="Arial" w:cs="Arial"/>
          <w:b w:val="0"/>
          <w:sz w:val="20"/>
          <w:szCs w:val="20"/>
        </w:rPr>
        <w:t>four gibberellic acid (GA</w:t>
      </w:r>
      <w:r w:rsidRPr="00C100F0">
        <w:rPr>
          <w:rStyle w:val="Strong"/>
          <w:rFonts w:ascii="Cambria Math" w:hAnsi="Cambria Math" w:cs="Cambria Math"/>
          <w:b w:val="0"/>
          <w:sz w:val="20"/>
          <w:szCs w:val="20"/>
        </w:rPr>
        <w:t>₃</w:t>
      </w:r>
      <w:r w:rsidRPr="00C100F0">
        <w:rPr>
          <w:rStyle w:val="Strong"/>
          <w:rFonts w:ascii="Arial" w:hAnsi="Arial" w:cs="Arial"/>
          <w:b w:val="0"/>
          <w:sz w:val="20"/>
          <w:szCs w:val="20"/>
        </w:rPr>
        <w:t>) levels</w:t>
      </w:r>
      <w:r w:rsidRPr="00C100F0">
        <w:rPr>
          <w:rFonts w:ascii="Arial" w:hAnsi="Arial" w:cs="Arial"/>
          <w:sz w:val="20"/>
          <w:szCs w:val="20"/>
        </w:rPr>
        <w:t xml:space="preserve"> as follows:</w:t>
      </w:r>
    </w:p>
    <w:p w14:paraId="4DFED924" w14:textId="77777777" w:rsidR="00593A6B" w:rsidRPr="00C100F0" w:rsidRDefault="00593A6B" w:rsidP="006757C9">
      <w:pPr>
        <w:pStyle w:val="NormalWeb"/>
        <w:numPr>
          <w:ilvl w:val="0"/>
          <w:numId w:val="7"/>
        </w:numPr>
        <w:jc w:val="both"/>
        <w:rPr>
          <w:rFonts w:ascii="Arial" w:hAnsi="Arial" w:cs="Arial"/>
          <w:sz w:val="20"/>
          <w:szCs w:val="20"/>
        </w:rPr>
      </w:pPr>
      <w:r w:rsidRPr="00C100F0">
        <w:rPr>
          <w:rStyle w:val="Strong"/>
          <w:rFonts w:ascii="Arial" w:hAnsi="Arial" w:cs="Arial"/>
          <w:b w:val="0"/>
          <w:sz w:val="20"/>
          <w:szCs w:val="20"/>
        </w:rPr>
        <w:t>Organic Manure Treatments:</w:t>
      </w:r>
    </w:p>
    <w:p w14:paraId="44DD2021"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₁</w:t>
      </w:r>
      <w:r w:rsidRPr="00C100F0">
        <w:rPr>
          <w:rFonts w:ascii="Arial" w:hAnsi="Arial" w:cs="Arial"/>
          <w:sz w:val="20"/>
          <w:szCs w:val="20"/>
        </w:rPr>
        <w:t>: Control (no organic manure)</w:t>
      </w:r>
    </w:p>
    <w:p w14:paraId="72267AF6"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₂</w:t>
      </w:r>
      <w:r w:rsidRPr="00C100F0">
        <w:rPr>
          <w:rFonts w:ascii="Arial" w:hAnsi="Arial" w:cs="Arial"/>
          <w:sz w:val="20"/>
          <w:szCs w:val="20"/>
        </w:rPr>
        <w:t>: FYM @ 12 t/ha</w:t>
      </w:r>
    </w:p>
    <w:p w14:paraId="49481B90"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₃</w:t>
      </w:r>
      <w:r w:rsidRPr="00C100F0">
        <w:rPr>
          <w:rFonts w:ascii="Arial" w:hAnsi="Arial" w:cs="Arial"/>
          <w:sz w:val="20"/>
          <w:szCs w:val="20"/>
        </w:rPr>
        <w:t>: Vermicompost @ 4 t/ha</w:t>
      </w:r>
    </w:p>
    <w:p w14:paraId="6E56483D"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r w:rsidRPr="00C100F0">
        <w:rPr>
          <w:rFonts w:ascii="Cambria Math" w:hAnsi="Cambria Math" w:cs="Cambria Math"/>
          <w:sz w:val="20"/>
          <w:szCs w:val="20"/>
        </w:rPr>
        <w:t>₄</w:t>
      </w:r>
      <w:r w:rsidRPr="00C100F0">
        <w:rPr>
          <w:rFonts w:ascii="Arial" w:hAnsi="Arial" w:cs="Arial"/>
          <w:sz w:val="20"/>
          <w:szCs w:val="20"/>
        </w:rPr>
        <w:t>: Poultry manure @ 2.5 t/ha</w:t>
      </w:r>
    </w:p>
    <w:p w14:paraId="7F1E3FB2" w14:textId="77777777" w:rsidR="00593A6B" w:rsidRPr="00C100F0" w:rsidRDefault="00593A6B" w:rsidP="006757C9">
      <w:pPr>
        <w:pStyle w:val="NormalWeb"/>
        <w:numPr>
          <w:ilvl w:val="0"/>
          <w:numId w:val="7"/>
        </w:numPr>
        <w:jc w:val="both"/>
        <w:rPr>
          <w:rFonts w:ascii="Arial" w:hAnsi="Arial" w:cs="Arial"/>
          <w:sz w:val="20"/>
          <w:szCs w:val="20"/>
        </w:rPr>
      </w:pPr>
      <w:r w:rsidRPr="00C100F0">
        <w:rPr>
          <w:rStyle w:val="Strong"/>
          <w:rFonts w:ascii="Arial" w:hAnsi="Arial" w:cs="Arial"/>
          <w:b w:val="0"/>
          <w:sz w:val="20"/>
          <w:szCs w:val="20"/>
        </w:rPr>
        <w:t>GA</w:t>
      </w:r>
      <w:r w:rsidRPr="00C100F0">
        <w:rPr>
          <w:rStyle w:val="Strong"/>
          <w:rFonts w:ascii="Cambria Math" w:hAnsi="Cambria Math" w:cs="Cambria Math"/>
          <w:b w:val="0"/>
          <w:sz w:val="20"/>
          <w:szCs w:val="20"/>
        </w:rPr>
        <w:t>₃</w:t>
      </w:r>
      <w:r w:rsidRPr="00C100F0">
        <w:rPr>
          <w:rStyle w:val="Strong"/>
          <w:rFonts w:ascii="Arial" w:hAnsi="Arial" w:cs="Arial"/>
          <w:b w:val="0"/>
          <w:sz w:val="20"/>
          <w:szCs w:val="20"/>
        </w:rPr>
        <w:t xml:space="preserve"> Levels:</w:t>
      </w:r>
    </w:p>
    <w:p w14:paraId="467E9376"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₁</w:t>
      </w:r>
      <w:r w:rsidRPr="00C100F0">
        <w:rPr>
          <w:rFonts w:ascii="Arial" w:hAnsi="Arial" w:cs="Arial"/>
          <w:sz w:val="20"/>
          <w:szCs w:val="20"/>
        </w:rPr>
        <w:t>: 0 ppm (control)</w:t>
      </w:r>
    </w:p>
    <w:p w14:paraId="00EC0331"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₂</w:t>
      </w:r>
      <w:r w:rsidRPr="00C100F0">
        <w:rPr>
          <w:rFonts w:ascii="Arial" w:hAnsi="Arial" w:cs="Arial"/>
          <w:sz w:val="20"/>
          <w:szCs w:val="20"/>
        </w:rPr>
        <w:t>: 25 ppm</w:t>
      </w:r>
    </w:p>
    <w:p w14:paraId="794322CC"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₃</w:t>
      </w:r>
      <w:r w:rsidRPr="00C100F0">
        <w:rPr>
          <w:rFonts w:ascii="Arial" w:hAnsi="Arial" w:cs="Arial"/>
          <w:sz w:val="20"/>
          <w:szCs w:val="20"/>
        </w:rPr>
        <w:t>: 50 ppm</w:t>
      </w:r>
    </w:p>
    <w:p w14:paraId="1F9AEE90" w14:textId="77777777"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r w:rsidRPr="00C100F0">
        <w:rPr>
          <w:rFonts w:ascii="Cambria Math" w:hAnsi="Cambria Math" w:cs="Cambria Math"/>
          <w:sz w:val="20"/>
          <w:szCs w:val="20"/>
        </w:rPr>
        <w:t>₄</w:t>
      </w:r>
      <w:r w:rsidRPr="00C100F0">
        <w:rPr>
          <w:rFonts w:ascii="Arial" w:hAnsi="Arial" w:cs="Arial"/>
          <w:sz w:val="20"/>
          <w:szCs w:val="20"/>
        </w:rPr>
        <w:t>: 75 ppm</w:t>
      </w:r>
    </w:p>
    <w:p w14:paraId="15BED279"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Organic manures were incorporated into the soil </w:t>
      </w:r>
      <w:r w:rsidRPr="00C100F0">
        <w:rPr>
          <w:rStyle w:val="Strong"/>
          <w:rFonts w:ascii="Arial" w:hAnsi="Arial" w:cs="Arial"/>
          <w:b w:val="0"/>
          <w:sz w:val="20"/>
          <w:szCs w:val="20"/>
        </w:rPr>
        <w:t>15 days before transplanting</w:t>
      </w:r>
      <w:r w:rsidRPr="00C100F0">
        <w:rPr>
          <w:rFonts w:ascii="Arial" w:hAnsi="Arial" w:cs="Arial"/>
          <w:sz w:val="20"/>
          <w:szCs w:val="20"/>
        </w:rPr>
        <w:t>, allowing sufficient time for decomposition. Gibberellic acid solutions were freshly prepared and sprayed at the specified concentrations using a hand-held sprayer during the vegetative growth phase.</w:t>
      </w:r>
    </w:p>
    <w:p w14:paraId="549D1C5C" w14:textId="186B26A4"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3. Crop Establishment and Cultural Practices</w:t>
      </w:r>
    </w:p>
    <w:p w14:paraId="2A55DC4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Healthy, uniform, 25-day-old seedlings of </w:t>
      </w:r>
      <w:r w:rsidRPr="00C100F0">
        <w:rPr>
          <w:rStyle w:val="Strong"/>
          <w:rFonts w:ascii="Arial" w:hAnsi="Arial" w:cs="Arial"/>
          <w:b w:val="0"/>
          <w:sz w:val="20"/>
          <w:szCs w:val="20"/>
        </w:rPr>
        <w:t>tomato (</w:t>
      </w:r>
      <w:r w:rsidRPr="00C100F0">
        <w:rPr>
          <w:rStyle w:val="Emphasis"/>
          <w:rFonts w:ascii="Arial" w:hAnsi="Arial" w:cs="Arial"/>
          <w:bCs/>
          <w:sz w:val="20"/>
          <w:szCs w:val="20"/>
        </w:rPr>
        <w:t>Lycopersicon esculentum</w:t>
      </w:r>
      <w:r w:rsidRPr="00C100F0">
        <w:rPr>
          <w:rStyle w:val="Strong"/>
          <w:rFonts w:ascii="Arial" w:hAnsi="Arial" w:cs="Arial"/>
          <w:b w:val="0"/>
          <w:sz w:val="20"/>
          <w:szCs w:val="20"/>
        </w:rPr>
        <w:t xml:space="preserve"> L.)</w:t>
      </w:r>
      <w:r w:rsidRPr="00C100F0">
        <w:rPr>
          <w:rFonts w:ascii="Arial" w:hAnsi="Arial" w:cs="Arial"/>
          <w:sz w:val="20"/>
          <w:szCs w:val="20"/>
        </w:rPr>
        <w:t xml:space="preserve"> were transplanted into </w:t>
      </w:r>
      <w:r w:rsidRPr="00C100F0">
        <w:rPr>
          <w:rStyle w:val="Strong"/>
          <w:rFonts w:ascii="Arial" w:hAnsi="Arial" w:cs="Arial"/>
          <w:b w:val="0"/>
          <w:sz w:val="20"/>
          <w:szCs w:val="20"/>
        </w:rPr>
        <w:t>earthen pots</w:t>
      </w:r>
      <w:r w:rsidRPr="00C100F0">
        <w:rPr>
          <w:rFonts w:ascii="Arial" w:hAnsi="Arial" w:cs="Arial"/>
          <w:sz w:val="20"/>
          <w:szCs w:val="20"/>
        </w:rPr>
        <w:t xml:space="preserve"> containing a mixture of soil, sand, and compost in a </w:t>
      </w:r>
      <w:r w:rsidRPr="00C100F0">
        <w:rPr>
          <w:rStyle w:val="Strong"/>
          <w:rFonts w:ascii="Arial" w:hAnsi="Arial" w:cs="Arial"/>
          <w:b w:val="0"/>
          <w:sz w:val="20"/>
          <w:szCs w:val="20"/>
        </w:rPr>
        <w:t>2:1:1</w:t>
      </w:r>
      <w:r w:rsidRPr="00C100F0">
        <w:rPr>
          <w:rFonts w:ascii="Arial" w:hAnsi="Arial" w:cs="Arial"/>
          <w:sz w:val="20"/>
          <w:szCs w:val="20"/>
        </w:rPr>
        <w:t xml:space="preserve"> ratio. Pots were arranged uniformly in the laboratory to ensure equal exposure to light and air circulation. All standard </w:t>
      </w:r>
      <w:r w:rsidRPr="00C100F0">
        <w:rPr>
          <w:rStyle w:val="Strong"/>
          <w:rFonts w:ascii="Arial" w:hAnsi="Arial" w:cs="Arial"/>
          <w:b w:val="0"/>
          <w:sz w:val="20"/>
          <w:szCs w:val="20"/>
        </w:rPr>
        <w:t>horticultural practices</w:t>
      </w:r>
      <w:r w:rsidRPr="00C100F0">
        <w:rPr>
          <w:rFonts w:ascii="Arial" w:hAnsi="Arial" w:cs="Arial"/>
          <w:sz w:val="20"/>
          <w:szCs w:val="20"/>
        </w:rPr>
        <w:t xml:space="preserve"> including irrigation, weeding, and pest control were carried out uniformly across all treatments.</w:t>
      </w:r>
    </w:p>
    <w:p w14:paraId="3AF13882" w14:textId="3B89A507"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lastRenderedPageBreak/>
        <w:t xml:space="preserve">2. </w:t>
      </w:r>
      <w:r w:rsidR="00593A6B" w:rsidRPr="00C100F0">
        <w:rPr>
          <w:rStyle w:val="Strong"/>
          <w:rFonts w:ascii="Arial" w:hAnsi="Arial" w:cs="Arial"/>
          <w:bCs w:val="0"/>
          <w:color w:val="auto"/>
          <w:sz w:val="20"/>
          <w:szCs w:val="20"/>
        </w:rPr>
        <w:t>4. Data Collection</w:t>
      </w:r>
    </w:p>
    <w:p w14:paraId="5311B874" w14:textId="75BFD856" w:rsidR="00593A6B" w:rsidRPr="00C100F0" w:rsidRDefault="006757C9" w:rsidP="006757C9">
      <w:pPr>
        <w:pStyle w:val="Heading4"/>
        <w:jc w:val="both"/>
        <w:rPr>
          <w:rFonts w:ascii="Arial" w:hAnsi="Arial" w:cs="Arial"/>
          <w:color w:val="auto"/>
          <w:sz w:val="20"/>
          <w:szCs w:val="20"/>
        </w:rPr>
      </w:pPr>
      <w:r w:rsidRPr="00C100F0">
        <w:rPr>
          <w:rStyle w:val="Strong"/>
          <w:rFonts w:ascii="Arial" w:hAnsi="Arial" w:cs="Arial"/>
          <w:b w:val="0"/>
          <w:bCs w:val="0"/>
          <w:color w:val="auto"/>
          <w:sz w:val="20"/>
          <w:szCs w:val="20"/>
        </w:rPr>
        <w:t>2.</w:t>
      </w:r>
      <w:r w:rsidR="00593A6B" w:rsidRPr="00C100F0">
        <w:rPr>
          <w:rStyle w:val="Strong"/>
          <w:rFonts w:ascii="Arial" w:hAnsi="Arial" w:cs="Arial"/>
          <w:b w:val="0"/>
          <w:bCs w:val="0"/>
          <w:color w:val="auto"/>
          <w:sz w:val="20"/>
          <w:szCs w:val="20"/>
        </w:rPr>
        <w:t>4.1 Growth Parameters</w:t>
      </w:r>
    </w:p>
    <w:p w14:paraId="408450AA" w14:textId="2575583D" w:rsidR="00593A6B" w:rsidRPr="00020924" w:rsidRDefault="00593A6B" w:rsidP="00020924">
      <w:pPr>
        <w:pStyle w:val="NormalWeb"/>
        <w:jc w:val="both"/>
        <w:rPr>
          <w:rFonts w:ascii="Arial" w:hAnsi="Arial" w:cs="Arial"/>
          <w:sz w:val="20"/>
          <w:szCs w:val="20"/>
          <w:highlight w:val="yellow"/>
        </w:rPr>
      </w:pPr>
      <w:r w:rsidRPr="00020924">
        <w:rPr>
          <w:rFonts w:ascii="Arial" w:hAnsi="Arial" w:cs="Arial"/>
          <w:sz w:val="20"/>
          <w:szCs w:val="20"/>
          <w:highlight w:val="yellow"/>
        </w:rPr>
        <w:t xml:space="preserve">Growth parameters were recorded at </w:t>
      </w:r>
      <w:r w:rsidRPr="00020924">
        <w:rPr>
          <w:rStyle w:val="Strong"/>
          <w:rFonts w:ascii="Arial" w:hAnsi="Arial" w:cs="Arial"/>
          <w:b w:val="0"/>
          <w:sz w:val="20"/>
          <w:szCs w:val="20"/>
          <w:highlight w:val="yellow"/>
        </w:rPr>
        <w:t>30, 60 days after transplanting (DAT)</w:t>
      </w:r>
      <w:r w:rsidRPr="00020924">
        <w:rPr>
          <w:rFonts w:ascii="Arial" w:hAnsi="Arial" w:cs="Arial"/>
          <w:sz w:val="20"/>
          <w:szCs w:val="20"/>
          <w:highlight w:val="yellow"/>
        </w:rPr>
        <w:t xml:space="preserve"> and </w:t>
      </w:r>
      <w:r w:rsidRPr="00020924">
        <w:rPr>
          <w:rStyle w:val="Strong"/>
          <w:rFonts w:ascii="Arial" w:hAnsi="Arial" w:cs="Arial"/>
          <w:b w:val="0"/>
          <w:sz w:val="20"/>
          <w:szCs w:val="20"/>
          <w:highlight w:val="yellow"/>
        </w:rPr>
        <w:t>at harvest</w:t>
      </w:r>
      <w:r w:rsidRPr="00020924">
        <w:rPr>
          <w:rFonts w:ascii="Arial" w:hAnsi="Arial" w:cs="Arial"/>
          <w:sz w:val="20"/>
          <w:szCs w:val="20"/>
          <w:highlight w:val="yellow"/>
        </w:rPr>
        <w:t xml:space="preserve">. The parameters measured </w:t>
      </w:r>
      <w:r w:rsidR="00020924" w:rsidRPr="00020924">
        <w:rPr>
          <w:rFonts w:ascii="Arial" w:hAnsi="Arial" w:cs="Arial"/>
          <w:sz w:val="20"/>
          <w:szCs w:val="20"/>
          <w:highlight w:val="yellow"/>
        </w:rPr>
        <w:t xml:space="preserve">were </w:t>
      </w:r>
      <w:r w:rsidRPr="00020924">
        <w:rPr>
          <w:rFonts w:ascii="Arial" w:hAnsi="Arial" w:cs="Arial"/>
          <w:sz w:val="20"/>
          <w:szCs w:val="20"/>
          <w:highlight w:val="yellow"/>
        </w:rPr>
        <w:t>Plant height (cm)</w:t>
      </w:r>
      <w:r w:rsidR="00020924" w:rsidRPr="00020924">
        <w:rPr>
          <w:rFonts w:ascii="Arial" w:hAnsi="Arial" w:cs="Arial"/>
          <w:sz w:val="20"/>
          <w:szCs w:val="20"/>
          <w:highlight w:val="yellow"/>
        </w:rPr>
        <w:t xml:space="preserve">, </w:t>
      </w:r>
      <w:r w:rsidRPr="00020924">
        <w:rPr>
          <w:rFonts w:ascii="Arial" w:hAnsi="Arial" w:cs="Arial"/>
          <w:sz w:val="20"/>
          <w:szCs w:val="20"/>
          <w:highlight w:val="yellow"/>
        </w:rPr>
        <w:t>Number of branches per plant</w:t>
      </w:r>
      <w:r w:rsidR="00020924" w:rsidRPr="00020924">
        <w:rPr>
          <w:rFonts w:ascii="Arial" w:hAnsi="Arial" w:cs="Arial"/>
          <w:sz w:val="20"/>
          <w:szCs w:val="20"/>
          <w:highlight w:val="yellow"/>
        </w:rPr>
        <w:t xml:space="preserve"> and </w:t>
      </w:r>
      <w:r w:rsidRPr="00020924">
        <w:rPr>
          <w:rFonts w:ascii="Arial" w:hAnsi="Arial" w:cs="Arial"/>
          <w:sz w:val="20"/>
          <w:szCs w:val="20"/>
          <w:highlight w:val="yellow"/>
        </w:rPr>
        <w:t>Shoot girth (cm)</w:t>
      </w:r>
      <w:r w:rsidR="00020924" w:rsidRPr="00020924">
        <w:rPr>
          <w:rFonts w:ascii="Arial" w:hAnsi="Arial" w:cs="Arial"/>
          <w:sz w:val="20"/>
          <w:szCs w:val="20"/>
          <w:highlight w:val="yellow"/>
        </w:rPr>
        <w:t>.</w:t>
      </w:r>
    </w:p>
    <w:p w14:paraId="2F176386" w14:textId="05480485" w:rsidR="00593A6B" w:rsidRPr="00020924" w:rsidRDefault="006757C9" w:rsidP="006757C9">
      <w:pPr>
        <w:pStyle w:val="Heading4"/>
        <w:jc w:val="both"/>
        <w:rPr>
          <w:rFonts w:ascii="Arial" w:hAnsi="Arial" w:cs="Arial"/>
          <w:color w:val="auto"/>
          <w:sz w:val="20"/>
          <w:szCs w:val="20"/>
          <w:highlight w:val="yellow"/>
        </w:rPr>
      </w:pPr>
      <w:r w:rsidRPr="00020924">
        <w:rPr>
          <w:rStyle w:val="Strong"/>
          <w:rFonts w:ascii="Arial" w:hAnsi="Arial" w:cs="Arial"/>
          <w:b w:val="0"/>
          <w:bCs w:val="0"/>
          <w:color w:val="auto"/>
          <w:sz w:val="20"/>
          <w:szCs w:val="20"/>
          <w:highlight w:val="yellow"/>
        </w:rPr>
        <w:t>2.</w:t>
      </w:r>
      <w:r w:rsidR="00593A6B" w:rsidRPr="00020924">
        <w:rPr>
          <w:rStyle w:val="Strong"/>
          <w:rFonts w:ascii="Arial" w:hAnsi="Arial" w:cs="Arial"/>
          <w:b w:val="0"/>
          <w:bCs w:val="0"/>
          <w:color w:val="auto"/>
          <w:sz w:val="20"/>
          <w:szCs w:val="20"/>
          <w:highlight w:val="yellow"/>
        </w:rPr>
        <w:t>4.2 Yield Parameters</w:t>
      </w:r>
    </w:p>
    <w:p w14:paraId="2F51D662" w14:textId="406BCDD7" w:rsidR="00593A6B" w:rsidRPr="00020924" w:rsidRDefault="00593A6B" w:rsidP="00020924">
      <w:pPr>
        <w:pStyle w:val="NormalWeb"/>
        <w:jc w:val="both"/>
        <w:rPr>
          <w:rFonts w:ascii="Arial" w:hAnsi="Arial" w:cs="Arial"/>
          <w:sz w:val="20"/>
          <w:szCs w:val="20"/>
        </w:rPr>
      </w:pPr>
      <w:r w:rsidRPr="00020924">
        <w:rPr>
          <w:rFonts w:ascii="Arial" w:hAnsi="Arial" w:cs="Arial"/>
          <w:sz w:val="20"/>
          <w:szCs w:val="20"/>
          <w:highlight w:val="yellow"/>
        </w:rPr>
        <w:t xml:space="preserve">At harvest, the yield attributes </w:t>
      </w:r>
      <w:r w:rsidR="00020924" w:rsidRPr="00020924">
        <w:rPr>
          <w:rFonts w:ascii="Arial" w:hAnsi="Arial" w:cs="Arial"/>
          <w:sz w:val="20"/>
          <w:szCs w:val="20"/>
          <w:highlight w:val="yellow"/>
        </w:rPr>
        <w:t xml:space="preserve">such as </w:t>
      </w:r>
      <w:r w:rsidR="00020924" w:rsidRPr="00020924">
        <w:rPr>
          <w:rFonts w:ascii="Arial" w:hAnsi="Arial" w:cs="Arial"/>
          <w:sz w:val="20"/>
          <w:szCs w:val="20"/>
          <w:highlight w:val="yellow"/>
        </w:rPr>
        <w:t>Number of fruits per plant</w:t>
      </w:r>
      <w:r w:rsidR="00020924" w:rsidRPr="00020924">
        <w:rPr>
          <w:rFonts w:ascii="Arial" w:hAnsi="Arial" w:cs="Arial"/>
          <w:sz w:val="20"/>
          <w:szCs w:val="20"/>
          <w:highlight w:val="yellow"/>
        </w:rPr>
        <w:t xml:space="preserve">, </w:t>
      </w:r>
      <w:r w:rsidR="00020924" w:rsidRPr="00020924">
        <w:rPr>
          <w:rFonts w:ascii="Arial" w:hAnsi="Arial" w:cs="Arial"/>
          <w:sz w:val="20"/>
          <w:szCs w:val="20"/>
          <w:highlight w:val="yellow"/>
        </w:rPr>
        <w:t>Fruit girth (cm)</w:t>
      </w:r>
      <w:r w:rsidR="00020924" w:rsidRPr="00020924">
        <w:rPr>
          <w:rFonts w:ascii="Arial" w:hAnsi="Arial" w:cs="Arial"/>
          <w:sz w:val="20"/>
          <w:szCs w:val="20"/>
          <w:highlight w:val="yellow"/>
        </w:rPr>
        <w:t xml:space="preserve">, </w:t>
      </w:r>
      <w:r w:rsidR="00020924" w:rsidRPr="00020924">
        <w:rPr>
          <w:rFonts w:ascii="Arial" w:hAnsi="Arial" w:cs="Arial"/>
          <w:sz w:val="20"/>
          <w:szCs w:val="20"/>
          <w:highlight w:val="yellow"/>
        </w:rPr>
        <w:t>Average fruit weight (g)</w:t>
      </w:r>
      <w:r w:rsidR="00020924" w:rsidRPr="00020924">
        <w:rPr>
          <w:rFonts w:ascii="Arial" w:hAnsi="Arial" w:cs="Arial"/>
          <w:sz w:val="20"/>
          <w:szCs w:val="20"/>
          <w:highlight w:val="yellow"/>
        </w:rPr>
        <w:t xml:space="preserve"> and </w:t>
      </w:r>
      <w:r w:rsidR="00020924" w:rsidRPr="00020924">
        <w:rPr>
          <w:rFonts w:ascii="Arial" w:hAnsi="Arial" w:cs="Arial"/>
          <w:sz w:val="20"/>
          <w:szCs w:val="20"/>
          <w:highlight w:val="yellow"/>
        </w:rPr>
        <w:t>Total fruit yield (q/ha)</w:t>
      </w:r>
      <w:r w:rsidR="00020924" w:rsidRPr="00020924">
        <w:rPr>
          <w:rFonts w:ascii="Arial" w:hAnsi="Arial" w:cs="Arial"/>
          <w:sz w:val="20"/>
          <w:szCs w:val="20"/>
          <w:highlight w:val="yellow"/>
        </w:rPr>
        <w:t xml:space="preserve"> </w:t>
      </w:r>
      <w:r w:rsidRPr="00020924">
        <w:rPr>
          <w:rFonts w:ascii="Arial" w:hAnsi="Arial" w:cs="Arial"/>
          <w:sz w:val="20"/>
          <w:szCs w:val="20"/>
          <w:highlight w:val="yellow"/>
        </w:rPr>
        <w:t>were recorded</w:t>
      </w:r>
    </w:p>
    <w:p w14:paraId="63B6BBEC" w14:textId="17D89C09" w:rsidR="00593A6B" w:rsidRPr="00C100F0" w:rsidRDefault="006757C9" w:rsidP="006757C9">
      <w:pPr>
        <w:pStyle w:val="Heading3"/>
        <w:jc w:val="both"/>
        <w:rPr>
          <w:rFonts w:ascii="Arial" w:hAnsi="Arial" w:cs="Arial"/>
          <w:b/>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5. Biochemical Analysis</w:t>
      </w:r>
    </w:p>
    <w:p w14:paraId="7454333C"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Post-harvest quality assessments were conducted at </w:t>
      </w:r>
      <w:r w:rsidRPr="00C100F0">
        <w:rPr>
          <w:rStyle w:val="Strong"/>
          <w:rFonts w:ascii="Arial" w:hAnsi="Arial" w:cs="Arial"/>
          <w:b w:val="0"/>
          <w:sz w:val="20"/>
          <w:szCs w:val="20"/>
        </w:rPr>
        <w:t>0, 30, 45, and 60 days of storage</w:t>
      </w:r>
      <w:r w:rsidRPr="00C100F0">
        <w:rPr>
          <w:rFonts w:ascii="Arial" w:hAnsi="Arial" w:cs="Arial"/>
          <w:sz w:val="20"/>
          <w:szCs w:val="20"/>
        </w:rPr>
        <w:t xml:space="preserve"> under ambient laboratory conditions. The following </w:t>
      </w:r>
      <w:r w:rsidRPr="00C100F0">
        <w:rPr>
          <w:rStyle w:val="Strong"/>
          <w:rFonts w:ascii="Arial" w:hAnsi="Arial" w:cs="Arial"/>
          <w:b w:val="0"/>
          <w:sz w:val="20"/>
          <w:szCs w:val="20"/>
        </w:rPr>
        <w:t>biochemical parameters</w:t>
      </w:r>
      <w:r w:rsidRPr="00C100F0">
        <w:rPr>
          <w:rFonts w:ascii="Arial" w:hAnsi="Arial" w:cs="Arial"/>
          <w:sz w:val="20"/>
          <w:szCs w:val="20"/>
        </w:rPr>
        <w:t xml:space="preserve"> were </w:t>
      </w:r>
      <w:proofErr w:type="spellStart"/>
      <w:r w:rsidRPr="00C100F0">
        <w:rPr>
          <w:rFonts w:ascii="Arial" w:hAnsi="Arial" w:cs="Arial"/>
          <w:sz w:val="20"/>
          <w:szCs w:val="20"/>
        </w:rPr>
        <w:t>analyzed</w:t>
      </w:r>
      <w:proofErr w:type="spellEnd"/>
      <w:r w:rsidRPr="00C100F0">
        <w:rPr>
          <w:rFonts w:ascii="Arial" w:hAnsi="Arial" w:cs="Arial"/>
          <w:sz w:val="20"/>
          <w:szCs w:val="20"/>
        </w:rPr>
        <w:t xml:space="preserve"> using standard protocols:</w:t>
      </w:r>
    </w:p>
    <w:p w14:paraId="5D3E7137"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Total soluble solids (TSS) using a hand refractometer</w:t>
      </w:r>
    </w:p>
    <w:p w14:paraId="3F8A44E4"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Titratable acidity using standard acid-base titration</w:t>
      </w:r>
    </w:p>
    <w:p w14:paraId="3681A69C"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Ascorbic acid content using the 2,6-dichlorophenolindophenol titration method</w:t>
      </w:r>
    </w:p>
    <w:p w14:paraId="26E188F6" w14:textId="77777777"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Fruit firmness using a penetrometer</w:t>
      </w:r>
    </w:p>
    <w:p w14:paraId="35501A7D"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Analytical methods followed were in accordance with the standard procedures of the </w:t>
      </w:r>
      <w:r w:rsidRPr="00C100F0">
        <w:rPr>
          <w:rStyle w:val="Strong"/>
          <w:rFonts w:ascii="Arial" w:hAnsi="Arial" w:cs="Arial"/>
          <w:b w:val="0"/>
          <w:sz w:val="20"/>
          <w:szCs w:val="20"/>
        </w:rPr>
        <w:t>Association of Official Analytical Chemists (AOAC)</w:t>
      </w:r>
      <w:r w:rsidRPr="00C100F0">
        <w:rPr>
          <w:rFonts w:ascii="Arial" w:hAnsi="Arial" w:cs="Arial"/>
          <w:sz w:val="20"/>
          <w:szCs w:val="20"/>
        </w:rPr>
        <w:t xml:space="preserve"> and other recognized laboratory standards.</w:t>
      </w:r>
    </w:p>
    <w:p w14:paraId="5D14EE12" w14:textId="10AB8222" w:rsidR="00593A6B" w:rsidRPr="00C100F0" w:rsidRDefault="006757C9" w:rsidP="006757C9">
      <w:pPr>
        <w:pStyle w:val="Heading3"/>
        <w:jc w:val="both"/>
        <w:rPr>
          <w:rFonts w:ascii="Arial" w:hAnsi="Arial" w:cs="Arial"/>
          <w:color w:val="auto"/>
          <w:sz w:val="20"/>
          <w:szCs w:val="20"/>
        </w:rPr>
      </w:pPr>
      <w:r w:rsidRPr="00C100F0">
        <w:rPr>
          <w:rStyle w:val="Strong"/>
          <w:rFonts w:ascii="Arial" w:hAnsi="Arial" w:cs="Arial"/>
          <w:bCs w:val="0"/>
          <w:color w:val="auto"/>
          <w:sz w:val="20"/>
          <w:szCs w:val="20"/>
        </w:rPr>
        <w:t>2.</w:t>
      </w:r>
      <w:r w:rsidR="00593A6B" w:rsidRPr="00C100F0">
        <w:rPr>
          <w:rStyle w:val="Strong"/>
          <w:rFonts w:ascii="Arial" w:hAnsi="Arial" w:cs="Arial"/>
          <w:bCs w:val="0"/>
          <w:color w:val="auto"/>
          <w:sz w:val="20"/>
          <w:szCs w:val="20"/>
        </w:rPr>
        <w:t>6. Statistical Analysis</w:t>
      </w:r>
    </w:p>
    <w:p w14:paraId="06FE1F61"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data collected for all parameters were subjected to </w:t>
      </w:r>
      <w:r w:rsidRPr="00C100F0">
        <w:rPr>
          <w:rStyle w:val="Strong"/>
          <w:rFonts w:ascii="Arial" w:hAnsi="Arial" w:cs="Arial"/>
          <w:b w:val="0"/>
          <w:sz w:val="20"/>
          <w:szCs w:val="20"/>
        </w:rPr>
        <w:t>analysis of variance (ANOVA)</w:t>
      </w:r>
      <w:r w:rsidRPr="00C100F0">
        <w:rPr>
          <w:rFonts w:ascii="Arial" w:hAnsi="Arial" w:cs="Arial"/>
          <w:sz w:val="20"/>
          <w:szCs w:val="20"/>
        </w:rPr>
        <w:t xml:space="preserve"> as per the Completely Randomized Design (CRD). The </w:t>
      </w:r>
      <w:r w:rsidRPr="00C100F0">
        <w:rPr>
          <w:rStyle w:val="Strong"/>
          <w:rFonts w:ascii="Arial" w:hAnsi="Arial" w:cs="Arial"/>
          <w:b w:val="0"/>
          <w:sz w:val="20"/>
          <w:szCs w:val="20"/>
        </w:rPr>
        <w:t>significance of treatment effects</w:t>
      </w:r>
      <w:r w:rsidRPr="00C100F0">
        <w:rPr>
          <w:rFonts w:ascii="Arial" w:hAnsi="Arial" w:cs="Arial"/>
          <w:sz w:val="20"/>
          <w:szCs w:val="20"/>
        </w:rPr>
        <w:t xml:space="preserve"> was tested at the </w:t>
      </w:r>
      <w:r w:rsidRPr="00C100F0">
        <w:rPr>
          <w:rStyle w:val="Strong"/>
          <w:rFonts w:ascii="Arial" w:hAnsi="Arial" w:cs="Arial"/>
          <w:b w:val="0"/>
          <w:sz w:val="20"/>
          <w:szCs w:val="20"/>
        </w:rPr>
        <w:t>5% level of probability</w:t>
      </w:r>
      <w:r w:rsidRPr="00C100F0">
        <w:rPr>
          <w:rFonts w:ascii="Arial" w:hAnsi="Arial" w:cs="Arial"/>
          <w:sz w:val="20"/>
          <w:szCs w:val="20"/>
        </w:rPr>
        <w:t xml:space="preserve">, and </w:t>
      </w:r>
      <w:r w:rsidRPr="00C100F0">
        <w:rPr>
          <w:rStyle w:val="Strong"/>
          <w:rFonts w:ascii="Arial" w:hAnsi="Arial" w:cs="Arial"/>
          <w:b w:val="0"/>
          <w:sz w:val="20"/>
          <w:szCs w:val="20"/>
        </w:rPr>
        <w:t>critical difference (CD)</w:t>
      </w:r>
      <w:r w:rsidRPr="00C100F0">
        <w:rPr>
          <w:rFonts w:ascii="Arial" w:hAnsi="Arial" w:cs="Arial"/>
          <w:sz w:val="20"/>
          <w:szCs w:val="20"/>
        </w:rPr>
        <w:t xml:space="preserve"> values were calculated to determine the significance between treatment means. Statistical analysis was performed using appropriate software tools.</w:t>
      </w:r>
    </w:p>
    <w:p w14:paraId="74F209FA" w14:textId="77777777" w:rsidR="00B426D8" w:rsidRPr="00C100F0" w:rsidRDefault="00B426D8" w:rsidP="00D06C96">
      <w:pPr>
        <w:jc w:val="both"/>
        <w:rPr>
          <w:rFonts w:ascii="Arial" w:hAnsi="Arial" w:cs="Arial"/>
          <w:b/>
          <w:bCs/>
          <w:sz w:val="20"/>
          <w:szCs w:val="24"/>
        </w:rPr>
      </w:pPr>
    </w:p>
    <w:p w14:paraId="2F8B2C7C" w14:textId="72BE0849" w:rsidR="007532FB" w:rsidRPr="00C100F0" w:rsidRDefault="00593A6B" w:rsidP="00593A6B">
      <w:pPr>
        <w:pStyle w:val="ListParagraph"/>
        <w:numPr>
          <w:ilvl w:val="0"/>
          <w:numId w:val="6"/>
        </w:numPr>
        <w:jc w:val="both"/>
        <w:rPr>
          <w:rFonts w:ascii="Arial" w:hAnsi="Arial" w:cs="Arial"/>
          <w:sz w:val="28"/>
          <w:szCs w:val="28"/>
        </w:rPr>
      </w:pPr>
      <w:r w:rsidRPr="00C100F0">
        <w:rPr>
          <w:rFonts w:ascii="Arial" w:hAnsi="Arial" w:cs="Arial"/>
          <w:b/>
          <w:bCs/>
          <w:sz w:val="24"/>
          <w:szCs w:val="24"/>
        </w:rPr>
        <w:t>RESULTS</w:t>
      </w:r>
      <w:r w:rsidRPr="00C100F0">
        <w:rPr>
          <w:rFonts w:ascii="Arial" w:hAnsi="Arial" w:cs="Arial"/>
          <w:b/>
          <w:bCs/>
          <w:spacing w:val="-2"/>
          <w:sz w:val="24"/>
          <w:szCs w:val="24"/>
        </w:rPr>
        <w:t xml:space="preserve"> </w:t>
      </w:r>
      <w:r w:rsidRPr="00C100F0">
        <w:rPr>
          <w:rFonts w:ascii="Arial" w:hAnsi="Arial" w:cs="Arial"/>
          <w:b/>
          <w:bCs/>
          <w:sz w:val="24"/>
          <w:szCs w:val="24"/>
        </w:rPr>
        <w:t>AND</w:t>
      </w:r>
      <w:r w:rsidRPr="00C100F0">
        <w:rPr>
          <w:rFonts w:ascii="Arial" w:hAnsi="Arial" w:cs="Arial"/>
          <w:b/>
          <w:bCs/>
          <w:spacing w:val="-1"/>
          <w:sz w:val="24"/>
          <w:szCs w:val="24"/>
        </w:rPr>
        <w:t xml:space="preserve"> </w:t>
      </w:r>
      <w:r w:rsidRPr="00C100F0">
        <w:rPr>
          <w:rFonts w:ascii="Arial" w:hAnsi="Arial" w:cs="Arial"/>
          <w:b/>
          <w:bCs/>
          <w:sz w:val="24"/>
          <w:szCs w:val="24"/>
        </w:rPr>
        <w:t>DISCUSSION</w:t>
      </w:r>
    </w:p>
    <w:p w14:paraId="4DC80A71" w14:textId="46D083DC" w:rsidR="0052468D" w:rsidRPr="00C100F0" w:rsidRDefault="0052468D" w:rsidP="00FC093E">
      <w:pPr>
        <w:widowControl/>
        <w:autoSpaceDE/>
        <w:autoSpaceDN/>
        <w:spacing w:before="100" w:beforeAutospacing="1" w:after="100" w:afterAutospacing="1"/>
        <w:jc w:val="both"/>
        <w:rPr>
          <w:rFonts w:ascii="Arial" w:hAnsi="Arial" w:cs="Arial"/>
          <w:sz w:val="20"/>
          <w:szCs w:val="24"/>
          <w:lang w:val="en-IN" w:eastAsia="en-IN" w:bidi="hi-IN"/>
        </w:rPr>
      </w:pPr>
      <w:r w:rsidRPr="00C100F0">
        <w:rPr>
          <w:rFonts w:ascii="Arial" w:hAnsi="Arial" w:cs="Arial"/>
          <w:sz w:val="20"/>
          <w:szCs w:val="24"/>
          <w:lang w:val="en-IN" w:eastAsia="en-IN" w:bidi="hi-IN"/>
        </w:rPr>
        <w:t>The results of the present study revealed that the use of different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had a significant and positive effect on the growth, yield attrib</w:t>
      </w:r>
      <w:r w:rsidR="00F8255F" w:rsidRPr="00C100F0">
        <w:rPr>
          <w:rFonts w:ascii="Arial" w:hAnsi="Arial" w:cs="Arial"/>
          <w:sz w:val="20"/>
          <w:szCs w:val="24"/>
          <w:lang w:val="en-IN" w:eastAsia="en-IN" w:bidi="hi-IN"/>
        </w:rPr>
        <w:t xml:space="preserve">utes, and fruit yield of tomato and presented in </w:t>
      </w:r>
      <w:r w:rsidR="00593A6B" w:rsidRPr="00C100F0">
        <w:rPr>
          <w:rFonts w:ascii="Arial" w:hAnsi="Arial" w:cs="Arial"/>
          <w:sz w:val="20"/>
          <w:szCs w:val="24"/>
          <w:lang w:val="en-IN" w:eastAsia="en-IN" w:bidi="hi-IN"/>
        </w:rPr>
        <w:t>T</w:t>
      </w:r>
      <w:r w:rsidR="00F8255F" w:rsidRPr="00C100F0">
        <w:rPr>
          <w:rFonts w:ascii="Arial" w:hAnsi="Arial" w:cs="Arial"/>
          <w:sz w:val="20"/>
          <w:szCs w:val="24"/>
          <w:lang w:val="en-IN" w:eastAsia="en-IN" w:bidi="hi-IN"/>
        </w:rPr>
        <w:t>able 1</w:t>
      </w:r>
      <w:r w:rsidR="00FC093E" w:rsidRPr="00C100F0">
        <w:rPr>
          <w:rFonts w:ascii="Arial" w:hAnsi="Arial" w:cs="Arial"/>
          <w:sz w:val="20"/>
          <w:szCs w:val="24"/>
          <w:lang w:val="en-IN" w:eastAsia="en-IN" w:bidi="hi-IN"/>
        </w:rPr>
        <w:t xml:space="preserve"> and Fig. 1</w:t>
      </w:r>
      <w:r w:rsidR="00F8255F" w:rsidRPr="00C100F0">
        <w:rPr>
          <w:rFonts w:ascii="Arial" w:hAnsi="Arial" w:cs="Arial"/>
          <w:sz w:val="20"/>
          <w:szCs w:val="24"/>
          <w:lang w:val="en-IN" w:eastAsia="en-IN" w:bidi="hi-IN"/>
        </w:rPr>
        <w:t xml:space="preserve"> and </w:t>
      </w:r>
      <w:r w:rsidR="00FC093E" w:rsidRPr="00C100F0">
        <w:rPr>
          <w:rFonts w:ascii="Arial" w:hAnsi="Arial" w:cs="Arial"/>
          <w:sz w:val="20"/>
          <w:szCs w:val="24"/>
          <w:lang w:val="en-IN" w:eastAsia="en-IN" w:bidi="hi-IN"/>
        </w:rPr>
        <w:t xml:space="preserve">Table </w:t>
      </w:r>
      <w:r w:rsidR="00F8255F" w:rsidRPr="00C100F0">
        <w:rPr>
          <w:rFonts w:ascii="Arial" w:hAnsi="Arial" w:cs="Arial"/>
          <w:sz w:val="20"/>
          <w:szCs w:val="24"/>
          <w:lang w:val="en-IN" w:eastAsia="en-IN" w:bidi="hi-IN"/>
        </w:rPr>
        <w:t>2</w:t>
      </w:r>
      <w:r w:rsidR="00FC093E" w:rsidRPr="00C100F0">
        <w:rPr>
          <w:rFonts w:ascii="Arial" w:hAnsi="Arial" w:cs="Arial"/>
          <w:sz w:val="20"/>
          <w:szCs w:val="24"/>
          <w:lang w:val="en-IN" w:eastAsia="en-IN" w:bidi="hi-IN"/>
        </w:rPr>
        <w:t xml:space="preserve"> and Fig. 2 and Fig. 3</w:t>
      </w:r>
      <w:r w:rsidR="00F8255F" w:rsidRPr="00C100F0">
        <w:rPr>
          <w:rFonts w:ascii="Arial" w:hAnsi="Arial" w:cs="Arial"/>
          <w:sz w:val="20"/>
          <w:szCs w:val="24"/>
          <w:lang w:val="en-IN" w:eastAsia="en-IN" w:bidi="hi-IN"/>
        </w:rPr>
        <w:t>.</w:t>
      </w:r>
    </w:p>
    <w:p w14:paraId="6FEBEA1E" w14:textId="590D7F83" w:rsidR="0052468D" w:rsidRPr="00C100F0" w:rsidRDefault="00593A6B" w:rsidP="00D06C96">
      <w:pPr>
        <w:pStyle w:val="Heading1"/>
        <w:spacing w:before="0"/>
        <w:ind w:left="0"/>
        <w:jc w:val="both"/>
        <w:rPr>
          <w:rFonts w:ascii="Arial" w:hAnsi="Arial" w:cs="Arial"/>
          <w:b w:val="0"/>
          <w:bCs w:val="0"/>
          <w:sz w:val="20"/>
        </w:rPr>
      </w:pPr>
      <w:r w:rsidRPr="00C100F0">
        <w:rPr>
          <w:rFonts w:ascii="Arial" w:hAnsi="Arial" w:cs="Arial"/>
          <w:sz w:val="20"/>
        </w:rPr>
        <w:t xml:space="preserve">3.1 </w:t>
      </w:r>
      <w:r w:rsidR="0052468D" w:rsidRPr="00C100F0">
        <w:rPr>
          <w:rFonts w:ascii="Arial" w:hAnsi="Arial" w:cs="Arial"/>
          <w:sz w:val="20"/>
        </w:rPr>
        <w:t>Growth Parameters:</w:t>
      </w:r>
      <w:r w:rsidR="0052468D" w:rsidRPr="00C100F0">
        <w:rPr>
          <w:rFonts w:ascii="Arial" w:hAnsi="Arial" w:cs="Arial"/>
          <w:b w:val="0"/>
          <w:bCs w:val="0"/>
          <w:sz w:val="20"/>
        </w:rPr>
        <w:t xml:space="preserve"> </w:t>
      </w:r>
    </w:p>
    <w:p w14:paraId="67BB661D" w14:textId="7369F3FC" w:rsidR="001D34BE" w:rsidRPr="00C100F0" w:rsidRDefault="00F8255F" w:rsidP="00D06C96">
      <w:pPr>
        <w:pStyle w:val="Heading1"/>
        <w:spacing w:before="0"/>
        <w:ind w:left="0" w:firstLine="720"/>
        <w:jc w:val="both"/>
        <w:rPr>
          <w:rFonts w:ascii="Arial" w:hAnsi="Arial" w:cs="Arial"/>
          <w:b w:val="0"/>
          <w:bCs w:val="0"/>
          <w:sz w:val="20"/>
        </w:rPr>
      </w:pPr>
      <w:r w:rsidRPr="00C100F0">
        <w:rPr>
          <w:rFonts w:ascii="Arial" w:hAnsi="Arial" w:cs="Arial"/>
          <w:b w:val="0"/>
          <w:bCs w:val="0"/>
          <w:sz w:val="20"/>
        </w:rPr>
        <w:t xml:space="preserve">The data were recorded at </w:t>
      </w:r>
      <w:r w:rsidR="0052468D" w:rsidRPr="00C100F0">
        <w:rPr>
          <w:rFonts w:ascii="Arial" w:hAnsi="Arial" w:cs="Arial"/>
          <w:b w:val="0"/>
          <w:bCs w:val="0"/>
          <w:sz w:val="20"/>
        </w:rPr>
        <w:t>30, 60 days after tran</w:t>
      </w:r>
      <w:r w:rsidRPr="00C100F0">
        <w:rPr>
          <w:rFonts w:ascii="Arial" w:hAnsi="Arial" w:cs="Arial"/>
          <w:b w:val="0"/>
          <w:bCs w:val="0"/>
          <w:sz w:val="20"/>
        </w:rPr>
        <w:t>splanting (DAT), and at harvest</w:t>
      </w:r>
      <w:r w:rsidR="001E31D7" w:rsidRPr="00C100F0">
        <w:rPr>
          <w:rFonts w:ascii="Arial" w:hAnsi="Arial" w:cs="Arial"/>
          <w:b w:val="0"/>
          <w:bCs w:val="0"/>
          <w:sz w:val="20"/>
        </w:rPr>
        <w:t xml:space="preserve"> revealed </w:t>
      </w:r>
      <w:r w:rsidRPr="00C100F0">
        <w:rPr>
          <w:rFonts w:ascii="Arial" w:hAnsi="Arial" w:cs="Arial"/>
          <w:b w:val="0"/>
          <w:bCs w:val="0"/>
          <w:sz w:val="20"/>
        </w:rPr>
        <w:t>that application</w:t>
      </w:r>
      <w:r w:rsidR="0052468D" w:rsidRPr="00C100F0">
        <w:rPr>
          <w:rFonts w:ascii="Arial" w:hAnsi="Arial" w:cs="Arial"/>
          <w:b w:val="0"/>
          <w:bCs w:val="0"/>
          <w:sz w:val="20"/>
        </w:rPr>
        <w:t xml:space="preserve"> of poultry manure @ 2.5 t/ha (O</w:t>
      </w:r>
      <w:r w:rsidR="0052468D" w:rsidRPr="00C100F0">
        <w:rPr>
          <w:rFonts w:ascii="Cambria Math" w:hAnsi="Cambria Math" w:cs="Cambria Math"/>
          <w:b w:val="0"/>
          <w:bCs w:val="0"/>
          <w:sz w:val="20"/>
        </w:rPr>
        <w:t>₄</w:t>
      </w:r>
      <w:r w:rsidR="0052468D" w:rsidRPr="00C100F0">
        <w:rPr>
          <w:rFonts w:ascii="Arial" w:hAnsi="Arial" w:cs="Arial"/>
          <w:b w:val="0"/>
          <w:bCs w:val="0"/>
          <w:sz w:val="20"/>
        </w:rPr>
        <w:t>) consistently produced the tallest plants, with heights of 30.50 cm, 50.03 cm, and 69.80 cm, respectively. This treatment significantly outperformed other organic manure treatments such as vermicompost @ 4.0 t/ha (O</w:t>
      </w:r>
      <w:r w:rsidR="0052468D" w:rsidRPr="00C100F0">
        <w:rPr>
          <w:rFonts w:ascii="Cambria Math" w:hAnsi="Cambria Math" w:cs="Cambria Math"/>
          <w:b w:val="0"/>
          <w:bCs w:val="0"/>
          <w:sz w:val="20"/>
        </w:rPr>
        <w:t>₃</w:t>
      </w:r>
      <w:r w:rsidR="0052468D" w:rsidRPr="00C100F0">
        <w:rPr>
          <w:rFonts w:ascii="Arial" w:hAnsi="Arial" w:cs="Arial"/>
          <w:b w:val="0"/>
          <w:bCs w:val="0"/>
          <w:sz w:val="20"/>
        </w:rPr>
        <w:t>) and FYM @ 12 t/ha (O</w:t>
      </w:r>
      <w:r w:rsidR="0052468D" w:rsidRPr="00C100F0">
        <w:rPr>
          <w:rFonts w:ascii="Cambria Math" w:hAnsi="Cambria Math" w:cs="Cambria Math"/>
          <w:b w:val="0"/>
          <w:bCs w:val="0"/>
          <w:sz w:val="20"/>
        </w:rPr>
        <w:t>₂</w:t>
      </w:r>
      <w:r w:rsidR="0052468D" w:rsidRPr="00C100F0">
        <w:rPr>
          <w:rFonts w:ascii="Arial" w:hAnsi="Arial" w:cs="Arial"/>
          <w:b w:val="0"/>
          <w:bCs w:val="0"/>
          <w:sz w:val="20"/>
        </w:rPr>
        <w:t>), as well as the control, which recorded the lowest growth</w:t>
      </w:r>
      <w:r w:rsidR="00FC093E" w:rsidRPr="00C100F0">
        <w:rPr>
          <w:rFonts w:ascii="Arial" w:hAnsi="Arial" w:cs="Arial"/>
          <w:b w:val="0"/>
          <w:bCs w:val="0"/>
          <w:sz w:val="20"/>
        </w:rPr>
        <w:t xml:space="preserve"> (Fig. 1)</w:t>
      </w:r>
      <w:r w:rsidR="0052468D" w:rsidRPr="00C100F0">
        <w:rPr>
          <w:rFonts w:ascii="Arial" w:hAnsi="Arial" w:cs="Arial"/>
          <w:b w:val="0"/>
          <w:bCs w:val="0"/>
          <w:sz w:val="20"/>
        </w:rPr>
        <w:t>. Similarly, the highest plant height among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levels was recorded with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 75 ppm (G</w:t>
      </w:r>
      <w:r w:rsidR="0052468D" w:rsidRPr="00C100F0">
        <w:rPr>
          <w:rFonts w:ascii="Cambria Math" w:hAnsi="Cambria Math" w:cs="Cambria Math"/>
          <w:b w:val="0"/>
          <w:bCs w:val="0"/>
          <w:sz w:val="20"/>
        </w:rPr>
        <w:t>₄</w:t>
      </w:r>
      <w:r w:rsidR="0052468D" w:rsidRPr="00C100F0">
        <w:rPr>
          <w:rFonts w:ascii="Arial" w:hAnsi="Arial" w:cs="Arial"/>
          <w:b w:val="0"/>
          <w:bCs w:val="0"/>
          <w:sz w:val="20"/>
        </w:rPr>
        <w:t>) at all stages, indicating that higher concentrations of gibberellic acid effectively promote cell elongation and stem growth.</w:t>
      </w:r>
      <w:r w:rsidR="008616EA" w:rsidRPr="00C100F0">
        <w:rPr>
          <w:rFonts w:ascii="Arial" w:eastAsiaTheme="majorEastAsia" w:hAnsi="Arial" w:cs="Arial"/>
          <w:sz w:val="20"/>
          <w:lang w:val="en-IN"/>
        </w:rPr>
        <w:t xml:space="preserve"> </w:t>
      </w:r>
      <w:r w:rsidR="008616EA" w:rsidRPr="00C100F0">
        <w:rPr>
          <w:rFonts w:ascii="Arial" w:eastAsiaTheme="majorEastAsia" w:hAnsi="Arial" w:cs="Arial"/>
          <w:b w:val="0"/>
          <w:bCs w:val="0"/>
          <w:sz w:val="20"/>
          <w:lang w:val="en-IN"/>
        </w:rPr>
        <w:t xml:space="preserve">The presented investigation was close agreement with findings of </w:t>
      </w:r>
      <w:r w:rsidR="001E31D7" w:rsidRPr="00C100F0">
        <w:rPr>
          <w:rFonts w:ascii="Arial" w:eastAsiaTheme="majorEastAsia" w:hAnsi="Arial" w:cs="Arial"/>
          <w:b w:val="0"/>
          <w:bCs w:val="0"/>
          <w:sz w:val="20"/>
          <w:lang w:val="en-IN"/>
        </w:rPr>
        <w:t xml:space="preserve">Kar </w:t>
      </w:r>
      <w:r w:rsidR="001E31D7" w:rsidRPr="00C100F0">
        <w:rPr>
          <w:rFonts w:ascii="Arial" w:eastAsiaTheme="majorEastAsia" w:hAnsi="Arial" w:cs="Arial"/>
          <w:b w:val="0"/>
          <w:bCs w:val="0"/>
          <w:i/>
          <w:iCs/>
          <w:sz w:val="20"/>
          <w:lang w:val="en-IN"/>
        </w:rPr>
        <w:t>et al.,</w:t>
      </w:r>
      <w:r w:rsidR="001E31D7" w:rsidRPr="00C100F0">
        <w:rPr>
          <w:rFonts w:ascii="Arial" w:eastAsiaTheme="majorEastAsia" w:hAnsi="Arial" w:cs="Arial"/>
          <w:b w:val="0"/>
          <w:bCs w:val="0"/>
          <w:sz w:val="20"/>
          <w:lang w:val="en-IN"/>
        </w:rPr>
        <w:t xml:space="preserve"> (2016)</w:t>
      </w:r>
      <w:r w:rsidR="008616EA" w:rsidRPr="00C100F0">
        <w:rPr>
          <w:rFonts w:ascii="Arial" w:eastAsiaTheme="majorEastAsia" w:hAnsi="Arial" w:cs="Arial"/>
          <w:b w:val="0"/>
          <w:bCs w:val="0"/>
          <w:sz w:val="20"/>
          <w:lang w:val="en-IN"/>
        </w:rPr>
        <w:t xml:space="preserve"> and </w:t>
      </w:r>
      <w:proofErr w:type="spellStart"/>
      <w:r w:rsidR="001E31D7" w:rsidRPr="00C100F0">
        <w:rPr>
          <w:rFonts w:ascii="Arial" w:eastAsiaTheme="majorEastAsia" w:hAnsi="Arial" w:cs="Arial"/>
          <w:b w:val="0"/>
          <w:bCs w:val="0"/>
          <w:sz w:val="20"/>
          <w:lang w:val="en-IN"/>
        </w:rPr>
        <w:t>Ponnia</w:t>
      </w:r>
      <w:proofErr w:type="spellEnd"/>
      <w:r w:rsidR="001E31D7"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i/>
          <w:iCs/>
          <w:sz w:val="20"/>
          <w:lang w:val="en-IN"/>
        </w:rPr>
        <w:t>et al.,</w:t>
      </w:r>
      <w:r w:rsidR="008616EA"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sz w:val="20"/>
          <w:lang w:val="en-IN"/>
        </w:rPr>
        <w:t>2024</w:t>
      </w:r>
      <w:r w:rsidR="008616EA" w:rsidRPr="00C100F0">
        <w:rPr>
          <w:rFonts w:ascii="Arial" w:eastAsiaTheme="majorEastAsia" w:hAnsi="Arial" w:cs="Arial"/>
          <w:b w:val="0"/>
          <w:bCs w:val="0"/>
          <w:sz w:val="20"/>
          <w:lang w:val="en-IN"/>
        </w:rPr>
        <w:t>).</w:t>
      </w:r>
    </w:p>
    <w:p w14:paraId="748C5E10" w14:textId="22F6F12D" w:rsidR="0063785F"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t>The number of branches per plant was also significantly influenced by both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Poultry manure @ 2.5 t/ha produced the highest number of branches per plant (5.15, 7.58, and 9.85 at 30 DAT, 60 DAT, and harvest, respectively), followed by vermicompost and FYM.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treatments,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recorded the maximum branches per plant (5.10, 7.53, and 9.75), showing that higher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enhanced lateral branching, likely due to improved nutrient availability and hormonal stimulation of axillary bud growth.</w:t>
      </w:r>
      <w:r w:rsidR="0063785F" w:rsidRPr="00C100F0">
        <w:rPr>
          <w:rFonts w:ascii="Arial" w:hAnsi="Arial" w:cs="Arial"/>
          <w:sz w:val="20"/>
          <w:szCs w:val="24"/>
          <w:lang w:val="en-IN" w:eastAsia="en-IN" w:bidi="hi-IN"/>
        </w:rPr>
        <w:t xml:space="preserve"> </w:t>
      </w:r>
      <w:r w:rsidR="008616EA" w:rsidRPr="00C100F0">
        <w:rPr>
          <w:rFonts w:ascii="Arial" w:eastAsiaTheme="majorEastAsia" w:hAnsi="Arial" w:cs="Arial"/>
          <w:sz w:val="20"/>
          <w:szCs w:val="24"/>
          <w:lang w:val="en-IN"/>
        </w:rPr>
        <w:t xml:space="preserve">The presented investigation was close agreement with findings of </w:t>
      </w:r>
      <w:r w:rsidR="001E31D7" w:rsidRPr="00C100F0">
        <w:rPr>
          <w:rFonts w:ascii="Arial" w:eastAsiaTheme="majorEastAsia" w:hAnsi="Arial" w:cs="Arial"/>
          <w:sz w:val="20"/>
          <w:szCs w:val="28"/>
          <w:lang w:val="en-IN"/>
        </w:rPr>
        <w:t xml:space="preserve">Gupta </w:t>
      </w:r>
      <w:r w:rsidR="001E31D7" w:rsidRPr="00C100F0">
        <w:rPr>
          <w:rFonts w:ascii="Arial" w:eastAsiaTheme="majorEastAsia" w:hAnsi="Arial" w:cs="Arial"/>
          <w:i/>
          <w:iCs/>
          <w:sz w:val="20"/>
          <w:szCs w:val="28"/>
          <w:lang w:val="en-IN"/>
        </w:rPr>
        <w:t>et al.,</w:t>
      </w:r>
      <w:r w:rsidR="001E31D7" w:rsidRPr="00C100F0">
        <w:rPr>
          <w:rFonts w:ascii="Arial" w:eastAsiaTheme="majorEastAsia" w:hAnsi="Arial" w:cs="Arial"/>
          <w:sz w:val="20"/>
          <w:szCs w:val="28"/>
          <w:lang w:val="en-IN"/>
        </w:rPr>
        <w:t xml:space="preserve"> (2023)</w:t>
      </w:r>
      <w:r w:rsidR="008616EA" w:rsidRPr="00C100F0">
        <w:rPr>
          <w:rFonts w:ascii="Arial" w:eastAsiaTheme="majorEastAsia" w:hAnsi="Arial" w:cs="Arial"/>
          <w:sz w:val="20"/>
          <w:szCs w:val="28"/>
          <w:lang w:val="en-IN"/>
        </w:rPr>
        <w:t xml:space="preserve"> and </w:t>
      </w:r>
      <w:r w:rsidR="001E31D7" w:rsidRPr="00C100F0">
        <w:rPr>
          <w:rFonts w:ascii="Arial" w:eastAsiaTheme="majorEastAsia" w:hAnsi="Arial" w:cs="Arial"/>
          <w:sz w:val="20"/>
          <w:szCs w:val="28"/>
          <w:lang w:val="en-IN"/>
        </w:rPr>
        <w:t>Handa</w:t>
      </w:r>
      <w:r w:rsidR="008616EA" w:rsidRPr="00C100F0">
        <w:rPr>
          <w:rFonts w:ascii="Arial" w:eastAsiaTheme="majorEastAsia" w:hAnsi="Arial" w:cs="Arial"/>
          <w:sz w:val="20"/>
          <w:szCs w:val="28"/>
          <w:lang w:val="en-IN"/>
        </w:rPr>
        <w:t xml:space="preserve"> </w:t>
      </w:r>
      <w:r w:rsidR="008616EA" w:rsidRPr="00C100F0">
        <w:rPr>
          <w:rFonts w:ascii="Arial" w:eastAsiaTheme="majorEastAsia" w:hAnsi="Arial" w:cs="Arial"/>
          <w:i/>
          <w:iCs/>
          <w:sz w:val="20"/>
          <w:szCs w:val="28"/>
          <w:lang w:val="en-IN"/>
        </w:rPr>
        <w:t>et al.,</w:t>
      </w:r>
      <w:r w:rsidR="008616EA" w:rsidRPr="00C100F0">
        <w:rPr>
          <w:rFonts w:ascii="Arial" w:eastAsiaTheme="majorEastAsia" w:hAnsi="Arial" w:cs="Arial"/>
          <w:sz w:val="20"/>
          <w:szCs w:val="28"/>
          <w:lang w:val="en-IN"/>
        </w:rPr>
        <w:t xml:space="preserve"> (</w:t>
      </w:r>
      <w:r w:rsidR="001E31D7" w:rsidRPr="00C100F0">
        <w:rPr>
          <w:rFonts w:ascii="Arial" w:eastAsiaTheme="majorEastAsia" w:hAnsi="Arial" w:cs="Arial"/>
          <w:sz w:val="20"/>
          <w:szCs w:val="28"/>
          <w:lang w:val="en-IN"/>
        </w:rPr>
        <w:t>2011</w:t>
      </w:r>
      <w:r w:rsidR="008616EA" w:rsidRPr="00C100F0">
        <w:rPr>
          <w:rFonts w:ascii="Arial" w:eastAsiaTheme="majorEastAsia" w:hAnsi="Arial" w:cs="Arial"/>
          <w:sz w:val="20"/>
          <w:szCs w:val="28"/>
          <w:lang w:val="en-IN"/>
        </w:rPr>
        <w:t>).</w:t>
      </w:r>
    </w:p>
    <w:p w14:paraId="473A3A21" w14:textId="6483E30E" w:rsidR="0052468D"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lastRenderedPageBreak/>
        <w:t>The shoot girth was highest in plants treated with poultry manure @ 2.5 t/ha (3.35 cm), followed by vermicompost and FYM, while the control recorded the lowest shoot girth (2.45 cm). Similarly,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recorded the maximum shoot girth (3.25 cm), followed by lower concentrations. The results confirm that the combined use of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stimulates stronger stem development, contributing to improved vegetative vigour.</w:t>
      </w:r>
      <w:r w:rsidR="008616EA" w:rsidRPr="00C100F0">
        <w:rPr>
          <w:rFonts w:ascii="Arial" w:hAnsi="Arial" w:cs="Arial"/>
          <w:sz w:val="20"/>
          <w:szCs w:val="24"/>
          <w:lang w:val="en-IN" w:eastAsia="en-IN" w:bidi="hi-IN"/>
        </w:rPr>
        <w:t xml:space="preserve"> </w:t>
      </w:r>
      <w:r w:rsidR="001E31D7" w:rsidRPr="00C100F0">
        <w:rPr>
          <w:rFonts w:ascii="Arial" w:eastAsiaTheme="majorEastAsia" w:hAnsi="Arial" w:cs="Arial"/>
          <w:sz w:val="20"/>
          <w:szCs w:val="24"/>
          <w:lang w:val="en-IN"/>
        </w:rPr>
        <w:t>The present</w:t>
      </w:r>
      <w:r w:rsidR="008616EA" w:rsidRPr="00C100F0">
        <w:rPr>
          <w:rFonts w:ascii="Arial" w:eastAsiaTheme="majorEastAsia" w:hAnsi="Arial" w:cs="Arial"/>
          <w:sz w:val="20"/>
          <w:szCs w:val="24"/>
          <w:lang w:val="en-IN"/>
        </w:rPr>
        <w:t xml:space="preserve"> investigation was close agreement with findings of </w:t>
      </w:r>
      <w:proofErr w:type="spellStart"/>
      <w:r w:rsidR="001E31D7" w:rsidRPr="00C100F0">
        <w:rPr>
          <w:rFonts w:ascii="Arial" w:eastAsiaTheme="majorEastAsia" w:hAnsi="Arial" w:cs="Arial"/>
          <w:sz w:val="20"/>
          <w:szCs w:val="28"/>
          <w:lang w:val="en-IN"/>
        </w:rPr>
        <w:t>Akhatr</w:t>
      </w:r>
      <w:proofErr w:type="spellEnd"/>
      <w:r w:rsidR="001E31D7" w:rsidRPr="00C100F0">
        <w:rPr>
          <w:rFonts w:ascii="Arial" w:eastAsiaTheme="majorEastAsia" w:hAnsi="Arial" w:cs="Arial"/>
          <w:sz w:val="20"/>
          <w:szCs w:val="28"/>
          <w:lang w:val="en-IN"/>
        </w:rPr>
        <w:t xml:space="preserve"> </w:t>
      </w:r>
      <w:r w:rsidR="001E31D7" w:rsidRPr="00C100F0">
        <w:rPr>
          <w:rFonts w:ascii="Arial" w:eastAsiaTheme="majorEastAsia" w:hAnsi="Arial" w:cs="Arial"/>
          <w:i/>
          <w:iCs/>
          <w:sz w:val="20"/>
          <w:szCs w:val="28"/>
          <w:lang w:val="en-IN"/>
        </w:rPr>
        <w:t>et al.,</w:t>
      </w:r>
      <w:r w:rsidR="001E31D7" w:rsidRPr="00C100F0">
        <w:rPr>
          <w:rFonts w:ascii="Arial" w:eastAsiaTheme="majorEastAsia" w:hAnsi="Arial" w:cs="Arial"/>
          <w:sz w:val="20"/>
          <w:szCs w:val="28"/>
          <w:lang w:val="en-IN"/>
        </w:rPr>
        <w:t xml:space="preserve"> (2010</w:t>
      </w:r>
      <w:r w:rsidR="008616EA" w:rsidRPr="00C100F0">
        <w:rPr>
          <w:rFonts w:ascii="Arial" w:eastAsiaTheme="majorEastAsia" w:hAnsi="Arial" w:cs="Arial"/>
          <w:sz w:val="20"/>
          <w:szCs w:val="28"/>
          <w:lang w:val="en-IN"/>
        </w:rPr>
        <w:t>)</w:t>
      </w:r>
      <w:r w:rsidR="001E31D7" w:rsidRPr="00C100F0">
        <w:rPr>
          <w:rFonts w:ascii="Arial" w:eastAsiaTheme="majorEastAsia" w:hAnsi="Arial" w:cs="Arial"/>
          <w:sz w:val="20"/>
          <w:szCs w:val="24"/>
          <w:lang w:val="en-IN"/>
        </w:rPr>
        <w:t xml:space="preserve">, Ahmed </w:t>
      </w:r>
      <w:r w:rsidR="001E31D7" w:rsidRPr="00C100F0">
        <w:rPr>
          <w:rFonts w:ascii="Arial" w:eastAsiaTheme="majorEastAsia" w:hAnsi="Arial" w:cs="Arial"/>
          <w:i/>
          <w:iCs/>
          <w:sz w:val="20"/>
          <w:szCs w:val="24"/>
          <w:lang w:val="en-IN"/>
        </w:rPr>
        <w:t xml:space="preserve">et al., </w:t>
      </w:r>
      <w:r w:rsidR="001E31D7" w:rsidRPr="00C100F0">
        <w:rPr>
          <w:rFonts w:ascii="Arial" w:eastAsiaTheme="majorEastAsia" w:hAnsi="Arial" w:cs="Arial"/>
          <w:sz w:val="20"/>
          <w:szCs w:val="24"/>
          <w:lang w:val="en-IN"/>
        </w:rPr>
        <w:t>(2022) and Bello</w:t>
      </w:r>
      <w:r w:rsidR="008616EA" w:rsidRPr="00C100F0">
        <w:rPr>
          <w:rFonts w:ascii="Arial" w:eastAsiaTheme="majorEastAsia" w:hAnsi="Arial" w:cs="Arial"/>
          <w:sz w:val="20"/>
          <w:szCs w:val="24"/>
          <w:lang w:val="en-IN"/>
        </w:rPr>
        <w:t xml:space="preserve"> </w:t>
      </w:r>
      <w:r w:rsidR="008616EA" w:rsidRPr="00C100F0">
        <w:rPr>
          <w:rFonts w:ascii="Arial" w:eastAsiaTheme="majorEastAsia" w:hAnsi="Arial" w:cs="Arial"/>
          <w:i/>
          <w:iCs/>
          <w:sz w:val="20"/>
          <w:szCs w:val="24"/>
          <w:lang w:val="en-IN"/>
        </w:rPr>
        <w:t xml:space="preserve">et al., </w:t>
      </w:r>
      <w:r w:rsidR="001E31D7" w:rsidRPr="00C100F0">
        <w:rPr>
          <w:rFonts w:ascii="Arial" w:eastAsiaTheme="majorEastAsia" w:hAnsi="Arial" w:cs="Arial"/>
          <w:sz w:val="20"/>
          <w:szCs w:val="24"/>
          <w:lang w:val="en-IN"/>
        </w:rPr>
        <w:t>(</w:t>
      </w:r>
      <w:r w:rsidR="008616EA" w:rsidRPr="00C100F0">
        <w:rPr>
          <w:rFonts w:ascii="Arial" w:eastAsiaTheme="majorEastAsia" w:hAnsi="Arial" w:cs="Arial"/>
          <w:sz w:val="20"/>
          <w:szCs w:val="24"/>
          <w:lang w:val="en-IN"/>
        </w:rPr>
        <w:t>2012).</w:t>
      </w:r>
    </w:p>
    <w:p w14:paraId="012B168E" w14:textId="1F24F25A" w:rsidR="0052468D" w:rsidRPr="00C100F0" w:rsidRDefault="00593A6B" w:rsidP="00D06C96">
      <w:pPr>
        <w:pStyle w:val="Heading1"/>
        <w:spacing w:before="0"/>
        <w:ind w:left="0"/>
        <w:jc w:val="both"/>
        <w:rPr>
          <w:rFonts w:ascii="Arial" w:hAnsi="Arial" w:cs="Arial"/>
          <w:b w:val="0"/>
          <w:bCs w:val="0"/>
          <w:sz w:val="20"/>
          <w:lang w:val="en-IN" w:eastAsia="en-IN" w:bidi="hi-IN"/>
        </w:rPr>
      </w:pPr>
      <w:r w:rsidRPr="00C100F0">
        <w:rPr>
          <w:rFonts w:ascii="Arial" w:hAnsi="Arial" w:cs="Arial"/>
          <w:sz w:val="20"/>
          <w:lang w:val="en-IN" w:eastAsia="en-IN" w:bidi="hi-IN"/>
        </w:rPr>
        <w:t xml:space="preserve">3.2 </w:t>
      </w:r>
      <w:r w:rsidR="0052468D" w:rsidRPr="00C100F0">
        <w:rPr>
          <w:rFonts w:ascii="Arial" w:hAnsi="Arial" w:cs="Arial"/>
          <w:sz w:val="20"/>
          <w:lang w:val="en-IN" w:eastAsia="en-IN" w:bidi="hi-IN"/>
        </w:rPr>
        <w:t>Yield Parameters:</w:t>
      </w:r>
      <w:r w:rsidR="0052468D" w:rsidRPr="00C100F0">
        <w:rPr>
          <w:rFonts w:ascii="Arial" w:hAnsi="Arial" w:cs="Arial"/>
          <w:b w:val="0"/>
          <w:bCs w:val="0"/>
          <w:sz w:val="20"/>
          <w:lang w:val="en-IN" w:eastAsia="en-IN" w:bidi="hi-IN"/>
        </w:rPr>
        <w:t xml:space="preserve"> </w:t>
      </w:r>
    </w:p>
    <w:p w14:paraId="4E6623A1" w14:textId="612BC7C3" w:rsidR="001E31D7" w:rsidRPr="00C100F0" w:rsidRDefault="0052468D" w:rsidP="00593A6B">
      <w:pPr>
        <w:spacing w:after="120"/>
        <w:jc w:val="both"/>
        <w:rPr>
          <w:rFonts w:ascii="Arial" w:hAnsi="Arial" w:cs="Arial"/>
          <w:sz w:val="20"/>
          <w:szCs w:val="24"/>
          <w:lang w:val="en-IN"/>
        </w:rPr>
      </w:pPr>
      <w:r w:rsidRPr="00C100F0">
        <w:rPr>
          <w:rFonts w:ascii="Arial" w:hAnsi="Arial" w:cs="Arial"/>
          <w:sz w:val="20"/>
          <w:szCs w:val="24"/>
          <w:lang w:val="en-IN" w:eastAsia="en-IN" w:bidi="hi-IN"/>
        </w:rPr>
        <w:t>The number of fruits per plant, fruit girth, and average fruit weight were all significantly increased by the use of organic manures and GA</w:t>
      </w:r>
      <w:r w:rsidRPr="00C100F0">
        <w:rPr>
          <w:rFonts w:ascii="Cambria Math" w:hAnsi="Cambria Math" w:cs="Cambria Math"/>
          <w:sz w:val="20"/>
          <w:szCs w:val="24"/>
          <w:lang w:val="en-IN" w:eastAsia="en-IN" w:bidi="hi-IN"/>
        </w:rPr>
        <w:t>₃</w:t>
      </w:r>
      <w:r w:rsidR="00FC093E" w:rsidRPr="00C100F0">
        <w:rPr>
          <w:rFonts w:ascii="Arial" w:hAnsi="Arial" w:cs="Arial"/>
          <w:sz w:val="20"/>
          <w:szCs w:val="24"/>
          <w:lang w:val="en-IN" w:eastAsia="en-IN" w:bidi="hi-IN"/>
        </w:rPr>
        <w:t xml:space="preserve"> (Fig. 2 and Fig. 3)</w:t>
      </w:r>
      <w:r w:rsidRPr="00C100F0">
        <w:rPr>
          <w:rFonts w:ascii="Arial" w:hAnsi="Arial" w:cs="Arial"/>
          <w:sz w:val="20"/>
          <w:szCs w:val="24"/>
          <w:lang w:val="en-IN" w:eastAsia="en-IN" w:bidi="hi-IN"/>
        </w:rPr>
        <w:t>. Poultry manure @ 2.5 t/ha resulted in the highest number of fruits per plant (32.25), maximum fruit girth (5.95 cm), and the greatest average fruit weight (59.50 g).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the highest values for these parameters were consistently recorded with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 75 ppm (33.75 fruits per plant, 6.03 cm fruit girth, and 61.00 g average fruit weight). These improvements can be attributed to enhanced nutrient uptake, improved soil structure and microbial activity, and the role of gibberellic acid in stimulating cell division and enlargement in fruit tissues.</w:t>
      </w:r>
      <w:r w:rsidR="001E31D7" w:rsidRPr="00C100F0">
        <w:rPr>
          <w:rFonts w:ascii="Arial" w:eastAsiaTheme="majorEastAsia" w:hAnsi="Arial" w:cs="Arial"/>
          <w:sz w:val="20"/>
          <w:szCs w:val="24"/>
          <w:lang w:val="en-IN"/>
        </w:rPr>
        <w:t xml:space="preserve"> The present investigation was close agreement with findings of</w:t>
      </w:r>
      <w:r w:rsidR="001E31D7" w:rsidRPr="00C100F0">
        <w:rPr>
          <w:rFonts w:ascii="Arial" w:hAnsi="Arial" w:cs="Arial"/>
          <w:sz w:val="20"/>
          <w:szCs w:val="24"/>
          <w:lang w:val="en-IN"/>
        </w:rPr>
        <w:t xml:space="preserve"> Brahma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(2010); Choudhary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(2024), Ali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(2020) </w:t>
      </w:r>
      <w:r w:rsidR="001C72ED" w:rsidRPr="00C100F0">
        <w:rPr>
          <w:rFonts w:ascii="Arial" w:hAnsi="Arial" w:cs="Arial"/>
          <w:sz w:val="20"/>
          <w:szCs w:val="24"/>
          <w:lang w:val="en-IN"/>
        </w:rPr>
        <w:t>and Kumar</w:t>
      </w:r>
      <w:r w:rsidR="001E31D7" w:rsidRPr="00C100F0">
        <w:rPr>
          <w:rFonts w:ascii="Arial" w:hAnsi="Arial" w:cs="Arial"/>
          <w:sz w:val="20"/>
          <w:szCs w:val="24"/>
          <w:lang w:val="en-IN"/>
        </w:rPr>
        <w:t xml:space="preserve"> </w:t>
      </w:r>
      <w:r w:rsidR="001E31D7" w:rsidRPr="00C100F0">
        <w:rPr>
          <w:rFonts w:ascii="Arial" w:hAnsi="Arial" w:cs="Arial"/>
          <w:i/>
          <w:iCs/>
          <w:sz w:val="20"/>
          <w:szCs w:val="24"/>
          <w:lang w:val="en-IN"/>
        </w:rPr>
        <w:t>et al.,</w:t>
      </w:r>
      <w:r w:rsidR="001E31D7" w:rsidRPr="00C100F0">
        <w:rPr>
          <w:rFonts w:ascii="Arial" w:hAnsi="Arial" w:cs="Arial"/>
          <w:sz w:val="20"/>
          <w:szCs w:val="24"/>
          <w:lang w:val="en-IN"/>
        </w:rPr>
        <w:t xml:space="preserve"> (2019).</w:t>
      </w:r>
    </w:p>
    <w:p w14:paraId="73FCE12A" w14:textId="0157C361" w:rsidR="0052468D" w:rsidRPr="00C100F0" w:rsidRDefault="0052468D" w:rsidP="00D06C96">
      <w:pPr>
        <w:pStyle w:val="Heading1"/>
        <w:spacing w:before="0"/>
        <w:ind w:left="0" w:firstLine="720"/>
        <w:jc w:val="both"/>
        <w:rPr>
          <w:rFonts w:ascii="Arial" w:hAnsi="Arial" w:cs="Arial"/>
          <w:b w:val="0"/>
          <w:bCs w:val="0"/>
          <w:sz w:val="20"/>
        </w:rPr>
      </w:pPr>
    </w:p>
    <w:p w14:paraId="5D15C8F5" w14:textId="2B75DEF7" w:rsidR="007532FB" w:rsidRPr="00C100F0" w:rsidRDefault="00C206B2" w:rsidP="00D06C96">
      <w:pPr>
        <w:pStyle w:val="Heading1"/>
        <w:tabs>
          <w:tab w:val="left" w:pos="2520"/>
          <w:tab w:val="center" w:pos="4515"/>
        </w:tabs>
        <w:spacing w:before="0"/>
        <w:ind w:left="0"/>
        <w:rPr>
          <w:rFonts w:ascii="Arial" w:hAnsi="Arial" w:cs="Arial"/>
          <w:sz w:val="20"/>
        </w:rPr>
      </w:pPr>
      <w:r w:rsidRPr="00C100F0">
        <w:rPr>
          <w:rFonts w:ascii="Arial" w:hAnsi="Arial" w:cs="Arial"/>
          <w:sz w:val="20"/>
        </w:rPr>
        <w:t>Conclusion</w:t>
      </w:r>
      <w:r w:rsidR="0052468D" w:rsidRPr="00C100F0">
        <w:rPr>
          <w:rFonts w:ascii="Arial" w:hAnsi="Arial" w:cs="Arial"/>
          <w:sz w:val="20"/>
        </w:rPr>
        <w:tab/>
      </w:r>
      <w:r w:rsidR="008616EA" w:rsidRPr="00C100F0">
        <w:rPr>
          <w:rFonts w:ascii="Arial" w:hAnsi="Arial" w:cs="Arial"/>
          <w:sz w:val="20"/>
        </w:rPr>
        <w:tab/>
      </w:r>
    </w:p>
    <w:p w14:paraId="0F1B0129" w14:textId="4538BA1A" w:rsidR="0063785F" w:rsidRPr="00C100F0" w:rsidRDefault="0063785F" w:rsidP="00593A6B">
      <w:pPr>
        <w:pStyle w:val="NormalWeb"/>
        <w:jc w:val="both"/>
        <w:rPr>
          <w:rFonts w:ascii="Arial" w:hAnsi="Arial" w:cs="Arial"/>
          <w:sz w:val="20"/>
        </w:rPr>
      </w:pPr>
      <w:r w:rsidRPr="00C100F0">
        <w:rPr>
          <w:rFonts w:ascii="Arial" w:hAnsi="Arial" w:cs="Arial"/>
          <w:sz w:val="20"/>
        </w:rPr>
        <w:t>The study clearly concluded that the combined application of organic manures and GA</w:t>
      </w:r>
      <w:r w:rsidRPr="00C100F0">
        <w:rPr>
          <w:rFonts w:ascii="Cambria Math" w:hAnsi="Cambria Math" w:cs="Cambria Math"/>
          <w:sz w:val="20"/>
        </w:rPr>
        <w:t>₃</w:t>
      </w:r>
      <w:r w:rsidRPr="00C100F0">
        <w:rPr>
          <w:rFonts w:ascii="Arial" w:hAnsi="Arial" w:cs="Arial"/>
          <w:sz w:val="20"/>
        </w:rPr>
        <w:t xml:space="preserve"> significantly improved the growth and yield attributes of tomato. Among the organic manures tested, </w:t>
      </w:r>
      <w:r w:rsidRPr="00C100F0">
        <w:rPr>
          <w:rStyle w:val="Strong"/>
          <w:rFonts w:ascii="Arial" w:hAnsi="Arial" w:cs="Arial"/>
          <w:b w:val="0"/>
          <w:bCs w:val="0"/>
          <w:sz w:val="20"/>
        </w:rPr>
        <w:t>poultry manure @ 2.5 t/ha</w:t>
      </w:r>
      <w:r w:rsidRPr="00C100F0">
        <w:rPr>
          <w:rFonts w:ascii="Arial" w:hAnsi="Arial" w:cs="Arial"/>
          <w:sz w:val="20"/>
        </w:rPr>
        <w:t xml:space="preserve"> consistently resulted in the tallest plants, highest number of branches per plant, maximum shoot girth, and superior fruit yield parameters such as number of fruits per plant, fruit girth, and average fruit weight. Similarly, the application of </w:t>
      </w:r>
      <w:r w:rsidRPr="00C100F0">
        <w:rPr>
          <w:rStyle w:val="Strong"/>
          <w:rFonts w:ascii="Arial" w:hAnsi="Arial" w:cs="Arial"/>
          <w:b w:val="0"/>
          <w:bCs w:val="0"/>
          <w:sz w:val="20"/>
        </w:rPr>
        <w:t>GA</w:t>
      </w:r>
      <w:r w:rsidRPr="00C100F0">
        <w:rPr>
          <w:rStyle w:val="Strong"/>
          <w:rFonts w:ascii="Cambria Math" w:hAnsi="Cambria Math" w:cs="Cambria Math"/>
          <w:b w:val="0"/>
          <w:bCs w:val="0"/>
          <w:sz w:val="20"/>
        </w:rPr>
        <w:t>₃</w:t>
      </w:r>
      <w:r w:rsidRPr="00C100F0">
        <w:rPr>
          <w:rStyle w:val="Strong"/>
          <w:rFonts w:ascii="Arial" w:hAnsi="Arial" w:cs="Arial"/>
          <w:b w:val="0"/>
          <w:bCs w:val="0"/>
          <w:sz w:val="20"/>
        </w:rPr>
        <w:t xml:space="preserve"> @ 75 ppm</w:t>
      </w:r>
      <w:r w:rsidRPr="00C100F0">
        <w:rPr>
          <w:rFonts w:ascii="Arial" w:hAnsi="Arial" w:cs="Arial"/>
          <w:sz w:val="20"/>
        </w:rPr>
        <w:t xml:space="preserve"> was found to be the most effective growth regulator level, producing the best results across all measured parameters. These findings suggest that the integrated use of poultry manure and higher levels of GA</w:t>
      </w:r>
      <w:r w:rsidRPr="00C100F0">
        <w:rPr>
          <w:rFonts w:ascii="Cambria Math" w:hAnsi="Cambria Math" w:cs="Cambria Math"/>
          <w:sz w:val="20"/>
        </w:rPr>
        <w:t>₃</w:t>
      </w:r>
      <w:r w:rsidRPr="00C100F0">
        <w:rPr>
          <w:rFonts w:ascii="Arial" w:hAnsi="Arial" w:cs="Arial"/>
          <w:sz w:val="20"/>
        </w:rPr>
        <w:t xml:space="preserve"> can be recommended as an effective strategy to maximize tomato productivity while improving soil health and crop quality.</w:t>
      </w:r>
    </w:p>
    <w:p w14:paraId="7B3D12F3" w14:textId="0457F2BC" w:rsidR="001C72ED" w:rsidRPr="00C100F0" w:rsidRDefault="001C72ED" w:rsidP="001C72ED">
      <w:pPr>
        <w:spacing w:before="80"/>
        <w:jc w:val="both"/>
        <w:rPr>
          <w:rFonts w:ascii="Arial" w:hAnsi="Arial" w:cs="Arial"/>
          <w:b/>
          <w:sz w:val="24"/>
          <w:szCs w:val="20"/>
        </w:rPr>
      </w:pPr>
      <w:r w:rsidRPr="00C100F0">
        <w:rPr>
          <w:rFonts w:ascii="Arial" w:hAnsi="Arial" w:cs="Arial"/>
          <w:b/>
          <w:sz w:val="24"/>
          <w:szCs w:val="20"/>
        </w:rPr>
        <w:t>REFERENCES</w:t>
      </w:r>
    </w:p>
    <w:p w14:paraId="5A05E4F2" w14:textId="77777777" w:rsidR="00405395" w:rsidRDefault="00405395" w:rsidP="001C72ED">
      <w:pPr>
        <w:ind w:left="720" w:hanging="720"/>
        <w:jc w:val="both"/>
        <w:rPr>
          <w:rFonts w:ascii="Arial" w:hAnsi="Arial" w:cs="Arial"/>
          <w:color w:val="222222"/>
          <w:sz w:val="20"/>
          <w:szCs w:val="20"/>
          <w:shd w:val="clear" w:color="auto" w:fill="FFFFFF"/>
        </w:rPr>
      </w:pPr>
    </w:p>
    <w:p w14:paraId="3F74EBD4"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Abdelkader, A. E. (2019). Effect of different levels of farmyard manure, mineral fertilization and potassium humate on growth and productivity of garlic. </w:t>
      </w:r>
      <w:r w:rsidRPr="00C100F0">
        <w:rPr>
          <w:rFonts w:ascii="Arial" w:hAnsi="Arial" w:cs="Arial"/>
          <w:i/>
          <w:iCs/>
          <w:color w:val="222222"/>
          <w:sz w:val="20"/>
          <w:szCs w:val="20"/>
          <w:shd w:val="clear" w:color="auto" w:fill="FFFFFF"/>
        </w:rPr>
        <w:t>Sciences</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9</w:t>
      </w:r>
      <w:r w:rsidRPr="00C100F0">
        <w:rPr>
          <w:rFonts w:ascii="Arial" w:hAnsi="Arial" w:cs="Arial"/>
          <w:color w:val="222222"/>
          <w:sz w:val="20"/>
          <w:szCs w:val="20"/>
          <w:shd w:val="clear" w:color="auto" w:fill="FFFFFF"/>
        </w:rPr>
        <w:t>(02), 287-296.</w:t>
      </w:r>
    </w:p>
    <w:p w14:paraId="0387ED60" w14:textId="77777777" w:rsidR="00F215BE" w:rsidRPr="00405395" w:rsidRDefault="00F215BE" w:rsidP="00405395">
      <w:pPr>
        <w:spacing w:after="120"/>
        <w:ind w:left="720" w:hanging="720"/>
        <w:jc w:val="both"/>
        <w:rPr>
          <w:rFonts w:ascii="Arial" w:hAnsi="Arial" w:cs="Arial"/>
          <w:color w:val="000000" w:themeColor="text1"/>
          <w:sz w:val="20"/>
          <w:szCs w:val="20"/>
        </w:rPr>
      </w:pPr>
      <w:r w:rsidRPr="00405395">
        <w:rPr>
          <w:rFonts w:ascii="Arial" w:hAnsi="Arial" w:cs="Arial"/>
          <w:color w:val="000000" w:themeColor="text1"/>
          <w:sz w:val="20"/>
          <w:szCs w:val="20"/>
          <w:highlight w:val="yellow"/>
          <w:lang w:val="en-IN"/>
        </w:rPr>
        <w:t xml:space="preserve">Aher, S. B., Lakaria, B. L., Singh, A. B., &amp; </w:t>
      </w:r>
      <w:proofErr w:type="spellStart"/>
      <w:r w:rsidRPr="00405395">
        <w:rPr>
          <w:rFonts w:ascii="Arial" w:hAnsi="Arial" w:cs="Arial"/>
          <w:color w:val="000000" w:themeColor="text1"/>
          <w:sz w:val="20"/>
          <w:szCs w:val="20"/>
          <w:highlight w:val="yellow"/>
          <w:lang w:val="en-IN"/>
        </w:rPr>
        <w:t>Kaleshananda</w:t>
      </w:r>
      <w:proofErr w:type="spellEnd"/>
      <w:r w:rsidRPr="00405395">
        <w:rPr>
          <w:rFonts w:ascii="Arial" w:hAnsi="Arial" w:cs="Arial"/>
          <w:color w:val="000000" w:themeColor="text1"/>
          <w:sz w:val="20"/>
          <w:szCs w:val="20"/>
          <w:highlight w:val="yellow"/>
          <w:lang w:val="en-IN"/>
        </w:rPr>
        <w:t xml:space="preserve">, S. (2019). Soil aggregation and aggregate associated carbon in a </w:t>
      </w:r>
      <w:proofErr w:type="spellStart"/>
      <w:r w:rsidRPr="00405395">
        <w:rPr>
          <w:rFonts w:ascii="Arial" w:hAnsi="Arial" w:cs="Arial"/>
          <w:color w:val="000000" w:themeColor="text1"/>
          <w:sz w:val="20"/>
          <w:szCs w:val="20"/>
          <w:highlight w:val="yellow"/>
          <w:lang w:val="en-IN"/>
        </w:rPr>
        <w:t>Vertisol</w:t>
      </w:r>
      <w:proofErr w:type="spellEnd"/>
      <w:r w:rsidRPr="00405395">
        <w:rPr>
          <w:rFonts w:ascii="Arial" w:hAnsi="Arial" w:cs="Arial"/>
          <w:color w:val="000000" w:themeColor="text1"/>
          <w:sz w:val="20"/>
          <w:szCs w:val="20"/>
          <w:highlight w:val="yellow"/>
          <w:lang w:val="en-IN"/>
        </w:rPr>
        <w:t xml:space="preserve"> under conventional, organic and biodynamic agriculture in Semi-Arid Tropics of Central India. </w:t>
      </w:r>
      <w:r w:rsidRPr="00405395">
        <w:rPr>
          <w:rFonts w:ascii="Arial" w:hAnsi="Arial" w:cs="Arial"/>
          <w:i/>
          <w:iCs/>
          <w:color w:val="000000" w:themeColor="text1"/>
          <w:sz w:val="20"/>
          <w:szCs w:val="20"/>
          <w:highlight w:val="yellow"/>
          <w:lang w:val="en-IN"/>
        </w:rPr>
        <w:t>Journal of the Indian Society of Soil Science</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67</w:t>
      </w:r>
      <w:r w:rsidRPr="00405395">
        <w:rPr>
          <w:rFonts w:ascii="Arial" w:hAnsi="Arial" w:cs="Arial"/>
          <w:color w:val="000000" w:themeColor="text1"/>
          <w:sz w:val="20"/>
          <w:szCs w:val="20"/>
          <w:highlight w:val="yellow"/>
          <w:lang w:val="en-IN"/>
        </w:rPr>
        <w:t>(2), 183-191.</w:t>
      </w:r>
    </w:p>
    <w:p w14:paraId="10AA28AF" w14:textId="77777777" w:rsidR="00F215BE" w:rsidRPr="00F215BE" w:rsidRDefault="00F215BE" w:rsidP="00F215BE">
      <w:pPr>
        <w:spacing w:after="120"/>
        <w:ind w:left="720" w:hanging="720"/>
        <w:jc w:val="both"/>
        <w:rPr>
          <w:rFonts w:ascii="Arial" w:hAnsi="Arial" w:cs="Arial"/>
          <w:color w:val="000000" w:themeColor="text1"/>
          <w:sz w:val="20"/>
          <w:szCs w:val="20"/>
          <w:highlight w:val="yellow"/>
          <w:lang w:val="en-IN"/>
        </w:rPr>
      </w:pPr>
      <w:r w:rsidRPr="00F215BE">
        <w:rPr>
          <w:rFonts w:ascii="Arial" w:hAnsi="Arial" w:cs="Arial"/>
          <w:color w:val="000000" w:themeColor="text1"/>
          <w:sz w:val="20"/>
          <w:szCs w:val="20"/>
          <w:highlight w:val="yellow"/>
          <w:lang w:val="en-IN"/>
        </w:rPr>
        <w:t xml:space="preserve">Aher, S. B., Lakaria, B. L., Singh, A. B., </w:t>
      </w:r>
      <w:proofErr w:type="spellStart"/>
      <w:r w:rsidRPr="00F215BE">
        <w:rPr>
          <w:rFonts w:ascii="Arial" w:hAnsi="Arial" w:cs="Arial"/>
          <w:color w:val="000000" w:themeColor="text1"/>
          <w:sz w:val="20"/>
          <w:szCs w:val="20"/>
          <w:highlight w:val="yellow"/>
          <w:lang w:val="en-IN"/>
        </w:rPr>
        <w:t>Kaleshananda</w:t>
      </w:r>
      <w:proofErr w:type="spellEnd"/>
      <w:r w:rsidRPr="00F215BE">
        <w:rPr>
          <w:rFonts w:ascii="Arial" w:hAnsi="Arial" w:cs="Arial"/>
          <w:color w:val="000000" w:themeColor="text1"/>
          <w:sz w:val="20"/>
          <w:szCs w:val="20"/>
          <w:highlight w:val="yellow"/>
          <w:lang w:val="en-IN"/>
        </w:rPr>
        <w:t xml:space="preserve">, S., &amp; </w:t>
      </w:r>
      <w:proofErr w:type="spellStart"/>
      <w:r w:rsidRPr="00F215BE">
        <w:rPr>
          <w:rFonts w:ascii="Arial" w:hAnsi="Arial" w:cs="Arial"/>
          <w:color w:val="000000" w:themeColor="text1"/>
          <w:sz w:val="20"/>
          <w:szCs w:val="20"/>
          <w:highlight w:val="yellow"/>
          <w:lang w:val="en-IN"/>
        </w:rPr>
        <w:t>Yashona</w:t>
      </w:r>
      <w:proofErr w:type="spellEnd"/>
      <w:r w:rsidRPr="00F215BE">
        <w:rPr>
          <w:rFonts w:ascii="Arial" w:hAnsi="Arial" w:cs="Arial"/>
          <w:color w:val="000000" w:themeColor="text1"/>
          <w:sz w:val="20"/>
          <w:szCs w:val="20"/>
          <w:highlight w:val="yellow"/>
          <w:lang w:val="en-IN"/>
        </w:rPr>
        <w:t>, D. S. (2018). Nutritional quality of soybean and wheat under organic, biodynamic and conventional agriculture in semi-arid tropical conditions of Central India. </w:t>
      </w:r>
      <w:r w:rsidRPr="00F215BE">
        <w:rPr>
          <w:rFonts w:ascii="Arial" w:hAnsi="Arial" w:cs="Arial"/>
          <w:i/>
          <w:iCs/>
          <w:color w:val="000000" w:themeColor="text1"/>
          <w:sz w:val="20"/>
          <w:szCs w:val="20"/>
          <w:highlight w:val="yellow"/>
          <w:lang w:val="en-IN"/>
        </w:rPr>
        <w:t>Indian Journal of Agricultural Biochemistry</w:t>
      </w:r>
      <w:r w:rsidRPr="00F215BE">
        <w:rPr>
          <w:rFonts w:ascii="Arial" w:hAnsi="Arial" w:cs="Arial"/>
          <w:color w:val="000000" w:themeColor="text1"/>
          <w:sz w:val="20"/>
          <w:szCs w:val="20"/>
          <w:highlight w:val="yellow"/>
          <w:lang w:val="en-IN"/>
        </w:rPr>
        <w:t>, </w:t>
      </w:r>
      <w:r w:rsidRPr="00F215BE">
        <w:rPr>
          <w:rFonts w:ascii="Arial" w:hAnsi="Arial" w:cs="Arial"/>
          <w:i/>
          <w:iCs/>
          <w:color w:val="000000" w:themeColor="text1"/>
          <w:sz w:val="20"/>
          <w:szCs w:val="20"/>
          <w:highlight w:val="yellow"/>
          <w:lang w:val="en-IN"/>
        </w:rPr>
        <w:t>31</w:t>
      </w:r>
      <w:r w:rsidRPr="00F215BE">
        <w:rPr>
          <w:rFonts w:ascii="Arial" w:hAnsi="Arial" w:cs="Arial"/>
          <w:color w:val="000000" w:themeColor="text1"/>
          <w:sz w:val="20"/>
          <w:szCs w:val="20"/>
          <w:highlight w:val="yellow"/>
          <w:lang w:val="en-IN"/>
        </w:rPr>
        <w:t>(2), 128-136.</w:t>
      </w:r>
    </w:p>
    <w:p w14:paraId="6AE78CE0"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Akhtar, M. E., Khan, M. Z., Rashid, M. T., Ahsan, Z., &amp; Ahmad, S. (2010). Effect of potash application on yield and quality of tomato (Lycopersicon esculentum Mill.). </w:t>
      </w:r>
      <w:r w:rsidRPr="00C100F0">
        <w:rPr>
          <w:rFonts w:ascii="Arial" w:hAnsi="Arial" w:cs="Arial"/>
          <w:i/>
          <w:iCs/>
          <w:color w:val="222222"/>
          <w:sz w:val="20"/>
          <w:szCs w:val="20"/>
          <w:shd w:val="clear" w:color="auto" w:fill="FFFFFF"/>
        </w:rPr>
        <w:t>Pakistan Journal of Botany</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42</w:t>
      </w:r>
      <w:r w:rsidRPr="00C100F0">
        <w:rPr>
          <w:rFonts w:ascii="Arial" w:hAnsi="Arial" w:cs="Arial"/>
          <w:color w:val="222222"/>
          <w:sz w:val="20"/>
          <w:szCs w:val="20"/>
          <w:shd w:val="clear" w:color="auto" w:fill="FFFFFF"/>
        </w:rPr>
        <w:t>(3), 1695-1702.</w:t>
      </w:r>
    </w:p>
    <w:p w14:paraId="50145C45"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Ali, M. R., Quddus, M. A., Trina, T. N., Salim, M. M. R., &amp; </w:t>
      </w:r>
      <w:proofErr w:type="spellStart"/>
      <w:r w:rsidRPr="00C100F0">
        <w:rPr>
          <w:rFonts w:ascii="Arial" w:hAnsi="Arial" w:cs="Arial"/>
          <w:color w:val="222222"/>
          <w:sz w:val="20"/>
          <w:szCs w:val="20"/>
          <w:shd w:val="clear" w:color="auto" w:fill="FFFFFF"/>
        </w:rPr>
        <w:t>Asaduzzaman</w:t>
      </w:r>
      <w:proofErr w:type="spellEnd"/>
      <w:r w:rsidRPr="00C100F0">
        <w:rPr>
          <w:rFonts w:ascii="Arial" w:hAnsi="Arial" w:cs="Arial"/>
          <w:color w:val="222222"/>
          <w:sz w:val="20"/>
          <w:szCs w:val="20"/>
          <w:shd w:val="clear" w:color="auto" w:fill="FFFFFF"/>
        </w:rPr>
        <w:t>, M. (2022). Influence of plant growth regulators on growth, yield, and quality of tomato grown under high temperature in the tropics in the summer. </w:t>
      </w:r>
      <w:r w:rsidRPr="00C100F0">
        <w:rPr>
          <w:rFonts w:ascii="Arial" w:hAnsi="Arial" w:cs="Arial"/>
          <w:i/>
          <w:iCs/>
          <w:color w:val="222222"/>
          <w:sz w:val="20"/>
          <w:szCs w:val="20"/>
          <w:shd w:val="clear" w:color="auto" w:fill="FFFFFF"/>
        </w:rPr>
        <w:t>International Journal of Vegetable Science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28</w:t>
      </w:r>
      <w:r w:rsidRPr="00C100F0">
        <w:rPr>
          <w:rFonts w:ascii="Arial" w:hAnsi="Arial" w:cs="Arial"/>
          <w:color w:val="222222"/>
          <w:sz w:val="20"/>
          <w:szCs w:val="20"/>
          <w:shd w:val="clear" w:color="auto" w:fill="FFFFFF"/>
        </w:rPr>
        <w:t>(1), 59-75.</w:t>
      </w:r>
    </w:p>
    <w:p w14:paraId="38249650" w14:textId="77777777" w:rsidR="00F215BE" w:rsidRPr="00C100F0" w:rsidRDefault="00F215BE" w:rsidP="00593A6B">
      <w:pPr>
        <w:ind w:left="720" w:hanging="720"/>
        <w:jc w:val="both"/>
        <w:rPr>
          <w:rFonts w:ascii="Arial" w:hAnsi="Arial" w:cs="Arial"/>
          <w:color w:val="000000" w:themeColor="text1"/>
          <w:sz w:val="20"/>
          <w:szCs w:val="24"/>
        </w:rPr>
      </w:pPr>
      <w:r w:rsidRPr="00C100F0">
        <w:rPr>
          <w:rFonts w:ascii="Arial" w:hAnsi="Arial" w:cs="Arial"/>
          <w:color w:val="000000" w:themeColor="text1"/>
          <w:sz w:val="20"/>
          <w:szCs w:val="24"/>
          <w:lang w:bidi="hi-IN"/>
        </w:rPr>
        <w:t>Anonymous (</w:t>
      </w:r>
      <w:r w:rsidRPr="00C100F0">
        <w:rPr>
          <w:rFonts w:ascii="Arial" w:hAnsi="Arial" w:cs="Arial"/>
          <w:color w:val="000000" w:themeColor="text1"/>
          <w:sz w:val="20"/>
          <w:szCs w:val="24"/>
        </w:rPr>
        <w:t>2022-23</w:t>
      </w:r>
      <w:r w:rsidRPr="00C100F0">
        <w:rPr>
          <w:rFonts w:ascii="Arial" w:hAnsi="Arial" w:cs="Arial"/>
          <w:color w:val="000000" w:themeColor="text1"/>
          <w:sz w:val="20"/>
          <w:szCs w:val="24"/>
          <w:lang w:bidi="hi-IN"/>
        </w:rPr>
        <w:t>) Indian Horticulture Data Base. NHB Department of</w:t>
      </w:r>
      <w:r w:rsidRPr="00C100F0">
        <w:rPr>
          <w:rFonts w:ascii="Arial" w:hAnsi="Arial" w:cs="Arial"/>
          <w:color w:val="000000" w:themeColor="text1"/>
          <w:sz w:val="20"/>
          <w:szCs w:val="24"/>
        </w:rPr>
        <w:t xml:space="preserve"> </w:t>
      </w:r>
      <w:r w:rsidRPr="00C100F0">
        <w:rPr>
          <w:rFonts w:ascii="Arial" w:hAnsi="Arial" w:cs="Arial"/>
          <w:color w:val="000000" w:themeColor="text1"/>
          <w:sz w:val="20"/>
          <w:szCs w:val="24"/>
          <w:lang w:bidi="hi-IN"/>
        </w:rPr>
        <w:t>Agriculture and Cooperation, Government of India.</w:t>
      </w:r>
    </w:p>
    <w:p w14:paraId="6EA74D55" w14:textId="77777777" w:rsidR="00F215BE" w:rsidRPr="00C100F0" w:rsidRDefault="00F215BE" w:rsidP="00405395">
      <w:pPr>
        <w:spacing w:after="120"/>
        <w:ind w:left="720" w:hanging="720"/>
        <w:jc w:val="both"/>
        <w:rPr>
          <w:rFonts w:ascii="Arial" w:hAnsi="Arial" w:cs="Arial"/>
          <w:color w:val="000000" w:themeColor="text1"/>
          <w:sz w:val="20"/>
          <w:szCs w:val="20"/>
        </w:rPr>
      </w:pPr>
      <w:r w:rsidRPr="00405395">
        <w:rPr>
          <w:rFonts w:ascii="Arial" w:hAnsi="Arial" w:cs="Arial"/>
          <w:color w:val="000000" w:themeColor="text1"/>
          <w:sz w:val="20"/>
          <w:szCs w:val="20"/>
          <w:highlight w:val="yellow"/>
          <w:lang w:val="en-IN"/>
        </w:rPr>
        <w:t xml:space="preserve">Argal, M. S., Rawat, A. K., Aher, S. B., &amp; Rajput, P. S. (2015). </w:t>
      </w:r>
      <w:proofErr w:type="spellStart"/>
      <w:r w:rsidRPr="00405395">
        <w:rPr>
          <w:rFonts w:ascii="Arial" w:hAnsi="Arial" w:cs="Arial"/>
          <w:color w:val="000000" w:themeColor="text1"/>
          <w:sz w:val="20"/>
          <w:szCs w:val="20"/>
          <w:highlight w:val="yellow"/>
          <w:lang w:val="en-IN"/>
        </w:rPr>
        <w:t>Bioefficacy</w:t>
      </w:r>
      <w:proofErr w:type="spellEnd"/>
      <w:r w:rsidRPr="00405395">
        <w:rPr>
          <w:rFonts w:ascii="Arial" w:hAnsi="Arial" w:cs="Arial"/>
          <w:color w:val="000000" w:themeColor="text1"/>
          <w:sz w:val="20"/>
          <w:szCs w:val="20"/>
          <w:highlight w:val="yellow"/>
          <w:lang w:val="en-IN"/>
        </w:rPr>
        <w:t xml:space="preserve"> and shelf life of Rhizobium </w:t>
      </w:r>
      <w:proofErr w:type="spellStart"/>
      <w:r w:rsidRPr="00405395">
        <w:rPr>
          <w:rFonts w:ascii="Arial" w:hAnsi="Arial" w:cs="Arial"/>
          <w:color w:val="000000" w:themeColor="text1"/>
          <w:sz w:val="20"/>
          <w:szCs w:val="20"/>
          <w:highlight w:val="yellow"/>
          <w:lang w:val="en-IN"/>
        </w:rPr>
        <w:t>leguminosarum</w:t>
      </w:r>
      <w:proofErr w:type="spellEnd"/>
      <w:r w:rsidRPr="00405395">
        <w:rPr>
          <w:rFonts w:ascii="Arial" w:hAnsi="Arial" w:cs="Arial"/>
          <w:color w:val="000000" w:themeColor="text1"/>
          <w:sz w:val="20"/>
          <w:szCs w:val="20"/>
          <w:highlight w:val="yellow"/>
          <w:lang w:val="en-IN"/>
        </w:rPr>
        <w:t xml:space="preserve"> loaded on different carriers. </w:t>
      </w:r>
      <w:r w:rsidRPr="00405395">
        <w:rPr>
          <w:rFonts w:ascii="Arial" w:hAnsi="Arial" w:cs="Arial"/>
          <w:i/>
          <w:iCs/>
          <w:color w:val="000000" w:themeColor="text1"/>
          <w:sz w:val="20"/>
          <w:szCs w:val="20"/>
          <w:highlight w:val="yellow"/>
          <w:lang w:val="en-IN"/>
        </w:rPr>
        <w:t>Applied Biological Research</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17</w:t>
      </w:r>
      <w:r w:rsidRPr="00405395">
        <w:rPr>
          <w:rFonts w:ascii="Arial" w:hAnsi="Arial" w:cs="Arial"/>
          <w:color w:val="000000" w:themeColor="text1"/>
          <w:sz w:val="20"/>
          <w:szCs w:val="20"/>
          <w:highlight w:val="yellow"/>
          <w:lang w:val="en-IN"/>
        </w:rPr>
        <w:t>(2), 1-7.</w:t>
      </w:r>
    </w:p>
    <w:p w14:paraId="234EA0A7"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Jayasena, V., Jawaid, M. Z., Chen, Z. H., &amp; Ahmed, T. (2024). Tomato (Solanum </w:t>
      </w:r>
      <w:proofErr w:type="spellStart"/>
      <w:r w:rsidRPr="00C100F0">
        <w:rPr>
          <w:rFonts w:ascii="Arial" w:hAnsi="Arial" w:cs="Arial"/>
          <w:color w:val="222222"/>
          <w:sz w:val="20"/>
          <w:szCs w:val="20"/>
          <w:shd w:val="clear" w:color="auto" w:fill="FFFFFF"/>
        </w:rPr>
        <w:t>lycopersicum</w:t>
      </w:r>
      <w:proofErr w:type="spellEnd"/>
      <w:r w:rsidRPr="00C100F0">
        <w:rPr>
          <w:rFonts w:ascii="Arial" w:hAnsi="Arial" w:cs="Arial"/>
          <w:color w:val="222222"/>
          <w:sz w:val="20"/>
          <w:szCs w:val="20"/>
          <w:shd w:val="clear" w:color="auto" w:fill="FFFFFF"/>
        </w:rPr>
        <w:t>) yield response to drip irrigation and nitrogen application rates in open-field cultivation in arid environments. </w:t>
      </w:r>
      <w:r w:rsidRPr="00C100F0">
        <w:rPr>
          <w:rFonts w:ascii="Arial" w:hAnsi="Arial" w:cs="Arial"/>
          <w:i/>
          <w:iCs/>
          <w:color w:val="222222"/>
          <w:sz w:val="20"/>
          <w:szCs w:val="20"/>
          <w:shd w:val="clear" w:color="auto" w:fill="FFFFFF"/>
        </w:rPr>
        <w:t xml:space="preserve">Scientia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113298.</w:t>
      </w:r>
    </w:p>
    <w:p w14:paraId="1A75FA5E"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Jayasena, V., Jawaid, M. Z., Chen, Z. H., &amp; Ahmed, T. (2024). Tomato (Solanum </w:t>
      </w:r>
      <w:proofErr w:type="spellStart"/>
      <w:r w:rsidRPr="00C100F0">
        <w:rPr>
          <w:rFonts w:ascii="Arial" w:hAnsi="Arial" w:cs="Arial"/>
          <w:color w:val="222222"/>
          <w:sz w:val="20"/>
          <w:szCs w:val="20"/>
          <w:shd w:val="clear" w:color="auto" w:fill="FFFFFF"/>
        </w:rPr>
        <w:t>lycopersicum</w:t>
      </w:r>
      <w:proofErr w:type="spellEnd"/>
      <w:r w:rsidRPr="00C100F0">
        <w:rPr>
          <w:rFonts w:ascii="Arial" w:hAnsi="Arial" w:cs="Arial"/>
          <w:color w:val="222222"/>
          <w:sz w:val="20"/>
          <w:szCs w:val="20"/>
          <w:shd w:val="clear" w:color="auto" w:fill="FFFFFF"/>
        </w:rPr>
        <w:t>) yield response to drip irrigation and nitrogen application rates in open-field cultivation in arid environments. </w:t>
      </w:r>
      <w:r w:rsidRPr="00C100F0">
        <w:rPr>
          <w:rFonts w:ascii="Arial" w:hAnsi="Arial" w:cs="Arial"/>
          <w:i/>
          <w:iCs/>
          <w:color w:val="222222"/>
          <w:sz w:val="20"/>
          <w:szCs w:val="20"/>
          <w:shd w:val="clear" w:color="auto" w:fill="FFFFFF"/>
        </w:rPr>
        <w:t xml:space="preserve">Scientia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113298.</w:t>
      </w:r>
    </w:p>
    <w:p w14:paraId="3B129781" w14:textId="77777777" w:rsidR="00F215BE" w:rsidRPr="00C100F0" w:rsidRDefault="00F215BE"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Brahma, S., Phookan, D. B., Barua, P., &amp; Saikia, L. (2010). Effect of drip-fertigation on performance of tomato under Assam conditions. </w:t>
      </w:r>
      <w:r w:rsidRPr="00C100F0">
        <w:rPr>
          <w:rFonts w:ascii="Arial" w:hAnsi="Arial" w:cs="Arial"/>
          <w:i/>
          <w:iCs/>
          <w:color w:val="222222"/>
          <w:sz w:val="20"/>
          <w:szCs w:val="20"/>
          <w:shd w:val="clear" w:color="auto" w:fill="FFFFFF"/>
        </w:rPr>
        <w:t>Indian Journal of Horticulture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67</w:t>
      </w:r>
      <w:r w:rsidRPr="00C100F0">
        <w:rPr>
          <w:rFonts w:ascii="Arial" w:hAnsi="Arial" w:cs="Arial"/>
          <w:color w:val="222222"/>
          <w:sz w:val="20"/>
          <w:szCs w:val="20"/>
          <w:shd w:val="clear" w:color="auto" w:fill="FFFFFF"/>
        </w:rPr>
        <w:t>(1), 56-60.</w:t>
      </w:r>
    </w:p>
    <w:p w14:paraId="534B01E9" w14:textId="77777777" w:rsidR="00F215BE" w:rsidRPr="00C100F0" w:rsidRDefault="00F215BE"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lastRenderedPageBreak/>
        <w:t xml:space="preserve">Choudhary, S., </w:t>
      </w: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xml:space="preserve">, S. K., Raiger, P. R., Ram, M., &amp; Kuri, R. (2024). Optimal Use of Plant Growth Regulators for Improved Growth, Yield, and Economic Returns of Winter Tomato (Solanum </w:t>
      </w:r>
      <w:proofErr w:type="spellStart"/>
      <w:r w:rsidRPr="00C100F0">
        <w:rPr>
          <w:rFonts w:ascii="Arial" w:hAnsi="Arial" w:cs="Arial"/>
          <w:color w:val="000000" w:themeColor="text1"/>
          <w:sz w:val="20"/>
          <w:szCs w:val="20"/>
        </w:rPr>
        <w:t>lycopersicum</w:t>
      </w:r>
      <w:proofErr w:type="spellEnd"/>
      <w:r w:rsidRPr="00C100F0">
        <w:rPr>
          <w:rFonts w:ascii="Arial" w:hAnsi="Arial" w:cs="Arial"/>
          <w:color w:val="000000" w:themeColor="text1"/>
          <w:sz w:val="20"/>
          <w:szCs w:val="20"/>
        </w:rPr>
        <w:t>) in arid regions: Optimization of plant growth regulators use in tomato. </w:t>
      </w:r>
      <w:r w:rsidRPr="00C100F0">
        <w:rPr>
          <w:rFonts w:ascii="Arial" w:hAnsi="Arial" w:cs="Arial"/>
          <w:i/>
          <w:iCs/>
          <w:color w:val="000000" w:themeColor="text1"/>
          <w:sz w:val="20"/>
          <w:szCs w:val="20"/>
        </w:rPr>
        <w:t>Annals of Arid Zone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63</w:t>
      </w:r>
      <w:r w:rsidRPr="00C100F0">
        <w:rPr>
          <w:rFonts w:ascii="Arial" w:hAnsi="Arial" w:cs="Arial"/>
          <w:color w:val="000000" w:themeColor="text1"/>
          <w:sz w:val="20"/>
          <w:szCs w:val="20"/>
        </w:rPr>
        <w:t>(1), 107-112.</w:t>
      </w:r>
    </w:p>
    <w:p w14:paraId="7F951D82" w14:textId="77777777" w:rsidR="00F215BE" w:rsidRPr="00405395" w:rsidRDefault="00F215BE" w:rsidP="00405395">
      <w:pPr>
        <w:spacing w:after="120"/>
        <w:ind w:left="720" w:hanging="720"/>
        <w:jc w:val="both"/>
        <w:rPr>
          <w:rFonts w:ascii="Arial" w:hAnsi="Arial" w:cs="Arial"/>
          <w:color w:val="000000" w:themeColor="text1"/>
          <w:sz w:val="20"/>
          <w:szCs w:val="20"/>
          <w:lang w:val="en-IN"/>
        </w:rPr>
      </w:pPr>
      <w:proofErr w:type="spellStart"/>
      <w:r w:rsidRPr="00405395">
        <w:rPr>
          <w:rFonts w:ascii="Arial" w:hAnsi="Arial" w:cs="Arial"/>
          <w:color w:val="000000" w:themeColor="text1"/>
          <w:sz w:val="20"/>
          <w:szCs w:val="20"/>
          <w:highlight w:val="yellow"/>
          <w:lang w:val="en-IN"/>
        </w:rPr>
        <w:t>Dotaniya</w:t>
      </w:r>
      <w:proofErr w:type="spellEnd"/>
      <w:r w:rsidRPr="00405395">
        <w:rPr>
          <w:rFonts w:ascii="Arial" w:hAnsi="Arial" w:cs="Arial"/>
          <w:color w:val="000000" w:themeColor="text1"/>
          <w:sz w:val="20"/>
          <w:szCs w:val="20"/>
          <w:highlight w:val="yellow"/>
          <w:lang w:val="en-IN"/>
        </w:rPr>
        <w:t xml:space="preserve">, C. K., </w:t>
      </w:r>
      <w:proofErr w:type="spellStart"/>
      <w:r w:rsidRPr="00405395">
        <w:rPr>
          <w:rFonts w:ascii="Arial" w:hAnsi="Arial" w:cs="Arial"/>
          <w:color w:val="000000" w:themeColor="text1"/>
          <w:sz w:val="20"/>
          <w:szCs w:val="20"/>
          <w:highlight w:val="yellow"/>
          <w:lang w:val="en-IN"/>
        </w:rPr>
        <w:t>Yashona</w:t>
      </w:r>
      <w:proofErr w:type="spellEnd"/>
      <w:r w:rsidRPr="00405395">
        <w:rPr>
          <w:rFonts w:ascii="Arial" w:hAnsi="Arial" w:cs="Arial"/>
          <w:color w:val="000000" w:themeColor="text1"/>
          <w:sz w:val="20"/>
          <w:szCs w:val="20"/>
          <w:highlight w:val="yellow"/>
          <w:lang w:val="en-IN"/>
        </w:rPr>
        <w:t xml:space="preserve">, D. S., Aher, S. B., Rajput, P. S., </w:t>
      </w:r>
      <w:proofErr w:type="spellStart"/>
      <w:r w:rsidRPr="00405395">
        <w:rPr>
          <w:rFonts w:ascii="Arial" w:hAnsi="Arial" w:cs="Arial"/>
          <w:color w:val="000000" w:themeColor="text1"/>
          <w:sz w:val="20"/>
          <w:szCs w:val="20"/>
          <w:highlight w:val="yellow"/>
          <w:lang w:val="en-IN"/>
        </w:rPr>
        <w:t>Doutaniya</w:t>
      </w:r>
      <w:proofErr w:type="spellEnd"/>
      <w:r w:rsidRPr="00405395">
        <w:rPr>
          <w:rFonts w:ascii="Arial" w:hAnsi="Arial" w:cs="Arial"/>
          <w:color w:val="000000" w:themeColor="text1"/>
          <w:sz w:val="20"/>
          <w:szCs w:val="20"/>
          <w:highlight w:val="yellow"/>
          <w:lang w:val="en-IN"/>
        </w:rPr>
        <w:t xml:space="preserve">, R. K., Lata, M., &amp; </w:t>
      </w:r>
      <w:proofErr w:type="spellStart"/>
      <w:r w:rsidRPr="00405395">
        <w:rPr>
          <w:rFonts w:ascii="Arial" w:hAnsi="Arial" w:cs="Arial"/>
          <w:color w:val="000000" w:themeColor="text1"/>
          <w:sz w:val="20"/>
          <w:szCs w:val="20"/>
          <w:highlight w:val="yellow"/>
          <w:lang w:val="en-IN"/>
        </w:rPr>
        <w:t>Mohbe</w:t>
      </w:r>
      <w:proofErr w:type="spellEnd"/>
      <w:r w:rsidRPr="00405395">
        <w:rPr>
          <w:rFonts w:ascii="Arial" w:hAnsi="Arial" w:cs="Arial"/>
          <w:color w:val="000000" w:themeColor="text1"/>
          <w:sz w:val="20"/>
          <w:szCs w:val="20"/>
          <w:highlight w:val="yellow"/>
          <w:lang w:val="en-IN"/>
        </w:rPr>
        <w:t>, S. (2020). Crop performance and soil properties under organic nutrient management. </w:t>
      </w:r>
      <w:r w:rsidRPr="00405395">
        <w:rPr>
          <w:rFonts w:ascii="Arial" w:hAnsi="Arial" w:cs="Arial"/>
          <w:i/>
          <w:iCs/>
          <w:color w:val="000000" w:themeColor="text1"/>
          <w:sz w:val="20"/>
          <w:szCs w:val="20"/>
          <w:highlight w:val="yellow"/>
          <w:lang w:val="en-IN"/>
        </w:rPr>
        <w:t>International Journal of Current Microbiology and Applied Sciences</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9</w:t>
      </w:r>
      <w:r w:rsidRPr="00405395">
        <w:rPr>
          <w:rFonts w:ascii="Arial" w:hAnsi="Arial" w:cs="Arial"/>
          <w:color w:val="000000" w:themeColor="text1"/>
          <w:sz w:val="20"/>
          <w:szCs w:val="20"/>
          <w:highlight w:val="yellow"/>
          <w:lang w:val="en-IN"/>
        </w:rPr>
        <w:t>(4), 1055-1065.</w:t>
      </w:r>
    </w:p>
    <w:p w14:paraId="169A0A93" w14:textId="77777777" w:rsidR="00F215BE" w:rsidRPr="00C100F0" w:rsidRDefault="00F215BE"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Gao, F., Li, H., Mu, X., Gao, H., Zhang, Y., Li, R. &amp; Ye, L. (2023). Effects of organic fertilizer application on tomato yield and quality: a meta-analysis. </w:t>
      </w:r>
      <w:r w:rsidRPr="00C100F0">
        <w:rPr>
          <w:rFonts w:ascii="Arial" w:hAnsi="Arial" w:cs="Arial"/>
          <w:i/>
          <w:iCs/>
          <w:color w:val="000000" w:themeColor="text1"/>
          <w:sz w:val="20"/>
          <w:szCs w:val="20"/>
        </w:rPr>
        <w:t>Applied sciences</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13</w:t>
      </w:r>
      <w:r w:rsidRPr="00C100F0">
        <w:rPr>
          <w:rFonts w:ascii="Arial" w:hAnsi="Arial" w:cs="Arial"/>
          <w:color w:val="000000" w:themeColor="text1"/>
          <w:sz w:val="20"/>
          <w:szCs w:val="20"/>
        </w:rPr>
        <w:t>(4), 2184.</w:t>
      </w:r>
    </w:p>
    <w:p w14:paraId="2E94771B" w14:textId="77777777" w:rsidR="00F215BE" w:rsidRPr="00C100F0" w:rsidRDefault="00F215BE" w:rsidP="001C72ED">
      <w:pPr>
        <w:spacing w:after="120"/>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Gaur A C (1991). Bulky Organic Manures and Crop Residues In: Fertilizers, organic matter recyclable wastes and bio-fertilizers, H.L.S. Tandon, Fertilizer development and consultation Organization, New Delhi pp. 29-35.</w:t>
      </w:r>
    </w:p>
    <w:p w14:paraId="10AA0826" w14:textId="77777777" w:rsidR="00F215BE" w:rsidRPr="00C100F0" w:rsidRDefault="00F215BE" w:rsidP="001C72ED">
      <w:pPr>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 xml:space="preserve">Handa, G.K., Bhunia, G. and Chakraborty, S. K. (2011). The Response of vermicompost and other fertilizers on cultivation of tomato plants. </w:t>
      </w:r>
      <w:r w:rsidRPr="00C100F0">
        <w:rPr>
          <w:rFonts w:ascii="Arial" w:hAnsi="Arial" w:cs="Arial"/>
          <w:i/>
          <w:iCs/>
          <w:color w:val="000000" w:themeColor="text1"/>
          <w:sz w:val="20"/>
          <w:szCs w:val="20"/>
          <w:lang w:val="en-IN"/>
        </w:rPr>
        <w:t>J. Roil and Forest</w:t>
      </w:r>
      <w:r w:rsidRPr="00C100F0">
        <w:rPr>
          <w:rFonts w:ascii="Arial" w:hAnsi="Arial" w:cs="Arial"/>
          <w:color w:val="000000" w:themeColor="text1"/>
          <w:sz w:val="20"/>
          <w:szCs w:val="20"/>
          <w:lang w:val="en-IN"/>
        </w:rPr>
        <w:t xml:space="preserve">. Vol. </w:t>
      </w:r>
      <w:r w:rsidRPr="00C100F0">
        <w:rPr>
          <w:rFonts w:ascii="Arial" w:hAnsi="Arial" w:cs="Arial"/>
          <w:bCs/>
          <w:color w:val="000000" w:themeColor="text1"/>
          <w:sz w:val="20"/>
          <w:szCs w:val="20"/>
          <w:lang w:val="en-IN"/>
        </w:rPr>
        <w:t>3</w:t>
      </w:r>
      <w:r w:rsidRPr="00C100F0">
        <w:rPr>
          <w:rFonts w:ascii="Arial" w:hAnsi="Arial" w:cs="Arial"/>
          <w:color w:val="000000" w:themeColor="text1"/>
          <w:sz w:val="20"/>
          <w:szCs w:val="20"/>
          <w:lang w:val="en-IN"/>
        </w:rPr>
        <w:t>(2), pp. 42-45.</w:t>
      </w:r>
    </w:p>
    <w:p w14:paraId="66075C44" w14:textId="77777777" w:rsidR="00F215BE" w:rsidRPr="00C100F0" w:rsidRDefault="00F215BE" w:rsidP="001C72ED">
      <w:pPr>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 xml:space="preserve">Kar, B., Patra, C., </w:t>
      </w:r>
      <w:proofErr w:type="spellStart"/>
      <w:r w:rsidRPr="00C100F0">
        <w:rPr>
          <w:rFonts w:ascii="Arial" w:hAnsi="Arial" w:cs="Arial"/>
          <w:color w:val="000000" w:themeColor="text1"/>
          <w:sz w:val="20"/>
          <w:szCs w:val="20"/>
          <w:lang w:val="en-IN"/>
        </w:rPr>
        <w:t>Padhiary</w:t>
      </w:r>
      <w:proofErr w:type="spellEnd"/>
      <w:r w:rsidRPr="00C100F0">
        <w:rPr>
          <w:rFonts w:ascii="Arial" w:hAnsi="Arial" w:cs="Arial"/>
          <w:color w:val="000000" w:themeColor="text1"/>
          <w:sz w:val="20"/>
          <w:szCs w:val="20"/>
          <w:lang w:val="en-IN"/>
        </w:rPr>
        <w:t>, A. &amp; Mohanty, S. (2016). Response of different levels of potassium and plant growth regulators on different yield attributes of chilli (</w:t>
      </w:r>
      <w:r w:rsidRPr="00C100F0">
        <w:rPr>
          <w:rFonts w:ascii="Arial" w:hAnsi="Arial" w:cs="Arial"/>
          <w:i/>
          <w:iCs/>
          <w:color w:val="000000" w:themeColor="text1"/>
          <w:sz w:val="20"/>
          <w:szCs w:val="20"/>
          <w:lang w:val="en-IN"/>
        </w:rPr>
        <w:t>Capsicum annum</w:t>
      </w:r>
      <w:r w:rsidRPr="00C100F0">
        <w:rPr>
          <w:rFonts w:ascii="Arial" w:hAnsi="Arial" w:cs="Arial"/>
          <w:color w:val="000000" w:themeColor="text1"/>
          <w:sz w:val="20"/>
          <w:szCs w:val="20"/>
          <w:lang w:val="en-IN"/>
        </w:rPr>
        <w:t xml:space="preserve">). </w:t>
      </w:r>
      <w:r w:rsidRPr="00C100F0">
        <w:rPr>
          <w:rFonts w:ascii="Arial" w:hAnsi="Arial" w:cs="Arial"/>
          <w:i/>
          <w:iCs/>
          <w:color w:val="000000" w:themeColor="text1"/>
          <w:sz w:val="20"/>
          <w:szCs w:val="20"/>
          <w:lang w:val="en-IN"/>
        </w:rPr>
        <w:t xml:space="preserve">International Journal of Science, Environment and Technology. </w:t>
      </w:r>
      <w:r w:rsidRPr="00C100F0">
        <w:rPr>
          <w:rFonts w:ascii="Arial" w:hAnsi="Arial" w:cs="Arial"/>
          <w:bCs/>
          <w:color w:val="000000" w:themeColor="text1"/>
          <w:sz w:val="20"/>
          <w:szCs w:val="20"/>
          <w:lang w:val="en-IN"/>
        </w:rPr>
        <w:t>5</w:t>
      </w:r>
      <w:r w:rsidRPr="00C100F0">
        <w:rPr>
          <w:rFonts w:ascii="Arial" w:hAnsi="Arial" w:cs="Arial"/>
          <w:color w:val="000000" w:themeColor="text1"/>
          <w:sz w:val="20"/>
          <w:szCs w:val="20"/>
          <w:lang w:val="en-IN"/>
        </w:rPr>
        <w:t>(5), 3147-3159.</w:t>
      </w:r>
    </w:p>
    <w:p w14:paraId="436B7AF7" w14:textId="77777777" w:rsidR="00F215BE" w:rsidRPr="00405395" w:rsidRDefault="00F215BE" w:rsidP="00405395">
      <w:pPr>
        <w:spacing w:after="120"/>
        <w:ind w:left="720" w:hanging="720"/>
        <w:jc w:val="both"/>
        <w:rPr>
          <w:rFonts w:ascii="Arial" w:hAnsi="Arial" w:cs="Arial"/>
          <w:color w:val="000000" w:themeColor="text1"/>
          <w:sz w:val="20"/>
          <w:szCs w:val="20"/>
          <w:highlight w:val="yellow"/>
          <w:lang w:val="en-IN"/>
        </w:rPr>
      </w:pPr>
      <w:proofErr w:type="spellStart"/>
      <w:r w:rsidRPr="00405395">
        <w:rPr>
          <w:rFonts w:ascii="Arial" w:hAnsi="Arial" w:cs="Arial"/>
          <w:color w:val="000000" w:themeColor="text1"/>
          <w:sz w:val="20"/>
          <w:szCs w:val="20"/>
          <w:highlight w:val="yellow"/>
          <w:lang w:val="en-IN"/>
        </w:rPr>
        <w:t>Khandagle</w:t>
      </w:r>
      <w:proofErr w:type="spellEnd"/>
      <w:r w:rsidRPr="00405395">
        <w:rPr>
          <w:rFonts w:ascii="Arial" w:hAnsi="Arial" w:cs="Arial"/>
          <w:color w:val="000000" w:themeColor="text1"/>
          <w:sz w:val="20"/>
          <w:szCs w:val="20"/>
          <w:highlight w:val="yellow"/>
          <w:lang w:val="en-IN"/>
        </w:rPr>
        <w:t xml:space="preserve">, A., Dwivedi, B. S., Aher, S. B., Dwivedi, A. K., </w:t>
      </w:r>
      <w:proofErr w:type="spellStart"/>
      <w:r w:rsidRPr="00405395">
        <w:rPr>
          <w:rFonts w:ascii="Arial" w:hAnsi="Arial" w:cs="Arial"/>
          <w:color w:val="000000" w:themeColor="text1"/>
          <w:sz w:val="20"/>
          <w:szCs w:val="20"/>
          <w:highlight w:val="yellow"/>
          <w:lang w:val="en-IN"/>
        </w:rPr>
        <w:t>Yashona</w:t>
      </w:r>
      <w:proofErr w:type="spellEnd"/>
      <w:r w:rsidRPr="00405395">
        <w:rPr>
          <w:rFonts w:ascii="Arial" w:hAnsi="Arial" w:cs="Arial"/>
          <w:color w:val="000000" w:themeColor="text1"/>
          <w:sz w:val="20"/>
          <w:szCs w:val="20"/>
          <w:highlight w:val="yellow"/>
          <w:lang w:val="en-IN"/>
        </w:rPr>
        <w:t>, D. S., &amp; Jat, D. (2019a). Effect of long-term application of fertilizers and manure on soil properties. </w:t>
      </w:r>
      <w:r w:rsidRPr="00405395">
        <w:rPr>
          <w:rFonts w:ascii="Arial" w:hAnsi="Arial" w:cs="Arial"/>
          <w:i/>
          <w:iCs/>
          <w:color w:val="000000" w:themeColor="text1"/>
          <w:sz w:val="20"/>
          <w:szCs w:val="20"/>
          <w:highlight w:val="yellow"/>
          <w:lang w:val="en-IN"/>
        </w:rPr>
        <w:t>Journal of Soils and Crops</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29</w:t>
      </w:r>
      <w:r w:rsidRPr="00405395">
        <w:rPr>
          <w:rFonts w:ascii="Arial" w:hAnsi="Arial" w:cs="Arial"/>
          <w:color w:val="000000" w:themeColor="text1"/>
          <w:sz w:val="20"/>
          <w:szCs w:val="20"/>
          <w:highlight w:val="yellow"/>
          <w:lang w:val="en-IN"/>
        </w:rPr>
        <w:t>(1), 97-104.</w:t>
      </w:r>
    </w:p>
    <w:p w14:paraId="0D591C8B" w14:textId="77777777" w:rsidR="00F215BE" w:rsidRPr="00405395" w:rsidRDefault="00F215BE" w:rsidP="00405395">
      <w:pPr>
        <w:spacing w:after="120"/>
        <w:ind w:left="720" w:hanging="720"/>
        <w:jc w:val="both"/>
        <w:rPr>
          <w:rFonts w:ascii="Arial" w:hAnsi="Arial" w:cs="Arial"/>
          <w:color w:val="000000" w:themeColor="text1"/>
          <w:sz w:val="20"/>
          <w:szCs w:val="20"/>
          <w:lang w:val="en-IN"/>
        </w:rPr>
      </w:pPr>
      <w:proofErr w:type="spellStart"/>
      <w:r w:rsidRPr="00405395">
        <w:rPr>
          <w:rFonts w:ascii="Arial" w:hAnsi="Arial" w:cs="Arial"/>
          <w:color w:val="000000" w:themeColor="text1"/>
          <w:sz w:val="20"/>
          <w:szCs w:val="20"/>
          <w:highlight w:val="yellow"/>
          <w:lang w:val="en-IN"/>
        </w:rPr>
        <w:t>Khandagle</w:t>
      </w:r>
      <w:proofErr w:type="spellEnd"/>
      <w:r w:rsidRPr="00405395">
        <w:rPr>
          <w:rFonts w:ascii="Arial" w:hAnsi="Arial" w:cs="Arial"/>
          <w:color w:val="000000" w:themeColor="text1"/>
          <w:sz w:val="20"/>
          <w:szCs w:val="20"/>
          <w:highlight w:val="yellow"/>
          <w:lang w:val="en-IN"/>
        </w:rPr>
        <w:t xml:space="preserve">, A., Dwivedi, B. S., Aher, S. B., Dwivedi, A. K., </w:t>
      </w:r>
      <w:proofErr w:type="spellStart"/>
      <w:r w:rsidRPr="00405395">
        <w:rPr>
          <w:rFonts w:ascii="Arial" w:hAnsi="Arial" w:cs="Arial"/>
          <w:color w:val="000000" w:themeColor="text1"/>
          <w:sz w:val="20"/>
          <w:szCs w:val="20"/>
          <w:highlight w:val="yellow"/>
          <w:lang w:val="en-IN"/>
        </w:rPr>
        <w:t>Yashona</w:t>
      </w:r>
      <w:proofErr w:type="spellEnd"/>
      <w:r w:rsidRPr="00405395">
        <w:rPr>
          <w:rFonts w:ascii="Arial" w:hAnsi="Arial" w:cs="Arial"/>
          <w:color w:val="000000" w:themeColor="text1"/>
          <w:sz w:val="20"/>
          <w:szCs w:val="20"/>
          <w:highlight w:val="yellow"/>
          <w:lang w:val="en-IN"/>
        </w:rPr>
        <w:t xml:space="preserve">, D. S., </w:t>
      </w:r>
      <w:proofErr w:type="spellStart"/>
      <w:r w:rsidRPr="00405395">
        <w:rPr>
          <w:rFonts w:ascii="Arial" w:hAnsi="Arial" w:cs="Arial"/>
          <w:color w:val="000000" w:themeColor="text1"/>
          <w:sz w:val="20"/>
          <w:szCs w:val="20"/>
          <w:highlight w:val="yellow"/>
          <w:lang w:val="en-IN"/>
        </w:rPr>
        <w:t>Mohbe</w:t>
      </w:r>
      <w:proofErr w:type="spellEnd"/>
      <w:r w:rsidRPr="00405395">
        <w:rPr>
          <w:rFonts w:ascii="Arial" w:hAnsi="Arial" w:cs="Arial"/>
          <w:color w:val="000000" w:themeColor="text1"/>
          <w:sz w:val="20"/>
          <w:szCs w:val="20"/>
          <w:highlight w:val="yellow"/>
          <w:lang w:val="en-IN"/>
        </w:rPr>
        <w:t xml:space="preserve">, S., &amp; Panwar, S. (2019b). Distribution of nitrogen fractions under long term fertilizer and manure application in a </w:t>
      </w:r>
      <w:proofErr w:type="spellStart"/>
      <w:r w:rsidRPr="00405395">
        <w:rPr>
          <w:rFonts w:ascii="Arial" w:hAnsi="Arial" w:cs="Arial"/>
          <w:color w:val="000000" w:themeColor="text1"/>
          <w:sz w:val="20"/>
          <w:szCs w:val="20"/>
          <w:highlight w:val="yellow"/>
          <w:lang w:val="en-IN"/>
        </w:rPr>
        <w:t>vertisol</w:t>
      </w:r>
      <w:proofErr w:type="spellEnd"/>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Bioscience Biotechnology Research Communications</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12</w:t>
      </w:r>
      <w:r w:rsidRPr="00405395">
        <w:rPr>
          <w:rFonts w:ascii="Arial" w:hAnsi="Arial" w:cs="Arial"/>
          <w:color w:val="000000" w:themeColor="text1"/>
          <w:sz w:val="20"/>
          <w:szCs w:val="20"/>
          <w:highlight w:val="yellow"/>
          <w:lang w:val="en-IN"/>
        </w:rPr>
        <w:t>(1), 186-193.</w:t>
      </w:r>
    </w:p>
    <w:p w14:paraId="2EA8A690" w14:textId="77777777" w:rsidR="00F215BE" w:rsidRPr="00C100F0" w:rsidRDefault="00F215BE" w:rsidP="001C72ED">
      <w:pPr>
        <w:spacing w:after="120"/>
        <w:ind w:left="720" w:hanging="720"/>
        <w:jc w:val="both"/>
        <w:rPr>
          <w:rFonts w:ascii="Arial" w:hAnsi="Arial" w:cs="Arial"/>
          <w:color w:val="000000" w:themeColor="text1"/>
          <w:sz w:val="20"/>
          <w:szCs w:val="20"/>
          <w:lang w:bidi="hi-IN"/>
        </w:rPr>
      </w:pPr>
      <w:r w:rsidRPr="00C100F0">
        <w:rPr>
          <w:rFonts w:ascii="Arial" w:hAnsi="Arial" w:cs="Arial"/>
          <w:color w:val="000000" w:themeColor="text1"/>
          <w:sz w:val="20"/>
          <w:szCs w:val="20"/>
          <w:lang w:bidi="hi-IN"/>
        </w:rPr>
        <w:t>Kumar, P. and Kamboj, D. 2019. Effect of integrated nutrient management on</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quality and economics of garlic (</w:t>
      </w:r>
      <w:r w:rsidRPr="00C100F0">
        <w:rPr>
          <w:rFonts w:ascii="Arial" w:hAnsi="Arial" w:cs="Arial"/>
          <w:i/>
          <w:iCs/>
          <w:color w:val="000000" w:themeColor="text1"/>
          <w:sz w:val="20"/>
          <w:szCs w:val="20"/>
          <w:lang w:bidi="hi-IN"/>
        </w:rPr>
        <w:t xml:space="preserve">Allium sativum </w:t>
      </w:r>
      <w:r w:rsidRPr="00C100F0">
        <w:rPr>
          <w:rFonts w:ascii="Arial" w:hAnsi="Arial" w:cs="Arial"/>
          <w:color w:val="000000" w:themeColor="text1"/>
          <w:sz w:val="20"/>
          <w:szCs w:val="20"/>
          <w:lang w:bidi="hi-IN"/>
        </w:rPr>
        <w:t xml:space="preserve">L.). </w:t>
      </w:r>
      <w:r w:rsidRPr="00C100F0">
        <w:rPr>
          <w:rFonts w:ascii="Arial" w:hAnsi="Arial" w:cs="Arial"/>
          <w:i/>
          <w:iCs/>
          <w:color w:val="000000" w:themeColor="text1"/>
          <w:sz w:val="20"/>
          <w:szCs w:val="20"/>
          <w:lang w:bidi="hi-IN"/>
        </w:rPr>
        <w:t>International Journal</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 xml:space="preserve">of Chemical Studies </w:t>
      </w:r>
      <w:r w:rsidRPr="00C100F0">
        <w:rPr>
          <w:rFonts w:ascii="Arial" w:hAnsi="Arial" w:cs="Arial"/>
          <w:b/>
          <w:bCs/>
          <w:color w:val="000000" w:themeColor="text1"/>
          <w:sz w:val="20"/>
          <w:szCs w:val="20"/>
          <w:lang w:bidi="hi-IN"/>
        </w:rPr>
        <w:t>7</w:t>
      </w:r>
      <w:r w:rsidRPr="00C100F0">
        <w:rPr>
          <w:rFonts w:ascii="Arial" w:hAnsi="Arial" w:cs="Arial"/>
          <w:color w:val="000000" w:themeColor="text1"/>
          <w:sz w:val="20"/>
          <w:szCs w:val="20"/>
          <w:lang w:bidi="hi-IN"/>
        </w:rPr>
        <w:t>(3), 4064-4066.</w:t>
      </w:r>
    </w:p>
    <w:p w14:paraId="170AA048" w14:textId="77777777" w:rsidR="00F215BE" w:rsidRPr="00405395" w:rsidRDefault="00F215BE" w:rsidP="00405395">
      <w:pPr>
        <w:spacing w:after="120"/>
        <w:ind w:left="720" w:hanging="720"/>
        <w:jc w:val="both"/>
        <w:rPr>
          <w:rFonts w:ascii="Arial" w:hAnsi="Arial" w:cs="Arial"/>
          <w:color w:val="000000" w:themeColor="text1"/>
          <w:sz w:val="20"/>
          <w:szCs w:val="20"/>
          <w:lang w:val="en-IN"/>
        </w:rPr>
      </w:pPr>
      <w:proofErr w:type="spellStart"/>
      <w:r w:rsidRPr="00405395">
        <w:rPr>
          <w:rFonts w:ascii="Arial" w:hAnsi="Arial" w:cs="Arial"/>
          <w:color w:val="000000" w:themeColor="text1"/>
          <w:sz w:val="20"/>
          <w:szCs w:val="20"/>
          <w:highlight w:val="yellow"/>
          <w:lang w:val="en-IN"/>
        </w:rPr>
        <w:t>Mandale</w:t>
      </w:r>
      <w:proofErr w:type="spellEnd"/>
      <w:r w:rsidRPr="00405395">
        <w:rPr>
          <w:rFonts w:ascii="Arial" w:hAnsi="Arial" w:cs="Arial"/>
          <w:color w:val="000000" w:themeColor="text1"/>
          <w:sz w:val="20"/>
          <w:szCs w:val="20"/>
          <w:highlight w:val="yellow"/>
          <w:lang w:val="en-IN"/>
        </w:rPr>
        <w:t>, P., Lakaria, B. L., Aher, S. B., Singh, A. B., &amp; Gupta, S. C. (2019). Phosphorous concentration and uptake in maize varieties cultivated under organic nutrient management. </w:t>
      </w:r>
      <w:r w:rsidRPr="00405395">
        <w:rPr>
          <w:rFonts w:ascii="Arial" w:hAnsi="Arial" w:cs="Arial"/>
          <w:i/>
          <w:iCs/>
          <w:color w:val="000000" w:themeColor="text1"/>
          <w:sz w:val="20"/>
          <w:szCs w:val="20"/>
          <w:highlight w:val="yellow"/>
          <w:lang w:val="en-IN"/>
        </w:rPr>
        <w:t>International Journal of Agricultural &amp; Statistical Sciences</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15</w:t>
      </w:r>
      <w:r w:rsidRPr="00405395">
        <w:rPr>
          <w:rFonts w:ascii="Arial" w:hAnsi="Arial" w:cs="Arial"/>
          <w:color w:val="000000" w:themeColor="text1"/>
          <w:sz w:val="20"/>
          <w:szCs w:val="20"/>
          <w:highlight w:val="yellow"/>
          <w:lang w:val="en-IN"/>
        </w:rPr>
        <w:t>(1), 311-315.</w:t>
      </w:r>
    </w:p>
    <w:p w14:paraId="0DB3A5F4" w14:textId="77777777" w:rsidR="00F215BE" w:rsidRPr="00C100F0" w:rsidRDefault="00F215BE" w:rsidP="001C72ED">
      <w:pPr>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Choudhary,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S. K., Ram, M., &amp; Kuri, R. (2024). Response of PGRs on growth, reproductive efficiency, and quality of tomato (</w:t>
      </w:r>
      <w:r w:rsidRPr="00C100F0">
        <w:rPr>
          <w:rFonts w:ascii="Arial" w:hAnsi="Arial" w:cs="Arial"/>
          <w:i/>
          <w:iCs/>
          <w:color w:val="000000" w:themeColor="text1"/>
          <w:sz w:val="20"/>
          <w:szCs w:val="20"/>
        </w:rPr>
        <w:t xml:space="preserve">Solanum </w:t>
      </w:r>
      <w:proofErr w:type="spellStart"/>
      <w:r w:rsidRPr="00C100F0">
        <w:rPr>
          <w:rFonts w:ascii="Arial" w:hAnsi="Arial" w:cs="Arial"/>
          <w:i/>
          <w:iCs/>
          <w:color w:val="000000" w:themeColor="text1"/>
          <w:sz w:val="20"/>
          <w:szCs w:val="20"/>
        </w:rPr>
        <w:t>lycopersicum</w:t>
      </w:r>
      <w:proofErr w:type="spellEnd"/>
      <w:r w:rsidRPr="00C100F0">
        <w:rPr>
          <w:rFonts w:ascii="Arial" w:hAnsi="Arial" w:cs="Arial"/>
          <w:color w:val="000000" w:themeColor="text1"/>
          <w:sz w:val="20"/>
          <w:szCs w:val="20"/>
        </w:rPr>
        <w:t>) in arid regions. </w:t>
      </w:r>
      <w:r w:rsidRPr="00C100F0">
        <w:rPr>
          <w:rFonts w:ascii="Arial" w:hAnsi="Arial" w:cs="Arial"/>
          <w:i/>
          <w:iCs/>
          <w:color w:val="000000" w:themeColor="text1"/>
          <w:sz w:val="20"/>
          <w:szCs w:val="20"/>
        </w:rPr>
        <w:t>Current Horticulture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12</w:t>
      </w:r>
      <w:r w:rsidRPr="00C100F0">
        <w:rPr>
          <w:rFonts w:ascii="Arial" w:hAnsi="Arial" w:cs="Arial"/>
          <w:color w:val="000000" w:themeColor="text1"/>
          <w:sz w:val="20"/>
          <w:szCs w:val="20"/>
        </w:rPr>
        <w:t>(1), 81-85.</w:t>
      </w:r>
    </w:p>
    <w:p w14:paraId="3FF2332B" w14:textId="77777777" w:rsidR="00F215BE" w:rsidRPr="00C100F0" w:rsidRDefault="00F215BE" w:rsidP="001C72ED">
      <w:pPr>
        <w:spacing w:after="120"/>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 xml:space="preserve">Rashwan, B. R. Ali and H. </w:t>
      </w:r>
      <w:proofErr w:type="spellStart"/>
      <w:r w:rsidRPr="00C100F0">
        <w:rPr>
          <w:rFonts w:ascii="Arial" w:hAnsi="Arial" w:cs="Arial"/>
          <w:color w:val="000000" w:themeColor="text1"/>
          <w:sz w:val="20"/>
          <w:szCs w:val="20"/>
        </w:rPr>
        <w:t>Ferweez</w:t>
      </w:r>
      <w:proofErr w:type="spellEnd"/>
      <w:r w:rsidRPr="00C100F0">
        <w:rPr>
          <w:rFonts w:ascii="Arial" w:hAnsi="Arial" w:cs="Arial"/>
          <w:color w:val="000000" w:themeColor="text1"/>
          <w:sz w:val="20"/>
          <w:szCs w:val="20"/>
        </w:rPr>
        <w:t xml:space="preserve"> (2018). Growth, Yield, Bulb Quality and Storability of Garlic (</w:t>
      </w:r>
      <w:r w:rsidRPr="00C100F0">
        <w:rPr>
          <w:rFonts w:ascii="Arial" w:hAnsi="Arial" w:cs="Arial"/>
          <w:i/>
          <w:iCs/>
          <w:color w:val="000000" w:themeColor="text1"/>
          <w:sz w:val="20"/>
          <w:szCs w:val="20"/>
        </w:rPr>
        <w:t>Allium sativum</w:t>
      </w:r>
      <w:r w:rsidRPr="00C100F0">
        <w:rPr>
          <w:rFonts w:ascii="Arial" w:hAnsi="Arial" w:cs="Arial"/>
          <w:color w:val="000000" w:themeColor="text1"/>
          <w:sz w:val="20"/>
          <w:szCs w:val="20"/>
        </w:rPr>
        <w:t xml:space="preserve"> L.) as Affected by Using Poultry Manure, Sulphur and Different Levels of Phosphorus Fertilizer. </w:t>
      </w:r>
      <w:r w:rsidRPr="00C100F0">
        <w:rPr>
          <w:rFonts w:ascii="Arial" w:hAnsi="Arial" w:cs="Arial"/>
          <w:i/>
          <w:iCs/>
          <w:color w:val="000000" w:themeColor="text1"/>
          <w:sz w:val="20"/>
          <w:szCs w:val="20"/>
        </w:rPr>
        <w:t>J. Soil Sci. Agric. Eng.,</w:t>
      </w:r>
      <w:r w:rsidRPr="00C100F0">
        <w:rPr>
          <w:rFonts w:ascii="Arial" w:hAnsi="Arial" w:cs="Arial"/>
          <w:color w:val="000000" w:themeColor="text1"/>
          <w:sz w:val="20"/>
          <w:szCs w:val="20"/>
        </w:rPr>
        <w:t xml:space="preserve"> Mansoura Univ., Vol. </w:t>
      </w:r>
      <w:r w:rsidRPr="00C100F0">
        <w:rPr>
          <w:rFonts w:ascii="Arial" w:hAnsi="Arial" w:cs="Arial"/>
          <w:bCs/>
          <w:color w:val="000000" w:themeColor="text1"/>
          <w:sz w:val="20"/>
          <w:szCs w:val="20"/>
        </w:rPr>
        <w:t>9</w:t>
      </w:r>
      <w:r w:rsidRPr="00C100F0">
        <w:rPr>
          <w:rFonts w:ascii="Arial" w:hAnsi="Arial" w:cs="Arial"/>
          <w:color w:val="000000" w:themeColor="text1"/>
          <w:sz w:val="20"/>
          <w:szCs w:val="20"/>
        </w:rPr>
        <w:t xml:space="preserve"> (10): 447 – 459.</w:t>
      </w:r>
    </w:p>
    <w:p w14:paraId="49A1D4EF" w14:textId="77777777" w:rsidR="00F215BE" w:rsidRPr="00C100F0" w:rsidRDefault="00F215BE" w:rsidP="001C72ED">
      <w:pPr>
        <w:spacing w:after="120"/>
        <w:ind w:left="720" w:hanging="720"/>
        <w:jc w:val="both"/>
        <w:rPr>
          <w:rFonts w:ascii="Arial" w:hAnsi="Arial" w:cs="Arial"/>
          <w:color w:val="000000" w:themeColor="text1"/>
          <w:sz w:val="20"/>
          <w:szCs w:val="20"/>
          <w:lang w:bidi="hi-IN"/>
        </w:rPr>
      </w:pPr>
      <w:proofErr w:type="spellStart"/>
      <w:r w:rsidRPr="00C100F0">
        <w:rPr>
          <w:rFonts w:ascii="Arial" w:hAnsi="Arial" w:cs="Arial"/>
          <w:color w:val="000000" w:themeColor="text1"/>
          <w:sz w:val="20"/>
          <w:szCs w:val="20"/>
          <w:lang w:bidi="hi-IN"/>
        </w:rPr>
        <w:t>Salroo</w:t>
      </w:r>
      <w:proofErr w:type="spellEnd"/>
      <w:r w:rsidRPr="00C100F0">
        <w:rPr>
          <w:rFonts w:ascii="Arial" w:hAnsi="Arial" w:cs="Arial"/>
          <w:color w:val="000000" w:themeColor="text1"/>
          <w:sz w:val="20"/>
          <w:szCs w:val="20"/>
          <w:lang w:bidi="hi-IN"/>
        </w:rPr>
        <w:t xml:space="preserve">, M.Y. Bhat, M.A., </w:t>
      </w:r>
      <w:proofErr w:type="spellStart"/>
      <w:r w:rsidRPr="00C100F0">
        <w:rPr>
          <w:rFonts w:ascii="Arial" w:hAnsi="Arial" w:cs="Arial"/>
          <w:color w:val="000000" w:themeColor="text1"/>
          <w:sz w:val="20"/>
          <w:szCs w:val="20"/>
          <w:lang w:bidi="hi-IN"/>
        </w:rPr>
        <w:t>Mushki</w:t>
      </w:r>
      <w:proofErr w:type="spellEnd"/>
      <w:r w:rsidRPr="00C100F0">
        <w:rPr>
          <w:rFonts w:ascii="Arial" w:hAnsi="Arial" w:cs="Arial"/>
          <w:color w:val="000000" w:themeColor="text1"/>
          <w:sz w:val="20"/>
          <w:szCs w:val="20"/>
          <w:lang w:bidi="hi-IN"/>
        </w:rPr>
        <w:t>, G.M. and Sheikh, F.A. 2002. Integrated</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Nutrient Management Studies in Brown Sarson (</w:t>
      </w:r>
      <w:r w:rsidRPr="00C100F0">
        <w:rPr>
          <w:rFonts w:ascii="Arial" w:hAnsi="Arial" w:cs="Arial"/>
          <w:i/>
          <w:iCs/>
          <w:color w:val="000000" w:themeColor="text1"/>
          <w:sz w:val="20"/>
          <w:szCs w:val="20"/>
          <w:lang w:bidi="hi-IN"/>
        </w:rPr>
        <w:t>Brassica Campestris</w:t>
      </w:r>
      <w:r w:rsidRPr="00C100F0">
        <w:rPr>
          <w:rFonts w:ascii="Arial" w:hAnsi="Arial" w:cs="Arial"/>
          <w:i/>
          <w:iCs/>
          <w:color w:val="000000" w:themeColor="text1"/>
          <w:sz w:val="20"/>
          <w:szCs w:val="20"/>
        </w:rPr>
        <w:t xml:space="preserve"> </w:t>
      </w:r>
      <w:r w:rsidRPr="00C100F0">
        <w:rPr>
          <w:rFonts w:ascii="Arial" w:hAnsi="Arial" w:cs="Arial"/>
          <w:color w:val="000000" w:themeColor="text1"/>
          <w:sz w:val="20"/>
          <w:szCs w:val="20"/>
          <w:lang w:bidi="hi-IN"/>
        </w:rPr>
        <w:t xml:space="preserve">L.) under temperate conditions. </w:t>
      </w:r>
      <w:r w:rsidRPr="00C100F0">
        <w:rPr>
          <w:rFonts w:ascii="Arial" w:hAnsi="Arial" w:cs="Arial"/>
          <w:i/>
          <w:iCs/>
          <w:color w:val="000000" w:themeColor="text1"/>
          <w:sz w:val="20"/>
          <w:szCs w:val="20"/>
          <w:lang w:bidi="hi-IN"/>
        </w:rPr>
        <w:t>Plant Archives</w:t>
      </w:r>
      <w:r w:rsidRPr="00C100F0">
        <w:rPr>
          <w:rFonts w:ascii="Arial" w:hAnsi="Arial" w:cs="Arial"/>
          <w:color w:val="000000" w:themeColor="text1"/>
          <w:sz w:val="20"/>
          <w:szCs w:val="20"/>
          <w:lang w:bidi="hi-IN"/>
        </w:rPr>
        <w:t xml:space="preserve">, </w:t>
      </w:r>
      <w:r w:rsidRPr="00C100F0">
        <w:rPr>
          <w:rFonts w:ascii="Arial" w:hAnsi="Arial" w:cs="Arial"/>
          <w:bCs/>
          <w:color w:val="000000" w:themeColor="text1"/>
          <w:sz w:val="20"/>
          <w:szCs w:val="20"/>
          <w:lang w:bidi="hi-IN"/>
        </w:rPr>
        <w:t>2</w:t>
      </w:r>
      <w:r w:rsidRPr="00C100F0">
        <w:rPr>
          <w:rFonts w:ascii="Arial" w:hAnsi="Arial" w:cs="Arial"/>
          <w:color w:val="000000" w:themeColor="text1"/>
          <w:sz w:val="20"/>
          <w:szCs w:val="20"/>
          <w:lang w:bidi="hi-IN"/>
        </w:rPr>
        <w:t xml:space="preserve"> (1):37-39.</w:t>
      </w:r>
    </w:p>
    <w:p w14:paraId="6072A645" w14:textId="77777777" w:rsidR="00F215BE" w:rsidRPr="00C100F0" w:rsidRDefault="00F215BE" w:rsidP="001C72ED">
      <w:pPr>
        <w:spacing w:after="120"/>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 xml:space="preserve">Sheraz, M.S.; G.I. Hassan; S.A. Samoon; H.A. Rather; A. </w:t>
      </w:r>
      <w:proofErr w:type="spellStart"/>
      <w:r w:rsidRPr="00C100F0">
        <w:rPr>
          <w:rFonts w:ascii="Arial" w:hAnsi="Arial" w:cs="Arial"/>
          <w:color w:val="000000" w:themeColor="text1"/>
          <w:sz w:val="20"/>
          <w:szCs w:val="20"/>
        </w:rPr>
        <w:t>ShawkatDar</w:t>
      </w:r>
      <w:proofErr w:type="spellEnd"/>
      <w:r w:rsidRPr="00C100F0">
        <w:rPr>
          <w:rFonts w:ascii="Arial" w:hAnsi="Arial" w:cs="Arial"/>
          <w:color w:val="000000" w:themeColor="text1"/>
          <w:sz w:val="20"/>
          <w:szCs w:val="20"/>
        </w:rPr>
        <w:t xml:space="preserve"> and B. Zehra (2010). Bio-fertilizers in organic agriculture. </w:t>
      </w:r>
      <w:r w:rsidRPr="00C100F0">
        <w:rPr>
          <w:rFonts w:ascii="Arial" w:hAnsi="Arial" w:cs="Arial"/>
          <w:i/>
          <w:iCs/>
          <w:color w:val="000000" w:themeColor="text1"/>
          <w:sz w:val="20"/>
          <w:szCs w:val="20"/>
        </w:rPr>
        <w:t>J. Phytology</w:t>
      </w:r>
      <w:r w:rsidRPr="00C100F0">
        <w:rPr>
          <w:rFonts w:ascii="Arial" w:hAnsi="Arial" w:cs="Arial"/>
          <w:color w:val="000000" w:themeColor="text1"/>
          <w:sz w:val="20"/>
          <w:szCs w:val="20"/>
        </w:rPr>
        <w:t xml:space="preserve">, </w:t>
      </w:r>
      <w:r w:rsidRPr="00C100F0">
        <w:rPr>
          <w:rFonts w:ascii="Arial" w:hAnsi="Arial" w:cs="Arial"/>
          <w:bCs/>
          <w:color w:val="000000" w:themeColor="text1"/>
          <w:sz w:val="20"/>
          <w:szCs w:val="20"/>
        </w:rPr>
        <w:t>2</w:t>
      </w:r>
      <w:r w:rsidRPr="00C100F0">
        <w:rPr>
          <w:rFonts w:ascii="Arial" w:hAnsi="Arial" w:cs="Arial"/>
          <w:color w:val="000000" w:themeColor="text1"/>
          <w:sz w:val="20"/>
          <w:szCs w:val="20"/>
        </w:rPr>
        <w:t>(10):42-54.</w:t>
      </w:r>
    </w:p>
    <w:p w14:paraId="29618FEA" w14:textId="77777777" w:rsidR="00F215BE" w:rsidRPr="00C100F0" w:rsidRDefault="00F215BE"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lang w:bidi="hi-IN"/>
        </w:rPr>
        <w:t>Tolessa</w:t>
      </w:r>
      <w:proofErr w:type="spellEnd"/>
      <w:r w:rsidRPr="00C100F0">
        <w:rPr>
          <w:rFonts w:ascii="Arial" w:hAnsi="Arial" w:cs="Arial"/>
          <w:color w:val="000000" w:themeColor="text1"/>
          <w:sz w:val="20"/>
          <w:szCs w:val="20"/>
          <w:lang w:bidi="hi-IN"/>
        </w:rPr>
        <w:t>, D. and Friesen, D.K. 2001. Effect of enriching FYM with mineral</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fertilizer on grain </w:t>
      </w:r>
      <w:proofErr w:type="spellStart"/>
      <w:r w:rsidRPr="00C100F0">
        <w:rPr>
          <w:rFonts w:ascii="Arial" w:hAnsi="Arial" w:cs="Arial"/>
          <w:color w:val="000000" w:themeColor="text1"/>
          <w:sz w:val="20"/>
          <w:szCs w:val="20"/>
          <w:lang w:bidi="hi-IN"/>
        </w:rPr>
        <w:t>yeild</w:t>
      </w:r>
      <w:proofErr w:type="spellEnd"/>
      <w:r w:rsidRPr="00C100F0">
        <w:rPr>
          <w:rFonts w:ascii="Arial" w:hAnsi="Arial" w:cs="Arial"/>
          <w:color w:val="000000" w:themeColor="text1"/>
          <w:sz w:val="20"/>
          <w:szCs w:val="20"/>
          <w:lang w:bidi="hi-IN"/>
        </w:rPr>
        <w:t xml:space="preserve"> of maize at Bako, Western Ethiopia. </w:t>
      </w:r>
      <w:r w:rsidRPr="00C100F0">
        <w:rPr>
          <w:rFonts w:ascii="Arial" w:hAnsi="Arial" w:cs="Arial"/>
          <w:i/>
          <w:iCs/>
          <w:color w:val="000000" w:themeColor="text1"/>
          <w:sz w:val="20"/>
          <w:szCs w:val="20"/>
          <w:lang w:bidi="hi-IN"/>
        </w:rPr>
        <w:t>Seventh</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Eastern and Southern Africa Regional Maize Conference</w:t>
      </w:r>
      <w:r w:rsidRPr="00C100F0">
        <w:rPr>
          <w:rFonts w:ascii="Arial" w:hAnsi="Arial" w:cs="Arial"/>
          <w:color w:val="000000" w:themeColor="text1"/>
          <w:sz w:val="20"/>
          <w:szCs w:val="20"/>
          <w:lang w:bidi="hi-IN"/>
        </w:rPr>
        <w:t>, 335-337.</w:t>
      </w:r>
    </w:p>
    <w:p w14:paraId="1EDADE99" w14:textId="77777777" w:rsidR="00F215BE" w:rsidRDefault="00F215BE" w:rsidP="001C72ED">
      <w:pPr>
        <w:spacing w:after="120"/>
        <w:ind w:left="720" w:hanging="720"/>
        <w:jc w:val="both"/>
        <w:rPr>
          <w:rFonts w:ascii="Arial" w:hAnsi="Arial" w:cs="Arial"/>
          <w:color w:val="000000" w:themeColor="text1"/>
          <w:sz w:val="20"/>
          <w:szCs w:val="20"/>
          <w:lang w:bidi="hi-IN"/>
        </w:rPr>
      </w:pPr>
      <w:r w:rsidRPr="00C100F0">
        <w:rPr>
          <w:rFonts w:ascii="Arial" w:hAnsi="Arial" w:cs="Arial"/>
          <w:color w:val="000000" w:themeColor="text1"/>
          <w:sz w:val="20"/>
          <w:szCs w:val="20"/>
          <w:lang w:bidi="hi-IN"/>
        </w:rPr>
        <w:t xml:space="preserve">Yasari, E. and Patwardhan, A.M. 2006. </w:t>
      </w:r>
      <w:proofErr w:type="spellStart"/>
      <w:r w:rsidRPr="00C100F0">
        <w:rPr>
          <w:rFonts w:ascii="Arial" w:hAnsi="Arial" w:cs="Arial"/>
          <w:color w:val="000000" w:themeColor="text1"/>
          <w:sz w:val="20"/>
          <w:szCs w:val="20"/>
          <w:lang w:bidi="hi-IN"/>
        </w:rPr>
        <w:t>Comparitive</w:t>
      </w:r>
      <w:proofErr w:type="spellEnd"/>
      <w:r w:rsidRPr="00C100F0">
        <w:rPr>
          <w:rFonts w:ascii="Arial" w:hAnsi="Arial" w:cs="Arial"/>
          <w:color w:val="000000" w:themeColor="text1"/>
          <w:sz w:val="20"/>
          <w:szCs w:val="20"/>
          <w:lang w:bidi="hi-IN"/>
        </w:rPr>
        <w:t xml:space="preserve"> Study on the effects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Chemical </w:t>
      </w:r>
      <w:proofErr w:type="spellStart"/>
      <w:r w:rsidRPr="00C100F0">
        <w:rPr>
          <w:rFonts w:ascii="Arial" w:hAnsi="Arial" w:cs="Arial"/>
          <w:color w:val="000000" w:themeColor="text1"/>
          <w:sz w:val="20"/>
          <w:szCs w:val="20"/>
          <w:lang w:bidi="hi-IN"/>
        </w:rPr>
        <w:t>Fertilisers</w:t>
      </w:r>
      <w:proofErr w:type="spellEnd"/>
      <w:r w:rsidRPr="00C100F0">
        <w:rPr>
          <w:rFonts w:ascii="Arial" w:hAnsi="Arial" w:cs="Arial"/>
          <w:color w:val="000000" w:themeColor="text1"/>
          <w:sz w:val="20"/>
          <w:szCs w:val="20"/>
          <w:lang w:bidi="hi-IN"/>
        </w:rPr>
        <w:t xml:space="preserve"> (N, P, K, S and Zn) on Growth and Productivity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Canola in </w:t>
      </w:r>
      <w:proofErr w:type="spellStart"/>
      <w:r w:rsidRPr="00C100F0">
        <w:rPr>
          <w:rFonts w:ascii="Arial" w:hAnsi="Arial" w:cs="Arial"/>
          <w:color w:val="000000" w:themeColor="text1"/>
          <w:sz w:val="20"/>
          <w:szCs w:val="20"/>
          <w:lang w:bidi="hi-IN"/>
        </w:rPr>
        <w:t>Mazzandaran</w:t>
      </w:r>
      <w:proofErr w:type="spellEnd"/>
      <w:r w:rsidRPr="00C100F0">
        <w:rPr>
          <w:rFonts w:ascii="Arial" w:hAnsi="Arial" w:cs="Arial"/>
          <w:color w:val="000000" w:themeColor="text1"/>
          <w:sz w:val="20"/>
          <w:szCs w:val="20"/>
          <w:lang w:bidi="hi-IN"/>
        </w:rPr>
        <w:t>”, Northern Iran</w:t>
      </w:r>
      <w:r w:rsidRPr="00C100F0">
        <w:rPr>
          <w:rFonts w:ascii="Arial" w:hAnsi="Arial" w:cs="Arial"/>
          <w:i/>
          <w:iCs/>
          <w:color w:val="000000" w:themeColor="text1"/>
          <w:sz w:val="20"/>
          <w:szCs w:val="20"/>
          <w:lang w:bidi="hi-IN"/>
        </w:rPr>
        <w:t>. Ecology Environment and</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Conservation</w:t>
      </w:r>
      <w:r w:rsidRPr="00C100F0">
        <w:rPr>
          <w:rFonts w:ascii="Arial" w:hAnsi="Arial" w:cs="Arial"/>
          <w:color w:val="000000" w:themeColor="text1"/>
          <w:sz w:val="20"/>
          <w:szCs w:val="20"/>
          <w:lang w:bidi="hi-IN"/>
        </w:rPr>
        <w:t>, 12 (1):193-198.</w:t>
      </w:r>
    </w:p>
    <w:p w14:paraId="4D9A5E36" w14:textId="77777777" w:rsidR="00F215BE" w:rsidRDefault="00F215BE" w:rsidP="00405395">
      <w:pPr>
        <w:spacing w:after="120"/>
        <w:ind w:left="720" w:hanging="720"/>
        <w:jc w:val="both"/>
        <w:rPr>
          <w:rFonts w:ascii="Arial" w:hAnsi="Arial" w:cs="Arial"/>
          <w:color w:val="000000" w:themeColor="text1"/>
          <w:sz w:val="20"/>
          <w:szCs w:val="20"/>
          <w:lang w:val="en-IN"/>
        </w:rPr>
      </w:pPr>
      <w:proofErr w:type="spellStart"/>
      <w:r w:rsidRPr="00405395">
        <w:rPr>
          <w:rFonts w:ascii="Arial" w:hAnsi="Arial" w:cs="Arial"/>
          <w:color w:val="000000" w:themeColor="text1"/>
          <w:sz w:val="20"/>
          <w:szCs w:val="20"/>
          <w:highlight w:val="yellow"/>
          <w:lang w:val="en-IN"/>
        </w:rPr>
        <w:t>Yashona</w:t>
      </w:r>
      <w:proofErr w:type="spellEnd"/>
      <w:r w:rsidRPr="00405395">
        <w:rPr>
          <w:rFonts w:ascii="Arial" w:hAnsi="Arial" w:cs="Arial"/>
          <w:color w:val="000000" w:themeColor="text1"/>
          <w:sz w:val="20"/>
          <w:szCs w:val="20"/>
          <w:highlight w:val="yellow"/>
          <w:lang w:val="en-IN"/>
        </w:rPr>
        <w:t xml:space="preserve">, D. S., Mishra, U. S., &amp; Aher, S. B. (2018). Response of </w:t>
      </w:r>
      <w:proofErr w:type="spellStart"/>
      <w:r w:rsidRPr="00405395">
        <w:rPr>
          <w:rFonts w:ascii="Arial" w:hAnsi="Arial" w:cs="Arial"/>
          <w:color w:val="000000" w:themeColor="text1"/>
          <w:sz w:val="20"/>
          <w:szCs w:val="20"/>
          <w:highlight w:val="yellow"/>
          <w:lang w:val="en-IN"/>
        </w:rPr>
        <w:t>pigeonpea</w:t>
      </w:r>
      <w:proofErr w:type="spellEnd"/>
      <w:r w:rsidRPr="00405395">
        <w:rPr>
          <w:rFonts w:ascii="Arial" w:hAnsi="Arial" w:cs="Arial"/>
          <w:color w:val="000000" w:themeColor="text1"/>
          <w:sz w:val="20"/>
          <w:szCs w:val="20"/>
          <w:highlight w:val="yellow"/>
          <w:lang w:val="en-IN"/>
        </w:rPr>
        <w:t xml:space="preserve"> (Cajanus </w:t>
      </w:r>
      <w:proofErr w:type="spellStart"/>
      <w:r w:rsidRPr="00405395">
        <w:rPr>
          <w:rFonts w:ascii="Arial" w:hAnsi="Arial" w:cs="Arial"/>
          <w:color w:val="000000" w:themeColor="text1"/>
          <w:sz w:val="20"/>
          <w:szCs w:val="20"/>
          <w:highlight w:val="yellow"/>
          <w:lang w:val="en-IN"/>
        </w:rPr>
        <w:t>cajan</w:t>
      </w:r>
      <w:proofErr w:type="spellEnd"/>
      <w:r w:rsidRPr="00405395">
        <w:rPr>
          <w:rFonts w:ascii="Arial" w:hAnsi="Arial" w:cs="Arial"/>
          <w:color w:val="000000" w:themeColor="text1"/>
          <w:sz w:val="20"/>
          <w:szCs w:val="20"/>
          <w:highlight w:val="yellow"/>
          <w:lang w:val="en-IN"/>
        </w:rPr>
        <w:t>) to sole and combined modes of zinc fertilization. </w:t>
      </w:r>
      <w:r w:rsidRPr="00405395">
        <w:rPr>
          <w:rFonts w:ascii="Arial" w:hAnsi="Arial" w:cs="Arial"/>
          <w:i/>
          <w:iCs/>
          <w:color w:val="000000" w:themeColor="text1"/>
          <w:sz w:val="20"/>
          <w:szCs w:val="20"/>
          <w:highlight w:val="yellow"/>
          <w:lang w:val="en-IN"/>
        </w:rPr>
        <w:t>Journal of Pharmacognosy and Phytochemistry</w:t>
      </w:r>
      <w:r w:rsidRPr="00405395">
        <w:rPr>
          <w:rFonts w:ascii="Arial" w:hAnsi="Arial" w:cs="Arial"/>
          <w:color w:val="000000" w:themeColor="text1"/>
          <w:sz w:val="20"/>
          <w:szCs w:val="20"/>
          <w:highlight w:val="yellow"/>
          <w:lang w:val="en-IN"/>
        </w:rPr>
        <w:t>, </w:t>
      </w:r>
      <w:r w:rsidRPr="00405395">
        <w:rPr>
          <w:rFonts w:ascii="Arial" w:hAnsi="Arial" w:cs="Arial"/>
          <w:i/>
          <w:iCs/>
          <w:color w:val="000000" w:themeColor="text1"/>
          <w:sz w:val="20"/>
          <w:szCs w:val="20"/>
          <w:highlight w:val="yellow"/>
          <w:lang w:val="en-IN"/>
        </w:rPr>
        <w:t>7</w:t>
      </w:r>
      <w:r w:rsidRPr="00405395">
        <w:rPr>
          <w:rFonts w:ascii="Arial" w:hAnsi="Arial" w:cs="Arial"/>
          <w:color w:val="000000" w:themeColor="text1"/>
          <w:sz w:val="20"/>
          <w:szCs w:val="20"/>
          <w:highlight w:val="yellow"/>
          <w:lang w:val="en-IN"/>
        </w:rPr>
        <w:t>(4), 2703-2710.</w:t>
      </w:r>
    </w:p>
    <w:p w14:paraId="361D1429" w14:textId="77777777" w:rsidR="00F215BE" w:rsidRPr="00405395" w:rsidRDefault="00F215BE" w:rsidP="00F215BE">
      <w:pPr>
        <w:spacing w:after="120"/>
        <w:ind w:left="720" w:hanging="720"/>
        <w:jc w:val="both"/>
        <w:rPr>
          <w:rFonts w:ascii="Arial" w:hAnsi="Arial" w:cs="Arial"/>
          <w:color w:val="000000" w:themeColor="text1"/>
          <w:sz w:val="20"/>
          <w:szCs w:val="20"/>
          <w:lang w:val="en-IN"/>
        </w:rPr>
      </w:pPr>
      <w:proofErr w:type="spellStart"/>
      <w:r w:rsidRPr="00F215BE">
        <w:rPr>
          <w:rFonts w:ascii="Arial" w:hAnsi="Arial" w:cs="Arial"/>
          <w:color w:val="000000" w:themeColor="text1"/>
          <w:sz w:val="20"/>
          <w:szCs w:val="20"/>
          <w:highlight w:val="yellow"/>
          <w:lang w:val="en-IN"/>
        </w:rPr>
        <w:t>Yashona</w:t>
      </w:r>
      <w:proofErr w:type="spellEnd"/>
      <w:r w:rsidRPr="00F215BE">
        <w:rPr>
          <w:rFonts w:ascii="Arial" w:hAnsi="Arial" w:cs="Arial"/>
          <w:color w:val="000000" w:themeColor="text1"/>
          <w:sz w:val="20"/>
          <w:szCs w:val="20"/>
          <w:highlight w:val="yellow"/>
          <w:lang w:val="en-IN"/>
        </w:rPr>
        <w:t xml:space="preserve">, D. S., Mishra, U. S., Aher, S. B., Tripathi, A., &amp; </w:t>
      </w:r>
      <w:proofErr w:type="spellStart"/>
      <w:r w:rsidRPr="00F215BE">
        <w:rPr>
          <w:rFonts w:ascii="Arial" w:hAnsi="Arial" w:cs="Arial"/>
          <w:color w:val="000000" w:themeColor="text1"/>
          <w:sz w:val="20"/>
          <w:szCs w:val="20"/>
          <w:highlight w:val="yellow"/>
          <w:lang w:val="en-IN"/>
        </w:rPr>
        <w:t>Sirothia</w:t>
      </w:r>
      <w:proofErr w:type="spellEnd"/>
      <w:r w:rsidRPr="00F215BE">
        <w:rPr>
          <w:rFonts w:ascii="Arial" w:hAnsi="Arial" w:cs="Arial"/>
          <w:color w:val="000000" w:themeColor="text1"/>
          <w:sz w:val="20"/>
          <w:szCs w:val="20"/>
          <w:highlight w:val="yellow"/>
          <w:lang w:val="en-IN"/>
        </w:rPr>
        <w:t xml:space="preserve">, P. (2018). Protein and zinc concentration in </w:t>
      </w:r>
      <w:proofErr w:type="spellStart"/>
      <w:r w:rsidRPr="00F215BE">
        <w:rPr>
          <w:rFonts w:ascii="Arial" w:hAnsi="Arial" w:cs="Arial"/>
          <w:color w:val="000000" w:themeColor="text1"/>
          <w:sz w:val="20"/>
          <w:szCs w:val="20"/>
          <w:highlight w:val="yellow"/>
          <w:lang w:val="en-IN"/>
        </w:rPr>
        <w:t>pigeonpea</w:t>
      </w:r>
      <w:proofErr w:type="spellEnd"/>
      <w:r w:rsidRPr="00F215BE">
        <w:rPr>
          <w:rFonts w:ascii="Arial" w:hAnsi="Arial" w:cs="Arial"/>
          <w:color w:val="000000" w:themeColor="text1"/>
          <w:sz w:val="20"/>
          <w:szCs w:val="20"/>
          <w:highlight w:val="yellow"/>
          <w:lang w:val="en-IN"/>
        </w:rPr>
        <w:t xml:space="preserve"> (Cajanus </w:t>
      </w:r>
      <w:proofErr w:type="spellStart"/>
      <w:r w:rsidRPr="00F215BE">
        <w:rPr>
          <w:rFonts w:ascii="Arial" w:hAnsi="Arial" w:cs="Arial"/>
          <w:color w:val="000000" w:themeColor="text1"/>
          <w:sz w:val="20"/>
          <w:szCs w:val="20"/>
          <w:highlight w:val="yellow"/>
          <w:lang w:val="en-IN"/>
        </w:rPr>
        <w:t>cajan</w:t>
      </w:r>
      <w:proofErr w:type="spellEnd"/>
      <w:r w:rsidRPr="00F215BE">
        <w:rPr>
          <w:rFonts w:ascii="Arial" w:hAnsi="Arial" w:cs="Arial"/>
          <w:color w:val="000000" w:themeColor="text1"/>
          <w:sz w:val="20"/>
          <w:szCs w:val="20"/>
          <w:highlight w:val="yellow"/>
          <w:lang w:val="en-IN"/>
        </w:rPr>
        <w:t>) under various mode of zinc application. </w:t>
      </w:r>
      <w:r w:rsidRPr="00F215BE">
        <w:rPr>
          <w:rFonts w:ascii="Arial" w:hAnsi="Arial" w:cs="Arial"/>
          <w:i/>
          <w:iCs/>
          <w:color w:val="000000" w:themeColor="text1"/>
          <w:sz w:val="20"/>
          <w:szCs w:val="20"/>
          <w:highlight w:val="yellow"/>
          <w:lang w:val="en-IN"/>
        </w:rPr>
        <w:t>Indian Journal of Agricultural Biochemistry</w:t>
      </w:r>
      <w:r w:rsidRPr="00F215BE">
        <w:rPr>
          <w:rFonts w:ascii="Arial" w:hAnsi="Arial" w:cs="Arial"/>
          <w:color w:val="000000" w:themeColor="text1"/>
          <w:sz w:val="20"/>
          <w:szCs w:val="20"/>
          <w:highlight w:val="yellow"/>
          <w:lang w:val="en-IN"/>
        </w:rPr>
        <w:t>, </w:t>
      </w:r>
      <w:r w:rsidRPr="00F215BE">
        <w:rPr>
          <w:rFonts w:ascii="Arial" w:hAnsi="Arial" w:cs="Arial"/>
          <w:i/>
          <w:iCs/>
          <w:color w:val="000000" w:themeColor="text1"/>
          <w:sz w:val="20"/>
          <w:szCs w:val="20"/>
          <w:highlight w:val="yellow"/>
          <w:lang w:val="en-IN"/>
        </w:rPr>
        <w:t>31</w:t>
      </w:r>
      <w:r w:rsidRPr="00F215BE">
        <w:rPr>
          <w:rFonts w:ascii="Arial" w:hAnsi="Arial" w:cs="Arial"/>
          <w:color w:val="000000" w:themeColor="text1"/>
          <w:sz w:val="20"/>
          <w:szCs w:val="20"/>
          <w:highlight w:val="yellow"/>
          <w:lang w:val="en-IN"/>
        </w:rPr>
        <w:t>(2), 186-194.</w:t>
      </w:r>
    </w:p>
    <w:p w14:paraId="06BCAE45" w14:textId="77777777" w:rsidR="001C72ED" w:rsidRPr="00C100F0" w:rsidRDefault="001C72ED" w:rsidP="0063785F">
      <w:pPr>
        <w:spacing w:line="360" w:lineRule="auto"/>
        <w:jc w:val="both"/>
        <w:rPr>
          <w:b/>
          <w:bCs/>
          <w:sz w:val="24"/>
          <w:szCs w:val="24"/>
        </w:rPr>
      </w:pPr>
    </w:p>
    <w:p w14:paraId="0791B76B" w14:textId="77777777" w:rsidR="006757C9" w:rsidRPr="00C100F0" w:rsidRDefault="006757C9" w:rsidP="0063785F">
      <w:pPr>
        <w:spacing w:line="360" w:lineRule="auto"/>
        <w:jc w:val="both"/>
        <w:rPr>
          <w:b/>
          <w:bCs/>
          <w:sz w:val="24"/>
          <w:szCs w:val="24"/>
        </w:rPr>
      </w:pPr>
      <w:r w:rsidRPr="00C100F0">
        <w:rPr>
          <w:b/>
          <w:bCs/>
          <w:noProof/>
          <w:sz w:val="24"/>
          <w:szCs w:val="24"/>
        </w:rPr>
        <w:lastRenderedPageBreak/>
        <w:drawing>
          <wp:inline distT="0" distB="0" distL="0" distR="0" wp14:anchorId="2FCDF0BC" wp14:editId="20B83337">
            <wp:extent cx="5732076" cy="289091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6472"/>
                    <a:stretch/>
                  </pic:blipFill>
                  <pic:spPr bwMode="auto">
                    <a:xfrm>
                      <a:off x="0" y="0"/>
                      <a:ext cx="5732780" cy="2891265"/>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FCD0DD0" w14:textId="48412EEF" w:rsidR="00FC093E" w:rsidRPr="00C100F0" w:rsidRDefault="00FC093E" w:rsidP="00FC093E">
      <w:pPr>
        <w:spacing w:line="360" w:lineRule="auto"/>
        <w:jc w:val="center"/>
        <w:rPr>
          <w:b/>
          <w:bCs/>
          <w:sz w:val="24"/>
          <w:szCs w:val="24"/>
        </w:rPr>
      </w:pPr>
      <w:r w:rsidRPr="00C100F0">
        <w:rPr>
          <w:rFonts w:ascii="Arial" w:hAnsi="Arial" w:cs="Arial"/>
          <w:b/>
          <w:bCs/>
          <w:sz w:val="20"/>
          <w:szCs w:val="24"/>
        </w:rPr>
        <w:t>Fig. 1</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Growth attributes</w:t>
      </w:r>
      <w:r w:rsidR="002E23CE" w:rsidRPr="00C100F0">
        <w:rPr>
          <w:rFonts w:ascii="Arial" w:hAnsi="Arial" w:cs="Arial"/>
          <w:b/>
          <w:bCs/>
          <w:sz w:val="18"/>
          <w:szCs w:val="20"/>
        </w:rPr>
        <w:t xml:space="preserve"> of tomato</w:t>
      </w:r>
    </w:p>
    <w:p w14:paraId="3838398A" w14:textId="77777777" w:rsidR="00FC093E" w:rsidRPr="00C100F0" w:rsidRDefault="00FC093E" w:rsidP="0063785F">
      <w:pPr>
        <w:spacing w:line="360" w:lineRule="auto"/>
        <w:jc w:val="both"/>
        <w:rPr>
          <w:b/>
          <w:bCs/>
          <w:noProof/>
          <w:sz w:val="24"/>
          <w:szCs w:val="24"/>
        </w:rPr>
      </w:pPr>
    </w:p>
    <w:p w14:paraId="1DC94C73" w14:textId="77777777" w:rsidR="006757C9" w:rsidRPr="00C100F0" w:rsidRDefault="006757C9" w:rsidP="0063785F">
      <w:pPr>
        <w:spacing w:line="360" w:lineRule="auto"/>
        <w:jc w:val="both"/>
        <w:rPr>
          <w:b/>
          <w:bCs/>
          <w:sz w:val="24"/>
          <w:szCs w:val="24"/>
        </w:rPr>
      </w:pPr>
      <w:r w:rsidRPr="00C100F0">
        <w:rPr>
          <w:b/>
          <w:bCs/>
          <w:noProof/>
          <w:sz w:val="24"/>
          <w:szCs w:val="24"/>
        </w:rPr>
        <w:drawing>
          <wp:inline distT="0" distB="0" distL="0" distR="0" wp14:anchorId="2D1E5927" wp14:editId="01629E48">
            <wp:extent cx="5732341" cy="2855302"/>
            <wp:effectExtent l="19050" t="19050" r="20955"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3364" b="33522"/>
                    <a:stretch/>
                  </pic:blipFill>
                  <pic:spPr bwMode="auto">
                    <a:xfrm>
                      <a:off x="0" y="0"/>
                      <a:ext cx="5732780" cy="285552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E00071A" w14:textId="1412CD0B" w:rsidR="00FC093E" w:rsidRPr="00C100F0" w:rsidRDefault="00FC093E" w:rsidP="00FC093E">
      <w:pPr>
        <w:spacing w:line="360" w:lineRule="auto"/>
        <w:jc w:val="center"/>
        <w:rPr>
          <w:b/>
          <w:bCs/>
          <w:sz w:val="24"/>
          <w:szCs w:val="24"/>
        </w:rPr>
      </w:pPr>
      <w:r w:rsidRPr="00C100F0">
        <w:rPr>
          <w:rFonts w:ascii="Arial" w:hAnsi="Arial" w:cs="Arial"/>
          <w:b/>
          <w:bCs/>
          <w:sz w:val="20"/>
          <w:szCs w:val="24"/>
        </w:rPr>
        <w:t>Fig. 2</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fruit attributes</w:t>
      </w:r>
      <w:r w:rsidR="002E23CE" w:rsidRPr="00C100F0">
        <w:rPr>
          <w:rFonts w:ascii="Arial" w:hAnsi="Arial" w:cs="Arial"/>
          <w:b/>
          <w:bCs/>
          <w:sz w:val="18"/>
          <w:szCs w:val="20"/>
        </w:rPr>
        <w:t xml:space="preserve"> of tomato</w:t>
      </w:r>
    </w:p>
    <w:p w14:paraId="6D3E841C" w14:textId="77777777" w:rsidR="00FC093E" w:rsidRPr="00C100F0" w:rsidRDefault="00FC093E" w:rsidP="0063785F">
      <w:pPr>
        <w:spacing w:line="360" w:lineRule="auto"/>
        <w:jc w:val="both"/>
        <w:rPr>
          <w:b/>
          <w:bCs/>
          <w:sz w:val="24"/>
          <w:szCs w:val="24"/>
        </w:rPr>
      </w:pPr>
    </w:p>
    <w:p w14:paraId="358F1839" w14:textId="77777777" w:rsidR="00FC093E" w:rsidRPr="00C100F0" w:rsidRDefault="00FC093E" w:rsidP="0063785F">
      <w:pPr>
        <w:spacing w:line="360" w:lineRule="auto"/>
        <w:jc w:val="both"/>
        <w:rPr>
          <w:b/>
          <w:bCs/>
          <w:sz w:val="24"/>
          <w:szCs w:val="24"/>
        </w:rPr>
      </w:pPr>
      <w:r w:rsidRPr="00C100F0">
        <w:rPr>
          <w:b/>
          <w:bCs/>
          <w:noProof/>
          <w:sz w:val="24"/>
          <w:szCs w:val="24"/>
        </w:rPr>
        <w:lastRenderedPageBreak/>
        <w:drawing>
          <wp:inline distT="0" distB="0" distL="0" distR="0" wp14:anchorId="3BAD56DA" wp14:editId="37D81F33">
            <wp:extent cx="5732671" cy="2911719"/>
            <wp:effectExtent l="19050" t="19050" r="2095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6234" b="-1"/>
                    <a:stretch/>
                  </pic:blipFill>
                  <pic:spPr bwMode="auto">
                    <a:xfrm>
                      <a:off x="0" y="0"/>
                      <a:ext cx="5732780" cy="2911774"/>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DC755F" w14:textId="6E08809D" w:rsidR="00FC093E" w:rsidRPr="00C100F0" w:rsidRDefault="00FC093E" w:rsidP="00FC093E">
      <w:pPr>
        <w:spacing w:line="360" w:lineRule="auto"/>
        <w:jc w:val="center"/>
        <w:rPr>
          <w:rFonts w:ascii="Arial" w:hAnsi="Arial" w:cs="Arial"/>
          <w:b/>
          <w:bCs/>
          <w:sz w:val="20"/>
          <w:szCs w:val="24"/>
        </w:rPr>
        <w:sectPr w:rsidR="00FC093E" w:rsidRPr="00C100F0" w:rsidSect="00BF0F83">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r w:rsidRPr="00C100F0">
        <w:rPr>
          <w:rFonts w:ascii="Arial" w:hAnsi="Arial" w:cs="Arial"/>
          <w:b/>
          <w:bCs/>
          <w:sz w:val="20"/>
          <w:szCs w:val="24"/>
        </w:rPr>
        <w:t>Fig. 3</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yield</w:t>
      </w:r>
      <w:r w:rsidR="002E23CE" w:rsidRPr="00C100F0">
        <w:rPr>
          <w:rFonts w:ascii="Arial" w:hAnsi="Arial" w:cs="Arial"/>
          <w:b/>
          <w:bCs/>
          <w:sz w:val="18"/>
          <w:szCs w:val="20"/>
        </w:rPr>
        <w:t xml:space="preserve"> of tomato</w:t>
      </w:r>
    </w:p>
    <w:p w14:paraId="2994C059" w14:textId="2D55B723" w:rsidR="00F8255F" w:rsidRPr="00C100F0" w:rsidRDefault="00F8255F" w:rsidP="001C72ED">
      <w:pPr>
        <w:jc w:val="center"/>
        <w:rPr>
          <w:rFonts w:ascii="Arial" w:hAnsi="Arial" w:cs="Arial"/>
          <w:b/>
          <w:bCs/>
          <w:sz w:val="20"/>
          <w:szCs w:val="20"/>
        </w:rPr>
      </w:pPr>
      <w:r w:rsidRPr="00C100F0">
        <w:rPr>
          <w:rFonts w:ascii="Arial" w:hAnsi="Arial" w:cs="Arial"/>
          <w:b/>
          <w:bCs/>
          <w:sz w:val="18"/>
          <w:szCs w:val="20"/>
        </w:rPr>
        <w:lastRenderedPageBreak/>
        <w:t xml:space="preserve">Table 1: Response of </w:t>
      </w:r>
      <w:r w:rsidRPr="00C100F0">
        <w:rPr>
          <w:rFonts w:ascii="Arial" w:hAnsi="Arial" w:cs="Arial"/>
          <w:b/>
          <w:sz w:val="18"/>
          <w:szCs w:val="20"/>
        </w:rPr>
        <w:t>organic manures</w:t>
      </w:r>
      <w:r w:rsidRPr="00C100F0">
        <w:rPr>
          <w:rFonts w:ascii="Arial" w:hAnsi="Arial" w:cs="Arial"/>
          <w:b/>
          <w:bCs/>
          <w:sz w:val="18"/>
          <w:szCs w:val="20"/>
        </w:rPr>
        <w:t xml:space="preserve"> and GA</w:t>
      </w:r>
      <w:r w:rsidRPr="00C100F0">
        <w:rPr>
          <w:rFonts w:ascii="Arial" w:hAnsi="Arial" w:cs="Arial"/>
          <w:b/>
          <w:bCs/>
          <w:sz w:val="18"/>
          <w:szCs w:val="20"/>
          <w:vertAlign w:val="subscript"/>
        </w:rPr>
        <w:t>3</w:t>
      </w:r>
      <w:r w:rsidRPr="00C100F0">
        <w:rPr>
          <w:rFonts w:ascii="Arial" w:hAnsi="Arial" w:cs="Arial"/>
          <w:b/>
          <w:bCs/>
          <w:sz w:val="18"/>
          <w:szCs w:val="20"/>
        </w:rPr>
        <w:t xml:space="preserve"> levels on </w:t>
      </w:r>
      <w:r w:rsidRPr="00C100F0">
        <w:rPr>
          <w:rFonts w:ascii="Arial" w:hAnsi="Arial" w:cs="Arial"/>
          <w:b/>
          <w:bCs/>
          <w:sz w:val="18"/>
          <w:szCs w:val="20"/>
          <w:lang w:eastAsia="en-IN"/>
        </w:rPr>
        <w:t>Growth attributes</w:t>
      </w:r>
      <w:r w:rsidRPr="00C100F0">
        <w:rPr>
          <w:rFonts w:ascii="Arial" w:hAnsi="Arial" w:cs="Arial"/>
          <w:b/>
          <w:bCs/>
          <w:sz w:val="18"/>
          <w:szCs w:val="20"/>
        </w:rPr>
        <w:t xml:space="preserve"> of tomato</w:t>
      </w:r>
    </w:p>
    <w:tbl>
      <w:tblPr>
        <w:tblpPr w:leftFromText="180" w:rightFromText="180" w:vertAnchor="page" w:horzAnchor="margin" w:tblpXSpec="center" w:tblpY="1773"/>
        <w:tblW w:w="1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61"/>
        <w:gridCol w:w="993"/>
        <w:gridCol w:w="1225"/>
        <w:gridCol w:w="1085"/>
        <w:gridCol w:w="1113"/>
        <w:gridCol w:w="1181"/>
        <w:gridCol w:w="1184"/>
      </w:tblGrid>
      <w:tr w:rsidR="001C72ED" w:rsidRPr="00C100F0" w14:paraId="142291F8" w14:textId="77777777" w:rsidTr="001C72ED">
        <w:trPr>
          <w:trHeight w:val="260"/>
        </w:trPr>
        <w:tc>
          <w:tcPr>
            <w:tcW w:w="3655" w:type="dxa"/>
            <w:vMerge w:val="restart"/>
            <w:shd w:val="clear" w:color="auto" w:fill="auto"/>
            <w:noWrap/>
            <w:vAlign w:val="center"/>
          </w:tcPr>
          <w:p w14:paraId="601519E1"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sz w:val="16"/>
                <w:szCs w:val="16"/>
                <w:lang w:eastAsia="en-IN"/>
              </w:rPr>
              <w:t>Treatments</w:t>
            </w:r>
          </w:p>
        </w:tc>
        <w:tc>
          <w:tcPr>
            <w:tcW w:w="3379" w:type="dxa"/>
            <w:gridSpan w:val="3"/>
            <w:shd w:val="clear" w:color="auto" w:fill="auto"/>
            <w:noWrap/>
            <w:vAlign w:val="center"/>
          </w:tcPr>
          <w:p w14:paraId="248EA89A"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Plant height (cm)</w:t>
            </w:r>
          </w:p>
        </w:tc>
        <w:tc>
          <w:tcPr>
            <w:tcW w:w="3379" w:type="dxa"/>
            <w:gridSpan w:val="3"/>
            <w:vAlign w:val="center"/>
          </w:tcPr>
          <w:p w14:paraId="0FE6E9F3"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Number of branches per plant</w:t>
            </w:r>
          </w:p>
        </w:tc>
        <w:tc>
          <w:tcPr>
            <w:tcW w:w="1183" w:type="dxa"/>
            <w:vMerge w:val="restart"/>
            <w:vAlign w:val="center"/>
          </w:tcPr>
          <w:p w14:paraId="28A9C620"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color w:val="000000" w:themeColor="text1"/>
                <w:sz w:val="16"/>
                <w:szCs w:val="16"/>
                <w:lang w:eastAsia="en-IN"/>
              </w:rPr>
              <w:t>Shoot girth (cm)</w:t>
            </w:r>
          </w:p>
        </w:tc>
      </w:tr>
      <w:tr w:rsidR="001C72ED" w:rsidRPr="00C100F0" w14:paraId="2BC00446" w14:textId="77777777" w:rsidTr="001C72ED">
        <w:trPr>
          <w:trHeight w:val="260"/>
        </w:trPr>
        <w:tc>
          <w:tcPr>
            <w:tcW w:w="3655" w:type="dxa"/>
            <w:vMerge/>
            <w:shd w:val="clear" w:color="auto" w:fill="auto"/>
            <w:noWrap/>
            <w:vAlign w:val="center"/>
          </w:tcPr>
          <w:p w14:paraId="0D46907E" w14:textId="77777777" w:rsidR="001C72ED" w:rsidRPr="00C100F0" w:rsidRDefault="001C72ED" w:rsidP="001C72ED">
            <w:pPr>
              <w:pStyle w:val="NoSpacing"/>
              <w:jc w:val="center"/>
              <w:rPr>
                <w:rFonts w:ascii="Arial" w:hAnsi="Arial" w:cs="Arial"/>
                <w:color w:val="EE0000"/>
                <w:sz w:val="16"/>
                <w:szCs w:val="16"/>
                <w:lang w:eastAsia="en-IN"/>
              </w:rPr>
            </w:pPr>
          </w:p>
        </w:tc>
        <w:tc>
          <w:tcPr>
            <w:tcW w:w="1161" w:type="dxa"/>
            <w:shd w:val="clear" w:color="auto" w:fill="auto"/>
            <w:noWrap/>
            <w:vAlign w:val="center"/>
          </w:tcPr>
          <w:p w14:paraId="6721EA7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sz w:val="16"/>
                <w:szCs w:val="16"/>
                <w:lang w:eastAsia="en-IN"/>
              </w:rPr>
              <w:t>30 DAT</w:t>
            </w:r>
          </w:p>
        </w:tc>
        <w:tc>
          <w:tcPr>
            <w:tcW w:w="993" w:type="dxa"/>
            <w:vAlign w:val="center"/>
          </w:tcPr>
          <w:p w14:paraId="1B2DD0DF"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60 DAT</w:t>
            </w:r>
          </w:p>
        </w:tc>
        <w:tc>
          <w:tcPr>
            <w:tcW w:w="1224" w:type="dxa"/>
            <w:vAlign w:val="center"/>
          </w:tcPr>
          <w:p w14:paraId="47B2C078"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085" w:type="dxa"/>
            <w:vAlign w:val="center"/>
          </w:tcPr>
          <w:p w14:paraId="2F8EA40C"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30 DAT</w:t>
            </w:r>
          </w:p>
        </w:tc>
        <w:tc>
          <w:tcPr>
            <w:tcW w:w="1113" w:type="dxa"/>
            <w:vAlign w:val="center"/>
          </w:tcPr>
          <w:p w14:paraId="0E381BC8"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60 DAT</w:t>
            </w:r>
          </w:p>
        </w:tc>
        <w:tc>
          <w:tcPr>
            <w:tcW w:w="1181" w:type="dxa"/>
            <w:vAlign w:val="center"/>
          </w:tcPr>
          <w:p w14:paraId="198E7CB5" w14:textId="77777777" w:rsidR="001C72ED" w:rsidRPr="00C100F0" w:rsidRDefault="001C72ED"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183" w:type="dxa"/>
            <w:vMerge/>
            <w:vAlign w:val="center"/>
          </w:tcPr>
          <w:p w14:paraId="0A52F650" w14:textId="77777777" w:rsidR="001C72ED" w:rsidRPr="00C100F0" w:rsidRDefault="001C72ED" w:rsidP="001C72ED">
            <w:pPr>
              <w:pStyle w:val="NoSpacing"/>
              <w:jc w:val="center"/>
              <w:rPr>
                <w:rFonts w:ascii="Arial" w:hAnsi="Arial" w:cs="Arial"/>
                <w:sz w:val="16"/>
                <w:szCs w:val="16"/>
                <w:lang w:eastAsia="en-IN"/>
              </w:rPr>
            </w:pPr>
          </w:p>
        </w:tc>
      </w:tr>
      <w:tr w:rsidR="001C72ED" w:rsidRPr="00C100F0" w14:paraId="01A32E35" w14:textId="77777777" w:rsidTr="001C72ED">
        <w:trPr>
          <w:trHeight w:val="260"/>
        </w:trPr>
        <w:tc>
          <w:tcPr>
            <w:tcW w:w="11597" w:type="dxa"/>
            <w:gridSpan w:val="8"/>
            <w:shd w:val="clear" w:color="auto" w:fill="auto"/>
            <w:noWrap/>
            <w:vAlign w:val="center"/>
          </w:tcPr>
          <w:p w14:paraId="0070C787"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Factor-A (Organic manures levels)</w:t>
            </w:r>
          </w:p>
        </w:tc>
      </w:tr>
      <w:tr w:rsidR="001C72ED" w:rsidRPr="00C100F0" w14:paraId="586CBE57" w14:textId="77777777" w:rsidTr="001C72ED">
        <w:trPr>
          <w:trHeight w:val="267"/>
        </w:trPr>
        <w:tc>
          <w:tcPr>
            <w:tcW w:w="3655" w:type="dxa"/>
            <w:shd w:val="clear" w:color="auto" w:fill="auto"/>
            <w:noWrap/>
            <w:vAlign w:val="center"/>
            <w:hideMark/>
          </w:tcPr>
          <w:p w14:paraId="6C306884"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1</w:t>
            </w:r>
            <w:r w:rsidRPr="00C100F0">
              <w:rPr>
                <w:rFonts w:ascii="Arial" w:hAnsi="Arial" w:cs="Arial"/>
                <w:color w:val="000000" w:themeColor="text1"/>
                <w:sz w:val="16"/>
                <w:szCs w:val="16"/>
                <w:lang w:eastAsia="en-IN"/>
              </w:rPr>
              <w:t>-Control (No application)</w:t>
            </w:r>
          </w:p>
        </w:tc>
        <w:tc>
          <w:tcPr>
            <w:tcW w:w="1161" w:type="dxa"/>
            <w:shd w:val="clear" w:color="auto" w:fill="auto"/>
            <w:noWrap/>
            <w:vAlign w:val="center"/>
          </w:tcPr>
          <w:p w14:paraId="18267D50"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25.08</w:t>
            </w:r>
          </w:p>
        </w:tc>
        <w:tc>
          <w:tcPr>
            <w:tcW w:w="993" w:type="dxa"/>
            <w:vAlign w:val="center"/>
          </w:tcPr>
          <w:p w14:paraId="17A219D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40.08</w:t>
            </w:r>
          </w:p>
        </w:tc>
        <w:tc>
          <w:tcPr>
            <w:tcW w:w="1224" w:type="dxa"/>
            <w:vAlign w:val="center"/>
          </w:tcPr>
          <w:p w14:paraId="40C6144A"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57.45</w:t>
            </w:r>
          </w:p>
        </w:tc>
        <w:tc>
          <w:tcPr>
            <w:tcW w:w="1085" w:type="dxa"/>
            <w:vAlign w:val="center"/>
          </w:tcPr>
          <w:p w14:paraId="0A0523CB"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3.85</w:t>
            </w:r>
          </w:p>
        </w:tc>
        <w:tc>
          <w:tcPr>
            <w:tcW w:w="1113" w:type="dxa"/>
            <w:vAlign w:val="center"/>
          </w:tcPr>
          <w:p w14:paraId="023ACC1C"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5.70</w:t>
            </w:r>
          </w:p>
        </w:tc>
        <w:tc>
          <w:tcPr>
            <w:tcW w:w="1181" w:type="dxa"/>
            <w:vAlign w:val="center"/>
          </w:tcPr>
          <w:p w14:paraId="24B50BD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7.55</w:t>
            </w:r>
          </w:p>
        </w:tc>
        <w:tc>
          <w:tcPr>
            <w:tcW w:w="1183" w:type="dxa"/>
            <w:vAlign w:val="center"/>
          </w:tcPr>
          <w:p w14:paraId="5093FD64"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2.45</w:t>
            </w:r>
          </w:p>
        </w:tc>
      </w:tr>
      <w:tr w:rsidR="001C72ED" w:rsidRPr="00C100F0" w14:paraId="0C634B51" w14:textId="77777777" w:rsidTr="001C72ED">
        <w:trPr>
          <w:trHeight w:val="90"/>
        </w:trPr>
        <w:tc>
          <w:tcPr>
            <w:tcW w:w="3655" w:type="dxa"/>
            <w:shd w:val="clear" w:color="auto" w:fill="auto"/>
            <w:noWrap/>
            <w:vAlign w:val="center"/>
            <w:hideMark/>
          </w:tcPr>
          <w:p w14:paraId="5ECF07B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2</w:t>
            </w:r>
            <w:r w:rsidRPr="00C100F0">
              <w:rPr>
                <w:rFonts w:ascii="Arial" w:hAnsi="Arial" w:cs="Arial"/>
                <w:color w:val="000000" w:themeColor="text1"/>
                <w:sz w:val="16"/>
                <w:szCs w:val="16"/>
                <w:lang w:eastAsia="en-IN"/>
              </w:rPr>
              <w:t>-FYM @ 12 t/ha</w:t>
            </w:r>
          </w:p>
        </w:tc>
        <w:tc>
          <w:tcPr>
            <w:tcW w:w="1161" w:type="dxa"/>
            <w:shd w:val="clear" w:color="auto" w:fill="auto"/>
            <w:noWrap/>
            <w:vAlign w:val="center"/>
          </w:tcPr>
          <w:p w14:paraId="4767D7D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28.30</w:t>
            </w:r>
          </w:p>
        </w:tc>
        <w:tc>
          <w:tcPr>
            <w:tcW w:w="993" w:type="dxa"/>
            <w:vAlign w:val="center"/>
          </w:tcPr>
          <w:p w14:paraId="75D01D35"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46.38</w:t>
            </w:r>
          </w:p>
        </w:tc>
        <w:tc>
          <w:tcPr>
            <w:tcW w:w="1224" w:type="dxa"/>
            <w:vAlign w:val="center"/>
          </w:tcPr>
          <w:p w14:paraId="4BFD6CBE"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66.80</w:t>
            </w:r>
          </w:p>
        </w:tc>
        <w:tc>
          <w:tcPr>
            <w:tcW w:w="1085" w:type="dxa"/>
            <w:vAlign w:val="center"/>
          </w:tcPr>
          <w:p w14:paraId="5441A3D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4.63</w:t>
            </w:r>
          </w:p>
        </w:tc>
        <w:tc>
          <w:tcPr>
            <w:tcW w:w="1113" w:type="dxa"/>
            <w:vAlign w:val="center"/>
          </w:tcPr>
          <w:p w14:paraId="753761B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6.95</w:t>
            </w:r>
          </w:p>
        </w:tc>
        <w:tc>
          <w:tcPr>
            <w:tcW w:w="1181" w:type="dxa"/>
            <w:vAlign w:val="center"/>
          </w:tcPr>
          <w:p w14:paraId="68ADB2C7"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9.13</w:t>
            </w:r>
          </w:p>
        </w:tc>
        <w:tc>
          <w:tcPr>
            <w:tcW w:w="1183" w:type="dxa"/>
            <w:vAlign w:val="center"/>
          </w:tcPr>
          <w:p w14:paraId="6AB066C4"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3.08</w:t>
            </w:r>
          </w:p>
        </w:tc>
      </w:tr>
      <w:tr w:rsidR="001C72ED" w:rsidRPr="00C100F0" w14:paraId="4DFCE813" w14:textId="77777777" w:rsidTr="001C72ED">
        <w:trPr>
          <w:trHeight w:val="267"/>
        </w:trPr>
        <w:tc>
          <w:tcPr>
            <w:tcW w:w="3655" w:type="dxa"/>
            <w:shd w:val="clear" w:color="auto" w:fill="auto"/>
            <w:noWrap/>
            <w:vAlign w:val="center"/>
            <w:hideMark/>
          </w:tcPr>
          <w:p w14:paraId="584D1B4C"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3</w:t>
            </w:r>
            <w:r w:rsidRPr="00C100F0">
              <w:rPr>
                <w:rFonts w:ascii="Arial" w:hAnsi="Arial" w:cs="Arial"/>
                <w:color w:val="000000" w:themeColor="text1"/>
                <w:sz w:val="16"/>
                <w:szCs w:val="16"/>
                <w:lang w:eastAsia="en-IN"/>
              </w:rPr>
              <w:t>-Vermicompost @ 4.0 t/ha</w:t>
            </w:r>
          </w:p>
        </w:tc>
        <w:tc>
          <w:tcPr>
            <w:tcW w:w="1161" w:type="dxa"/>
            <w:shd w:val="clear" w:color="auto" w:fill="auto"/>
            <w:noWrap/>
            <w:vAlign w:val="center"/>
          </w:tcPr>
          <w:p w14:paraId="211D074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29.05</w:t>
            </w:r>
          </w:p>
        </w:tc>
        <w:tc>
          <w:tcPr>
            <w:tcW w:w="993" w:type="dxa"/>
            <w:vAlign w:val="center"/>
          </w:tcPr>
          <w:p w14:paraId="71AD125F"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47.80</w:t>
            </w:r>
          </w:p>
        </w:tc>
        <w:tc>
          <w:tcPr>
            <w:tcW w:w="1224" w:type="dxa"/>
            <w:vAlign w:val="center"/>
          </w:tcPr>
          <w:p w14:paraId="17A6AFB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68.10</w:t>
            </w:r>
          </w:p>
        </w:tc>
        <w:tc>
          <w:tcPr>
            <w:tcW w:w="1085" w:type="dxa"/>
            <w:vAlign w:val="center"/>
          </w:tcPr>
          <w:p w14:paraId="70AFB3D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4.80</w:t>
            </w:r>
          </w:p>
        </w:tc>
        <w:tc>
          <w:tcPr>
            <w:tcW w:w="1113" w:type="dxa"/>
            <w:vAlign w:val="center"/>
          </w:tcPr>
          <w:p w14:paraId="1F93B12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7.25</w:t>
            </w:r>
          </w:p>
        </w:tc>
        <w:tc>
          <w:tcPr>
            <w:tcW w:w="1181" w:type="dxa"/>
            <w:vAlign w:val="center"/>
          </w:tcPr>
          <w:p w14:paraId="7FFEE71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70F3A48F"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3.18</w:t>
            </w:r>
          </w:p>
        </w:tc>
      </w:tr>
      <w:tr w:rsidR="001C72ED" w:rsidRPr="00C100F0" w14:paraId="2F98FA62" w14:textId="77777777" w:rsidTr="001C72ED">
        <w:trPr>
          <w:trHeight w:val="267"/>
        </w:trPr>
        <w:tc>
          <w:tcPr>
            <w:tcW w:w="3655" w:type="dxa"/>
            <w:shd w:val="clear" w:color="auto" w:fill="auto"/>
            <w:noWrap/>
            <w:vAlign w:val="center"/>
          </w:tcPr>
          <w:p w14:paraId="7A6010EB"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color w:val="000000" w:themeColor="text1"/>
                <w:sz w:val="16"/>
                <w:szCs w:val="16"/>
                <w:lang w:eastAsia="en-IN"/>
              </w:rPr>
              <w:t>O</w:t>
            </w:r>
            <w:r w:rsidRPr="00C100F0">
              <w:rPr>
                <w:rFonts w:ascii="Arial" w:hAnsi="Arial" w:cs="Arial"/>
                <w:color w:val="000000" w:themeColor="text1"/>
                <w:sz w:val="16"/>
                <w:szCs w:val="16"/>
                <w:vertAlign w:val="subscript"/>
                <w:lang w:eastAsia="en-IN"/>
              </w:rPr>
              <w:t>4</w:t>
            </w:r>
            <w:r w:rsidRPr="00C100F0">
              <w:rPr>
                <w:rFonts w:ascii="Arial" w:hAnsi="Arial" w:cs="Arial"/>
                <w:color w:val="000000" w:themeColor="text1"/>
                <w:sz w:val="16"/>
                <w:szCs w:val="16"/>
                <w:lang w:eastAsia="en-IN"/>
              </w:rPr>
              <w:t>-</w:t>
            </w:r>
            <w:r w:rsidRPr="00C100F0">
              <w:rPr>
                <w:rFonts w:ascii="Arial" w:hAnsi="Arial" w:cs="Arial"/>
                <w:color w:val="000000" w:themeColor="text1"/>
                <w:sz w:val="16"/>
                <w:szCs w:val="16"/>
                <w:lang w:val="en-IN"/>
              </w:rPr>
              <w:t>Poultry manure @ 2.5 t/ha</w:t>
            </w:r>
          </w:p>
        </w:tc>
        <w:tc>
          <w:tcPr>
            <w:tcW w:w="1161" w:type="dxa"/>
            <w:shd w:val="clear" w:color="auto" w:fill="auto"/>
            <w:noWrap/>
            <w:vAlign w:val="center"/>
          </w:tcPr>
          <w:p w14:paraId="5275F66A"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127B21D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50.03</w:t>
            </w:r>
          </w:p>
        </w:tc>
        <w:tc>
          <w:tcPr>
            <w:tcW w:w="1224" w:type="dxa"/>
            <w:vAlign w:val="center"/>
          </w:tcPr>
          <w:p w14:paraId="18CE0D13"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69.80</w:t>
            </w:r>
          </w:p>
        </w:tc>
        <w:tc>
          <w:tcPr>
            <w:tcW w:w="1085" w:type="dxa"/>
            <w:vAlign w:val="center"/>
          </w:tcPr>
          <w:p w14:paraId="33D84ED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5.15</w:t>
            </w:r>
          </w:p>
        </w:tc>
        <w:tc>
          <w:tcPr>
            <w:tcW w:w="1113" w:type="dxa"/>
            <w:vAlign w:val="center"/>
          </w:tcPr>
          <w:p w14:paraId="0C549B9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7.58</w:t>
            </w:r>
          </w:p>
        </w:tc>
        <w:tc>
          <w:tcPr>
            <w:tcW w:w="1181" w:type="dxa"/>
            <w:vAlign w:val="center"/>
          </w:tcPr>
          <w:p w14:paraId="24E2C142"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9.85</w:t>
            </w:r>
          </w:p>
        </w:tc>
        <w:tc>
          <w:tcPr>
            <w:tcW w:w="1183" w:type="dxa"/>
            <w:vAlign w:val="center"/>
          </w:tcPr>
          <w:p w14:paraId="2A1CD80B"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3.35</w:t>
            </w:r>
          </w:p>
        </w:tc>
      </w:tr>
      <w:tr w:rsidR="001C72ED" w:rsidRPr="00C100F0" w14:paraId="235DBE95" w14:textId="77777777" w:rsidTr="001C72ED">
        <w:trPr>
          <w:trHeight w:val="267"/>
        </w:trPr>
        <w:tc>
          <w:tcPr>
            <w:tcW w:w="3655" w:type="dxa"/>
            <w:shd w:val="clear" w:color="auto" w:fill="auto"/>
            <w:noWrap/>
            <w:vAlign w:val="center"/>
          </w:tcPr>
          <w:p w14:paraId="1ACA5A05"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S. Em. ±</w:t>
            </w:r>
          </w:p>
        </w:tc>
        <w:tc>
          <w:tcPr>
            <w:tcW w:w="1161" w:type="dxa"/>
            <w:shd w:val="clear" w:color="auto" w:fill="auto"/>
            <w:noWrap/>
            <w:vAlign w:val="center"/>
          </w:tcPr>
          <w:p w14:paraId="5FEC322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034DE9AE"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5F0A58F4"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2B0370F2"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3E10B866"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227EFBA5"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7C88B391"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3F940C12" w14:textId="77777777" w:rsidTr="001C72ED">
        <w:trPr>
          <w:trHeight w:val="267"/>
        </w:trPr>
        <w:tc>
          <w:tcPr>
            <w:tcW w:w="3655" w:type="dxa"/>
            <w:shd w:val="clear" w:color="auto" w:fill="auto"/>
            <w:noWrap/>
            <w:vAlign w:val="center"/>
          </w:tcPr>
          <w:p w14:paraId="5E652C2D" w14:textId="77777777" w:rsidR="001C72ED" w:rsidRPr="00C100F0" w:rsidRDefault="001C72ED" w:rsidP="001C72ED">
            <w:pPr>
              <w:pStyle w:val="NoSpacing"/>
              <w:jc w:val="center"/>
              <w:rPr>
                <w:rFonts w:ascii="Arial" w:hAnsi="Arial" w:cs="Arial"/>
                <w:b/>
                <w:color w:val="EE0000"/>
                <w:sz w:val="16"/>
                <w:szCs w:val="16"/>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6A5C903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156DF6"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5D286A5B"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728505CA"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743C0353"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3D588B8D"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08EE7891"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r w:rsidR="001C72ED" w:rsidRPr="00C100F0" w14:paraId="6B6BD9DB" w14:textId="77777777" w:rsidTr="001C72ED">
        <w:trPr>
          <w:trHeight w:val="38"/>
        </w:trPr>
        <w:tc>
          <w:tcPr>
            <w:tcW w:w="11597" w:type="dxa"/>
            <w:gridSpan w:val="8"/>
            <w:shd w:val="clear" w:color="auto" w:fill="auto"/>
            <w:noWrap/>
            <w:vAlign w:val="center"/>
            <w:hideMark/>
          </w:tcPr>
          <w:p w14:paraId="2D9FEDA0"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b/>
                <w:color w:val="000000" w:themeColor="text1"/>
                <w:sz w:val="16"/>
                <w:szCs w:val="16"/>
              </w:rPr>
              <w:t>Factor-B (GA</w:t>
            </w:r>
            <w:r w:rsidRPr="00C100F0">
              <w:rPr>
                <w:rFonts w:ascii="Arial" w:hAnsi="Arial" w:cs="Arial"/>
                <w:b/>
                <w:color w:val="000000" w:themeColor="text1"/>
                <w:sz w:val="16"/>
                <w:szCs w:val="16"/>
                <w:vertAlign w:val="subscript"/>
              </w:rPr>
              <w:t>3</w:t>
            </w:r>
            <w:r w:rsidRPr="00C100F0">
              <w:rPr>
                <w:rFonts w:ascii="Arial" w:hAnsi="Arial" w:cs="Arial"/>
                <w:b/>
                <w:color w:val="000000" w:themeColor="text1"/>
                <w:sz w:val="16"/>
                <w:szCs w:val="16"/>
              </w:rPr>
              <w:t xml:space="preserve"> levels)</w:t>
            </w:r>
          </w:p>
        </w:tc>
      </w:tr>
      <w:tr w:rsidR="001C72ED" w:rsidRPr="00C100F0" w14:paraId="307FB0FA" w14:textId="77777777" w:rsidTr="001C72ED">
        <w:trPr>
          <w:trHeight w:val="267"/>
        </w:trPr>
        <w:tc>
          <w:tcPr>
            <w:tcW w:w="3655" w:type="dxa"/>
            <w:shd w:val="clear" w:color="auto" w:fill="auto"/>
            <w:noWrap/>
            <w:vAlign w:val="center"/>
            <w:hideMark/>
          </w:tcPr>
          <w:p w14:paraId="2391926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1</w:t>
            </w:r>
            <w:r w:rsidRPr="00C100F0">
              <w:rPr>
                <w:rFonts w:ascii="Arial" w:hAnsi="Arial" w:cs="Arial"/>
                <w:color w:val="000000" w:themeColor="text1"/>
                <w:sz w:val="16"/>
                <w:szCs w:val="16"/>
              </w:rPr>
              <w:t>-Absolute control (GA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0 ppm)</w:t>
            </w:r>
          </w:p>
        </w:tc>
        <w:tc>
          <w:tcPr>
            <w:tcW w:w="1161" w:type="dxa"/>
            <w:shd w:val="clear" w:color="auto" w:fill="auto"/>
            <w:noWrap/>
            <w:vAlign w:val="center"/>
          </w:tcPr>
          <w:p w14:paraId="22A97BC4"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25.10</w:t>
            </w:r>
          </w:p>
        </w:tc>
        <w:tc>
          <w:tcPr>
            <w:tcW w:w="993" w:type="dxa"/>
            <w:vAlign w:val="center"/>
          </w:tcPr>
          <w:p w14:paraId="5AFDD09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40.68</w:t>
            </w:r>
          </w:p>
        </w:tc>
        <w:tc>
          <w:tcPr>
            <w:tcW w:w="1224" w:type="dxa"/>
            <w:vAlign w:val="center"/>
          </w:tcPr>
          <w:p w14:paraId="56380825"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58.43</w:t>
            </w:r>
          </w:p>
        </w:tc>
        <w:tc>
          <w:tcPr>
            <w:tcW w:w="1085" w:type="dxa"/>
            <w:vAlign w:val="center"/>
          </w:tcPr>
          <w:p w14:paraId="3E9D64BC"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3.98</w:t>
            </w:r>
          </w:p>
        </w:tc>
        <w:tc>
          <w:tcPr>
            <w:tcW w:w="1113" w:type="dxa"/>
            <w:vAlign w:val="center"/>
          </w:tcPr>
          <w:p w14:paraId="372E4C5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6.10</w:t>
            </w:r>
          </w:p>
        </w:tc>
        <w:tc>
          <w:tcPr>
            <w:tcW w:w="1181" w:type="dxa"/>
            <w:vAlign w:val="center"/>
          </w:tcPr>
          <w:p w14:paraId="0633DA3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8.00</w:t>
            </w:r>
          </w:p>
        </w:tc>
        <w:tc>
          <w:tcPr>
            <w:tcW w:w="1183" w:type="dxa"/>
            <w:vAlign w:val="center"/>
          </w:tcPr>
          <w:p w14:paraId="0E460D7A"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2.70</w:t>
            </w:r>
          </w:p>
        </w:tc>
      </w:tr>
      <w:tr w:rsidR="001C72ED" w:rsidRPr="00C100F0" w14:paraId="54CD000A" w14:textId="77777777" w:rsidTr="001C72ED">
        <w:trPr>
          <w:trHeight w:val="267"/>
        </w:trPr>
        <w:tc>
          <w:tcPr>
            <w:tcW w:w="3655" w:type="dxa"/>
            <w:shd w:val="clear" w:color="auto" w:fill="auto"/>
            <w:noWrap/>
            <w:vAlign w:val="center"/>
          </w:tcPr>
          <w:p w14:paraId="2DB52E61" w14:textId="77777777" w:rsidR="001C72ED" w:rsidRPr="00C100F0" w:rsidRDefault="001C72ED" w:rsidP="001C72ED">
            <w:pPr>
              <w:pStyle w:val="NoSpacing"/>
              <w:jc w:val="center"/>
              <w:rPr>
                <w:rFonts w:ascii="Arial" w:hAnsi="Arial" w:cs="Arial"/>
                <w:color w:val="EE0000"/>
                <w:sz w:val="16"/>
                <w:szCs w:val="16"/>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2</w:t>
            </w:r>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25 ppm</w:t>
            </w:r>
          </w:p>
        </w:tc>
        <w:tc>
          <w:tcPr>
            <w:tcW w:w="1161" w:type="dxa"/>
            <w:shd w:val="clear" w:color="auto" w:fill="auto"/>
            <w:noWrap/>
            <w:vAlign w:val="center"/>
          </w:tcPr>
          <w:p w14:paraId="1AC104A0"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27.88</w:t>
            </w:r>
          </w:p>
        </w:tc>
        <w:tc>
          <w:tcPr>
            <w:tcW w:w="993" w:type="dxa"/>
            <w:vAlign w:val="center"/>
          </w:tcPr>
          <w:p w14:paraId="79DB293D"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45.35</w:t>
            </w:r>
          </w:p>
        </w:tc>
        <w:tc>
          <w:tcPr>
            <w:tcW w:w="1224" w:type="dxa"/>
            <w:vAlign w:val="center"/>
          </w:tcPr>
          <w:p w14:paraId="67CA156C"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64.98</w:t>
            </w:r>
          </w:p>
        </w:tc>
        <w:tc>
          <w:tcPr>
            <w:tcW w:w="1085" w:type="dxa"/>
            <w:vAlign w:val="center"/>
          </w:tcPr>
          <w:p w14:paraId="4EA4D1A3"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4.50</w:t>
            </w:r>
          </w:p>
        </w:tc>
        <w:tc>
          <w:tcPr>
            <w:tcW w:w="1113" w:type="dxa"/>
            <w:vAlign w:val="center"/>
          </w:tcPr>
          <w:p w14:paraId="240B284B"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6.73</w:t>
            </w:r>
          </w:p>
        </w:tc>
        <w:tc>
          <w:tcPr>
            <w:tcW w:w="1181" w:type="dxa"/>
            <w:vAlign w:val="center"/>
          </w:tcPr>
          <w:p w14:paraId="5B158310"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8.78</w:t>
            </w:r>
          </w:p>
        </w:tc>
        <w:tc>
          <w:tcPr>
            <w:tcW w:w="1183" w:type="dxa"/>
            <w:vAlign w:val="center"/>
          </w:tcPr>
          <w:p w14:paraId="6351D108"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2.95</w:t>
            </w:r>
          </w:p>
        </w:tc>
      </w:tr>
      <w:tr w:rsidR="001C72ED" w:rsidRPr="00C100F0" w14:paraId="0E126AD5" w14:textId="77777777" w:rsidTr="001C72ED">
        <w:trPr>
          <w:trHeight w:val="267"/>
        </w:trPr>
        <w:tc>
          <w:tcPr>
            <w:tcW w:w="3655" w:type="dxa"/>
            <w:shd w:val="clear" w:color="auto" w:fill="auto"/>
            <w:noWrap/>
            <w:vAlign w:val="center"/>
            <w:hideMark/>
          </w:tcPr>
          <w:p w14:paraId="57875B3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rPr>
              <w:t>G</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50 ppm</w:t>
            </w:r>
          </w:p>
        </w:tc>
        <w:tc>
          <w:tcPr>
            <w:tcW w:w="1161" w:type="dxa"/>
            <w:shd w:val="clear" w:color="auto" w:fill="auto"/>
            <w:noWrap/>
            <w:vAlign w:val="center"/>
          </w:tcPr>
          <w:p w14:paraId="7EC265A7"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29.45</w:t>
            </w:r>
          </w:p>
        </w:tc>
        <w:tc>
          <w:tcPr>
            <w:tcW w:w="993" w:type="dxa"/>
            <w:vAlign w:val="center"/>
          </w:tcPr>
          <w:p w14:paraId="02C2A55E"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48.03</w:t>
            </w:r>
          </w:p>
        </w:tc>
        <w:tc>
          <w:tcPr>
            <w:tcW w:w="1224" w:type="dxa"/>
            <w:vAlign w:val="center"/>
          </w:tcPr>
          <w:p w14:paraId="004EB7A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68.18</w:t>
            </w:r>
          </w:p>
        </w:tc>
        <w:tc>
          <w:tcPr>
            <w:tcW w:w="1085" w:type="dxa"/>
            <w:vAlign w:val="center"/>
          </w:tcPr>
          <w:p w14:paraId="66E762F8"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4.85</w:t>
            </w:r>
          </w:p>
        </w:tc>
        <w:tc>
          <w:tcPr>
            <w:tcW w:w="1113" w:type="dxa"/>
            <w:vAlign w:val="center"/>
          </w:tcPr>
          <w:p w14:paraId="55CCBFDE"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7.13</w:t>
            </w:r>
          </w:p>
        </w:tc>
        <w:tc>
          <w:tcPr>
            <w:tcW w:w="1181" w:type="dxa"/>
            <w:vAlign w:val="center"/>
          </w:tcPr>
          <w:p w14:paraId="2AE99A4A"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5ED0DF46"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3.15</w:t>
            </w:r>
          </w:p>
        </w:tc>
      </w:tr>
      <w:tr w:rsidR="001C72ED" w:rsidRPr="00C100F0" w14:paraId="5C8F147A" w14:textId="77777777" w:rsidTr="001C72ED">
        <w:trPr>
          <w:trHeight w:val="267"/>
        </w:trPr>
        <w:tc>
          <w:tcPr>
            <w:tcW w:w="3655" w:type="dxa"/>
            <w:shd w:val="clear" w:color="auto" w:fill="auto"/>
            <w:noWrap/>
            <w:vAlign w:val="center"/>
            <w:hideMark/>
          </w:tcPr>
          <w:p w14:paraId="73991E2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G</w:t>
            </w:r>
            <w:r w:rsidRPr="00C100F0">
              <w:rPr>
                <w:rFonts w:ascii="Arial" w:hAnsi="Arial" w:cs="Arial"/>
                <w:color w:val="000000" w:themeColor="text1"/>
                <w:sz w:val="16"/>
                <w:szCs w:val="16"/>
                <w:vertAlign w:val="subscript"/>
                <w:lang w:eastAsia="en-IN"/>
              </w:rPr>
              <w:t>4</w:t>
            </w:r>
            <w:r w:rsidRPr="00C100F0">
              <w:rPr>
                <w:rFonts w:ascii="Arial" w:hAnsi="Arial" w:cs="Arial"/>
                <w:color w:val="000000" w:themeColor="text1"/>
                <w:sz w:val="16"/>
                <w:szCs w:val="16"/>
                <w:lang w:eastAsia="en-IN"/>
              </w:rPr>
              <w:t>-GA</w:t>
            </w:r>
            <w:r w:rsidRPr="00C100F0">
              <w:rPr>
                <w:rFonts w:ascii="Arial" w:hAnsi="Arial" w:cs="Arial"/>
                <w:color w:val="000000" w:themeColor="text1"/>
                <w:sz w:val="16"/>
                <w:szCs w:val="16"/>
                <w:vertAlign w:val="subscript"/>
                <w:lang w:eastAsia="en-IN"/>
              </w:rPr>
              <w:t>3</w:t>
            </w:r>
            <w:r w:rsidRPr="00C100F0">
              <w:rPr>
                <w:rFonts w:ascii="Arial" w:hAnsi="Arial" w:cs="Arial"/>
                <w:color w:val="000000" w:themeColor="text1"/>
                <w:sz w:val="16"/>
                <w:szCs w:val="16"/>
                <w:lang w:eastAsia="en-IN"/>
              </w:rPr>
              <w:t xml:space="preserve"> 75 ppm</w:t>
            </w:r>
          </w:p>
        </w:tc>
        <w:tc>
          <w:tcPr>
            <w:tcW w:w="1161" w:type="dxa"/>
            <w:shd w:val="clear" w:color="auto" w:fill="auto"/>
            <w:noWrap/>
            <w:vAlign w:val="center"/>
          </w:tcPr>
          <w:p w14:paraId="5426C7E3"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6ECF23E8"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50.23</w:t>
            </w:r>
          </w:p>
        </w:tc>
        <w:tc>
          <w:tcPr>
            <w:tcW w:w="1224" w:type="dxa"/>
            <w:vAlign w:val="center"/>
          </w:tcPr>
          <w:p w14:paraId="1BA17052" w14:textId="77777777" w:rsidR="001C72ED" w:rsidRPr="00C100F0" w:rsidRDefault="001C72ED" w:rsidP="001C72ED">
            <w:pPr>
              <w:pStyle w:val="NoSpacing"/>
              <w:jc w:val="center"/>
              <w:rPr>
                <w:rFonts w:ascii="Arial" w:hAnsi="Arial" w:cs="Arial"/>
                <w:color w:val="EE0000"/>
                <w:sz w:val="16"/>
                <w:szCs w:val="16"/>
                <w:lang w:eastAsia="en-IN"/>
              </w:rPr>
            </w:pPr>
            <w:r w:rsidRPr="00C100F0">
              <w:rPr>
                <w:rFonts w:ascii="Arial" w:hAnsi="Arial" w:cs="Arial"/>
                <w:color w:val="000000"/>
                <w:sz w:val="16"/>
                <w:szCs w:val="16"/>
              </w:rPr>
              <w:t>70.58</w:t>
            </w:r>
          </w:p>
        </w:tc>
        <w:tc>
          <w:tcPr>
            <w:tcW w:w="1085" w:type="dxa"/>
            <w:vAlign w:val="center"/>
          </w:tcPr>
          <w:p w14:paraId="1B5EC924"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5.10</w:t>
            </w:r>
          </w:p>
        </w:tc>
        <w:tc>
          <w:tcPr>
            <w:tcW w:w="1113" w:type="dxa"/>
            <w:vAlign w:val="center"/>
          </w:tcPr>
          <w:p w14:paraId="1E572B45"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7.53</w:t>
            </w:r>
          </w:p>
        </w:tc>
        <w:tc>
          <w:tcPr>
            <w:tcW w:w="1181" w:type="dxa"/>
            <w:vAlign w:val="center"/>
          </w:tcPr>
          <w:p w14:paraId="1123AA98" w14:textId="77777777" w:rsidR="001C72ED" w:rsidRPr="00C100F0" w:rsidRDefault="001C72ED" w:rsidP="001C72ED">
            <w:pPr>
              <w:pStyle w:val="NoSpacing"/>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9.75</w:t>
            </w:r>
          </w:p>
        </w:tc>
        <w:tc>
          <w:tcPr>
            <w:tcW w:w="1183" w:type="dxa"/>
            <w:vAlign w:val="center"/>
          </w:tcPr>
          <w:p w14:paraId="2054495C" w14:textId="77777777" w:rsidR="001C72ED" w:rsidRPr="00C100F0" w:rsidRDefault="001C72ED" w:rsidP="001C72ED">
            <w:pPr>
              <w:pStyle w:val="NoSpacing"/>
              <w:jc w:val="center"/>
              <w:rPr>
                <w:rFonts w:ascii="Arial" w:hAnsi="Arial" w:cs="Arial"/>
                <w:color w:val="000000" w:themeColor="text1"/>
                <w:sz w:val="16"/>
                <w:szCs w:val="16"/>
              </w:rPr>
            </w:pPr>
            <w:r w:rsidRPr="00C100F0">
              <w:rPr>
                <w:rFonts w:ascii="Arial" w:hAnsi="Arial" w:cs="Arial"/>
                <w:color w:val="000000" w:themeColor="text1"/>
                <w:sz w:val="16"/>
                <w:szCs w:val="16"/>
              </w:rPr>
              <w:t>3.25</w:t>
            </w:r>
          </w:p>
        </w:tc>
      </w:tr>
      <w:tr w:rsidR="001C72ED" w:rsidRPr="00C100F0" w14:paraId="387A87E9" w14:textId="77777777" w:rsidTr="001C72ED">
        <w:trPr>
          <w:trHeight w:val="267"/>
        </w:trPr>
        <w:tc>
          <w:tcPr>
            <w:tcW w:w="3655" w:type="dxa"/>
            <w:shd w:val="clear" w:color="auto" w:fill="auto"/>
            <w:noWrap/>
            <w:vAlign w:val="center"/>
          </w:tcPr>
          <w:p w14:paraId="7811862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themeColor="text1"/>
                <w:sz w:val="16"/>
                <w:szCs w:val="16"/>
              </w:rPr>
              <w:t>S. Em. ±</w:t>
            </w:r>
          </w:p>
        </w:tc>
        <w:tc>
          <w:tcPr>
            <w:tcW w:w="1161" w:type="dxa"/>
            <w:shd w:val="clear" w:color="auto" w:fill="auto"/>
            <w:noWrap/>
            <w:vAlign w:val="center"/>
          </w:tcPr>
          <w:p w14:paraId="53546D58"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68F3A773"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666BE8DA"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54D0D99F"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6B398E36"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1A11AB93"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32EFE6EB"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4652BA31" w14:textId="77777777" w:rsidTr="001C72ED">
        <w:trPr>
          <w:trHeight w:val="54"/>
        </w:trPr>
        <w:tc>
          <w:tcPr>
            <w:tcW w:w="3655" w:type="dxa"/>
            <w:shd w:val="clear" w:color="auto" w:fill="auto"/>
            <w:noWrap/>
            <w:vAlign w:val="center"/>
          </w:tcPr>
          <w:p w14:paraId="4FBCB482"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1565C84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C1189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16D96007" w14:textId="77777777" w:rsidR="001C72ED" w:rsidRPr="00C100F0" w:rsidRDefault="001C72ED" w:rsidP="001C72ED">
            <w:pPr>
              <w:pStyle w:val="NoSpacing"/>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2C45BA18"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0A01047D"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6415D3C0" w14:textId="77777777" w:rsidR="001C72ED" w:rsidRPr="00C100F0" w:rsidRDefault="001C72ED" w:rsidP="001C72ED">
            <w:pPr>
              <w:pStyle w:val="NoSpacing"/>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34694A43" w14:textId="77777777" w:rsidR="001C72ED" w:rsidRPr="00C100F0" w:rsidRDefault="001C72ED" w:rsidP="001C72ED">
            <w:pPr>
              <w:pStyle w:val="NoSpacing"/>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bl>
    <w:p w14:paraId="20DE4242" w14:textId="77777777" w:rsidR="00052A28" w:rsidRPr="00C100F0" w:rsidRDefault="00052A28" w:rsidP="001C72ED">
      <w:pPr>
        <w:spacing w:before="80"/>
        <w:jc w:val="both"/>
        <w:rPr>
          <w:rFonts w:ascii="Arial" w:hAnsi="Arial" w:cs="Arial"/>
          <w:b/>
          <w:sz w:val="20"/>
          <w:szCs w:val="20"/>
        </w:rPr>
      </w:pPr>
    </w:p>
    <w:p w14:paraId="0879A36A" w14:textId="77777777" w:rsidR="001C72ED" w:rsidRPr="00C100F0" w:rsidRDefault="001C72ED" w:rsidP="001C72ED">
      <w:pPr>
        <w:jc w:val="center"/>
        <w:rPr>
          <w:rFonts w:ascii="Arial" w:hAnsi="Arial" w:cs="Arial"/>
          <w:b/>
          <w:bCs/>
          <w:sz w:val="20"/>
          <w:szCs w:val="20"/>
        </w:rPr>
      </w:pPr>
    </w:p>
    <w:p w14:paraId="43FAF7AF" w14:textId="77777777" w:rsidR="001C72ED" w:rsidRPr="00C100F0" w:rsidRDefault="001C72ED" w:rsidP="001C72ED">
      <w:pPr>
        <w:jc w:val="center"/>
        <w:rPr>
          <w:rFonts w:ascii="Arial" w:hAnsi="Arial" w:cs="Arial"/>
          <w:b/>
          <w:bCs/>
          <w:sz w:val="20"/>
          <w:szCs w:val="20"/>
        </w:rPr>
      </w:pPr>
    </w:p>
    <w:p w14:paraId="38987262" w14:textId="77777777" w:rsidR="001C72ED" w:rsidRPr="00C100F0" w:rsidRDefault="001C72ED" w:rsidP="001C72ED">
      <w:pPr>
        <w:jc w:val="center"/>
        <w:rPr>
          <w:rFonts w:ascii="Arial" w:hAnsi="Arial" w:cs="Arial"/>
          <w:b/>
          <w:bCs/>
          <w:sz w:val="20"/>
          <w:szCs w:val="20"/>
        </w:rPr>
      </w:pPr>
    </w:p>
    <w:p w14:paraId="1597B8FB" w14:textId="77777777" w:rsidR="001C72ED" w:rsidRPr="00C100F0" w:rsidRDefault="001C72ED" w:rsidP="001C72ED">
      <w:pPr>
        <w:jc w:val="center"/>
        <w:rPr>
          <w:rFonts w:ascii="Arial" w:hAnsi="Arial" w:cs="Arial"/>
          <w:b/>
          <w:bCs/>
          <w:sz w:val="20"/>
          <w:szCs w:val="20"/>
        </w:rPr>
      </w:pPr>
    </w:p>
    <w:p w14:paraId="3788FBEC" w14:textId="77777777" w:rsidR="001C72ED" w:rsidRPr="00C100F0" w:rsidRDefault="001C72ED" w:rsidP="001C72ED">
      <w:pPr>
        <w:jc w:val="center"/>
        <w:rPr>
          <w:rFonts w:ascii="Arial" w:hAnsi="Arial" w:cs="Arial"/>
          <w:b/>
          <w:bCs/>
          <w:sz w:val="20"/>
          <w:szCs w:val="20"/>
        </w:rPr>
      </w:pPr>
    </w:p>
    <w:p w14:paraId="25A9DBB2" w14:textId="77777777" w:rsidR="001C72ED" w:rsidRPr="00C100F0" w:rsidRDefault="001C72ED" w:rsidP="001C72ED">
      <w:pPr>
        <w:jc w:val="center"/>
        <w:rPr>
          <w:rFonts w:ascii="Arial" w:hAnsi="Arial" w:cs="Arial"/>
          <w:b/>
          <w:bCs/>
          <w:sz w:val="20"/>
          <w:szCs w:val="20"/>
        </w:rPr>
      </w:pPr>
    </w:p>
    <w:p w14:paraId="31BFA651" w14:textId="77777777" w:rsidR="001C72ED" w:rsidRPr="00C100F0" w:rsidRDefault="001C72ED" w:rsidP="001C72ED">
      <w:pPr>
        <w:jc w:val="center"/>
        <w:rPr>
          <w:rFonts w:ascii="Arial" w:hAnsi="Arial" w:cs="Arial"/>
          <w:b/>
          <w:bCs/>
          <w:sz w:val="20"/>
          <w:szCs w:val="20"/>
        </w:rPr>
      </w:pPr>
    </w:p>
    <w:p w14:paraId="0D30ED40" w14:textId="77777777" w:rsidR="001C72ED" w:rsidRPr="00C100F0" w:rsidRDefault="001C72ED" w:rsidP="001C72ED">
      <w:pPr>
        <w:jc w:val="center"/>
        <w:rPr>
          <w:rFonts w:ascii="Arial" w:hAnsi="Arial" w:cs="Arial"/>
          <w:b/>
          <w:bCs/>
          <w:sz w:val="20"/>
          <w:szCs w:val="20"/>
        </w:rPr>
      </w:pPr>
    </w:p>
    <w:p w14:paraId="10ABD0B5" w14:textId="77777777" w:rsidR="001C72ED" w:rsidRPr="00C100F0" w:rsidRDefault="001C72ED" w:rsidP="001C72ED">
      <w:pPr>
        <w:jc w:val="center"/>
        <w:rPr>
          <w:rFonts w:ascii="Arial" w:hAnsi="Arial" w:cs="Arial"/>
          <w:b/>
          <w:bCs/>
          <w:sz w:val="20"/>
          <w:szCs w:val="20"/>
        </w:rPr>
      </w:pPr>
    </w:p>
    <w:p w14:paraId="03D98324" w14:textId="77777777" w:rsidR="001C72ED" w:rsidRPr="00C100F0" w:rsidRDefault="001C72ED" w:rsidP="001C72ED">
      <w:pPr>
        <w:jc w:val="center"/>
        <w:rPr>
          <w:rFonts w:ascii="Arial" w:hAnsi="Arial" w:cs="Arial"/>
          <w:b/>
          <w:bCs/>
          <w:sz w:val="20"/>
          <w:szCs w:val="20"/>
        </w:rPr>
      </w:pPr>
    </w:p>
    <w:p w14:paraId="7856712B" w14:textId="77777777" w:rsidR="001C72ED" w:rsidRPr="00C100F0" w:rsidRDefault="001C72ED" w:rsidP="001C72ED">
      <w:pPr>
        <w:jc w:val="center"/>
        <w:rPr>
          <w:rFonts w:ascii="Arial" w:hAnsi="Arial" w:cs="Arial"/>
          <w:b/>
          <w:bCs/>
          <w:sz w:val="20"/>
          <w:szCs w:val="20"/>
        </w:rPr>
      </w:pPr>
    </w:p>
    <w:p w14:paraId="70B5B1BE" w14:textId="77777777" w:rsidR="001C72ED" w:rsidRPr="00C100F0" w:rsidRDefault="001C72ED" w:rsidP="001C72ED">
      <w:pPr>
        <w:jc w:val="center"/>
        <w:rPr>
          <w:rFonts w:ascii="Arial" w:hAnsi="Arial" w:cs="Arial"/>
          <w:b/>
          <w:bCs/>
          <w:sz w:val="20"/>
          <w:szCs w:val="20"/>
        </w:rPr>
      </w:pPr>
    </w:p>
    <w:p w14:paraId="4E6F3F10" w14:textId="77777777" w:rsidR="001C72ED" w:rsidRPr="00C100F0" w:rsidRDefault="001C72ED" w:rsidP="001C72ED">
      <w:pPr>
        <w:jc w:val="center"/>
        <w:rPr>
          <w:rFonts w:ascii="Arial" w:hAnsi="Arial" w:cs="Arial"/>
          <w:b/>
          <w:bCs/>
          <w:sz w:val="20"/>
          <w:szCs w:val="20"/>
        </w:rPr>
      </w:pPr>
    </w:p>
    <w:p w14:paraId="692D6620" w14:textId="77777777" w:rsidR="001C72ED" w:rsidRPr="00C100F0" w:rsidRDefault="001C72ED" w:rsidP="001C72ED">
      <w:pPr>
        <w:jc w:val="center"/>
        <w:rPr>
          <w:rFonts w:ascii="Arial" w:hAnsi="Arial" w:cs="Arial"/>
          <w:b/>
          <w:bCs/>
          <w:sz w:val="20"/>
          <w:szCs w:val="20"/>
        </w:rPr>
      </w:pPr>
    </w:p>
    <w:p w14:paraId="446871D7" w14:textId="77777777" w:rsidR="001C72ED" w:rsidRPr="00C100F0" w:rsidRDefault="001C72ED" w:rsidP="001C72ED">
      <w:pPr>
        <w:jc w:val="center"/>
        <w:rPr>
          <w:rFonts w:ascii="Arial" w:hAnsi="Arial" w:cs="Arial"/>
          <w:b/>
          <w:bCs/>
          <w:sz w:val="20"/>
          <w:szCs w:val="20"/>
        </w:rPr>
      </w:pPr>
    </w:p>
    <w:p w14:paraId="49A9B0ED" w14:textId="77777777" w:rsidR="001C72ED" w:rsidRPr="00C100F0" w:rsidRDefault="001C72ED" w:rsidP="001C72ED">
      <w:pPr>
        <w:jc w:val="center"/>
        <w:rPr>
          <w:rFonts w:ascii="Arial" w:hAnsi="Arial" w:cs="Arial"/>
          <w:b/>
          <w:bCs/>
          <w:sz w:val="20"/>
          <w:szCs w:val="20"/>
        </w:rPr>
      </w:pPr>
    </w:p>
    <w:p w14:paraId="151814BE" w14:textId="77777777" w:rsidR="001C72ED" w:rsidRPr="00C100F0" w:rsidRDefault="001C72ED" w:rsidP="001C72ED">
      <w:pPr>
        <w:jc w:val="center"/>
        <w:rPr>
          <w:rFonts w:ascii="Arial" w:hAnsi="Arial" w:cs="Arial"/>
          <w:b/>
          <w:bCs/>
          <w:sz w:val="20"/>
          <w:szCs w:val="20"/>
        </w:rPr>
      </w:pPr>
    </w:p>
    <w:p w14:paraId="7F71EE7B" w14:textId="77777777" w:rsidR="001C72ED" w:rsidRPr="00C100F0" w:rsidRDefault="001C72ED" w:rsidP="001C72ED">
      <w:pPr>
        <w:jc w:val="center"/>
        <w:rPr>
          <w:rFonts w:ascii="Arial" w:hAnsi="Arial" w:cs="Arial"/>
          <w:b/>
          <w:bCs/>
          <w:sz w:val="20"/>
          <w:szCs w:val="20"/>
        </w:rPr>
      </w:pPr>
    </w:p>
    <w:p w14:paraId="7CC50367" w14:textId="6EBDB913" w:rsidR="00F8255F" w:rsidRPr="00C100F0" w:rsidRDefault="00F8255F" w:rsidP="001C72ED">
      <w:pPr>
        <w:jc w:val="center"/>
        <w:rPr>
          <w:rFonts w:ascii="Arial" w:hAnsi="Arial" w:cs="Arial"/>
          <w:b/>
          <w:bCs/>
          <w:sz w:val="20"/>
          <w:szCs w:val="20"/>
        </w:rPr>
      </w:pPr>
      <w:r w:rsidRPr="00C100F0">
        <w:rPr>
          <w:rFonts w:ascii="Arial" w:hAnsi="Arial" w:cs="Arial"/>
          <w:b/>
          <w:bCs/>
          <w:sz w:val="20"/>
          <w:szCs w:val="20"/>
        </w:rPr>
        <w:t xml:space="preserve">Table 2: Response of </w:t>
      </w:r>
      <w:r w:rsidRPr="00C100F0">
        <w:rPr>
          <w:rFonts w:ascii="Arial" w:hAnsi="Arial" w:cs="Arial"/>
          <w:b/>
          <w:sz w:val="20"/>
          <w:szCs w:val="20"/>
        </w:rPr>
        <w:t>organic manures</w:t>
      </w:r>
      <w:r w:rsidRPr="00C100F0">
        <w:rPr>
          <w:rFonts w:ascii="Arial" w:hAnsi="Arial" w:cs="Arial"/>
          <w:b/>
          <w:bCs/>
          <w:sz w:val="20"/>
          <w:szCs w:val="20"/>
        </w:rPr>
        <w:t xml:space="preserve"> and GA</w:t>
      </w:r>
      <w:r w:rsidRPr="00C100F0">
        <w:rPr>
          <w:rFonts w:ascii="Arial" w:hAnsi="Arial" w:cs="Arial"/>
          <w:b/>
          <w:bCs/>
          <w:sz w:val="20"/>
          <w:szCs w:val="20"/>
          <w:vertAlign w:val="subscript"/>
        </w:rPr>
        <w:t>3</w:t>
      </w:r>
      <w:r w:rsidRPr="00C100F0">
        <w:rPr>
          <w:rFonts w:ascii="Arial" w:hAnsi="Arial" w:cs="Arial"/>
          <w:b/>
          <w:bCs/>
          <w:sz w:val="20"/>
          <w:szCs w:val="20"/>
        </w:rPr>
        <w:t xml:space="preserve"> levels on </w:t>
      </w:r>
      <w:r w:rsidRPr="00C100F0">
        <w:rPr>
          <w:rFonts w:ascii="Arial" w:hAnsi="Arial" w:cs="Arial"/>
          <w:b/>
          <w:bCs/>
          <w:sz w:val="20"/>
          <w:szCs w:val="20"/>
          <w:lang w:eastAsia="en-IN"/>
        </w:rPr>
        <w:t>yield attributes</w:t>
      </w:r>
      <w:r w:rsidRPr="00C100F0">
        <w:rPr>
          <w:rFonts w:ascii="Arial" w:hAnsi="Arial" w:cs="Arial"/>
          <w:b/>
          <w:bCs/>
          <w:sz w:val="20"/>
          <w:szCs w:val="20"/>
        </w:rPr>
        <w:t xml:space="preserve"> of tomato</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771"/>
        <w:gridCol w:w="1021"/>
        <w:gridCol w:w="1945"/>
        <w:gridCol w:w="2139"/>
      </w:tblGrid>
      <w:tr w:rsidR="00F8255F" w:rsidRPr="00C100F0" w14:paraId="153CE31A" w14:textId="77777777" w:rsidTr="001C72ED">
        <w:trPr>
          <w:trHeight w:val="236"/>
          <w:jc w:val="center"/>
        </w:trPr>
        <w:tc>
          <w:tcPr>
            <w:tcW w:w="3086" w:type="dxa"/>
            <w:shd w:val="clear" w:color="auto" w:fill="auto"/>
            <w:noWrap/>
            <w:vAlign w:val="center"/>
          </w:tcPr>
          <w:p w14:paraId="2D2081E7"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Treatments</w:t>
            </w:r>
          </w:p>
        </w:tc>
        <w:tc>
          <w:tcPr>
            <w:tcW w:w="1771" w:type="dxa"/>
            <w:vAlign w:val="center"/>
          </w:tcPr>
          <w:p w14:paraId="53243B9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lang w:eastAsia="en-IN"/>
              </w:rPr>
              <w:t>Number of fruits per plant</w:t>
            </w:r>
          </w:p>
        </w:tc>
        <w:tc>
          <w:tcPr>
            <w:tcW w:w="1021" w:type="dxa"/>
            <w:vAlign w:val="center"/>
          </w:tcPr>
          <w:p w14:paraId="300E939A"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Fruit girth (cm)</w:t>
            </w:r>
          </w:p>
        </w:tc>
        <w:tc>
          <w:tcPr>
            <w:tcW w:w="1945" w:type="dxa"/>
            <w:vAlign w:val="center"/>
          </w:tcPr>
          <w:p w14:paraId="3A4157EF"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Average fruit weight (g)</w:t>
            </w:r>
          </w:p>
        </w:tc>
        <w:tc>
          <w:tcPr>
            <w:tcW w:w="2139" w:type="dxa"/>
            <w:vAlign w:val="center"/>
          </w:tcPr>
          <w:p w14:paraId="77D72F42"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lang w:eastAsia="en-IN"/>
              </w:rPr>
              <w:t>Fruit yield (q/ha)</w:t>
            </w:r>
          </w:p>
        </w:tc>
      </w:tr>
      <w:tr w:rsidR="001C72ED" w:rsidRPr="00C100F0" w14:paraId="37295F09" w14:textId="77777777" w:rsidTr="00804CA3">
        <w:trPr>
          <w:trHeight w:val="236"/>
          <w:jc w:val="center"/>
        </w:trPr>
        <w:tc>
          <w:tcPr>
            <w:tcW w:w="9962" w:type="dxa"/>
            <w:gridSpan w:val="5"/>
            <w:shd w:val="clear" w:color="auto" w:fill="auto"/>
            <w:noWrap/>
            <w:vAlign w:val="center"/>
          </w:tcPr>
          <w:p w14:paraId="5E387690" w14:textId="5FEC1465" w:rsidR="001C72ED" w:rsidRPr="00C100F0" w:rsidRDefault="001C72ED" w:rsidP="001C72ED">
            <w:pPr>
              <w:pStyle w:val="NoSpacing"/>
              <w:jc w:val="center"/>
              <w:rPr>
                <w:rFonts w:ascii="Arial" w:hAnsi="Arial" w:cs="Arial"/>
                <w:b/>
                <w:sz w:val="16"/>
                <w:szCs w:val="16"/>
              </w:rPr>
            </w:pPr>
            <w:r w:rsidRPr="00C100F0">
              <w:rPr>
                <w:rFonts w:ascii="Arial" w:hAnsi="Arial" w:cs="Arial"/>
                <w:b/>
                <w:sz w:val="16"/>
                <w:szCs w:val="16"/>
              </w:rPr>
              <w:t>Factor-A (Organic manures levels)</w:t>
            </w:r>
          </w:p>
        </w:tc>
      </w:tr>
      <w:tr w:rsidR="00F8255F" w:rsidRPr="00C100F0" w14:paraId="696B4EFA" w14:textId="77777777" w:rsidTr="001C72ED">
        <w:trPr>
          <w:trHeight w:val="236"/>
          <w:jc w:val="center"/>
        </w:trPr>
        <w:tc>
          <w:tcPr>
            <w:tcW w:w="3086" w:type="dxa"/>
            <w:shd w:val="clear" w:color="auto" w:fill="auto"/>
            <w:noWrap/>
            <w:vAlign w:val="center"/>
          </w:tcPr>
          <w:p w14:paraId="492FA54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lang w:eastAsia="en-IN"/>
              </w:rPr>
              <w:t>O</w:t>
            </w:r>
            <w:r w:rsidRPr="00C100F0">
              <w:rPr>
                <w:rFonts w:ascii="Arial" w:hAnsi="Arial" w:cs="Arial"/>
                <w:sz w:val="16"/>
                <w:szCs w:val="16"/>
                <w:vertAlign w:val="subscript"/>
                <w:lang w:eastAsia="en-IN"/>
              </w:rPr>
              <w:t>1</w:t>
            </w:r>
            <w:r w:rsidRPr="00C100F0">
              <w:rPr>
                <w:rFonts w:ascii="Arial" w:hAnsi="Arial" w:cs="Arial"/>
                <w:sz w:val="16"/>
                <w:szCs w:val="16"/>
                <w:lang w:eastAsia="en-IN"/>
              </w:rPr>
              <w:t>-Control (No application)</w:t>
            </w:r>
          </w:p>
        </w:tc>
        <w:tc>
          <w:tcPr>
            <w:tcW w:w="1771" w:type="dxa"/>
            <w:vAlign w:val="center"/>
          </w:tcPr>
          <w:p w14:paraId="43E35EF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22.50</w:t>
            </w:r>
          </w:p>
        </w:tc>
        <w:tc>
          <w:tcPr>
            <w:tcW w:w="1021" w:type="dxa"/>
            <w:vAlign w:val="center"/>
          </w:tcPr>
          <w:p w14:paraId="04BE237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5.03</w:t>
            </w:r>
          </w:p>
        </w:tc>
        <w:tc>
          <w:tcPr>
            <w:tcW w:w="1945" w:type="dxa"/>
            <w:vAlign w:val="center"/>
          </w:tcPr>
          <w:p w14:paraId="0D632C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50.50</w:t>
            </w:r>
          </w:p>
        </w:tc>
        <w:tc>
          <w:tcPr>
            <w:tcW w:w="2139" w:type="dxa"/>
            <w:vAlign w:val="center"/>
          </w:tcPr>
          <w:p w14:paraId="30AFF589"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259.25</w:t>
            </w:r>
          </w:p>
        </w:tc>
      </w:tr>
      <w:tr w:rsidR="00F8255F" w:rsidRPr="00C100F0" w14:paraId="4B3DCC7A" w14:textId="77777777" w:rsidTr="001C72ED">
        <w:trPr>
          <w:trHeight w:val="78"/>
          <w:jc w:val="center"/>
        </w:trPr>
        <w:tc>
          <w:tcPr>
            <w:tcW w:w="3086" w:type="dxa"/>
            <w:shd w:val="clear" w:color="auto" w:fill="auto"/>
            <w:noWrap/>
            <w:vAlign w:val="center"/>
            <w:hideMark/>
          </w:tcPr>
          <w:p w14:paraId="54C1AE3A"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O</w:t>
            </w:r>
            <w:r w:rsidRPr="00C100F0">
              <w:rPr>
                <w:rFonts w:ascii="Arial" w:hAnsi="Arial" w:cs="Arial"/>
                <w:sz w:val="16"/>
                <w:szCs w:val="16"/>
                <w:vertAlign w:val="subscript"/>
                <w:lang w:eastAsia="en-IN"/>
              </w:rPr>
              <w:t>2</w:t>
            </w:r>
            <w:r w:rsidRPr="00C100F0">
              <w:rPr>
                <w:rFonts w:ascii="Arial" w:hAnsi="Arial" w:cs="Arial"/>
                <w:sz w:val="16"/>
                <w:szCs w:val="16"/>
                <w:lang w:eastAsia="en-IN"/>
              </w:rPr>
              <w:t>-FYM @ 12 t/ha</w:t>
            </w:r>
          </w:p>
        </w:tc>
        <w:tc>
          <w:tcPr>
            <w:tcW w:w="1771" w:type="dxa"/>
            <w:vAlign w:val="center"/>
          </w:tcPr>
          <w:p w14:paraId="2545C602"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30.25</w:t>
            </w:r>
          </w:p>
        </w:tc>
        <w:tc>
          <w:tcPr>
            <w:tcW w:w="1021" w:type="dxa"/>
            <w:vAlign w:val="center"/>
          </w:tcPr>
          <w:p w14:paraId="00C9F3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5.65</w:t>
            </w:r>
          </w:p>
        </w:tc>
        <w:tc>
          <w:tcPr>
            <w:tcW w:w="1945" w:type="dxa"/>
            <w:vAlign w:val="center"/>
          </w:tcPr>
          <w:p w14:paraId="5E90296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57.50</w:t>
            </w:r>
          </w:p>
        </w:tc>
        <w:tc>
          <w:tcPr>
            <w:tcW w:w="2139" w:type="dxa"/>
            <w:vAlign w:val="center"/>
          </w:tcPr>
          <w:p w14:paraId="5B9055F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330.13</w:t>
            </w:r>
          </w:p>
        </w:tc>
      </w:tr>
      <w:tr w:rsidR="00F8255F" w:rsidRPr="00C100F0" w14:paraId="5D057B57" w14:textId="77777777" w:rsidTr="001C72ED">
        <w:trPr>
          <w:trHeight w:val="236"/>
          <w:jc w:val="center"/>
        </w:trPr>
        <w:tc>
          <w:tcPr>
            <w:tcW w:w="3086" w:type="dxa"/>
            <w:shd w:val="clear" w:color="auto" w:fill="auto"/>
            <w:noWrap/>
            <w:vAlign w:val="center"/>
            <w:hideMark/>
          </w:tcPr>
          <w:p w14:paraId="1CDA3A91"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O</w:t>
            </w:r>
            <w:r w:rsidRPr="00C100F0">
              <w:rPr>
                <w:rFonts w:ascii="Arial" w:hAnsi="Arial" w:cs="Arial"/>
                <w:sz w:val="16"/>
                <w:szCs w:val="16"/>
                <w:vertAlign w:val="subscript"/>
                <w:lang w:eastAsia="en-IN"/>
              </w:rPr>
              <w:t>3</w:t>
            </w:r>
            <w:r w:rsidRPr="00C100F0">
              <w:rPr>
                <w:rFonts w:ascii="Arial" w:hAnsi="Arial" w:cs="Arial"/>
                <w:sz w:val="16"/>
                <w:szCs w:val="16"/>
                <w:lang w:eastAsia="en-IN"/>
              </w:rPr>
              <w:t>-Vermicompost @ 4.0 t/ha</w:t>
            </w:r>
          </w:p>
        </w:tc>
        <w:tc>
          <w:tcPr>
            <w:tcW w:w="1771" w:type="dxa"/>
            <w:vAlign w:val="center"/>
          </w:tcPr>
          <w:p w14:paraId="7B0582C5"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31.25</w:t>
            </w:r>
          </w:p>
        </w:tc>
        <w:tc>
          <w:tcPr>
            <w:tcW w:w="1021" w:type="dxa"/>
            <w:vAlign w:val="center"/>
          </w:tcPr>
          <w:p w14:paraId="1D76C55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5.85</w:t>
            </w:r>
          </w:p>
        </w:tc>
        <w:tc>
          <w:tcPr>
            <w:tcW w:w="1945" w:type="dxa"/>
            <w:vAlign w:val="center"/>
          </w:tcPr>
          <w:p w14:paraId="707C70B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58.50</w:t>
            </w:r>
          </w:p>
        </w:tc>
        <w:tc>
          <w:tcPr>
            <w:tcW w:w="2139" w:type="dxa"/>
            <w:vAlign w:val="center"/>
          </w:tcPr>
          <w:p w14:paraId="70FE0B5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341.13</w:t>
            </w:r>
          </w:p>
        </w:tc>
      </w:tr>
      <w:tr w:rsidR="00F8255F" w:rsidRPr="00C100F0" w14:paraId="3F7A33C1" w14:textId="77777777" w:rsidTr="001C72ED">
        <w:trPr>
          <w:trHeight w:val="236"/>
          <w:jc w:val="center"/>
        </w:trPr>
        <w:tc>
          <w:tcPr>
            <w:tcW w:w="3086" w:type="dxa"/>
            <w:shd w:val="clear" w:color="auto" w:fill="auto"/>
            <w:noWrap/>
            <w:vAlign w:val="center"/>
          </w:tcPr>
          <w:p w14:paraId="3659B31D"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lang w:eastAsia="en-IN"/>
              </w:rPr>
              <w:t>O</w:t>
            </w:r>
            <w:r w:rsidRPr="00C100F0">
              <w:rPr>
                <w:rFonts w:ascii="Arial" w:hAnsi="Arial" w:cs="Arial"/>
                <w:sz w:val="16"/>
                <w:szCs w:val="16"/>
                <w:vertAlign w:val="subscript"/>
                <w:lang w:eastAsia="en-IN"/>
              </w:rPr>
              <w:t>4</w:t>
            </w:r>
            <w:r w:rsidRPr="00C100F0">
              <w:rPr>
                <w:rFonts w:ascii="Arial" w:hAnsi="Arial" w:cs="Arial"/>
                <w:sz w:val="16"/>
                <w:szCs w:val="16"/>
                <w:lang w:eastAsia="en-IN"/>
              </w:rPr>
              <w:t>-</w:t>
            </w:r>
            <w:r w:rsidRPr="00C100F0">
              <w:rPr>
                <w:rFonts w:ascii="Arial" w:hAnsi="Arial" w:cs="Arial"/>
                <w:sz w:val="16"/>
                <w:szCs w:val="16"/>
                <w:lang w:val="en-IN"/>
              </w:rPr>
              <w:t>Poultry manure @ 2.5 t/ha</w:t>
            </w:r>
          </w:p>
        </w:tc>
        <w:tc>
          <w:tcPr>
            <w:tcW w:w="1771" w:type="dxa"/>
            <w:vAlign w:val="center"/>
          </w:tcPr>
          <w:p w14:paraId="2A3938B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32.25</w:t>
            </w:r>
          </w:p>
        </w:tc>
        <w:tc>
          <w:tcPr>
            <w:tcW w:w="1021" w:type="dxa"/>
            <w:vAlign w:val="center"/>
          </w:tcPr>
          <w:p w14:paraId="70410AB5"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5.95</w:t>
            </w:r>
          </w:p>
        </w:tc>
        <w:tc>
          <w:tcPr>
            <w:tcW w:w="1945" w:type="dxa"/>
            <w:vAlign w:val="center"/>
          </w:tcPr>
          <w:p w14:paraId="0A44C03D"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59.50</w:t>
            </w:r>
          </w:p>
        </w:tc>
        <w:tc>
          <w:tcPr>
            <w:tcW w:w="2139" w:type="dxa"/>
            <w:vAlign w:val="center"/>
          </w:tcPr>
          <w:p w14:paraId="0A8F88A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351.75</w:t>
            </w:r>
          </w:p>
        </w:tc>
      </w:tr>
      <w:tr w:rsidR="00F8255F" w:rsidRPr="00C100F0" w14:paraId="4FC3D23B" w14:textId="77777777" w:rsidTr="001C72ED">
        <w:trPr>
          <w:trHeight w:val="236"/>
          <w:jc w:val="center"/>
        </w:trPr>
        <w:tc>
          <w:tcPr>
            <w:tcW w:w="3086" w:type="dxa"/>
            <w:shd w:val="clear" w:color="auto" w:fill="auto"/>
            <w:noWrap/>
            <w:vAlign w:val="center"/>
          </w:tcPr>
          <w:p w14:paraId="4E2038B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S. Em. ±</w:t>
            </w:r>
          </w:p>
        </w:tc>
        <w:tc>
          <w:tcPr>
            <w:tcW w:w="1771" w:type="dxa"/>
            <w:vAlign w:val="center"/>
          </w:tcPr>
          <w:p w14:paraId="452CE13B"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65C96DF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7B8CC59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286284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0.41</w:t>
            </w:r>
          </w:p>
        </w:tc>
      </w:tr>
      <w:tr w:rsidR="00F8255F" w:rsidRPr="00C100F0" w14:paraId="6E1D2AFA" w14:textId="77777777" w:rsidTr="001C72ED">
        <w:trPr>
          <w:trHeight w:val="236"/>
          <w:jc w:val="center"/>
        </w:trPr>
        <w:tc>
          <w:tcPr>
            <w:tcW w:w="3086" w:type="dxa"/>
            <w:shd w:val="clear" w:color="auto" w:fill="auto"/>
            <w:noWrap/>
            <w:vAlign w:val="center"/>
          </w:tcPr>
          <w:p w14:paraId="2665023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CD at 0.05%</w:t>
            </w:r>
          </w:p>
        </w:tc>
        <w:tc>
          <w:tcPr>
            <w:tcW w:w="1771" w:type="dxa"/>
            <w:vAlign w:val="center"/>
          </w:tcPr>
          <w:p w14:paraId="0C13D214"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6F6EFCAA"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0FDFF6D4"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1E0CDA3D"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1.19</w:t>
            </w:r>
          </w:p>
        </w:tc>
      </w:tr>
      <w:tr w:rsidR="001C72ED" w:rsidRPr="00C100F0" w14:paraId="5C709C84" w14:textId="77777777" w:rsidTr="00D43693">
        <w:trPr>
          <w:trHeight w:val="236"/>
          <w:jc w:val="center"/>
        </w:trPr>
        <w:tc>
          <w:tcPr>
            <w:tcW w:w="9962" w:type="dxa"/>
            <w:gridSpan w:val="5"/>
            <w:shd w:val="clear" w:color="auto" w:fill="auto"/>
            <w:noWrap/>
            <w:vAlign w:val="center"/>
          </w:tcPr>
          <w:p w14:paraId="76A96ABC" w14:textId="76474E90" w:rsidR="001C72ED" w:rsidRPr="00C100F0" w:rsidRDefault="001C72ED" w:rsidP="001C72ED">
            <w:pPr>
              <w:pStyle w:val="NoSpacing"/>
              <w:jc w:val="center"/>
              <w:rPr>
                <w:rFonts w:ascii="Arial" w:hAnsi="Arial" w:cs="Arial"/>
                <w:b/>
                <w:sz w:val="16"/>
                <w:szCs w:val="16"/>
              </w:rPr>
            </w:pPr>
            <w:r w:rsidRPr="00C100F0">
              <w:rPr>
                <w:rFonts w:ascii="Arial" w:hAnsi="Arial" w:cs="Arial"/>
                <w:b/>
                <w:sz w:val="16"/>
                <w:szCs w:val="16"/>
              </w:rPr>
              <w:t>Factor-B (GA</w:t>
            </w:r>
            <w:r w:rsidRPr="00C100F0">
              <w:rPr>
                <w:rFonts w:ascii="Arial" w:hAnsi="Arial" w:cs="Arial"/>
                <w:b/>
                <w:sz w:val="16"/>
                <w:szCs w:val="16"/>
                <w:vertAlign w:val="subscript"/>
              </w:rPr>
              <w:t>3</w:t>
            </w:r>
            <w:r w:rsidRPr="00C100F0">
              <w:rPr>
                <w:rFonts w:ascii="Arial" w:hAnsi="Arial" w:cs="Arial"/>
                <w:b/>
                <w:sz w:val="16"/>
                <w:szCs w:val="16"/>
              </w:rPr>
              <w:t xml:space="preserve"> levels)</w:t>
            </w:r>
          </w:p>
        </w:tc>
      </w:tr>
      <w:tr w:rsidR="00F8255F" w:rsidRPr="00C100F0" w14:paraId="4E0E3095" w14:textId="77777777" w:rsidTr="001C72ED">
        <w:trPr>
          <w:trHeight w:val="236"/>
          <w:jc w:val="center"/>
        </w:trPr>
        <w:tc>
          <w:tcPr>
            <w:tcW w:w="3086" w:type="dxa"/>
            <w:shd w:val="clear" w:color="auto" w:fill="auto"/>
            <w:noWrap/>
            <w:vAlign w:val="center"/>
            <w:hideMark/>
          </w:tcPr>
          <w:p w14:paraId="67315548" w14:textId="77777777"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rPr>
              <w:t>G</w:t>
            </w:r>
            <w:r w:rsidRPr="00C100F0">
              <w:rPr>
                <w:rFonts w:ascii="Arial" w:hAnsi="Arial" w:cs="Arial"/>
                <w:sz w:val="16"/>
                <w:szCs w:val="16"/>
                <w:vertAlign w:val="subscript"/>
              </w:rPr>
              <w:t>1</w:t>
            </w:r>
            <w:r w:rsidRPr="00C100F0">
              <w:rPr>
                <w:rFonts w:ascii="Arial" w:hAnsi="Arial" w:cs="Arial"/>
                <w:sz w:val="16"/>
                <w:szCs w:val="16"/>
              </w:rPr>
              <w:t>-Absolute control (GA</w:t>
            </w:r>
            <w:r w:rsidRPr="00C100F0">
              <w:rPr>
                <w:rFonts w:ascii="Arial" w:hAnsi="Arial" w:cs="Arial"/>
                <w:sz w:val="16"/>
                <w:szCs w:val="16"/>
                <w:vertAlign w:val="subscript"/>
              </w:rPr>
              <w:t>3</w:t>
            </w:r>
            <w:r w:rsidRPr="00C100F0">
              <w:rPr>
                <w:rFonts w:ascii="Arial" w:hAnsi="Arial" w:cs="Arial"/>
                <w:sz w:val="16"/>
                <w:szCs w:val="16"/>
              </w:rPr>
              <w:t xml:space="preserve"> 0 ppm)</w:t>
            </w:r>
          </w:p>
        </w:tc>
        <w:tc>
          <w:tcPr>
            <w:tcW w:w="1771" w:type="dxa"/>
            <w:vAlign w:val="center"/>
          </w:tcPr>
          <w:p w14:paraId="6AA1A97C"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24.00</w:t>
            </w:r>
          </w:p>
        </w:tc>
        <w:tc>
          <w:tcPr>
            <w:tcW w:w="1021" w:type="dxa"/>
            <w:vAlign w:val="center"/>
          </w:tcPr>
          <w:p w14:paraId="56EFDD53"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5.20</w:t>
            </w:r>
          </w:p>
        </w:tc>
        <w:tc>
          <w:tcPr>
            <w:tcW w:w="1945" w:type="dxa"/>
            <w:vAlign w:val="center"/>
          </w:tcPr>
          <w:p w14:paraId="4B0AACD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52.00</w:t>
            </w:r>
          </w:p>
        </w:tc>
        <w:tc>
          <w:tcPr>
            <w:tcW w:w="2139" w:type="dxa"/>
            <w:vAlign w:val="center"/>
          </w:tcPr>
          <w:p w14:paraId="73959F53"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274.75</w:t>
            </w:r>
          </w:p>
        </w:tc>
      </w:tr>
      <w:tr w:rsidR="00F8255F" w:rsidRPr="00C100F0" w14:paraId="4E03BC3B" w14:textId="77777777" w:rsidTr="001C72ED">
        <w:trPr>
          <w:trHeight w:val="236"/>
          <w:jc w:val="center"/>
        </w:trPr>
        <w:tc>
          <w:tcPr>
            <w:tcW w:w="3086" w:type="dxa"/>
            <w:shd w:val="clear" w:color="auto" w:fill="auto"/>
            <w:noWrap/>
            <w:vAlign w:val="center"/>
          </w:tcPr>
          <w:p w14:paraId="116AA0A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G</w:t>
            </w:r>
            <w:r w:rsidRPr="00C100F0">
              <w:rPr>
                <w:rFonts w:ascii="Arial" w:hAnsi="Arial" w:cs="Arial"/>
                <w:sz w:val="16"/>
                <w:szCs w:val="16"/>
                <w:vertAlign w:val="subscript"/>
              </w:rPr>
              <w:t>2</w:t>
            </w:r>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25 ppm</w:t>
            </w:r>
          </w:p>
        </w:tc>
        <w:tc>
          <w:tcPr>
            <w:tcW w:w="1771" w:type="dxa"/>
            <w:vAlign w:val="center"/>
          </w:tcPr>
          <w:p w14:paraId="42A2801C"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27.75</w:t>
            </w:r>
          </w:p>
        </w:tc>
        <w:tc>
          <w:tcPr>
            <w:tcW w:w="1021" w:type="dxa"/>
            <w:vAlign w:val="center"/>
          </w:tcPr>
          <w:p w14:paraId="6F1990A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5.48</w:t>
            </w:r>
          </w:p>
        </w:tc>
        <w:tc>
          <w:tcPr>
            <w:tcW w:w="1945" w:type="dxa"/>
            <w:vAlign w:val="center"/>
          </w:tcPr>
          <w:p w14:paraId="42CF58B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55.00</w:t>
            </w:r>
          </w:p>
        </w:tc>
        <w:tc>
          <w:tcPr>
            <w:tcW w:w="2139" w:type="dxa"/>
            <w:vAlign w:val="center"/>
          </w:tcPr>
          <w:p w14:paraId="278C5774"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305.25</w:t>
            </w:r>
          </w:p>
        </w:tc>
      </w:tr>
      <w:tr w:rsidR="00F8255F" w:rsidRPr="00C100F0" w14:paraId="1C6BD484" w14:textId="77777777" w:rsidTr="001C72ED">
        <w:trPr>
          <w:trHeight w:val="236"/>
          <w:jc w:val="center"/>
        </w:trPr>
        <w:tc>
          <w:tcPr>
            <w:tcW w:w="3086" w:type="dxa"/>
            <w:shd w:val="clear" w:color="auto" w:fill="auto"/>
            <w:noWrap/>
            <w:vAlign w:val="center"/>
            <w:hideMark/>
          </w:tcPr>
          <w:p w14:paraId="0058FB07" w14:textId="1C6F7379"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rPr>
              <w:t>G</w:t>
            </w:r>
            <w:r w:rsidRPr="00C100F0">
              <w:rPr>
                <w:rFonts w:ascii="Arial" w:hAnsi="Arial" w:cs="Arial"/>
                <w:sz w:val="16"/>
                <w:szCs w:val="16"/>
                <w:vertAlign w:val="subscript"/>
              </w:rPr>
              <w:t>3</w:t>
            </w:r>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50 ppm</w:t>
            </w:r>
          </w:p>
        </w:tc>
        <w:tc>
          <w:tcPr>
            <w:tcW w:w="1771" w:type="dxa"/>
            <w:vAlign w:val="center"/>
          </w:tcPr>
          <w:p w14:paraId="70A2FBF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30.75</w:t>
            </w:r>
          </w:p>
        </w:tc>
        <w:tc>
          <w:tcPr>
            <w:tcW w:w="1021" w:type="dxa"/>
            <w:vAlign w:val="center"/>
          </w:tcPr>
          <w:p w14:paraId="37A9AE1E"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5.78</w:t>
            </w:r>
          </w:p>
        </w:tc>
        <w:tc>
          <w:tcPr>
            <w:tcW w:w="1945" w:type="dxa"/>
            <w:vAlign w:val="center"/>
          </w:tcPr>
          <w:p w14:paraId="03898659"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58.00</w:t>
            </w:r>
          </w:p>
        </w:tc>
        <w:tc>
          <w:tcPr>
            <w:tcW w:w="2139" w:type="dxa"/>
            <w:vAlign w:val="center"/>
          </w:tcPr>
          <w:p w14:paraId="4DF3C8D1"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336.13</w:t>
            </w:r>
          </w:p>
        </w:tc>
      </w:tr>
      <w:tr w:rsidR="00F8255F" w:rsidRPr="00C100F0" w14:paraId="155F87E1" w14:textId="77777777" w:rsidTr="001C72ED">
        <w:trPr>
          <w:trHeight w:val="236"/>
          <w:jc w:val="center"/>
        </w:trPr>
        <w:tc>
          <w:tcPr>
            <w:tcW w:w="3086" w:type="dxa"/>
            <w:shd w:val="clear" w:color="auto" w:fill="auto"/>
            <w:noWrap/>
            <w:vAlign w:val="center"/>
            <w:hideMark/>
          </w:tcPr>
          <w:p w14:paraId="6FC49694" w14:textId="7AADB9F4" w:rsidR="00F8255F" w:rsidRPr="00C100F0" w:rsidRDefault="00F8255F" w:rsidP="001C72ED">
            <w:pPr>
              <w:pStyle w:val="NoSpacing"/>
              <w:jc w:val="center"/>
              <w:rPr>
                <w:rFonts w:ascii="Arial" w:hAnsi="Arial" w:cs="Arial"/>
                <w:sz w:val="16"/>
                <w:szCs w:val="16"/>
                <w:lang w:eastAsia="en-IN"/>
              </w:rPr>
            </w:pPr>
            <w:r w:rsidRPr="00C100F0">
              <w:rPr>
                <w:rFonts w:ascii="Arial" w:hAnsi="Arial" w:cs="Arial"/>
                <w:sz w:val="16"/>
                <w:szCs w:val="16"/>
                <w:lang w:eastAsia="en-IN"/>
              </w:rPr>
              <w:t>G</w:t>
            </w:r>
            <w:r w:rsidRPr="00C100F0">
              <w:rPr>
                <w:rFonts w:ascii="Arial" w:hAnsi="Arial" w:cs="Arial"/>
                <w:sz w:val="16"/>
                <w:szCs w:val="16"/>
                <w:vertAlign w:val="subscript"/>
                <w:lang w:eastAsia="en-IN"/>
              </w:rPr>
              <w:t>4</w:t>
            </w:r>
            <w:r w:rsidRPr="00C100F0">
              <w:rPr>
                <w:rFonts w:ascii="Arial" w:hAnsi="Arial" w:cs="Arial"/>
                <w:sz w:val="16"/>
                <w:szCs w:val="16"/>
                <w:lang w:eastAsia="en-IN"/>
              </w:rPr>
              <w:t>-GA</w:t>
            </w:r>
            <w:r w:rsidRPr="00C100F0">
              <w:rPr>
                <w:rFonts w:ascii="Arial" w:hAnsi="Arial" w:cs="Arial"/>
                <w:sz w:val="16"/>
                <w:szCs w:val="16"/>
                <w:vertAlign w:val="subscript"/>
                <w:lang w:eastAsia="en-IN"/>
              </w:rPr>
              <w:t>3</w:t>
            </w:r>
            <w:r w:rsidRPr="00C100F0">
              <w:rPr>
                <w:rFonts w:ascii="Arial" w:hAnsi="Arial" w:cs="Arial"/>
                <w:sz w:val="16"/>
                <w:szCs w:val="16"/>
                <w:lang w:eastAsia="en-IN"/>
              </w:rPr>
              <w:t xml:space="preserve"> 75 ppm</w:t>
            </w:r>
          </w:p>
        </w:tc>
        <w:tc>
          <w:tcPr>
            <w:tcW w:w="1771" w:type="dxa"/>
            <w:vAlign w:val="center"/>
          </w:tcPr>
          <w:p w14:paraId="63D1A8AB"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33.75</w:t>
            </w:r>
          </w:p>
        </w:tc>
        <w:tc>
          <w:tcPr>
            <w:tcW w:w="1021" w:type="dxa"/>
            <w:vAlign w:val="center"/>
          </w:tcPr>
          <w:p w14:paraId="7D40A087"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6.03</w:t>
            </w:r>
          </w:p>
        </w:tc>
        <w:tc>
          <w:tcPr>
            <w:tcW w:w="1945" w:type="dxa"/>
            <w:vAlign w:val="center"/>
          </w:tcPr>
          <w:p w14:paraId="335B5746"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61.00</w:t>
            </w:r>
          </w:p>
        </w:tc>
        <w:tc>
          <w:tcPr>
            <w:tcW w:w="2139" w:type="dxa"/>
            <w:vAlign w:val="center"/>
          </w:tcPr>
          <w:p w14:paraId="522FF890" w14:textId="77777777" w:rsidR="00F8255F" w:rsidRPr="00C100F0" w:rsidRDefault="00F8255F" w:rsidP="001C72ED">
            <w:pPr>
              <w:pStyle w:val="NoSpacing"/>
              <w:jc w:val="center"/>
              <w:rPr>
                <w:rFonts w:ascii="Arial" w:hAnsi="Arial" w:cs="Arial"/>
                <w:sz w:val="16"/>
                <w:szCs w:val="16"/>
              </w:rPr>
            </w:pPr>
            <w:r w:rsidRPr="00C100F0">
              <w:rPr>
                <w:rFonts w:ascii="Arial" w:hAnsi="Arial" w:cs="Arial"/>
                <w:sz w:val="16"/>
                <w:szCs w:val="16"/>
              </w:rPr>
              <w:t>366.13</w:t>
            </w:r>
          </w:p>
        </w:tc>
      </w:tr>
      <w:tr w:rsidR="00F8255F" w:rsidRPr="00C100F0" w14:paraId="3447159C" w14:textId="77777777" w:rsidTr="001C72ED">
        <w:trPr>
          <w:trHeight w:val="236"/>
          <w:jc w:val="center"/>
        </w:trPr>
        <w:tc>
          <w:tcPr>
            <w:tcW w:w="3086" w:type="dxa"/>
            <w:shd w:val="clear" w:color="auto" w:fill="auto"/>
            <w:noWrap/>
            <w:vAlign w:val="center"/>
          </w:tcPr>
          <w:p w14:paraId="0CEC74DE"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rPr>
              <w:t>S. Em. ±</w:t>
            </w:r>
          </w:p>
        </w:tc>
        <w:tc>
          <w:tcPr>
            <w:tcW w:w="1771" w:type="dxa"/>
            <w:vAlign w:val="center"/>
          </w:tcPr>
          <w:p w14:paraId="664C2FFA"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13D98707"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1B1DDF07"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401CDF5"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0.41</w:t>
            </w:r>
          </w:p>
        </w:tc>
      </w:tr>
      <w:tr w:rsidR="00F8255F" w:rsidRPr="001C72ED" w14:paraId="37B45697" w14:textId="77777777" w:rsidTr="001C72ED">
        <w:trPr>
          <w:trHeight w:val="236"/>
          <w:jc w:val="center"/>
        </w:trPr>
        <w:tc>
          <w:tcPr>
            <w:tcW w:w="3086" w:type="dxa"/>
            <w:shd w:val="clear" w:color="auto" w:fill="auto"/>
            <w:noWrap/>
            <w:vAlign w:val="center"/>
          </w:tcPr>
          <w:p w14:paraId="2614C0D7" w14:textId="77777777" w:rsidR="00F8255F" w:rsidRPr="00C100F0" w:rsidRDefault="00F8255F" w:rsidP="001C72ED">
            <w:pPr>
              <w:pStyle w:val="NoSpacing"/>
              <w:jc w:val="center"/>
              <w:rPr>
                <w:rFonts w:ascii="Arial" w:hAnsi="Arial" w:cs="Arial"/>
                <w:b/>
                <w:sz w:val="16"/>
                <w:szCs w:val="16"/>
                <w:lang w:eastAsia="en-IN"/>
              </w:rPr>
            </w:pPr>
            <w:r w:rsidRPr="00C100F0">
              <w:rPr>
                <w:rFonts w:ascii="Arial" w:hAnsi="Arial" w:cs="Arial"/>
                <w:b/>
                <w:sz w:val="16"/>
                <w:szCs w:val="16"/>
              </w:rPr>
              <w:t>CD at 0.05%</w:t>
            </w:r>
          </w:p>
        </w:tc>
        <w:tc>
          <w:tcPr>
            <w:tcW w:w="1771" w:type="dxa"/>
            <w:vAlign w:val="center"/>
          </w:tcPr>
          <w:p w14:paraId="0536B04E"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1E165CA8"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5AED54F9" w14:textId="77777777" w:rsidR="00F8255F" w:rsidRPr="00C100F0" w:rsidRDefault="00F8255F" w:rsidP="001C72ED">
            <w:pPr>
              <w:pStyle w:val="NoSpacing"/>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5DE1BA48" w14:textId="77777777" w:rsidR="00F8255F" w:rsidRPr="001C72ED" w:rsidRDefault="00F8255F" w:rsidP="001C72ED">
            <w:pPr>
              <w:pStyle w:val="NoSpacing"/>
              <w:jc w:val="center"/>
              <w:rPr>
                <w:rFonts w:ascii="Arial" w:hAnsi="Arial" w:cs="Arial"/>
                <w:b/>
                <w:sz w:val="16"/>
                <w:szCs w:val="16"/>
              </w:rPr>
            </w:pPr>
            <w:r w:rsidRPr="00C100F0">
              <w:rPr>
                <w:rFonts w:ascii="Arial" w:hAnsi="Arial" w:cs="Arial"/>
                <w:b/>
                <w:sz w:val="16"/>
                <w:szCs w:val="16"/>
              </w:rPr>
              <w:t>1.19</w:t>
            </w:r>
          </w:p>
        </w:tc>
      </w:tr>
    </w:tbl>
    <w:p w14:paraId="5B45B8F2" w14:textId="77777777" w:rsidR="001E31D7" w:rsidRPr="00A63F71" w:rsidRDefault="001E31D7" w:rsidP="001C72ED">
      <w:pPr>
        <w:spacing w:before="80" w:line="360" w:lineRule="auto"/>
        <w:jc w:val="both"/>
        <w:rPr>
          <w:b/>
          <w:color w:val="000000" w:themeColor="text1"/>
          <w:sz w:val="24"/>
          <w:szCs w:val="24"/>
        </w:rPr>
      </w:pPr>
    </w:p>
    <w:sectPr w:rsidR="001E31D7" w:rsidRPr="00A63F71" w:rsidSect="001C72ED">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A19D" w14:textId="77777777" w:rsidR="00914BCB" w:rsidRDefault="00914BCB" w:rsidP="00B55ED3">
      <w:r>
        <w:separator/>
      </w:r>
    </w:p>
  </w:endnote>
  <w:endnote w:type="continuationSeparator" w:id="0">
    <w:p w14:paraId="2D0AF8C7" w14:textId="77777777" w:rsidR="00914BCB" w:rsidRDefault="00914BCB"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F0D" w14:textId="77777777" w:rsidR="00E30B43" w:rsidRDefault="00E30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46CC" w14:textId="77777777" w:rsidR="00E30B43" w:rsidRDefault="00E30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21D1" w14:textId="77777777" w:rsidR="00914BCB" w:rsidRDefault="00914BCB" w:rsidP="00B55ED3">
      <w:r>
        <w:separator/>
      </w:r>
    </w:p>
  </w:footnote>
  <w:footnote w:type="continuationSeparator" w:id="0">
    <w:p w14:paraId="655C05BC" w14:textId="77777777" w:rsidR="00914BCB" w:rsidRDefault="00914BCB"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0B88" w14:textId="647582EB" w:rsidR="00E30B43" w:rsidRDefault="00000000">
    <w:pPr>
      <w:pStyle w:val="Header"/>
    </w:pPr>
    <w:r>
      <w:rPr>
        <w:noProof/>
      </w:rPr>
      <w:pict w14:anchorId="08A9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6"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C258" w14:textId="086A4126" w:rsidR="00E30B43" w:rsidRDefault="00000000">
    <w:pPr>
      <w:pStyle w:val="Header"/>
    </w:pPr>
    <w:r>
      <w:rPr>
        <w:noProof/>
      </w:rPr>
      <w:pict w14:anchorId="25BE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7"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A072" w14:textId="2E1F7541" w:rsidR="00E30B43" w:rsidRDefault="00000000">
    <w:pPr>
      <w:pStyle w:val="Header"/>
    </w:pPr>
    <w:r>
      <w:rPr>
        <w:noProof/>
      </w:rPr>
      <w:pict w14:anchorId="40162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5"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17296C"/>
    <w:multiLevelType w:val="multilevel"/>
    <w:tmpl w:val="84B49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4F49"/>
    <w:multiLevelType w:val="multilevel"/>
    <w:tmpl w:val="D33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7B6690"/>
    <w:multiLevelType w:val="multilevel"/>
    <w:tmpl w:val="C34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B245F"/>
    <w:multiLevelType w:val="multilevel"/>
    <w:tmpl w:val="156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C3E89"/>
    <w:multiLevelType w:val="hybridMultilevel"/>
    <w:tmpl w:val="4D006C14"/>
    <w:lvl w:ilvl="0" w:tplc="9BB622D0">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8397820">
    <w:abstractNumId w:val="4"/>
  </w:num>
  <w:num w:numId="2" w16cid:durableId="2065054515">
    <w:abstractNumId w:val="0"/>
  </w:num>
  <w:num w:numId="3" w16cid:durableId="675041575">
    <w:abstractNumId w:val="6"/>
  </w:num>
  <w:num w:numId="4" w16cid:durableId="687802949">
    <w:abstractNumId w:val="5"/>
  </w:num>
  <w:num w:numId="5" w16cid:durableId="795178269">
    <w:abstractNumId w:val="3"/>
  </w:num>
  <w:num w:numId="6" w16cid:durableId="979653691">
    <w:abstractNumId w:val="9"/>
  </w:num>
  <w:num w:numId="7" w16cid:durableId="2007053891">
    <w:abstractNumId w:val="1"/>
  </w:num>
  <w:num w:numId="8" w16cid:durableId="1438259581">
    <w:abstractNumId w:val="8"/>
  </w:num>
  <w:num w:numId="9" w16cid:durableId="407121888">
    <w:abstractNumId w:val="2"/>
  </w:num>
  <w:num w:numId="10" w16cid:durableId="1436830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FB"/>
    <w:rsid w:val="00000E28"/>
    <w:rsid w:val="0000140D"/>
    <w:rsid w:val="00011D91"/>
    <w:rsid w:val="00013D4B"/>
    <w:rsid w:val="00014ED1"/>
    <w:rsid w:val="00015F37"/>
    <w:rsid w:val="00020924"/>
    <w:rsid w:val="000253FF"/>
    <w:rsid w:val="00033E4A"/>
    <w:rsid w:val="00037480"/>
    <w:rsid w:val="00043228"/>
    <w:rsid w:val="0004728B"/>
    <w:rsid w:val="00047995"/>
    <w:rsid w:val="00052A28"/>
    <w:rsid w:val="00057C87"/>
    <w:rsid w:val="000740A1"/>
    <w:rsid w:val="00074697"/>
    <w:rsid w:val="00076CEA"/>
    <w:rsid w:val="0009280C"/>
    <w:rsid w:val="000A1A35"/>
    <w:rsid w:val="000A68E5"/>
    <w:rsid w:val="000A723C"/>
    <w:rsid w:val="000B0046"/>
    <w:rsid w:val="000B51AF"/>
    <w:rsid w:val="000B6762"/>
    <w:rsid w:val="000C35FB"/>
    <w:rsid w:val="000E2A01"/>
    <w:rsid w:val="000E6047"/>
    <w:rsid w:val="000F07B0"/>
    <w:rsid w:val="000F3D79"/>
    <w:rsid w:val="000F5319"/>
    <w:rsid w:val="00102B61"/>
    <w:rsid w:val="00104C2C"/>
    <w:rsid w:val="00116158"/>
    <w:rsid w:val="001268E6"/>
    <w:rsid w:val="00136923"/>
    <w:rsid w:val="001444F8"/>
    <w:rsid w:val="001619B2"/>
    <w:rsid w:val="0016208D"/>
    <w:rsid w:val="0016360A"/>
    <w:rsid w:val="00164F8F"/>
    <w:rsid w:val="00166303"/>
    <w:rsid w:val="00167823"/>
    <w:rsid w:val="00175D85"/>
    <w:rsid w:val="00177F16"/>
    <w:rsid w:val="00181C61"/>
    <w:rsid w:val="00182A8B"/>
    <w:rsid w:val="00185DA6"/>
    <w:rsid w:val="00194234"/>
    <w:rsid w:val="00196F19"/>
    <w:rsid w:val="001978BC"/>
    <w:rsid w:val="001A1355"/>
    <w:rsid w:val="001A3B7C"/>
    <w:rsid w:val="001A653F"/>
    <w:rsid w:val="001A7D09"/>
    <w:rsid w:val="001B30D7"/>
    <w:rsid w:val="001B6941"/>
    <w:rsid w:val="001C0508"/>
    <w:rsid w:val="001C454E"/>
    <w:rsid w:val="001C72ED"/>
    <w:rsid w:val="001D34BE"/>
    <w:rsid w:val="001E0FB2"/>
    <w:rsid w:val="001E31D7"/>
    <w:rsid w:val="001E3481"/>
    <w:rsid w:val="001E3B87"/>
    <w:rsid w:val="001E59D5"/>
    <w:rsid w:val="001E76A1"/>
    <w:rsid w:val="001F3A89"/>
    <w:rsid w:val="001F4987"/>
    <w:rsid w:val="001F5D09"/>
    <w:rsid w:val="002068A7"/>
    <w:rsid w:val="00207F31"/>
    <w:rsid w:val="002168F6"/>
    <w:rsid w:val="00217CDB"/>
    <w:rsid w:val="00221149"/>
    <w:rsid w:val="0022162F"/>
    <w:rsid w:val="00226E33"/>
    <w:rsid w:val="00227251"/>
    <w:rsid w:val="00230D36"/>
    <w:rsid w:val="00236368"/>
    <w:rsid w:val="00236DB2"/>
    <w:rsid w:val="0024166E"/>
    <w:rsid w:val="00243116"/>
    <w:rsid w:val="00243516"/>
    <w:rsid w:val="002436F9"/>
    <w:rsid w:val="00245880"/>
    <w:rsid w:val="00246431"/>
    <w:rsid w:val="002478CD"/>
    <w:rsid w:val="00250F1E"/>
    <w:rsid w:val="002572DE"/>
    <w:rsid w:val="002655E5"/>
    <w:rsid w:val="00271ADE"/>
    <w:rsid w:val="00273DBD"/>
    <w:rsid w:val="00275D8C"/>
    <w:rsid w:val="00277369"/>
    <w:rsid w:val="00284007"/>
    <w:rsid w:val="0028547D"/>
    <w:rsid w:val="00285871"/>
    <w:rsid w:val="002866CE"/>
    <w:rsid w:val="00286BA6"/>
    <w:rsid w:val="002A08DC"/>
    <w:rsid w:val="002A603C"/>
    <w:rsid w:val="002B0FF3"/>
    <w:rsid w:val="002B4AB9"/>
    <w:rsid w:val="002B7547"/>
    <w:rsid w:val="002C216C"/>
    <w:rsid w:val="002C550F"/>
    <w:rsid w:val="002C59CD"/>
    <w:rsid w:val="002E1BD6"/>
    <w:rsid w:val="002E23CE"/>
    <w:rsid w:val="002E757A"/>
    <w:rsid w:val="002F6B69"/>
    <w:rsid w:val="0030008B"/>
    <w:rsid w:val="003018B7"/>
    <w:rsid w:val="003062F1"/>
    <w:rsid w:val="003063BA"/>
    <w:rsid w:val="00307486"/>
    <w:rsid w:val="00314C72"/>
    <w:rsid w:val="003158CF"/>
    <w:rsid w:val="0032044C"/>
    <w:rsid w:val="00322693"/>
    <w:rsid w:val="00322B88"/>
    <w:rsid w:val="00322BCA"/>
    <w:rsid w:val="00323A06"/>
    <w:rsid w:val="00327052"/>
    <w:rsid w:val="00330344"/>
    <w:rsid w:val="003321B8"/>
    <w:rsid w:val="00337364"/>
    <w:rsid w:val="00342F71"/>
    <w:rsid w:val="003448B1"/>
    <w:rsid w:val="00344F86"/>
    <w:rsid w:val="003700E3"/>
    <w:rsid w:val="0037313D"/>
    <w:rsid w:val="00374CFB"/>
    <w:rsid w:val="003868BB"/>
    <w:rsid w:val="0039424C"/>
    <w:rsid w:val="003A6066"/>
    <w:rsid w:val="003A65D5"/>
    <w:rsid w:val="003A7CED"/>
    <w:rsid w:val="003B2756"/>
    <w:rsid w:val="003B45FC"/>
    <w:rsid w:val="003C14C3"/>
    <w:rsid w:val="003D03C1"/>
    <w:rsid w:val="003D16BD"/>
    <w:rsid w:val="003E2F88"/>
    <w:rsid w:val="003E72B8"/>
    <w:rsid w:val="004013A7"/>
    <w:rsid w:val="00401BC4"/>
    <w:rsid w:val="00401EC4"/>
    <w:rsid w:val="00403CE6"/>
    <w:rsid w:val="004042BF"/>
    <w:rsid w:val="00404E36"/>
    <w:rsid w:val="00405395"/>
    <w:rsid w:val="00407A8A"/>
    <w:rsid w:val="00414D6B"/>
    <w:rsid w:val="00417E12"/>
    <w:rsid w:val="004202BE"/>
    <w:rsid w:val="004349F1"/>
    <w:rsid w:val="0043637F"/>
    <w:rsid w:val="004365C6"/>
    <w:rsid w:val="004543C3"/>
    <w:rsid w:val="0047244D"/>
    <w:rsid w:val="0048036B"/>
    <w:rsid w:val="004861FC"/>
    <w:rsid w:val="00497A27"/>
    <w:rsid w:val="004A40BF"/>
    <w:rsid w:val="004B1443"/>
    <w:rsid w:val="004B4DCB"/>
    <w:rsid w:val="004B573E"/>
    <w:rsid w:val="004B5F38"/>
    <w:rsid w:val="004C1869"/>
    <w:rsid w:val="004C6BA1"/>
    <w:rsid w:val="004E74DE"/>
    <w:rsid w:val="004F0CB0"/>
    <w:rsid w:val="004F3B94"/>
    <w:rsid w:val="004F61B0"/>
    <w:rsid w:val="00503F03"/>
    <w:rsid w:val="00504A1B"/>
    <w:rsid w:val="00505E03"/>
    <w:rsid w:val="005129AA"/>
    <w:rsid w:val="00513F38"/>
    <w:rsid w:val="005245F1"/>
    <w:rsid w:val="0052468D"/>
    <w:rsid w:val="005277F9"/>
    <w:rsid w:val="0054430C"/>
    <w:rsid w:val="0054545A"/>
    <w:rsid w:val="00546EE3"/>
    <w:rsid w:val="00554091"/>
    <w:rsid w:val="00555A4B"/>
    <w:rsid w:val="00560C5C"/>
    <w:rsid w:val="00561D84"/>
    <w:rsid w:val="005814DF"/>
    <w:rsid w:val="00592045"/>
    <w:rsid w:val="005925F3"/>
    <w:rsid w:val="00593A6B"/>
    <w:rsid w:val="0059421C"/>
    <w:rsid w:val="005A29C3"/>
    <w:rsid w:val="005A3386"/>
    <w:rsid w:val="005B0170"/>
    <w:rsid w:val="005B24DC"/>
    <w:rsid w:val="005B393F"/>
    <w:rsid w:val="005B3DAB"/>
    <w:rsid w:val="005B5DB8"/>
    <w:rsid w:val="005B7BFC"/>
    <w:rsid w:val="005C3024"/>
    <w:rsid w:val="005C3BD1"/>
    <w:rsid w:val="005D2D15"/>
    <w:rsid w:val="005E06C8"/>
    <w:rsid w:val="005E101D"/>
    <w:rsid w:val="005F7A13"/>
    <w:rsid w:val="00600384"/>
    <w:rsid w:val="00600E92"/>
    <w:rsid w:val="00605518"/>
    <w:rsid w:val="006226D9"/>
    <w:rsid w:val="0062366A"/>
    <w:rsid w:val="00625430"/>
    <w:rsid w:val="0063785F"/>
    <w:rsid w:val="006478C4"/>
    <w:rsid w:val="00657342"/>
    <w:rsid w:val="006757C9"/>
    <w:rsid w:val="00675C6D"/>
    <w:rsid w:val="006774DE"/>
    <w:rsid w:val="00680B1C"/>
    <w:rsid w:val="006816AE"/>
    <w:rsid w:val="00682A32"/>
    <w:rsid w:val="00687ED0"/>
    <w:rsid w:val="00696BFA"/>
    <w:rsid w:val="00697A3E"/>
    <w:rsid w:val="006A59F0"/>
    <w:rsid w:val="006C06E6"/>
    <w:rsid w:val="006C397E"/>
    <w:rsid w:val="006C7FFB"/>
    <w:rsid w:val="006D7D59"/>
    <w:rsid w:val="006E1F6C"/>
    <w:rsid w:val="006E2DAA"/>
    <w:rsid w:val="006F4D97"/>
    <w:rsid w:val="006F67FA"/>
    <w:rsid w:val="007015CC"/>
    <w:rsid w:val="007065A7"/>
    <w:rsid w:val="00712440"/>
    <w:rsid w:val="00715CFB"/>
    <w:rsid w:val="0072239F"/>
    <w:rsid w:val="007228E5"/>
    <w:rsid w:val="007270D2"/>
    <w:rsid w:val="00732D40"/>
    <w:rsid w:val="00732EBD"/>
    <w:rsid w:val="0075154E"/>
    <w:rsid w:val="007532FB"/>
    <w:rsid w:val="007636B0"/>
    <w:rsid w:val="0077064F"/>
    <w:rsid w:val="0077203C"/>
    <w:rsid w:val="00773B34"/>
    <w:rsid w:val="00782B5F"/>
    <w:rsid w:val="007A24C9"/>
    <w:rsid w:val="007A54F6"/>
    <w:rsid w:val="007A63F6"/>
    <w:rsid w:val="007A6A32"/>
    <w:rsid w:val="007B353E"/>
    <w:rsid w:val="007C33DE"/>
    <w:rsid w:val="007C5371"/>
    <w:rsid w:val="007D3E90"/>
    <w:rsid w:val="007E015B"/>
    <w:rsid w:val="007E516A"/>
    <w:rsid w:val="007E534A"/>
    <w:rsid w:val="007E6E58"/>
    <w:rsid w:val="007F0C20"/>
    <w:rsid w:val="007F4ACD"/>
    <w:rsid w:val="00802C20"/>
    <w:rsid w:val="00811580"/>
    <w:rsid w:val="00811A02"/>
    <w:rsid w:val="00812945"/>
    <w:rsid w:val="00822A98"/>
    <w:rsid w:val="00835169"/>
    <w:rsid w:val="00835CA4"/>
    <w:rsid w:val="00836D72"/>
    <w:rsid w:val="00840B5A"/>
    <w:rsid w:val="00844D9B"/>
    <w:rsid w:val="00846138"/>
    <w:rsid w:val="0085478F"/>
    <w:rsid w:val="008616EA"/>
    <w:rsid w:val="00862D55"/>
    <w:rsid w:val="00872A79"/>
    <w:rsid w:val="008755A7"/>
    <w:rsid w:val="00877AC2"/>
    <w:rsid w:val="008977B1"/>
    <w:rsid w:val="008A20F5"/>
    <w:rsid w:val="008A2F2B"/>
    <w:rsid w:val="008B1B88"/>
    <w:rsid w:val="008C4DF1"/>
    <w:rsid w:val="008C63C3"/>
    <w:rsid w:val="008D0538"/>
    <w:rsid w:val="008D3854"/>
    <w:rsid w:val="008D3B10"/>
    <w:rsid w:val="008E1882"/>
    <w:rsid w:val="008E1E68"/>
    <w:rsid w:val="008E2EF8"/>
    <w:rsid w:val="008E7FC4"/>
    <w:rsid w:val="008F1B42"/>
    <w:rsid w:val="008F267B"/>
    <w:rsid w:val="008F7DE1"/>
    <w:rsid w:val="00901323"/>
    <w:rsid w:val="00906ADD"/>
    <w:rsid w:val="00906B55"/>
    <w:rsid w:val="00914BCB"/>
    <w:rsid w:val="0092096F"/>
    <w:rsid w:val="0092470F"/>
    <w:rsid w:val="009262F9"/>
    <w:rsid w:val="009336E4"/>
    <w:rsid w:val="00941F3E"/>
    <w:rsid w:val="009439CE"/>
    <w:rsid w:val="009509B5"/>
    <w:rsid w:val="0095230D"/>
    <w:rsid w:val="0095399E"/>
    <w:rsid w:val="00964019"/>
    <w:rsid w:val="00965565"/>
    <w:rsid w:val="009708CA"/>
    <w:rsid w:val="00971EBC"/>
    <w:rsid w:val="00975744"/>
    <w:rsid w:val="009765C4"/>
    <w:rsid w:val="00976FB5"/>
    <w:rsid w:val="0097723C"/>
    <w:rsid w:val="0098727B"/>
    <w:rsid w:val="0099363F"/>
    <w:rsid w:val="009963AD"/>
    <w:rsid w:val="009A7090"/>
    <w:rsid w:val="009B1EAE"/>
    <w:rsid w:val="009B5235"/>
    <w:rsid w:val="009B6C6F"/>
    <w:rsid w:val="009B712A"/>
    <w:rsid w:val="009C0C31"/>
    <w:rsid w:val="009C2163"/>
    <w:rsid w:val="009C2640"/>
    <w:rsid w:val="009D0B6C"/>
    <w:rsid w:val="009D7B37"/>
    <w:rsid w:val="009E3C3C"/>
    <w:rsid w:val="009E6F29"/>
    <w:rsid w:val="00A30615"/>
    <w:rsid w:val="00A31D5C"/>
    <w:rsid w:val="00A32088"/>
    <w:rsid w:val="00A339B8"/>
    <w:rsid w:val="00A52439"/>
    <w:rsid w:val="00A52CE0"/>
    <w:rsid w:val="00A53A56"/>
    <w:rsid w:val="00A55DED"/>
    <w:rsid w:val="00A63F71"/>
    <w:rsid w:val="00A861D3"/>
    <w:rsid w:val="00A8637A"/>
    <w:rsid w:val="00A97656"/>
    <w:rsid w:val="00A97EFC"/>
    <w:rsid w:val="00AB288D"/>
    <w:rsid w:val="00AB3155"/>
    <w:rsid w:val="00AB3799"/>
    <w:rsid w:val="00AC542B"/>
    <w:rsid w:val="00AD12BE"/>
    <w:rsid w:val="00AE639F"/>
    <w:rsid w:val="00AF569A"/>
    <w:rsid w:val="00AF6151"/>
    <w:rsid w:val="00AF6279"/>
    <w:rsid w:val="00AF7016"/>
    <w:rsid w:val="00B02CED"/>
    <w:rsid w:val="00B04580"/>
    <w:rsid w:val="00B15558"/>
    <w:rsid w:val="00B17FAC"/>
    <w:rsid w:val="00B2646E"/>
    <w:rsid w:val="00B31032"/>
    <w:rsid w:val="00B41578"/>
    <w:rsid w:val="00B41C30"/>
    <w:rsid w:val="00B426D8"/>
    <w:rsid w:val="00B52DB8"/>
    <w:rsid w:val="00B55A1F"/>
    <w:rsid w:val="00B55ED3"/>
    <w:rsid w:val="00B574CE"/>
    <w:rsid w:val="00B57B0D"/>
    <w:rsid w:val="00B62BEB"/>
    <w:rsid w:val="00B665A4"/>
    <w:rsid w:val="00B742BC"/>
    <w:rsid w:val="00B80843"/>
    <w:rsid w:val="00B82AAF"/>
    <w:rsid w:val="00B87602"/>
    <w:rsid w:val="00B96140"/>
    <w:rsid w:val="00B978FE"/>
    <w:rsid w:val="00BA2DC1"/>
    <w:rsid w:val="00BB0D37"/>
    <w:rsid w:val="00BB1224"/>
    <w:rsid w:val="00BB13FC"/>
    <w:rsid w:val="00BC7CF1"/>
    <w:rsid w:val="00BD7997"/>
    <w:rsid w:val="00BE7F64"/>
    <w:rsid w:val="00BF0F3F"/>
    <w:rsid w:val="00BF0F83"/>
    <w:rsid w:val="00BF1F36"/>
    <w:rsid w:val="00BF2598"/>
    <w:rsid w:val="00C02933"/>
    <w:rsid w:val="00C03AA2"/>
    <w:rsid w:val="00C05B82"/>
    <w:rsid w:val="00C05FE2"/>
    <w:rsid w:val="00C06CE0"/>
    <w:rsid w:val="00C07D4E"/>
    <w:rsid w:val="00C100F0"/>
    <w:rsid w:val="00C14805"/>
    <w:rsid w:val="00C206B2"/>
    <w:rsid w:val="00C22431"/>
    <w:rsid w:val="00C26229"/>
    <w:rsid w:val="00C33298"/>
    <w:rsid w:val="00C376B2"/>
    <w:rsid w:val="00C44C21"/>
    <w:rsid w:val="00C468F0"/>
    <w:rsid w:val="00C471C5"/>
    <w:rsid w:val="00C54993"/>
    <w:rsid w:val="00C57142"/>
    <w:rsid w:val="00C6002E"/>
    <w:rsid w:val="00C64553"/>
    <w:rsid w:val="00C6569C"/>
    <w:rsid w:val="00C71D7D"/>
    <w:rsid w:val="00C75412"/>
    <w:rsid w:val="00C776F7"/>
    <w:rsid w:val="00C8228D"/>
    <w:rsid w:val="00C84C47"/>
    <w:rsid w:val="00C8632E"/>
    <w:rsid w:val="00C901F9"/>
    <w:rsid w:val="00C96D34"/>
    <w:rsid w:val="00CA2D42"/>
    <w:rsid w:val="00CA7BC7"/>
    <w:rsid w:val="00CA7F7C"/>
    <w:rsid w:val="00CB05DD"/>
    <w:rsid w:val="00CC0DF7"/>
    <w:rsid w:val="00CC5B1C"/>
    <w:rsid w:val="00CD2DF0"/>
    <w:rsid w:val="00CD305D"/>
    <w:rsid w:val="00CD5FC6"/>
    <w:rsid w:val="00CE2591"/>
    <w:rsid w:val="00CE4047"/>
    <w:rsid w:val="00CE7A63"/>
    <w:rsid w:val="00CF021F"/>
    <w:rsid w:val="00D0097A"/>
    <w:rsid w:val="00D035C6"/>
    <w:rsid w:val="00D05D1E"/>
    <w:rsid w:val="00D06C96"/>
    <w:rsid w:val="00D21F4B"/>
    <w:rsid w:val="00D22505"/>
    <w:rsid w:val="00D243CC"/>
    <w:rsid w:val="00D24B32"/>
    <w:rsid w:val="00D25AEC"/>
    <w:rsid w:val="00D300B3"/>
    <w:rsid w:val="00D5216E"/>
    <w:rsid w:val="00D54C1F"/>
    <w:rsid w:val="00D5547A"/>
    <w:rsid w:val="00D569A0"/>
    <w:rsid w:val="00D700D6"/>
    <w:rsid w:val="00D77A79"/>
    <w:rsid w:val="00D8046D"/>
    <w:rsid w:val="00D80951"/>
    <w:rsid w:val="00D841D6"/>
    <w:rsid w:val="00D868FE"/>
    <w:rsid w:val="00D91BA8"/>
    <w:rsid w:val="00D96239"/>
    <w:rsid w:val="00DA3ADE"/>
    <w:rsid w:val="00DA7301"/>
    <w:rsid w:val="00DB08D1"/>
    <w:rsid w:val="00DC09AF"/>
    <w:rsid w:val="00DC2DBE"/>
    <w:rsid w:val="00DC4347"/>
    <w:rsid w:val="00DD0107"/>
    <w:rsid w:val="00DD5F5A"/>
    <w:rsid w:val="00DD7708"/>
    <w:rsid w:val="00DE076F"/>
    <w:rsid w:val="00DE0B5C"/>
    <w:rsid w:val="00E00513"/>
    <w:rsid w:val="00E0253A"/>
    <w:rsid w:val="00E04BB3"/>
    <w:rsid w:val="00E23EE6"/>
    <w:rsid w:val="00E25A96"/>
    <w:rsid w:val="00E30B43"/>
    <w:rsid w:val="00E40AD3"/>
    <w:rsid w:val="00E42F88"/>
    <w:rsid w:val="00E44558"/>
    <w:rsid w:val="00E448EA"/>
    <w:rsid w:val="00E4552D"/>
    <w:rsid w:val="00E47F15"/>
    <w:rsid w:val="00E55462"/>
    <w:rsid w:val="00E64B47"/>
    <w:rsid w:val="00E70EF1"/>
    <w:rsid w:val="00E745D8"/>
    <w:rsid w:val="00E87E59"/>
    <w:rsid w:val="00E9675A"/>
    <w:rsid w:val="00EA64AF"/>
    <w:rsid w:val="00EB5222"/>
    <w:rsid w:val="00EC3BFD"/>
    <w:rsid w:val="00EC513B"/>
    <w:rsid w:val="00EC51C4"/>
    <w:rsid w:val="00EE2D06"/>
    <w:rsid w:val="00EF258B"/>
    <w:rsid w:val="00EF2AAC"/>
    <w:rsid w:val="00EF57E8"/>
    <w:rsid w:val="00EF5A97"/>
    <w:rsid w:val="00F071D2"/>
    <w:rsid w:val="00F12260"/>
    <w:rsid w:val="00F15E9D"/>
    <w:rsid w:val="00F206C4"/>
    <w:rsid w:val="00F215BE"/>
    <w:rsid w:val="00F41598"/>
    <w:rsid w:val="00F43F28"/>
    <w:rsid w:val="00F55BD8"/>
    <w:rsid w:val="00F66407"/>
    <w:rsid w:val="00F67E92"/>
    <w:rsid w:val="00F71F6D"/>
    <w:rsid w:val="00F75315"/>
    <w:rsid w:val="00F80BD4"/>
    <w:rsid w:val="00F80D87"/>
    <w:rsid w:val="00F8255F"/>
    <w:rsid w:val="00F833FD"/>
    <w:rsid w:val="00F85FB1"/>
    <w:rsid w:val="00F90200"/>
    <w:rsid w:val="00F94292"/>
    <w:rsid w:val="00F9524D"/>
    <w:rsid w:val="00FA0901"/>
    <w:rsid w:val="00FA0957"/>
    <w:rsid w:val="00FA1F73"/>
    <w:rsid w:val="00FA2CC7"/>
    <w:rsid w:val="00FA703A"/>
    <w:rsid w:val="00FA7B44"/>
    <w:rsid w:val="00FB45B8"/>
    <w:rsid w:val="00FC04F9"/>
    <w:rsid w:val="00FC093E"/>
    <w:rsid w:val="00FC296F"/>
    <w:rsid w:val="00FC649B"/>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2">
    <w:name w:val="heading 2"/>
    <w:basedOn w:val="Normal"/>
    <w:next w:val="Normal"/>
    <w:link w:val="Heading2Char"/>
    <w:uiPriority w:val="9"/>
    <w:semiHidden/>
    <w:unhideWhenUsed/>
    <w:qFormat/>
    <w:rsid w:val="00593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3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3A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customStyle="1" w:styleId="UnresolvedMention1">
    <w:name w:val="Unresolved Mention1"/>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F94292"/>
    <w:rPr>
      <w:b/>
      <w:bCs/>
    </w:rPr>
  </w:style>
  <w:style w:type="character" w:styleId="UnresolvedMention">
    <w:name w:val="Unresolved Mention"/>
    <w:basedOn w:val="DefaultParagraphFont"/>
    <w:uiPriority w:val="99"/>
    <w:semiHidden/>
    <w:unhideWhenUsed/>
    <w:rsid w:val="00D06C96"/>
    <w:rPr>
      <w:color w:val="605E5C"/>
      <w:shd w:val="clear" w:color="auto" w:fill="E1DFDD"/>
    </w:rPr>
  </w:style>
  <w:style w:type="character" w:customStyle="1" w:styleId="Heading2Char">
    <w:name w:val="Heading 2 Char"/>
    <w:basedOn w:val="DefaultParagraphFont"/>
    <w:link w:val="Heading2"/>
    <w:uiPriority w:val="9"/>
    <w:semiHidden/>
    <w:rsid w:val="00593A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3A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3A6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8272">
      <w:bodyDiv w:val="1"/>
      <w:marLeft w:val="0"/>
      <w:marRight w:val="0"/>
      <w:marTop w:val="0"/>
      <w:marBottom w:val="0"/>
      <w:divBdr>
        <w:top w:val="none" w:sz="0" w:space="0" w:color="auto"/>
        <w:left w:val="none" w:sz="0" w:space="0" w:color="auto"/>
        <w:bottom w:val="none" w:sz="0" w:space="0" w:color="auto"/>
        <w:right w:val="none" w:sz="0" w:space="0" w:color="auto"/>
      </w:divBdr>
    </w:div>
    <w:div w:id="541330469">
      <w:bodyDiv w:val="1"/>
      <w:marLeft w:val="0"/>
      <w:marRight w:val="0"/>
      <w:marTop w:val="0"/>
      <w:marBottom w:val="0"/>
      <w:divBdr>
        <w:top w:val="none" w:sz="0" w:space="0" w:color="auto"/>
        <w:left w:val="none" w:sz="0" w:space="0" w:color="auto"/>
        <w:bottom w:val="none" w:sz="0" w:space="0" w:color="auto"/>
        <w:right w:val="none" w:sz="0" w:space="0" w:color="auto"/>
      </w:divBdr>
    </w:div>
    <w:div w:id="887379604">
      <w:bodyDiv w:val="1"/>
      <w:marLeft w:val="0"/>
      <w:marRight w:val="0"/>
      <w:marTop w:val="0"/>
      <w:marBottom w:val="0"/>
      <w:divBdr>
        <w:top w:val="none" w:sz="0" w:space="0" w:color="auto"/>
        <w:left w:val="none" w:sz="0" w:space="0" w:color="auto"/>
        <w:bottom w:val="none" w:sz="0" w:space="0" w:color="auto"/>
        <w:right w:val="none" w:sz="0" w:space="0" w:color="auto"/>
      </w:divBdr>
    </w:div>
    <w:div w:id="915478253">
      <w:bodyDiv w:val="1"/>
      <w:marLeft w:val="0"/>
      <w:marRight w:val="0"/>
      <w:marTop w:val="0"/>
      <w:marBottom w:val="0"/>
      <w:divBdr>
        <w:top w:val="none" w:sz="0" w:space="0" w:color="auto"/>
        <w:left w:val="none" w:sz="0" w:space="0" w:color="auto"/>
        <w:bottom w:val="none" w:sz="0" w:space="0" w:color="auto"/>
        <w:right w:val="none" w:sz="0" w:space="0" w:color="auto"/>
      </w:divBdr>
    </w:div>
    <w:div w:id="1549032600">
      <w:bodyDiv w:val="1"/>
      <w:marLeft w:val="0"/>
      <w:marRight w:val="0"/>
      <w:marTop w:val="0"/>
      <w:marBottom w:val="0"/>
      <w:divBdr>
        <w:top w:val="none" w:sz="0" w:space="0" w:color="auto"/>
        <w:left w:val="none" w:sz="0" w:space="0" w:color="auto"/>
        <w:bottom w:val="none" w:sz="0" w:space="0" w:color="auto"/>
        <w:right w:val="none" w:sz="0" w:space="0" w:color="auto"/>
      </w:divBdr>
    </w:div>
    <w:div w:id="1566642010">
      <w:bodyDiv w:val="1"/>
      <w:marLeft w:val="0"/>
      <w:marRight w:val="0"/>
      <w:marTop w:val="0"/>
      <w:marBottom w:val="0"/>
      <w:divBdr>
        <w:top w:val="none" w:sz="0" w:space="0" w:color="auto"/>
        <w:left w:val="none" w:sz="0" w:space="0" w:color="auto"/>
        <w:bottom w:val="none" w:sz="0" w:space="0" w:color="auto"/>
        <w:right w:val="none" w:sz="0" w:space="0" w:color="auto"/>
      </w:divBdr>
    </w:div>
    <w:div w:id="1747414653">
      <w:bodyDiv w:val="1"/>
      <w:marLeft w:val="0"/>
      <w:marRight w:val="0"/>
      <w:marTop w:val="0"/>
      <w:marBottom w:val="0"/>
      <w:divBdr>
        <w:top w:val="none" w:sz="0" w:space="0" w:color="auto"/>
        <w:left w:val="none" w:sz="0" w:space="0" w:color="auto"/>
        <w:bottom w:val="none" w:sz="0" w:space="0" w:color="auto"/>
        <w:right w:val="none" w:sz="0" w:space="0" w:color="auto"/>
      </w:divBdr>
    </w:div>
    <w:div w:id="1763912424">
      <w:bodyDiv w:val="1"/>
      <w:marLeft w:val="0"/>
      <w:marRight w:val="0"/>
      <w:marTop w:val="0"/>
      <w:marBottom w:val="0"/>
      <w:divBdr>
        <w:top w:val="none" w:sz="0" w:space="0" w:color="auto"/>
        <w:left w:val="none" w:sz="0" w:space="0" w:color="auto"/>
        <w:bottom w:val="none" w:sz="0" w:space="0" w:color="auto"/>
        <w:right w:val="none" w:sz="0" w:space="0" w:color="auto"/>
      </w:divBdr>
    </w:div>
    <w:div w:id="1781100011">
      <w:bodyDiv w:val="1"/>
      <w:marLeft w:val="0"/>
      <w:marRight w:val="0"/>
      <w:marTop w:val="0"/>
      <w:marBottom w:val="0"/>
      <w:divBdr>
        <w:top w:val="none" w:sz="0" w:space="0" w:color="auto"/>
        <w:left w:val="none" w:sz="0" w:space="0" w:color="auto"/>
        <w:bottom w:val="none" w:sz="0" w:space="0" w:color="auto"/>
        <w:right w:val="none" w:sz="0" w:space="0" w:color="auto"/>
      </w:divBdr>
    </w:div>
    <w:div w:id="2030833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Satish Aher</cp:lastModifiedBy>
  <cp:revision>24</cp:revision>
  <cp:lastPrinted>2025-06-11T09:01:00Z</cp:lastPrinted>
  <dcterms:created xsi:type="dcterms:W3CDTF">2025-07-09T02:44:00Z</dcterms:created>
  <dcterms:modified xsi:type="dcterms:W3CDTF">2025-07-14T12:11:00Z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