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AFB6" w14:textId="77777777" w:rsidR="00FE2F14" w:rsidRPr="00FE2F14" w:rsidRDefault="00FE2F14" w:rsidP="00FE2F14">
      <w:pPr>
        <w:spacing w:line="360" w:lineRule="auto"/>
        <w:jc w:val="center"/>
        <w:rPr>
          <w:rFonts w:ascii="Times New Roman" w:eastAsia="Times New Roman" w:hAnsi="Times New Roman" w:cs="Times New Roman"/>
          <w:b/>
          <w:bCs/>
          <w:i/>
          <w:iCs/>
          <w:kern w:val="0"/>
          <w:u w:val="single"/>
          <w14:ligatures w14:val="none"/>
        </w:rPr>
      </w:pPr>
      <w:r w:rsidRPr="00FE2F14">
        <w:rPr>
          <w:rFonts w:ascii="Times New Roman" w:eastAsia="Times New Roman" w:hAnsi="Times New Roman" w:cs="Times New Roman"/>
          <w:b/>
          <w:bCs/>
          <w:i/>
          <w:iCs/>
          <w:kern w:val="0"/>
          <w:u w:val="single"/>
          <w14:ligatures w14:val="none"/>
        </w:rPr>
        <w:t>Review Article</w:t>
      </w:r>
    </w:p>
    <w:p w14:paraId="0226D592" w14:textId="77777777" w:rsidR="00FE2F14" w:rsidRDefault="00FE2F14" w:rsidP="000F0A15">
      <w:pPr>
        <w:spacing w:line="360" w:lineRule="auto"/>
        <w:jc w:val="center"/>
        <w:rPr>
          <w:rFonts w:ascii="Times New Roman" w:eastAsia="Times New Roman" w:hAnsi="Times New Roman" w:cs="Times New Roman"/>
          <w:b/>
          <w:bCs/>
          <w:kern w:val="0"/>
          <w14:ligatures w14:val="none"/>
        </w:rPr>
      </w:pPr>
    </w:p>
    <w:p w14:paraId="63AD77DC" w14:textId="7AB80F10" w:rsidR="00FC7427" w:rsidRDefault="00FC7427" w:rsidP="000F0A15">
      <w:pPr>
        <w:spacing w:line="360" w:lineRule="auto"/>
        <w:jc w:val="center"/>
        <w:rPr>
          <w:rFonts w:ascii="Times New Roman" w:eastAsia="Times New Roman" w:hAnsi="Times New Roman" w:cs="Times New Roman"/>
          <w:b/>
          <w:bCs/>
          <w:kern w:val="0"/>
          <w14:ligatures w14:val="none"/>
        </w:rPr>
      </w:pPr>
      <w:commentRangeStart w:id="0"/>
      <w:r w:rsidRPr="000F0A15">
        <w:rPr>
          <w:rFonts w:ascii="Times New Roman" w:eastAsia="Times New Roman" w:hAnsi="Times New Roman" w:cs="Times New Roman"/>
          <w:b/>
          <w:bCs/>
          <w:kern w:val="0"/>
          <w14:ligatures w14:val="none"/>
        </w:rPr>
        <w:t>Navigating General Exceptions in Digital Trade: A Legal Case Analysis of China’s Data Sovereignty Strategy under the CPTPP and DEPA Frameworks</w:t>
      </w:r>
      <w:commentRangeEnd w:id="0"/>
      <w:r w:rsidR="000D4497">
        <w:rPr>
          <w:rStyle w:val="CommentReference"/>
        </w:rPr>
        <w:commentReference w:id="0"/>
      </w:r>
    </w:p>
    <w:p w14:paraId="2AFB74D5" w14:textId="77777777" w:rsidR="0092057E" w:rsidRPr="000F0A15" w:rsidRDefault="0092057E" w:rsidP="000F0A15">
      <w:pPr>
        <w:spacing w:line="360" w:lineRule="auto"/>
        <w:jc w:val="center"/>
        <w:rPr>
          <w:rFonts w:ascii="Times New Roman" w:hAnsi="Times New Roman" w:cs="Times New Roman"/>
          <w:b/>
          <w:bCs/>
          <w:kern w:val="0"/>
          <w:lang w:eastAsia="zh-CN"/>
          <w14:ligatures w14:val="none"/>
        </w:rPr>
      </w:pPr>
    </w:p>
    <w:p w14:paraId="4C064017" w14:textId="77777777" w:rsidR="0092057E" w:rsidRPr="000F0A15" w:rsidRDefault="0092057E" w:rsidP="000F0A15">
      <w:pPr>
        <w:spacing w:line="360" w:lineRule="auto"/>
        <w:jc w:val="center"/>
        <w:rPr>
          <w:rFonts w:ascii="Times New Roman" w:hAnsi="Times New Roman" w:cs="Times New Roman"/>
          <w:kern w:val="0"/>
          <w:lang w:eastAsia="zh-CN"/>
          <w14:ligatures w14:val="none"/>
        </w:rPr>
      </w:pPr>
    </w:p>
    <w:p w14:paraId="1F4E7C40" w14:textId="515E033D" w:rsidR="00FC7427" w:rsidRPr="000F0A15" w:rsidRDefault="00FC7427" w:rsidP="00FC7885">
      <w:pPr>
        <w:spacing w:line="360" w:lineRule="auto"/>
        <w:jc w:val="both"/>
        <w:rPr>
          <w:rFonts w:ascii="Times New Roman" w:eastAsia="Times New Roman" w:hAnsi="Times New Roman" w:cs="Times New Roman"/>
          <w:i/>
          <w:iCs/>
          <w:kern w:val="0"/>
          <w14:ligatures w14:val="none"/>
        </w:rPr>
      </w:pPr>
      <w:r w:rsidRPr="000F0A15">
        <w:rPr>
          <w:rFonts w:ascii="Times New Roman" w:eastAsia="Times New Roman" w:hAnsi="Times New Roman" w:cs="Times New Roman"/>
          <w:b/>
          <w:bCs/>
          <w:kern w:val="0"/>
          <w14:ligatures w14:val="none"/>
        </w:rPr>
        <w:t>Abstract:</w:t>
      </w:r>
      <w:r w:rsidR="00C25B83" w:rsidRPr="000F0A15">
        <w:rPr>
          <w:rFonts w:ascii="Times New Roman" w:eastAsia="Times New Roman" w:hAnsi="Times New Roman" w:cs="Times New Roman"/>
          <w:b/>
          <w:bCs/>
          <w:kern w:val="0"/>
          <w14:ligatures w14:val="none"/>
        </w:rPr>
        <w:t xml:space="preserve"> </w:t>
      </w:r>
      <w:r w:rsidR="00C25B83" w:rsidRPr="000F0A15">
        <w:rPr>
          <w:rFonts w:ascii="Times New Roman" w:eastAsia="Times New Roman" w:hAnsi="Times New Roman" w:cs="Times New Roman"/>
          <w:i/>
          <w:iCs/>
          <w:kern w:val="0"/>
          <w14:ligatures w14:val="none"/>
        </w:rPr>
        <w:t xml:space="preserve">This study employs a qualitative case study analysis approach to </w:t>
      </w:r>
      <w:r w:rsidR="000552AC" w:rsidRPr="000F0A15">
        <w:rPr>
          <w:rFonts w:ascii="Times New Roman" w:eastAsia="Times New Roman" w:hAnsi="Times New Roman" w:cs="Times New Roman"/>
          <w:i/>
          <w:iCs/>
          <w:kern w:val="0"/>
          <w14:ligatures w14:val="none"/>
        </w:rPr>
        <w:t xml:space="preserve">demonstrate how the general exception clauses have been integrated into CPTPP and DEPA frameworks in lieu of digital trade. Simultaneously, it focuses on China’ regulatory model. </w:t>
      </w:r>
      <w:r w:rsidR="004A2CF8" w:rsidRPr="000F0A15">
        <w:rPr>
          <w:rFonts w:ascii="Times New Roman" w:eastAsia="Times New Roman" w:hAnsi="Times New Roman" w:cs="Times New Roman"/>
          <w:i/>
          <w:iCs/>
          <w:kern w:val="0"/>
          <w14:ligatures w14:val="none"/>
        </w:rPr>
        <w:t xml:space="preserve">The study examines the legal flexibility offered by these agreements and evaluates </w:t>
      </w:r>
      <w:r w:rsidR="00EB3091" w:rsidRPr="000F0A15">
        <w:rPr>
          <w:rFonts w:ascii="Times New Roman" w:eastAsia="Times New Roman" w:hAnsi="Times New Roman" w:cs="Times New Roman"/>
          <w:i/>
          <w:iCs/>
          <w:kern w:val="0"/>
          <w14:ligatures w14:val="none"/>
        </w:rPr>
        <w:t>the</w:t>
      </w:r>
      <w:r w:rsidR="004A2CF8" w:rsidRPr="000F0A15">
        <w:rPr>
          <w:rFonts w:ascii="Times New Roman" w:eastAsia="Times New Roman" w:hAnsi="Times New Roman" w:cs="Times New Roman"/>
          <w:i/>
          <w:iCs/>
          <w:kern w:val="0"/>
          <w14:ligatures w14:val="none"/>
        </w:rPr>
        <w:t xml:space="preserve"> compatibility with China’s data governance laws such as PIPL, DSL and Cybersecurity laws</w:t>
      </w:r>
      <w:r w:rsidR="00EB3091" w:rsidRPr="000F0A15">
        <w:rPr>
          <w:rFonts w:ascii="Times New Roman" w:eastAsia="Times New Roman" w:hAnsi="Times New Roman" w:cs="Times New Roman"/>
          <w:i/>
          <w:iCs/>
          <w:kern w:val="0"/>
          <w14:ligatures w14:val="none"/>
        </w:rPr>
        <w:t xml:space="preserve"> with international obligations. The study </w:t>
      </w:r>
      <w:r w:rsidR="00EB3091" w:rsidRPr="003E6A17">
        <w:rPr>
          <w:rFonts w:ascii="Times New Roman" w:eastAsia="Times New Roman" w:hAnsi="Times New Roman" w:cs="Times New Roman"/>
          <w:i/>
          <w:iCs/>
          <w:strike/>
          <w:kern w:val="0"/>
          <w14:ligatures w14:val="none"/>
        </w:rPr>
        <w:t>finds</w:t>
      </w:r>
      <w:r w:rsidR="003E6A17">
        <w:rPr>
          <w:rFonts w:ascii="Times New Roman" w:eastAsia="Times New Roman" w:hAnsi="Times New Roman" w:cs="Times New Roman"/>
          <w:i/>
          <w:iCs/>
          <w:kern w:val="0"/>
          <w14:ligatures w14:val="none"/>
        </w:rPr>
        <w:t xml:space="preserve"> </w:t>
      </w:r>
      <w:r w:rsidR="003E6A17" w:rsidRPr="003E6A17">
        <w:rPr>
          <w:rFonts w:ascii="Times New Roman" w:eastAsia="Times New Roman" w:hAnsi="Times New Roman" w:cs="Times New Roman"/>
          <w:i/>
          <w:iCs/>
          <w:color w:val="FF0000"/>
          <w:kern w:val="0"/>
          <w14:ligatures w14:val="none"/>
        </w:rPr>
        <w:t>highlights</w:t>
      </w:r>
      <w:r w:rsidR="00EB3091" w:rsidRPr="000F0A15">
        <w:rPr>
          <w:rFonts w:ascii="Times New Roman" w:eastAsia="Times New Roman" w:hAnsi="Times New Roman" w:cs="Times New Roman"/>
          <w:i/>
          <w:iCs/>
          <w:kern w:val="0"/>
          <w14:ligatures w14:val="none"/>
        </w:rPr>
        <w:t xml:space="preserve"> that </w:t>
      </w:r>
      <w:r w:rsidR="003648D2" w:rsidRPr="000D4497">
        <w:rPr>
          <w:rFonts w:ascii="Times New Roman" w:eastAsia="Times New Roman" w:hAnsi="Times New Roman" w:cs="Times New Roman"/>
          <w:i/>
          <w:iCs/>
          <w:strike/>
          <w:kern w:val="0"/>
          <w14:ligatures w14:val="none"/>
        </w:rPr>
        <w:t>exception</w:t>
      </w:r>
      <w:r w:rsidR="003648D2" w:rsidRPr="000F0A15">
        <w:rPr>
          <w:rFonts w:ascii="Times New Roman" w:eastAsia="Times New Roman" w:hAnsi="Times New Roman" w:cs="Times New Roman"/>
          <w:i/>
          <w:iCs/>
          <w:kern w:val="0"/>
          <w14:ligatures w14:val="none"/>
        </w:rPr>
        <w:t xml:space="preserve"> </w:t>
      </w:r>
      <w:r w:rsidR="000D4497" w:rsidRPr="000D4497">
        <w:rPr>
          <w:rFonts w:ascii="Times New Roman" w:eastAsia="Times New Roman" w:hAnsi="Times New Roman" w:cs="Times New Roman"/>
          <w:i/>
          <w:iCs/>
          <w:color w:val="FF0000"/>
          <w:kern w:val="0"/>
          <w14:ligatures w14:val="none"/>
        </w:rPr>
        <w:t>exceptions</w:t>
      </w:r>
      <w:r w:rsidR="000D4497">
        <w:rPr>
          <w:rFonts w:ascii="Times New Roman" w:eastAsia="Times New Roman" w:hAnsi="Times New Roman" w:cs="Times New Roman"/>
          <w:i/>
          <w:iCs/>
          <w:kern w:val="0"/>
          <w14:ligatures w14:val="none"/>
        </w:rPr>
        <w:t xml:space="preserve"> </w:t>
      </w:r>
      <w:r w:rsidR="003648D2" w:rsidRPr="000F0A15">
        <w:rPr>
          <w:rFonts w:ascii="Times New Roman" w:eastAsia="Times New Roman" w:hAnsi="Times New Roman" w:cs="Times New Roman"/>
          <w:i/>
          <w:iCs/>
          <w:kern w:val="0"/>
          <w14:ligatures w14:val="none"/>
        </w:rPr>
        <w:t xml:space="preserve">do account for public interest protections, yet China’s broad security justifications posit a serious </w:t>
      </w:r>
      <w:r w:rsidR="00780929" w:rsidRPr="000F0A15">
        <w:rPr>
          <w:rFonts w:ascii="Times New Roman" w:eastAsia="Times New Roman" w:hAnsi="Times New Roman" w:cs="Times New Roman"/>
          <w:i/>
          <w:iCs/>
          <w:kern w:val="0"/>
          <w14:ligatures w14:val="none"/>
        </w:rPr>
        <w:t>challenge</w:t>
      </w:r>
      <w:r w:rsidR="003648D2" w:rsidRPr="000F0A15">
        <w:rPr>
          <w:rFonts w:ascii="Times New Roman" w:eastAsia="Times New Roman" w:hAnsi="Times New Roman" w:cs="Times New Roman"/>
          <w:i/>
          <w:iCs/>
          <w:kern w:val="0"/>
          <w14:ligatures w14:val="none"/>
        </w:rPr>
        <w:t xml:space="preserve">. Thus, strategic engagement and modular compliance is necessary to navigate </w:t>
      </w:r>
      <w:commentRangeStart w:id="1"/>
      <w:r w:rsidR="00780929" w:rsidRPr="000F0A15">
        <w:rPr>
          <w:rFonts w:ascii="Times New Roman" w:eastAsia="Times New Roman" w:hAnsi="Times New Roman" w:cs="Times New Roman"/>
          <w:i/>
          <w:iCs/>
          <w:kern w:val="0"/>
          <w14:ligatures w14:val="none"/>
        </w:rPr>
        <w:t xml:space="preserve">sovereignty and protection. </w:t>
      </w:r>
      <w:commentRangeEnd w:id="1"/>
      <w:r w:rsidR="000D4497">
        <w:rPr>
          <w:rStyle w:val="CommentReference"/>
        </w:rPr>
        <w:commentReference w:id="1"/>
      </w:r>
    </w:p>
    <w:p w14:paraId="55C7889A" w14:textId="5CF86319" w:rsidR="00FC7427" w:rsidRPr="000F0A15" w:rsidRDefault="00FC7427" w:rsidP="00FC7885">
      <w:pPr>
        <w:spacing w:line="360" w:lineRule="auto"/>
        <w:jc w:val="both"/>
        <w:rPr>
          <w:rFonts w:ascii="Times New Roman" w:eastAsia="Times New Roman" w:hAnsi="Times New Roman" w:cs="Times New Roman"/>
          <w:i/>
          <w:iCs/>
          <w:kern w:val="0"/>
          <w14:ligatures w14:val="none"/>
        </w:rPr>
      </w:pPr>
      <w:r w:rsidRPr="000F0A15">
        <w:rPr>
          <w:rFonts w:ascii="Times New Roman" w:eastAsia="Times New Roman" w:hAnsi="Times New Roman" w:cs="Times New Roman"/>
          <w:b/>
          <w:bCs/>
          <w:kern w:val="0"/>
          <w14:ligatures w14:val="none"/>
        </w:rPr>
        <w:t>Key Words:</w:t>
      </w:r>
      <w:r w:rsidR="00780929" w:rsidRPr="000F0A15">
        <w:rPr>
          <w:rFonts w:ascii="Times New Roman" w:eastAsia="Times New Roman" w:hAnsi="Times New Roman" w:cs="Times New Roman"/>
          <w:b/>
          <w:bCs/>
          <w:kern w:val="0"/>
          <w14:ligatures w14:val="none"/>
        </w:rPr>
        <w:t xml:space="preserve"> </w:t>
      </w:r>
      <w:r w:rsidR="00780929" w:rsidRPr="000F0A15">
        <w:rPr>
          <w:rFonts w:ascii="Times New Roman" w:eastAsia="Times New Roman" w:hAnsi="Times New Roman" w:cs="Times New Roman"/>
          <w:i/>
          <w:iCs/>
          <w:kern w:val="0"/>
          <w14:ligatures w14:val="none"/>
        </w:rPr>
        <w:t>China, CPTPP, DEPA, DSL, PIPL, Cybersecurity La</w:t>
      </w:r>
      <w:r w:rsidR="0072169E" w:rsidRPr="000F0A15">
        <w:rPr>
          <w:rFonts w:ascii="Times New Roman" w:eastAsia="Times New Roman" w:hAnsi="Times New Roman" w:cs="Times New Roman"/>
          <w:i/>
          <w:iCs/>
          <w:kern w:val="0"/>
          <w14:ligatures w14:val="none"/>
        </w:rPr>
        <w:t>w</w:t>
      </w:r>
    </w:p>
    <w:p w14:paraId="4FB2BA29" w14:textId="77777777" w:rsidR="00FC7427" w:rsidRPr="000F0A15" w:rsidRDefault="00FC7427" w:rsidP="00FC7885">
      <w:pPr>
        <w:spacing w:line="360" w:lineRule="auto"/>
        <w:jc w:val="both"/>
        <w:rPr>
          <w:rFonts w:ascii="Times New Roman" w:eastAsia="Times New Roman" w:hAnsi="Times New Roman" w:cs="Times New Roman"/>
          <w:b/>
          <w:bCs/>
          <w:kern w:val="0"/>
          <w14:ligatures w14:val="none"/>
        </w:rPr>
      </w:pPr>
    </w:p>
    <w:p w14:paraId="113DD8E4" w14:textId="77777777" w:rsidR="00FC7427" w:rsidRPr="000F0A15" w:rsidRDefault="00FC7427" w:rsidP="00FC7885">
      <w:pPr>
        <w:spacing w:line="360" w:lineRule="auto"/>
        <w:jc w:val="both"/>
        <w:rPr>
          <w:rFonts w:ascii="Times New Roman" w:eastAsia="Times New Roman" w:hAnsi="Times New Roman" w:cs="Times New Roman"/>
          <w:b/>
          <w:bCs/>
          <w:kern w:val="0"/>
          <w14:ligatures w14:val="none"/>
        </w:rPr>
      </w:pPr>
    </w:p>
    <w:p w14:paraId="4CDA0053" w14:textId="77777777" w:rsidR="00FC7427" w:rsidRPr="000F0A15" w:rsidRDefault="00FC7427" w:rsidP="00FC7885">
      <w:pPr>
        <w:spacing w:line="360" w:lineRule="auto"/>
        <w:jc w:val="both"/>
        <w:rPr>
          <w:rFonts w:ascii="Times New Roman" w:eastAsia="Times New Roman" w:hAnsi="Times New Roman" w:cs="Times New Roman"/>
          <w:b/>
          <w:bCs/>
          <w:kern w:val="0"/>
          <w14:ligatures w14:val="none"/>
        </w:rPr>
      </w:pPr>
    </w:p>
    <w:p w14:paraId="670EFB48" w14:textId="77777777" w:rsidR="0072169E" w:rsidRPr="000F0A15" w:rsidRDefault="0072169E" w:rsidP="00FC7885">
      <w:pPr>
        <w:spacing w:line="360" w:lineRule="auto"/>
        <w:jc w:val="both"/>
        <w:rPr>
          <w:rFonts w:ascii="Times New Roman" w:hAnsi="Times New Roman" w:cs="Times New Roman"/>
          <w:b/>
          <w:bCs/>
          <w:kern w:val="0"/>
          <w:lang w:eastAsia="zh-CN"/>
          <w14:ligatures w14:val="none"/>
        </w:rPr>
      </w:pPr>
    </w:p>
    <w:p w14:paraId="648D81C7" w14:textId="77777777" w:rsidR="000F0A15" w:rsidRPr="000F0A15" w:rsidRDefault="000F0A15" w:rsidP="00FC7885">
      <w:pPr>
        <w:spacing w:line="360" w:lineRule="auto"/>
        <w:jc w:val="both"/>
        <w:rPr>
          <w:rFonts w:ascii="Times New Roman" w:hAnsi="Times New Roman" w:cs="Times New Roman"/>
          <w:b/>
          <w:bCs/>
          <w:kern w:val="0"/>
          <w:lang w:eastAsia="zh-CN"/>
          <w14:ligatures w14:val="none"/>
        </w:rPr>
      </w:pPr>
    </w:p>
    <w:p w14:paraId="7B3ABA75" w14:textId="77777777" w:rsidR="000F0A15" w:rsidRPr="000F0A15" w:rsidRDefault="000F0A15" w:rsidP="00FC7885">
      <w:pPr>
        <w:spacing w:line="360" w:lineRule="auto"/>
        <w:jc w:val="both"/>
        <w:rPr>
          <w:rFonts w:ascii="Times New Roman" w:hAnsi="Times New Roman" w:cs="Times New Roman"/>
          <w:b/>
          <w:bCs/>
          <w:kern w:val="0"/>
          <w:lang w:eastAsia="zh-CN"/>
          <w14:ligatures w14:val="none"/>
        </w:rPr>
      </w:pPr>
    </w:p>
    <w:p w14:paraId="5AA78909" w14:textId="5FFCA31B" w:rsidR="00FC7427" w:rsidRPr="000F0A15" w:rsidRDefault="00FC7427" w:rsidP="00630603">
      <w:pPr>
        <w:pStyle w:val="ListParagraph"/>
        <w:numPr>
          <w:ilvl w:val="0"/>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Introduction</w:t>
      </w:r>
    </w:p>
    <w:p w14:paraId="261AF747" w14:textId="1ABD51D7" w:rsidR="00C94AD5" w:rsidRPr="000F0A15" w:rsidRDefault="006D7EFA"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Digital trade encompasses the exchange of commodities enable</w:t>
      </w:r>
      <w:r w:rsidR="00ED0963" w:rsidRPr="000F0A15">
        <w:rPr>
          <w:rFonts w:ascii="Times New Roman" w:eastAsia="Times New Roman" w:hAnsi="Times New Roman" w:cs="Times New Roman"/>
          <w:kern w:val="0"/>
          <w14:ligatures w14:val="none"/>
        </w:rPr>
        <w:t>d</w:t>
      </w:r>
      <w:r w:rsidRPr="000F0A15">
        <w:rPr>
          <w:rFonts w:ascii="Times New Roman" w:eastAsia="Times New Roman" w:hAnsi="Times New Roman" w:cs="Times New Roman"/>
          <w:kern w:val="0"/>
          <w14:ligatures w14:val="none"/>
        </w:rPr>
        <w:t xml:space="preserve"> via electronic means. </w:t>
      </w:r>
      <w:r w:rsidR="00671063" w:rsidRPr="000F0A15">
        <w:rPr>
          <w:rFonts w:ascii="Times New Roman" w:eastAsia="Times New Roman" w:hAnsi="Times New Roman" w:cs="Times New Roman"/>
          <w:kern w:val="0"/>
          <w14:ligatures w14:val="none"/>
        </w:rPr>
        <w:t xml:space="preserve">WTO (2023) states that digital trade provides opportunities to launch new products and </w:t>
      </w:r>
      <w:r w:rsidR="007335A0" w:rsidRPr="000F0A15">
        <w:rPr>
          <w:rFonts w:ascii="Times New Roman" w:eastAsia="Times New Roman" w:hAnsi="Times New Roman" w:cs="Times New Roman"/>
          <w:kern w:val="0"/>
          <w14:ligatures w14:val="none"/>
        </w:rPr>
        <w:t>contributes to increasing inclusivity</w:t>
      </w:r>
      <w:r w:rsidR="00DD076E" w:rsidRPr="000F0A15">
        <w:rPr>
          <w:rFonts w:ascii="Times New Roman" w:eastAsia="Times New Roman" w:hAnsi="Times New Roman" w:cs="Times New Roman"/>
          <w:kern w:val="0"/>
          <w14:ligatures w14:val="none"/>
        </w:rPr>
        <w:t xml:space="preserve"> in the </w:t>
      </w:r>
      <w:commentRangeStart w:id="2"/>
      <w:r w:rsidR="00DD076E" w:rsidRPr="000F0A15">
        <w:rPr>
          <w:rFonts w:ascii="Times New Roman" w:eastAsia="Times New Roman" w:hAnsi="Times New Roman" w:cs="Times New Roman"/>
          <w:kern w:val="0"/>
          <w14:ligatures w14:val="none"/>
        </w:rPr>
        <w:t>global scenario</w:t>
      </w:r>
      <w:commentRangeEnd w:id="2"/>
      <w:r w:rsidR="009B282F">
        <w:rPr>
          <w:rStyle w:val="CommentReference"/>
        </w:rPr>
        <w:commentReference w:id="2"/>
      </w:r>
      <w:r w:rsidR="00DD076E" w:rsidRPr="000F0A15">
        <w:rPr>
          <w:rFonts w:ascii="Times New Roman" w:eastAsia="Times New Roman" w:hAnsi="Times New Roman" w:cs="Times New Roman"/>
          <w:kern w:val="0"/>
          <w14:ligatures w14:val="none"/>
        </w:rPr>
        <w:t xml:space="preserve">. It is thus a cornerstone of modern global economy. </w:t>
      </w:r>
      <w:r w:rsidR="00A04D61" w:rsidRPr="000F0A15">
        <w:rPr>
          <w:rFonts w:ascii="Times New Roman" w:eastAsia="Times New Roman" w:hAnsi="Times New Roman" w:cs="Times New Roman"/>
          <w:kern w:val="0"/>
          <w14:ligatures w14:val="none"/>
        </w:rPr>
        <w:t xml:space="preserve">Additionally, according to the U.S. Congressional Research Service (2025), digital trade can be </w:t>
      </w:r>
      <w:r w:rsidR="00A04D61" w:rsidRPr="000F0A15">
        <w:rPr>
          <w:rFonts w:ascii="Times New Roman" w:eastAsia="Times New Roman" w:hAnsi="Times New Roman" w:cs="Times New Roman"/>
          <w:kern w:val="0"/>
          <w14:ligatures w14:val="none"/>
        </w:rPr>
        <w:lastRenderedPageBreak/>
        <w:t xml:space="preserve">defined as commercial transactions and digitally enabled activities that are conducted via internet or other networked computer system. This includes trade of digital goods and services alongside infrastructure, platforms and data flows that support them. Therefore, such as expensive definition underscores the complexity of governing digital trade in a world that is increasingly interconnected. </w:t>
      </w:r>
      <w:r w:rsidR="00F31F9C" w:rsidRPr="000F0A15">
        <w:rPr>
          <w:rFonts w:ascii="Times New Roman" w:eastAsia="Times New Roman" w:hAnsi="Times New Roman" w:cs="Times New Roman"/>
          <w:kern w:val="0"/>
          <w14:ligatures w14:val="none"/>
        </w:rPr>
        <w:t>In the contemporary</w:t>
      </w:r>
      <w:r w:rsidR="00D829D6" w:rsidRPr="000F0A15">
        <w:rPr>
          <w:rFonts w:ascii="Times New Roman" w:eastAsia="Times New Roman" w:hAnsi="Times New Roman" w:cs="Times New Roman"/>
          <w:kern w:val="0"/>
          <w14:ligatures w14:val="none"/>
        </w:rPr>
        <w:t xml:space="preserve"> world</w:t>
      </w:r>
      <w:r w:rsidR="00F31F9C" w:rsidRPr="000F0A15">
        <w:rPr>
          <w:rFonts w:ascii="Times New Roman" w:eastAsia="Times New Roman" w:hAnsi="Times New Roman" w:cs="Times New Roman"/>
          <w:kern w:val="0"/>
          <w14:ligatures w14:val="none"/>
        </w:rPr>
        <w:t xml:space="preserve">, the growth in digitally delivered services </w:t>
      </w:r>
      <w:r w:rsidR="00D829D6" w:rsidRPr="000F0A15">
        <w:rPr>
          <w:rFonts w:ascii="Times New Roman" w:eastAsia="Times New Roman" w:hAnsi="Times New Roman" w:cs="Times New Roman"/>
          <w:kern w:val="0"/>
          <w14:ligatures w14:val="none"/>
        </w:rPr>
        <w:t>over the last 2 decades has been evident</w:t>
      </w:r>
      <w:r w:rsidR="001B3243" w:rsidRPr="000F0A15">
        <w:rPr>
          <w:rFonts w:ascii="Times New Roman" w:eastAsia="Times New Roman" w:hAnsi="Times New Roman" w:cs="Times New Roman"/>
          <w:kern w:val="0"/>
          <w14:ligatures w14:val="none"/>
        </w:rPr>
        <w:t>. Figure-</w:t>
      </w:r>
      <w:r w:rsidR="004E6AE3" w:rsidRPr="000F0A15">
        <w:rPr>
          <w:rFonts w:ascii="Times New Roman" w:eastAsia="Times New Roman" w:hAnsi="Times New Roman" w:cs="Times New Roman"/>
          <w:kern w:val="0"/>
          <w14:ligatures w14:val="none"/>
        </w:rPr>
        <w:t>1</w:t>
      </w:r>
      <w:r w:rsidR="001B3243" w:rsidRPr="000F0A15">
        <w:rPr>
          <w:rFonts w:ascii="Times New Roman" w:eastAsia="Times New Roman" w:hAnsi="Times New Roman" w:cs="Times New Roman"/>
          <w:kern w:val="0"/>
          <w14:ligatures w14:val="none"/>
        </w:rPr>
        <w:t xml:space="preserve"> shows that </w:t>
      </w:r>
      <w:r w:rsidR="008E1BAB" w:rsidRPr="000F0A15">
        <w:rPr>
          <w:rFonts w:ascii="Times New Roman" w:eastAsia="Times New Roman" w:hAnsi="Times New Roman" w:cs="Times New Roman"/>
          <w:kern w:val="0"/>
          <w14:ligatures w14:val="none"/>
        </w:rPr>
        <w:t>it increased from US$</w:t>
      </w:r>
      <w:r w:rsidR="006D4F8F" w:rsidRPr="000F0A15">
        <w:rPr>
          <w:rFonts w:ascii="Times New Roman" w:eastAsia="Times New Roman" w:hAnsi="Times New Roman" w:cs="Times New Roman"/>
          <w:kern w:val="0"/>
          <w14:ligatures w14:val="none"/>
        </w:rPr>
        <w:t>6.6</w:t>
      </w:r>
      <w:r w:rsidR="008E1BAB" w:rsidRPr="000F0A15">
        <w:rPr>
          <w:rFonts w:ascii="Times New Roman" w:eastAsia="Times New Roman" w:hAnsi="Times New Roman" w:cs="Times New Roman"/>
          <w:kern w:val="0"/>
          <w14:ligatures w14:val="none"/>
        </w:rPr>
        <w:t xml:space="preserve"> trillion in 2005 to </w:t>
      </w:r>
      <w:r w:rsidR="009455F7" w:rsidRPr="000F0A15">
        <w:rPr>
          <w:rFonts w:ascii="Times New Roman" w:eastAsia="Times New Roman" w:hAnsi="Times New Roman" w:cs="Times New Roman"/>
          <w:kern w:val="0"/>
          <w14:ligatures w14:val="none"/>
        </w:rPr>
        <w:t>US$</w:t>
      </w:r>
      <w:r w:rsidR="006D4F8F" w:rsidRPr="000F0A15">
        <w:rPr>
          <w:rFonts w:ascii="Times New Roman" w:eastAsia="Times New Roman" w:hAnsi="Times New Roman" w:cs="Times New Roman"/>
          <w:kern w:val="0"/>
          <w14:ligatures w14:val="none"/>
        </w:rPr>
        <w:t>29.1</w:t>
      </w:r>
      <w:r w:rsidR="009455F7" w:rsidRPr="000F0A15">
        <w:rPr>
          <w:rFonts w:ascii="Times New Roman" w:eastAsia="Times New Roman" w:hAnsi="Times New Roman" w:cs="Times New Roman"/>
          <w:kern w:val="0"/>
          <w14:ligatures w14:val="none"/>
        </w:rPr>
        <w:t xml:space="preserve"> trillion in 2024</w:t>
      </w:r>
      <w:r w:rsidR="00076D48" w:rsidRPr="000F0A15">
        <w:rPr>
          <w:rFonts w:ascii="Times New Roman" w:eastAsia="Times New Roman" w:hAnsi="Times New Roman" w:cs="Times New Roman"/>
          <w:kern w:val="0"/>
          <w14:ligatures w14:val="none"/>
        </w:rPr>
        <w:t xml:space="preserve">, capturing the rising trend </w:t>
      </w:r>
      <w:r w:rsidR="00D3740B" w:rsidRPr="000F0A15">
        <w:rPr>
          <w:rFonts w:ascii="Times New Roman" w:eastAsia="Times New Roman" w:hAnsi="Times New Roman" w:cs="Times New Roman"/>
          <w:kern w:val="0"/>
          <w14:ligatures w14:val="none"/>
        </w:rPr>
        <w:t>in digitally delivered services.</w:t>
      </w:r>
      <w:r w:rsidR="009455F7" w:rsidRPr="000F0A15">
        <w:rPr>
          <w:rFonts w:ascii="Times New Roman" w:eastAsia="Times New Roman" w:hAnsi="Times New Roman" w:cs="Times New Roman"/>
          <w:kern w:val="0"/>
          <w14:ligatures w14:val="none"/>
        </w:rPr>
        <w:t xml:space="preserve"> </w:t>
      </w:r>
      <w:r w:rsidR="00B61897" w:rsidRPr="000F0A15">
        <w:rPr>
          <w:rFonts w:ascii="Times New Roman" w:eastAsia="Times New Roman" w:hAnsi="Times New Roman" w:cs="Times New Roman"/>
          <w:kern w:val="0"/>
          <w14:ligatures w14:val="none"/>
        </w:rPr>
        <w:t xml:space="preserve">Subsequently, </w:t>
      </w:r>
      <w:r w:rsidR="00D103A3" w:rsidRPr="000F0A15">
        <w:rPr>
          <w:rFonts w:ascii="Times New Roman" w:eastAsia="Times New Roman" w:hAnsi="Times New Roman" w:cs="Times New Roman"/>
          <w:kern w:val="0"/>
          <w14:ligatures w14:val="none"/>
        </w:rPr>
        <w:t xml:space="preserve">as </w:t>
      </w:r>
      <w:r w:rsidR="00B61897" w:rsidRPr="000F0A15">
        <w:rPr>
          <w:rFonts w:ascii="Times New Roman" w:eastAsia="Times New Roman" w:hAnsi="Times New Roman" w:cs="Times New Roman"/>
          <w:kern w:val="0"/>
          <w14:ligatures w14:val="none"/>
        </w:rPr>
        <w:t>cross-border data flow intensified</w:t>
      </w:r>
      <w:r w:rsidR="00D103A3" w:rsidRPr="000F0A15">
        <w:rPr>
          <w:rFonts w:ascii="Times New Roman" w:eastAsia="Times New Roman" w:hAnsi="Times New Roman" w:cs="Times New Roman"/>
          <w:kern w:val="0"/>
          <w14:ligatures w14:val="none"/>
        </w:rPr>
        <w:t xml:space="preserve">, it </w:t>
      </w:r>
      <w:r w:rsidR="00B61897" w:rsidRPr="000F0A15">
        <w:rPr>
          <w:rFonts w:ascii="Times New Roman" w:eastAsia="Times New Roman" w:hAnsi="Times New Roman" w:cs="Times New Roman"/>
          <w:kern w:val="0"/>
          <w14:ligatures w14:val="none"/>
        </w:rPr>
        <w:t xml:space="preserve">increased concerns around data protection, cybersecurity and state </w:t>
      </w:r>
      <w:r w:rsidR="004E677E" w:rsidRPr="000F0A15">
        <w:rPr>
          <w:rFonts w:ascii="Times New Roman" w:eastAsia="Times New Roman" w:hAnsi="Times New Roman" w:cs="Times New Roman"/>
          <w:kern w:val="0"/>
          <w14:ligatures w14:val="none"/>
        </w:rPr>
        <w:t xml:space="preserve">sovereignty. </w:t>
      </w:r>
      <w:r w:rsidR="004D2BE1" w:rsidRPr="000F0A15">
        <w:rPr>
          <w:rFonts w:ascii="Times New Roman" w:eastAsia="Times New Roman" w:hAnsi="Times New Roman" w:cs="Times New Roman"/>
          <w:kern w:val="0"/>
          <w14:ligatures w14:val="none"/>
        </w:rPr>
        <w:t>Thus, this has led to renewed attention on general exception clauses within trade agreements.</w:t>
      </w:r>
      <w:r w:rsidR="004E677E" w:rsidRPr="000F0A15">
        <w:rPr>
          <w:rFonts w:ascii="Times New Roman" w:eastAsia="Times New Roman" w:hAnsi="Times New Roman" w:cs="Times New Roman"/>
          <w:kern w:val="0"/>
          <w14:ligatures w14:val="none"/>
        </w:rPr>
        <w:t xml:space="preserve"> </w:t>
      </w:r>
    </w:p>
    <w:p w14:paraId="457ED80A" w14:textId="042B0F8E" w:rsidR="00C94AD5" w:rsidRPr="000F0A15" w:rsidRDefault="001E18BC" w:rsidP="00630603">
      <w:pPr>
        <w:spacing w:line="360" w:lineRule="auto"/>
        <w:jc w:val="center"/>
        <w:rPr>
          <w:rFonts w:ascii="Times New Roman" w:eastAsia="Times New Roman" w:hAnsi="Times New Roman" w:cs="Times New Roman"/>
          <w:kern w:val="0"/>
          <w14:ligatures w14:val="none"/>
        </w:rPr>
      </w:pPr>
      <w:r w:rsidRPr="000F0A15">
        <w:rPr>
          <w:rFonts w:ascii="Calibri" w:hAnsi="Calibri" w:cs="Calibri"/>
          <w:noProof/>
          <w:sz w:val="16"/>
          <w:szCs w:val="16"/>
        </w:rPr>
        <w:drawing>
          <wp:inline distT="0" distB="0" distL="0" distR="0" wp14:anchorId="03006F90" wp14:editId="30CE7093">
            <wp:extent cx="5957047" cy="2957830"/>
            <wp:effectExtent l="0" t="0" r="12065" b="13970"/>
            <wp:docPr id="827768900" name="Chart 1">
              <a:extLst xmlns:a="http://schemas.openxmlformats.org/drawingml/2006/main">
                <a:ext uri="{FF2B5EF4-FFF2-40B4-BE49-F238E27FC236}">
                  <a16:creationId xmlns:a16="http://schemas.microsoft.com/office/drawing/2014/main" id="{15AA8B46-F7AA-2C43-0FF9-5A173E001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32DF56" w14:textId="6C23484A" w:rsidR="00C94AD5" w:rsidRPr="000F0A15" w:rsidRDefault="00C94AD5" w:rsidP="00630603">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 xml:space="preserve">Figure 1: Increase in Digital Trade </w:t>
      </w:r>
      <w:commentRangeStart w:id="3"/>
      <w:r w:rsidRPr="000F0A15">
        <w:rPr>
          <w:rFonts w:ascii="Times New Roman" w:eastAsia="Times New Roman" w:hAnsi="Times New Roman" w:cs="Times New Roman"/>
          <w:b/>
          <w:bCs/>
          <w:i/>
          <w:iCs/>
          <w:kern w:val="0"/>
          <w:sz w:val="20"/>
          <w:szCs w:val="20"/>
          <w14:ligatures w14:val="none"/>
        </w:rPr>
        <w:t>Services 2005-202</w:t>
      </w:r>
      <w:r w:rsidR="003B0743" w:rsidRPr="000F0A15">
        <w:rPr>
          <w:rFonts w:ascii="Times New Roman" w:eastAsia="Times New Roman" w:hAnsi="Times New Roman" w:cs="Times New Roman"/>
          <w:b/>
          <w:bCs/>
          <w:i/>
          <w:iCs/>
          <w:kern w:val="0"/>
          <w:sz w:val="20"/>
          <w:szCs w:val="20"/>
          <w14:ligatures w14:val="none"/>
        </w:rPr>
        <w:t>4</w:t>
      </w:r>
      <w:commentRangeEnd w:id="3"/>
      <w:r w:rsidR="009B282F">
        <w:rPr>
          <w:rStyle w:val="CommentReference"/>
        </w:rPr>
        <w:commentReference w:id="3"/>
      </w:r>
    </w:p>
    <w:p w14:paraId="7CA7FCCE" w14:textId="7892817C" w:rsidR="00C94AD5" w:rsidRPr="000F0A15" w:rsidRDefault="00C94AD5" w:rsidP="00630603">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Data Source: WTO (2025)</w:t>
      </w:r>
    </w:p>
    <w:p w14:paraId="3B74F97F" w14:textId="33E3796F" w:rsidR="00FC7427" w:rsidRPr="000F0A15" w:rsidRDefault="000A3626" w:rsidP="00630603">
      <w:pPr>
        <w:spacing w:line="360" w:lineRule="auto"/>
        <w:jc w:val="both"/>
        <w:rPr>
          <w:rFonts w:ascii="Times New Roman" w:eastAsia="Times New Roman" w:hAnsi="Times New Roman" w:cs="Times New Roman"/>
          <w:kern w:val="0"/>
          <w14:ligatures w14:val="none"/>
        </w:rPr>
      </w:pPr>
      <w:commentRangeStart w:id="4"/>
      <w:r w:rsidRPr="000F0A15">
        <w:rPr>
          <w:rFonts w:ascii="Times New Roman" w:eastAsia="Times New Roman" w:hAnsi="Times New Roman" w:cs="Times New Roman"/>
          <w:kern w:val="0"/>
          <w14:ligatures w14:val="none"/>
        </w:rPr>
        <w:t xml:space="preserve">Regional Trade Agreements (RTAs) </w:t>
      </w:r>
      <w:commentRangeEnd w:id="4"/>
      <w:r w:rsidR="009B282F">
        <w:rPr>
          <w:rStyle w:val="CommentReference"/>
        </w:rPr>
        <w:commentReference w:id="4"/>
      </w:r>
      <w:r w:rsidRPr="000F0A15">
        <w:rPr>
          <w:rFonts w:ascii="Times New Roman" w:eastAsia="Times New Roman" w:hAnsi="Times New Roman" w:cs="Times New Roman"/>
          <w:kern w:val="0"/>
          <w14:ligatures w14:val="none"/>
        </w:rPr>
        <w:t xml:space="preserve">encompass </w:t>
      </w:r>
      <w:r w:rsidR="00697DE1" w:rsidRPr="000F0A15">
        <w:rPr>
          <w:rFonts w:ascii="Times New Roman" w:eastAsia="Times New Roman" w:hAnsi="Times New Roman" w:cs="Times New Roman"/>
          <w:kern w:val="0"/>
          <w14:ligatures w14:val="none"/>
        </w:rPr>
        <w:t>a few</w:t>
      </w:r>
      <w:r w:rsidR="00A91FC9" w:rsidRPr="000F0A15">
        <w:rPr>
          <w:rFonts w:ascii="Times New Roman" w:eastAsia="Times New Roman" w:hAnsi="Times New Roman" w:cs="Times New Roman"/>
          <w:kern w:val="0"/>
          <w14:ligatures w14:val="none"/>
        </w:rPr>
        <w:t xml:space="preserve"> jurisdictions and coverage which has been captured in Figure-2. </w:t>
      </w:r>
      <w:r w:rsidR="00E6358F" w:rsidRPr="000F0A15">
        <w:rPr>
          <w:rFonts w:ascii="Times New Roman" w:eastAsia="Times New Roman" w:hAnsi="Times New Roman" w:cs="Times New Roman"/>
          <w:kern w:val="0"/>
          <w14:ligatures w14:val="none"/>
        </w:rPr>
        <w:t>These RTAs tend to vary significantly</w:t>
      </w:r>
      <w:r w:rsidR="00C62BD6" w:rsidRPr="000F0A15">
        <w:rPr>
          <w:rFonts w:ascii="Times New Roman" w:eastAsia="Times New Roman" w:hAnsi="Times New Roman" w:cs="Times New Roman"/>
          <w:kern w:val="0"/>
          <w14:ligatures w14:val="none"/>
        </w:rPr>
        <w:t xml:space="preserve"> based on their comprehensiveness. </w:t>
      </w:r>
      <w:r w:rsidR="00C3786D" w:rsidRPr="000F0A15">
        <w:rPr>
          <w:rFonts w:ascii="Times New Roman" w:eastAsia="Times New Roman" w:hAnsi="Times New Roman" w:cs="Times New Roman"/>
          <w:kern w:val="0"/>
          <w14:ligatures w14:val="none"/>
        </w:rPr>
        <w:t xml:space="preserve">In fact, Figure-2 posits that </w:t>
      </w:r>
      <w:r w:rsidR="00833380" w:rsidRPr="000F0A15">
        <w:rPr>
          <w:rFonts w:ascii="Times New Roman" w:eastAsia="Times New Roman" w:hAnsi="Times New Roman" w:cs="Times New Roman"/>
          <w:kern w:val="0"/>
          <w14:ligatures w14:val="none"/>
        </w:rPr>
        <w:t>Joint Initiative (JI) participants under WTO’s e-commerce discussion</w:t>
      </w:r>
      <w:r w:rsidR="00A82AAC" w:rsidRPr="000F0A15">
        <w:rPr>
          <w:rFonts w:ascii="Times New Roman" w:eastAsia="Times New Roman" w:hAnsi="Times New Roman" w:cs="Times New Roman"/>
          <w:kern w:val="0"/>
          <w14:ligatures w14:val="none"/>
        </w:rPr>
        <w:t>, such as members of C</w:t>
      </w:r>
      <w:r w:rsidR="00403705" w:rsidRPr="000F0A15">
        <w:rPr>
          <w:rFonts w:ascii="Times New Roman" w:eastAsia="Times New Roman" w:hAnsi="Times New Roman" w:cs="Times New Roman"/>
          <w:kern w:val="0"/>
          <w14:ligatures w14:val="none"/>
        </w:rPr>
        <w:t xml:space="preserve">omprehensive and Progressive Agreement for Trans-Pacific Partnership (CPTPP) and </w:t>
      </w:r>
      <w:r w:rsidR="00B3381F" w:rsidRPr="000F0A15">
        <w:rPr>
          <w:rFonts w:ascii="Times New Roman" w:eastAsia="Times New Roman" w:hAnsi="Times New Roman" w:cs="Times New Roman"/>
          <w:kern w:val="0"/>
          <w14:ligatures w14:val="none"/>
        </w:rPr>
        <w:t>Digital economy Partnership Agreement (DEPA)</w:t>
      </w:r>
      <w:r w:rsidR="007D1323" w:rsidRPr="000F0A15">
        <w:rPr>
          <w:rFonts w:ascii="Times New Roman" w:eastAsia="Times New Roman" w:hAnsi="Times New Roman" w:cs="Times New Roman"/>
          <w:kern w:val="0"/>
          <w14:ligatures w14:val="none"/>
        </w:rPr>
        <w:t xml:space="preserve"> (</w:t>
      </w:r>
      <w:r w:rsidR="00880D6D" w:rsidRPr="000F0A15">
        <w:rPr>
          <w:rFonts w:ascii="Times New Roman" w:eastAsia="Times New Roman" w:hAnsi="Times New Roman" w:cs="Times New Roman"/>
          <w:kern w:val="0"/>
          <w14:ligatures w14:val="none"/>
        </w:rPr>
        <w:t>The Asian Foundation, 2024)</w:t>
      </w:r>
      <w:r w:rsidR="000E0A46" w:rsidRPr="000F0A15">
        <w:rPr>
          <w:rFonts w:ascii="Times New Roman" w:eastAsia="Times New Roman" w:hAnsi="Times New Roman" w:cs="Times New Roman"/>
          <w:kern w:val="0"/>
          <w14:ligatures w14:val="none"/>
        </w:rPr>
        <w:t>, tend to address a wider range of digital trade issues</w:t>
      </w:r>
      <w:r w:rsidR="00C664BA" w:rsidRPr="000F0A15">
        <w:rPr>
          <w:rFonts w:ascii="Times New Roman" w:eastAsia="Times New Roman" w:hAnsi="Times New Roman" w:cs="Times New Roman"/>
          <w:kern w:val="0"/>
          <w14:ligatures w14:val="none"/>
        </w:rPr>
        <w:t xml:space="preserve">, relative to non-JI jurisdictions. </w:t>
      </w:r>
      <w:r w:rsidR="00DC59BC" w:rsidRPr="000F0A15">
        <w:rPr>
          <w:rFonts w:ascii="Times New Roman" w:eastAsia="Times New Roman" w:hAnsi="Times New Roman" w:cs="Times New Roman"/>
          <w:kern w:val="0"/>
          <w14:ligatures w14:val="none"/>
        </w:rPr>
        <w:t xml:space="preserve">Key provisions </w:t>
      </w:r>
      <w:r w:rsidR="00DC59BC" w:rsidRPr="000F0A15">
        <w:rPr>
          <w:rFonts w:ascii="Times New Roman" w:eastAsia="Times New Roman" w:hAnsi="Times New Roman" w:cs="Times New Roman"/>
          <w:kern w:val="0"/>
          <w14:ligatures w14:val="none"/>
        </w:rPr>
        <w:lastRenderedPageBreak/>
        <w:t>include rules on data privacy, scams, consumer protection, cross-border data flo</w:t>
      </w:r>
      <w:r w:rsidR="00B92B58" w:rsidRPr="000F0A15">
        <w:rPr>
          <w:rFonts w:ascii="Times New Roman" w:eastAsia="Times New Roman" w:hAnsi="Times New Roman" w:cs="Times New Roman"/>
          <w:kern w:val="0"/>
          <w14:ligatures w14:val="none"/>
        </w:rPr>
        <w:t>w</w:t>
      </w:r>
      <w:r w:rsidR="00DC59BC" w:rsidRPr="000F0A15">
        <w:rPr>
          <w:rFonts w:ascii="Times New Roman" w:eastAsia="Times New Roman" w:hAnsi="Times New Roman" w:cs="Times New Roman"/>
          <w:kern w:val="0"/>
          <w14:ligatures w14:val="none"/>
        </w:rPr>
        <w:t xml:space="preserve">s and electronic authentication. In contrast, </w:t>
      </w:r>
      <w:r w:rsidR="00E22DCC" w:rsidRPr="000F0A15">
        <w:rPr>
          <w:rFonts w:ascii="Times New Roman" w:eastAsia="Times New Roman" w:hAnsi="Times New Roman" w:cs="Times New Roman"/>
          <w:kern w:val="0"/>
          <w14:ligatures w14:val="none"/>
        </w:rPr>
        <w:t>non-J</w:t>
      </w:r>
      <w:r w:rsidR="00B92B58" w:rsidRPr="000F0A15">
        <w:rPr>
          <w:rFonts w:ascii="Times New Roman" w:eastAsia="Times New Roman" w:hAnsi="Times New Roman" w:cs="Times New Roman"/>
          <w:kern w:val="0"/>
          <w14:ligatures w14:val="none"/>
        </w:rPr>
        <w:t>I</w:t>
      </w:r>
      <w:r w:rsidR="00E22DCC" w:rsidRPr="000F0A15">
        <w:rPr>
          <w:rFonts w:ascii="Times New Roman" w:eastAsia="Times New Roman" w:hAnsi="Times New Roman" w:cs="Times New Roman"/>
          <w:kern w:val="0"/>
          <w14:ligatures w14:val="none"/>
        </w:rPr>
        <w:t xml:space="preserve"> countries often omit such issues or address them less robustly. </w:t>
      </w:r>
      <w:r w:rsidR="00AA7F06" w:rsidRPr="000F0A15">
        <w:rPr>
          <w:rFonts w:ascii="Times New Roman" w:eastAsia="Times New Roman" w:hAnsi="Times New Roman" w:cs="Times New Roman"/>
          <w:kern w:val="0"/>
          <w14:ligatures w14:val="none"/>
        </w:rPr>
        <w:t>This</w:t>
      </w:r>
      <w:r w:rsidR="00E22DCC" w:rsidRPr="000F0A15">
        <w:rPr>
          <w:rFonts w:ascii="Times New Roman" w:eastAsia="Times New Roman" w:hAnsi="Times New Roman" w:cs="Times New Roman"/>
          <w:kern w:val="0"/>
          <w14:ligatures w14:val="none"/>
        </w:rPr>
        <w:t xml:space="preserve"> reflects a broad trend of regulatory fragmentation. </w:t>
      </w:r>
      <w:r w:rsidR="00BC7337" w:rsidRPr="000F0A15">
        <w:rPr>
          <w:rFonts w:ascii="Times New Roman" w:eastAsia="Times New Roman" w:hAnsi="Times New Roman" w:cs="Times New Roman"/>
          <w:kern w:val="0"/>
          <w14:ligatures w14:val="none"/>
        </w:rPr>
        <w:t xml:space="preserve">In this context, </w:t>
      </w:r>
      <w:r w:rsidR="00BC7337" w:rsidRPr="000F0A15">
        <w:rPr>
          <w:rFonts w:ascii="Times New Roman" w:hAnsi="Times New Roman" w:cs="Times New Roman"/>
        </w:rPr>
        <w:t>plurilateral agreements pursue deep digital integration, while others adopt a more cautious or sovereignty-focused approach.</w:t>
      </w:r>
      <w:r w:rsidR="00AA7F06" w:rsidRPr="000F0A15">
        <w:rPr>
          <w:rFonts w:ascii="Times New Roman" w:hAnsi="Times New Roman" w:cs="Times New Roman"/>
        </w:rPr>
        <w:t xml:space="preserve"> </w:t>
      </w:r>
      <w:r w:rsidR="00AA7F06" w:rsidRPr="000F0A15">
        <w:rPr>
          <w:rFonts w:ascii="Times New Roman" w:eastAsia="Times New Roman" w:hAnsi="Times New Roman" w:cs="Times New Roman"/>
          <w:kern w:val="0"/>
          <w14:ligatures w14:val="none"/>
        </w:rPr>
        <w:t xml:space="preserve">Amidst this divergence, general exception clauses </w:t>
      </w:r>
      <w:r w:rsidR="00734590" w:rsidRPr="000F0A15">
        <w:rPr>
          <w:rFonts w:ascii="Times New Roman" w:eastAsia="Times New Roman" w:hAnsi="Times New Roman" w:cs="Times New Roman"/>
          <w:kern w:val="0"/>
          <w14:ligatures w14:val="none"/>
        </w:rPr>
        <w:t>serve</w:t>
      </w:r>
      <w:r w:rsidR="00001D9F" w:rsidRPr="000F0A15">
        <w:rPr>
          <w:rFonts w:ascii="Times New Roman" w:eastAsia="Times New Roman" w:hAnsi="Times New Roman" w:cs="Times New Roman"/>
          <w:kern w:val="0"/>
          <w14:ligatures w14:val="none"/>
        </w:rPr>
        <w:t xml:space="preserve"> as </w:t>
      </w:r>
      <w:r w:rsidR="00AA7F06" w:rsidRPr="000F0A15">
        <w:rPr>
          <w:rFonts w:ascii="Times New Roman" w:eastAsia="Times New Roman" w:hAnsi="Times New Roman" w:cs="Times New Roman"/>
          <w:kern w:val="0"/>
          <w14:ligatures w14:val="none"/>
        </w:rPr>
        <w:t xml:space="preserve">crucial legal </w:t>
      </w:r>
      <w:r w:rsidR="00001D9F" w:rsidRPr="000F0A15">
        <w:rPr>
          <w:rFonts w:ascii="Times New Roman" w:eastAsia="Times New Roman" w:hAnsi="Times New Roman" w:cs="Times New Roman"/>
          <w:kern w:val="0"/>
          <w14:ligatures w14:val="none"/>
        </w:rPr>
        <w:t xml:space="preserve">functions. </w:t>
      </w:r>
      <w:r w:rsidR="00734590" w:rsidRPr="000F0A15">
        <w:rPr>
          <w:rFonts w:ascii="Times New Roman" w:eastAsia="Times New Roman" w:hAnsi="Times New Roman" w:cs="Times New Roman"/>
          <w:kern w:val="0"/>
          <w14:ligatures w14:val="none"/>
        </w:rPr>
        <w:t>They are either rooted in Article XX of GATT</w:t>
      </w:r>
      <w:r w:rsidR="007D3935" w:rsidRPr="000F0A15">
        <w:rPr>
          <w:rFonts w:ascii="Times New Roman" w:eastAsia="Times New Roman" w:hAnsi="Times New Roman" w:cs="Times New Roman"/>
          <w:kern w:val="0"/>
          <w14:ligatures w14:val="none"/>
        </w:rPr>
        <w:t xml:space="preserve"> (WTO, n.d.</w:t>
      </w:r>
      <w:r w:rsidR="00377113" w:rsidRPr="000F0A15">
        <w:rPr>
          <w:rFonts w:ascii="Times New Roman" w:eastAsia="Times New Roman" w:hAnsi="Times New Roman" w:cs="Times New Roman"/>
          <w:kern w:val="0"/>
          <w14:ligatures w14:val="none"/>
        </w:rPr>
        <w:t>a</w:t>
      </w:r>
      <w:r w:rsidR="007D3935" w:rsidRPr="000F0A15">
        <w:rPr>
          <w:rFonts w:ascii="Times New Roman" w:eastAsia="Times New Roman" w:hAnsi="Times New Roman" w:cs="Times New Roman"/>
          <w:kern w:val="0"/>
          <w14:ligatures w14:val="none"/>
        </w:rPr>
        <w:t>) or Article XIV of GATS (</w:t>
      </w:r>
      <w:r w:rsidR="00377113" w:rsidRPr="000F0A15">
        <w:rPr>
          <w:rFonts w:ascii="Times New Roman" w:eastAsia="Times New Roman" w:hAnsi="Times New Roman" w:cs="Times New Roman"/>
          <w:kern w:val="0"/>
          <w14:ligatures w14:val="none"/>
        </w:rPr>
        <w:t xml:space="preserve">WTO, n.d.b). </w:t>
      </w:r>
      <w:r w:rsidR="00C65541" w:rsidRPr="000F0A15">
        <w:rPr>
          <w:rFonts w:ascii="Times New Roman" w:eastAsia="Times New Roman" w:hAnsi="Times New Roman" w:cs="Times New Roman"/>
          <w:kern w:val="0"/>
          <w14:ligatures w14:val="none"/>
        </w:rPr>
        <w:t xml:space="preserve">These clauses allow countries to deviate </w:t>
      </w:r>
      <w:r w:rsidR="00B16D97" w:rsidRPr="000F0A15">
        <w:rPr>
          <w:rFonts w:ascii="Times New Roman" w:eastAsia="Times New Roman" w:hAnsi="Times New Roman" w:cs="Times New Roman"/>
          <w:kern w:val="0"/>
          <w14:ligatures w14:val="none"/>
        </w:rPr>
        <w:t xml:space="preserve">from trade obligations for policy goals that are legitimate. These include public morals, national security and data protection. However, their application to digital trade is rather complex and often contested. This is especially true when nations assert data sovereignty via domestic laws. </w:t>
      </w:r>
    </w:p>
    <w:p w14:paraId="0177F667" w14:textId="13A42D88" w:rsidR="00FC7427" w:rsidRPr="000F0A15" w:rsidRDefault="00CE6FED" w:rsidP="00630603">
      <w:pPr>
        <w:spacing w:line="360" w:lineRule="auto"/>
        <w:jc w:val="center"/>
        <w:rPr>
          <w:rFonts w:ascii="Times New Roman" w:eastAsia="Times New Roman" w:hAnsi="Times New Roman" w:cs="Times New Roman"/>
          <w:i/>
          <w:iCs/>
          <w:kern w:val="0"/>
          <w:sz w:val="20"/>
          <w:szCs w:val="20"/>
          <w14:ligatures w14:val="none"/>
        </w:rPr>
      </w:pPr>
      <w:r w:rsidRPr="000F0A15">
        <w:rPr>
          <w:rFonts w:ascii="Times New Roman" w:eastAsia="Times New Roman" w:hAnsi="Times New Roman" w:cs="Times New Roman"/>
          <w:i/>
          <w:iCs/>
          <w:noProof/>
          <w:kern w:val="0"/>
          <w:sz w:val="20"/>
          <w:szCs w:val="20"/>
          <w14:ligatures w14:val="none"/>
        </w:rPr>
        <w:drawing>
          <wp:inline distT="0" distB="0" distL="0" distR="0" wp14:anchorId="7217803A" wp14:editId="268B976C">
            <wp:extent cx="5040180" cy="3211146"/>
            <wp:effectExtent l="12700" t="12700" r="14605" b="15240"/>
            <wp:docPr id="1152635147" name="Picture 1" descr="A graph with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35147" name="Picture 1" descr="A graph with different colored bars&#10;&#10;AI-generated content may be incorrect."/>
                    <pic:cNvPicPr/>
                  </pic:nvPicPr>
                  <pic:blipFill rotWithShape="1">
                    <a:blip r:embed="rId12"/>
                    <a:srcRect b="1903"/>
                    <a:stretch/>
                  </pic:blipFill>
                  <pic:spPr bwMode="auto">
                    <a:xfrm>
                      <a:off x="0" y="0"/>
                      <a:ext cx="5068168" cy="3228977"/>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11B92B" w14:textId="295D1E5B" w:rsidR="00FC7427" w:rsidRPr="000F0A15" w:rsidRDefault="00CE6FED" w:rsidP="00630603">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 xml:space="preserve">Figure 2: </w:t>
      </w:r>
      <w:r w:rsidR="00CB6FCD" w:rsidRPr="000F0A15">
        <w:rPr>
          <w:rFonts w:ascii="Times New Roman" w:eastAsia="Times New Roman" w:hAnsi="Times New Roman" w:cs="Times New Roman"/>
          <w:b/>
          <w:bCs/>
          <w:i/>
          <w:iCs/>
          <w:kern w:val="0"/>
          <w:sz w:val="20"/>
          <w:szCs w:val="20"/>
          <w14:ligatures w14:val="none"/>
        </w:rPr>
        <w:t>RTA Coverage of data privacy concerns (OECD, 2023)</w:t>
      </w:r>
    </w:p>
    <w:p w14:paraId="1BE1360E" w14:textId="77777777" w:rsidR="00EF632B" w:rsidRPr="000F0A15" w:rsidRDefault="00EF632B" w:rsidP="00630603">
      <w:pPr>
        <w:spacing w:line="360" w:lineRule="auto"/>
        <w:jc w:val="both"/>
        <w:rPr>
          <w:rFonts w:ascii="Times New Roman" w:eastAsia="Times New Roman" w:hAnsi="Times New Roman" w:cs="Times New Roman"/>
          <w:kern w:val="0"/>
          <w14:ligatures w14:val="none"/>
        </w:rPr>
      </w:pPr>
    </w:p>
    <w:p w14:paraId="1855DBA1" w14:textId="6C6206E0" w:rsidR="00EF632B" w:rsidRPr="000F0A15" w:rsidRDefault="00EF632B" w:rsidP="00630603">
      <w:pPr>
        <w:spacing w:line="360" w:lineRule="auto"/>
        <w:jc w:val="both"/>
        <w:rPr>
          <w:rFonts w:ascii="Times New Roman" w:eastAsia="Times New Roman" w:hAnsi="Times New Roman" w:cs="Times New Roman"/>
          <w:kern w:val="0"/>
          <w14:ligatures w14:val="none"/>
        </w:rPr>
      </w:pPr>
      <w:commentRangeStart w:id="5"/>
      <w:r w:rsidRPr="000F0A15">
        <w:rPr>
          <w:rFonts w:ascii="Times New Roman" w:eastAsia="Times New Roman" w:hAnsi="Times New Roman" w:cs="Times New Roman"/>
          <w:kern w:val="0"/>
          <w14:ligatures w14:val="none"/>
        </w:rPr>
        <w:t xml:space="preserve">These clauses serve </w:t>
      </w:r>
      <w:commentRangeEnd w:id="5"/>
      <w:r w:rsidR="009B282F">
        <w:rPr>
          <w:rStyle w:val="CommentReference"/>
        </w:rPr>
        <w:commentReference w:id="5"/>
      </w:r>
      <w:r w:rsidRPr="000F0A15">
        <w:rPr>
          <w:rFonts w:ascii="Times New Roman" w:eastAsia="Times New Roman" w:hAnsi="Times New Roman" w:cs="Times New Roman"/>
          <w:kern w:val="0"/>
          <w14:ligatures w14:val="none"/>
        </w:rPr>
        <w:t>as legal safeguard for sovereign policymaking within the liberalized trade order. On one hand, digital trade promotes openness and efficiency. However, on the other hand it raises questions regarding privacy, regulation of content</w:t>
      </w:r>
      <w:r w:rsidR="00F52E9A" w:rsidRPr="000F0A15">
        <w:rPr>
          <w:rFonts w:ascii="Times New Roman" w:eastAsia="Times New Roman" w:hAnsi="Times New Roman" w:cs="Times New Roman"/>
          <w:kern w:val="0"/>
          <w14:ligatures w14:val="none"/>
        </w:rPr>
        <w:t xml:space="preserve"> and national security. In this context, general exceptions offer governments a means via which they can reconcile trade commitments with domestic public interest. However, their interpretation alongside their application in the </w:t>
      </w:r>
      <w:r w:rsidR="00F52E9A" w:rsidRPr="000F0A15">
        <w:rPr>
          <w:rFonts w:ascii="Times New Roman" w:eastAsia="Times New Roman" w:hAnsi="Times New Roman" w:cs="Times New Roman"/>
          <w:kern w:val="0"/>
          <w14:ligatures w14:val="none"/>
        </w:rPr>
        <w:lastRenderedPageBreak/>
        <w:t>digital domain remains contested. This is particularly true in the cases of data localization, cross-border data flows and cybersecurity regulation. Therefore, it is imperative to understand how general exceptions clauses function in plurilateral agreements such as CPTPP and DEPA</w:t>
      </w:r>
      <w:r w:rsidR="00D46F6F" w:rsidRPr="000F0A15">
        <w:rPr>
          <w:rFonts w:ascii="Times New Roman" w:eastAsia="Times New Roman" w:hAnsi="Times New Roman" w:cs="Times New Roman"/>
          <w:kern w:val="0"/>
          <w14:ligatures w14:val="none"/>
        </w:rPr>
        <w:t xml:space="preserve">, becomes critical when it comes to evaluating the legal and strategic viability of national digital regimes of nations like China. </w:t>
      </w:r>
    </w:p>
    <w:p w14:paraId="7B5F5B68" w14:textId="6EF37BBE" w:rsidR="00B16D97" w:rsidRPr="000F0A15" w:rsidRDefault="00B16D97"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Th</w:t>
      </w:r>
      <w:r w:rsidR="0016557F" w:rsidRPr="000F0A15">
        <w:rPr>
          <w:rFonts w:ascii="Times New Roman" w:eastAsia="Times New Roman" w:hAnsi="Times New Roman" w:cs="Times New Roman"/>
          <w:kern w:val="0"/>
          <w14:ligatures w14:val="none"/>
        </w:rPr>
        <w:t>is</w:t>
      </w:r>
      <w:r w:rsidRPr="000F0A15">
        <w:rPr>
          <w:rFonts w:ascii="Times New Roman" w:eastAsia="Times New Roman" w:hAnsi="Times New Roman" w:cs="Times New Roman"/>
          <w:kern w:val="0"/>
          <w14:ligatures w14:val="none"/>
        </w:rPr>
        <w:t xml:space="preserve"> case study </w:t>
      </w:r>
      <w:r w:rsidR="00EE41BB" w:rsidRPr="000F0A15">
        <w:rPr>
          <w:rFonts w:ascii="Times New Roman" w:eastAsia="Times New Roman" w:hAnsi="Times New Roman" w:cs="Times New Roman"/>
          <w:kern w:val="0"/>
          <w14:ligatures w14:val="none"/>
        </w:rPr>
        <w:t xml:space="preserve">will </w:t>
      </w:r>
      <w:r w:rsidR="0016557F" w:rsidRPr="000F0A15">
        <w:rPr>
          <w:rFonts w:ascii="Times New Roman" w:eastAsia="Times New Roman" w:hAnsi="Times New Roman" w:cs="Times New Roman"/>
          <w:kern w:val="0"/>
          <w14:ligatures w14:val="none"/>
        </w:rPr>
        <w:t xml:space="preserve">therefore </w:t>
      </w:r>
      <w:r w:rsidR="00EE41BB" w:rsidRPr="000F0A15">
        <w:rPr>
          <w:rFonts w:ascii="Times New Roman" w:eastAsia="Times New Roman" w:hAnsi="Times New Roman" w:cs="Times New Roman"/>
          <w:kern w:val="0"/>
          <w14:ligatures w14:val="none"/>
        </w:rPr>
        <w:t xml:space="preserve">examine how these general exception clauses articulate in CPTPP and DEPA. It will primarily demonstrate how they intersect with China’s evolving legal framework on digital trade. </w:t>
      </w:r>
      <w:commentRangeStart w:id="6"/>
      <w:r w:rsidR="00C97ECC" w:rsidRPr="000F0A15">
        <w:rPr>
          <w:rFonts w:ascii="Times New Roman" w:eastAsia="Times New Roman" w:hAnsi="Times New Roman" w:cs="Times New Roman"/>
          <w:kern w:val="0"/>
          <w14:ligatures w14:val="none"/>
        </w:rPr>
        <w:t xml:space="preserve">China is not </w:t>
      </w:r>
      <w:commentRangeEnd w:id="6"/>
      <w:r w:rsidR="00DB26B7">
        <w:rPr>
          <w:rStyle w:val="CommentReference"/>
        </w:rPr>
        <w:commentReference w:id="6"/>
      </w:r>
      <w:r w:rsidR="00C97ECC" w:rsidRPr="000F0A15">
        <w:rPr>
          <w:rFonts w:ascii="Times New Roman" w:eastAsia="Times New Roman" w:hAnsi="Times New Roman" w:cs="Times New Roman"/>
          <w:kern w:val="0"/>
          <w14:ligatures w14:val="none"/>
        </w:rPr>
        <w:t xml:space="preserve">currently a member of either agreement. However, it has applied for CPTPP accession and has also expressed formal interest in DEPA. Thus, this raises important legal and strategic questions regarding </w:t>
      </w:r>
      <w:r w:rsidR="00253E9D" w:rsidRPr="000F0A15">
        <w:rPr>
          <w:rFonts w:ascii="Times New Roman" w:eastAsia="Times New Roman" w:hAnsi="Times New Roman" w:cs="Times New Roman"/>
          <w:kern w:val="0"/>
          <w14:ligatures w14:val="none"/>
        </w:rPr>
        <w:t xml:space="preserve">China’s data localization laws, cybersecurity regime and broader digital governance model, and how these </w:t>
      </w:r>
      <w:r w:rsidR="00742C1D" w:rsidRPr="000F0A15">
        <w:rPr>
          <w:rFonts w:ascii="Times New Roman" w:eastAsia="Times New Roman" w:hAnsi="Times New Roman" w:cs="Times New Roman"/>
          <w:kern w:val="0"/>
          <w14:ligatures w14:val="none"/>
        </w:rPr>
        <w:t xml:space="preserve">may </w:t>
      </w:r>
      <w:r w:rsidR="00253E9D" w:rsidRPr="000F0A15">
        <w:rPr>
          <w:rFonts w:ascii="Times New Roman" w:eastAsia="Times New Roman" w:hAnsi="Times New Roman" w:cs="Times New Roman"/>
          <w:kern w:val="0"/>
          <w14:ligatures w14:val="none"/>
        </w:rPr>
        <w:t>align or perhaps conflict with the principles of digital openness</w:t>
      </w:r>
      <w:r w:rsidR="00FC7885" w:rsidRPr="000F0A15">
        <w:rPr>
          <w:rFonts w:ascii="Times New Roman" w:eastAsia="Times New Roman" w:hAnsi="Times New Roman" w:cs="Times New Roman"/>
          <w:kern w:val="0"/>
          <w14:ligatures w14:val="none"/>
        </w:rPr>
        <w:t>,</w:t>
      </w:r>
      <w:r w:rsidR="00253E9D" w:rsidRPr="000F0A15">
        <w:rPr>
          <w:rFonts w:ascii="Times New Roman" w:eastAsia="Times New Roman" w:hAnsi="Times New Roman" w:cs="Times New Roman"/>
          <w:kern w:val="0"/>
          <w14:ligatures w14:val="none"/>
        </w:rPr>
        <w:t xml:space="preserve"> that is enshrined in these agreements. </w:t>
      </w:r>
    </w:p>
    <w:p w14:paraId="2F6E8366" w14:textId="7735DF4A" w:rsidR="00FC7885" w:rsidRPr="000F0A15" w:rsidRDefault="00FC7885" w:rsidP="00630603">
      <w:pPr>
        <w:pStyle w:val="ListParagraph"/>
        <w:numPr>
          <w:ilvl w:val="1"/>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 xml:space="preserve"> Research </w:t>
      </w:r>
      <w:commentRangeStart w:id="7"/>
      <w:r w:rsidRPr="000F0A15">
        <w:rPr>
          <w:rFonts w:ascii="Times New Roman" w:eastAsia="Times New Roman" w:hAnsi="Times New Roman" w:cs="Times New Roman"/>
          <w:b/>
          <w:bCs/>
          <w:kern w:val="0"/>
          <w14:ligatures w14:val="none"/>
        </w:rPr>
        <w:t>Questions</w:t>
      </w:r>
      <w:commentRangeEnd w:id="7"/>
      <w:r w:rsidR="00DB26B7">
        <w:rPr>
          <w:rStyle w:val="CommentReference"/>
        </w:rPr>
        <w:commentReference w:id="7"/>
      </w:r>
    </w:p>
    <w:p w14:paraId="3A8FA340" w14:textId="77777777" w:rsidR="005845A0" w:rsidRPr="000F0A15" w:rsidRDefault="005845A0" w:rsidP="00630603">
      <w:pPr>
        <w:numPr>
          <w:ilvl w:val="0"/>
          <w:numId w:val="2"/>
        </w:num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How do CPTPP and DEPA incorporate general exception clauses in digital trade?</w:t>
      </w:r>
    </w:p>
    <w:p w14:paraId="33768FF7" w14:textId="77777777" w:rsidR="005845A0" w:rsidRPr="000F0A15" w:rsidRDefault="005845A0" w:rsidP="00630603">
      <w:pPr>
        <w:numPr>
          <w:ilvl w:val="0"/>
          <w:numId w:val="2"/>
        </w:num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How has China responded to these frameworks through its domestic laws and data governance strategy?</w:t>
      </w:r>
    </w:p>
    <w:p w14:paraId="667DB5AB" w14:textId="77777777" w:rsidR="005845A0" w:rsidRPr="000F0A15" w:rsidRDefault="005845A0" w:rsidP="00630603">
      <w:pPr>
        <w:numPr>
          <w:ilvl w:val="0"/>
          <w:numId w:val="2"/>
        </w:num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What tensions or compatibilities exist between China’s legal regime and the general exceptions in these agreements?</w:t>
      </w:r>
    </w:p>
    <w:p w14:paraId="155E4357" w14:textId="66B1A8CF" w:rsidR="005845A0" w:rsidRPr="000F0A15" w:rsidRDefault="00BF3D2B" w:rsidP="00630603">
      <w:pPr>
        <w:pStyle w:val="ListParagraph"/>
        <w:numPr>
          <w:ilvl w:val="0"/>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Literature Review</w:t>
      </w:r>
    </w:p>
    <w:p w14:paraId="3B5EB479" w14:textId="12B9C488" w:rsidR="00CA21A2" w:rsidRPr="000F0A15" w:rsidRDefault="00F80717"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As the complexity surrounding digital trade has grown, it has brought renewed attention on the role of general exception clauses in international trade laws. These clauses are rooted in GATT Article XX and GATS Article XIV. They were originally designed to permit limited deviations from trade obligations in cases of public interest. </w:t>
      </w:r>
      <w:r w:rsidR="00BA0C9B" w:rsidRPr="000F0A15">
        <w:rPr>
          <w:rFonts w:ascii="Times New Roman" w:eastAsia="Times New Roman" w:hAnsi="Times New Roman" w:cs="Times New Roman"/>
          <w:kern w:val="0"/>
          <w14:ligatures w14:val="none"/>
        </w:rPr>
        <w:t>These include but are not limited to the protection of public morals, maintenance of public order</w:t>
      </w:r>
      <w:r w:rsidR="00373293" w:rsidRPr="000F0A15">
        <w:rPr>
          <w:rFonts w:ascii="Times New Roman" w:eastAsia="Times New Roman" w:hAnsi="Times New Roman" w:cs="Times New Roman"/>
          <w:kern w:val="0"/>
          <w14:ligatures w14:val="none"/>
        </w:rPr>
        <w:t xml:space="preserve"> and national security</w:t>
      </w:r>
      <w:r w:rsidR="00BA0C9B" w:rsidRPr="000F0A15">
        <w:rPr>
          <w:rFonts w:ascii="Times New Roman" w:eastAsia="Times New Roman" w:hAnsi="Times New Roman" w:cs="Times New Roman"/>
          <w:kern w:val="0"/>
          <w14:ligatures w14:val="none"/>
        </w:rPr>
        <w:t xml:space="preserve">, </w:t>
      </w:r>
      <w:r w:rsidR="00B51E34" w:rsidRPr="000F0A15">
        <w:rPr>
          <w:rFonts w:ascii="Times New Roman" w:eastAsia="Times New Roman" w:hAnsi="Times New Roman" w:cs="Times New Roman"/>
          <w:kern w:val="0"/>
          <w14:ligatures w14:val="none"/>
        </w:rPr>
        <w:t>the enforcement of domestic laws, protection of plant, animal and human life or health, and the conservation of non-renewable natural resources (Bartels, 2017</w:t>
      </w:r>
      <w:r w:rsidR="00373293" w:rsidRPr="000F0A15">
        <w:rPr>
          <w:rFonts w:ascii="Times New Roman" w:eastAsia="Times New Roman" w:hAnsi="Times New Roman" w:cs="Times New Roman"/>
          <w:kern w:val="0"/>
          <w14:ligatures w14:val="none"/>
        </w:rPr>
        <w:t>; Marwell, 2006</w:t>
      </w:r>
      <w:r w:rsidR="00B51E34" w:rsidRPr="000F0A15">
        <w:rPr>
          <w:rFonts w:ascii="Times New Roman" w:eastAsia="Times New Roman" w:hAnsi="Times New Roman" w:cs="Times New Roman"/>
          <w:kern w:val="0"/>
          <w14:ligatures w14:val="none"/>
        </w:rPr>
        <w:t xml:space="preserve">). </w:t>
      </w:r>
      <w:r w:rsidR="00BF3D8E" w:rsidRPr="000F0A15">
        <w:rPr>
          <w:rFonts w:ascii="Times New Roman" w:eastAsia="Times New Roman" w:hAnsi="Times New Roman" w:cs="Times New Roman"/>
          <w:kern w:val="0"/>
          <w14:ligatures w14:val="none"/>
        </w:rPr>
        <w:t xml:space="preserve">However, their extension to the context of </w:t>
      </w:r>
      <w:r w:rsidR="008052FD" w:rsidRPr="000F0A15">
        <w:rPr>
          <w:rFonts w:ascii="Times New Roman" w:eastAsia="Times New Roman" w:hAnsi="Times New Roman" w:cs="Times New Roman"/>
          <w:kern w:val="0"/>
          <w14:ligatures w14:val="none"/>
        </w:rPr>
        <w:t>digital</w:t>
      </w:r>
      <w:r w:rsidR="00BF3D8E" w:rsidRPr="000F0A15">
        <w:rPr>
          <w:rFonts w:ascii="Times New Roman" w:eastAsia="Times New Roman" w:hAnsi="Times New Roman" w:cs="Times New Roman"/>
          <w:kern w:val="0"/>
          <w14:ligatures w14:val="none"/>
        </w:rPr>
        <w:t xml:space="preserve"> trade has been rather contentious. </w:t>
      </w:r>
      <w:r w:rsidR="008052FD" w:rsidRPr="000F0A15">
        <w:rPr>
          <w:rFonts w:ascii="Times New Roman" w:eastAsia="Times New Roman" w:hAnsi="Times New Roman" w:cs="Times New Roman"/>
          <w:kern w:val="0"/>
          <w14:ligatures w14:val="none"/>
        </w:rPr>
        <w:t xml:space="preserve">Several scholars have debated their adequacy in addressing emerging challenges such as </w:t>
      </w:r>
      <w:r w:rsidR="008F0149" w:rsidRPr="000F0A15">
        <w:rPr>
          <w:rFonts w:ascii="Times New Roman" w:eastAsia="Times New Roman" w:hAnsi="Times New Roman" w:cs="Times New Roman"/>
          <w:kern w:val="0"/>
          <w14:ligatures w14:val="none"/>
        </w:rPr>
        <w:t xml:space="preserve">data </w:t>
      </w:r>
      <w:r w:rsidR="0015375A" w:rsidRPr="000F0A15">
        <w:rPr>
          <w:rFonts w:ascii="Times New Roman" w:eastAsia="Times New Roman" w:hAnsi="Times New Roman" w:cs="Times New Roman"/>
          <w:kern w:val="0"/>
          <w14:ligatures w14:val="none"/>
        </w:rPr>
        <w:t xml:space="preserve">privacy (Sun, 2025; </w:t>
      </w:r>
      <w:r w:rsidR="007715BE" w:rsidRPr="000F0A15">
        <w:rPr>
          <w:rFonts w:ascii="Times New Roman" w:eastAsia="Times New Roman" w:hAnsi="Times New Roman" w:cs="Times New Roman"/>
          <w:kern w:val="0"/>
          <w14:ligatures w14:val="none"/>
        </w:rPr>
        <w:t>Brkan, 2019</w:t>
      </w:r>
      <w:r w:rsidR="000C36F8" w:rsidRPr="000F0A15">
        <w:rPr>
          <w:rFonts w:ascii="Times New Roman" w:eastAsia="Times New Roman" w:hAnsi="Times New Roman" w:cs="Times New Roman"/>
          <w:kern w:val="0"/>
          <w14:ligatures w14:val="none"/>
        </w:rPr>
        <w:t>; Woods, 2016</w:t>
      </w:r>
      <w:r w:rsidR="007715BE" w:rsidRPr="000F0A15">
        <w:rPr>
          <w:rFonts w:ascii="Times New Roman" w:eastAsia="Times New Roman" w:hAnsi="Times New Roman" w:cs="Times New Roman"/>
          <w:kern w:val="0"/>
          <w14:ligatures w14:val="none"/>
        </w:rPr>
        <w:t>)</w:t>
      </w:r>
      <w:r w:rsidR="00421B21" w:rsidRPr="000F0A15">
        <w:rPr>
          <w:rFonts w:ascii="Times New Roman" w:eastAsia="Times New Roman" w:hAnsi="Times New Roman" w:cs="Times New Roman"/>
          <w:kern w:val="0"/>
          <w14:ligatures w14:val="none"/>
        </w:rPr>
        <w:t xml:space="preserve">, cybersecurity </w:t>
      </w:r>
      <w:r w:rsidR="00421B21" w:rsidRPr="000F0A15">
        <w:rPr>
          <w:rFonts w:ascii="Times New Roman" w:eastAsia="Times New Roman" w:hAnsi="Times New Roman" w:cs="Times New Roman"/>
          <w:kern w:val="0"/>
          <w14:ligatures w14:val="none"/>
        </w:rPr>
        <w:lastRenderedPageBreak/>
        <w:t>(</w:t>
      </w:r>
      <w:r w:rsidR="00982E14" w:rsidRPr="000F0A15">
        <w:rPr>
          <w:rFonts w:ascii="Times New Roman" w:eastAsia="Times New Roman" w:hAnsi="Times New Roman" w:cs="Times New Roman"/>
          <w:kern w:val="0"/>
          <w14:ligatures w14:val="none"/>
        </w:rPr>
        <w:t xml:space="preserve">Peng, 2015; </w:t>
      </w:r>
      <w:proofErr w:type="spellStart"/>
      <w:r w:rsidR="006E6FD0" w:rsidRPr="000F0A15">
        <w:rPr>
          <w:rFonts w:ascii="Times New Roman" w:eastAsia="Times New Roman" w:hAnsi="Times New Roman" w:cs="Times New Roman"/>
          <w:kern w:val="0"/>
          <w14:ligatures w14:val="none"/>
        </w:rPr>
        <w:t>Nanxiang</w:t>
      </w:r>
      <w:proofErr w:type="spellEnd"/>
      <w:r w:rsidR="006E6FD0" w:rsidRPr="000F0A15">
        <w:rPr>
          <w:rFonts w:ascii="Times New Roman" w:eastAsia="Times New Roman" w:hAnsi="Times New Roman" w:cs="Times New Roman"/>
          <w:kern w:val="0"/>
          <w14:ligatures w14:val="none"/>
        </w:rPr>
        <w:t>, 2023) and cross-border data flows (</w:t>
      </w:r>
      <w:r w:rsidR="00EC514D" w:rsidRPr="000F0A15">
        <w:rPr>
          <w:rFonts w:ascii="Times New Roman" w:eastAsia="Times New Roman" w:hAnsi="Times New Roman" w:cs="Times New Roman"/>
          <w:kern w:val="0"/>
          <w14:ligatures w14:val="none"/>
        </w:rPr>
        <w:t xml:space="preserve">Voss, 2020; </w:t>
      </w:r>
      <w:r w:rsidR="003E2ED8" w:rsidRPr="000F0A15">
        <w:rPr>
          <w:rFonts w:ascii="Times New Roman" w:eastAsia="Times New Roman" w:hAnsi="Times New Roman" w:cs="Times New Roman"/>
          <w:kern w:val="0"/>
          <w14:ligatures w14:val="none"/>
        </w:rPr>
        <w:t xml:space="preserve">Zhang, 2020). </w:t>
      </w:r>
      <w:r w:rsidR="00834BE0" w:rsidRPr="000F0A15">
        <w:rPr>
          <w:rFonts w:ascii="Times New Roman" w:eastAsia="Times New Roman" w:hAnsi="Times New Roman" w:cs="Times New Roman"/>
          <w:kern w:val="0"/>
          <w14:ligatures w14:val="none"/>
        </w:rPr>
        <w:t xml:space="preserve">Additionally, recent research has explored how agreements such as CPTPP and DEPA structure digital trade provisions. </w:t>
      </w:r>
      <w:r w:rsidR="00BD3350" w:rsidRPr="000F0A15">
        <w:rPr>
          <w:rFonts w:ascii="Times New Roman" w:eastAsia="Times New Roman" w:hAnsi="Times New Roman" w:cs="Times New Roman"/>
          <w:kern w:val="0"/>
          <w14:ligatures w14:val="none"/>
        </w:rPr>
        <w:t>In this regard</w:t>
      </w:r>
      <w:r w:rsidR="006D6AD9" w:rsidRPr="000F0A15">
        <w:rPr>
          <w:rFonts w:ascii="Times New Roman" w:eastAsia="Times New Roman" w:hAnsi="Times New Roman" w:cs="Times New Roman"/>
          <w:kern w:val="0"/>
          <w14:ligatures w14:val="none"/>
        </w:rPr>
        <w:t xml:space="preserve">, </w:t>
      </w:r>
      <w:commentRangeStart w:id="8"/>
      <w:r w:rsidR="006D6AD9" w:rsidRPr="000F0A15">
        <w:rPr>
          <w:rFonts w:ascii="Times New Roman" w:eastAsia="Times New Roman" w:hAnsi="Times New Roman" w:cs="Times New Roman"/>
          <w:kern w:val="0"/>
          <w14:ligatures w14:val="none"/>
        </w:rPr>
        <w:t xml:space="preserve">Burri (2021) posited that </w:t>
      </w:r>
      <w:r w:rsidR="0029174D" w:rsidRPr="000F0A15">
        <w:rPr>
          <w:rFonts w:ascii="Times New Roman" w:eastAsia="Times New Roman" w:hAnsi="Times New Roman" w:cs="Times New Roman"/>
          <w:kern w:val="0"/>
          <w14:ligatures w14:val="none"/>
        </w:rPr>
        <w:t>having larger cluster of nations under CPTPP and DEPA</w:t>
      </w:r>
      <w:r w:rsidR="00972D48" w:rsidRPr="000F0A15">
        <w:rPr>
          <w:rFonts w:ascii="Times New Roman" w:eastAsia="Times New Roman" w:hAnsi="Times New Roman" w:cs="Times New Roman"/>
          <w:kern w:val="0"/>
          <w14:ligatures w14:val="none"/>
        </w:rPr>
        <w:t xml:space="preserve">, admit norms on data localization ban, data flows, source code and open access to internet. </w:t>
      </w:r>
      <w:commentRangeEnd w:id="8"/>
      <w:r w:rsidR="00C72729">
        <w:rPr>
          <w:rStyle w:val="CommentReference"/>
        </w:rPr>
        <w:commentReference w:id="8"/>
      </w:r>
      <w:r w:rsidR="00972D48" w:rsidRPr="000F0A15">
        <w:rPr>
          <w:rFonts w:ascii="Times New Roman" w:eastAsia="Times New Roman" w:hAnsi="Times New Roman" w:cs="Times New Roman"/>
          <w:kern w:val="0"/>
          <w14:ligatures w14:val="none"/>
        </w:rPr>
        <w:t xml:space="preserve">This provides a useful </w:t>
      </w:r>
      <w:commentRangeStart w:id="9"/>
      <w:r w:rsidR="00972D48" w:rsidRPr="000F0A15">
        <w:rPr>
          <w:rFonts w:ascii="Times New Roman" w:eastAsia="Times New Roman" w:hAnsi="Times New Roman" w:cs="Times New Roman"/>
          <w:kern w:val="0"/>
          <w14:ligatures w14:val="none"/>
        </w:rPr>
        <w:t>basis</w:t>
      </w:r>
      <w:commentRangeEnd w:id="9"/>
      <w:r w:rsidR="00C72729">
        <w:rPr>
          <w:rStyle w:val="CommentReference"/>
        </w:rPr>
        <w:commentReference w:id="9"/>
      </w:r>
      <w:r w:rsidR="00972D48" w:rsidRPr="000F0A15">
        <w:rPr>
          <w:rFonts w:ascii="Times New Roman" w:eastAsia="Times New Roman" w:hAnsi="Times New Roman" w:cs="Times New Roman"/>
          <w:kern w:val="0"/>
          <w14:ligatures w14:val="none"/>
        </w:rPr>
        <w:t xml:space="preserve"> </w:t>
      </w:r>
      <w:r w:rsidR="00D972C4" w:rsidRPr="000F0A15">
        <w:rPr>
          <w:rFonts w:ascii="Times New Roman" w:eastAsia="Times New Roman" w:hAnsi="Times New Roman" w:cs="Times New Roman"/>
          <w:kern w:val="0"/>
          <w14:ligatures w14:val="none"/>
        </w:rPr>
        <w:t xml:space="preserve">for creating a </w:t>
      </w:r>
      <w:r w:rsidR="003A4978" w:rsidRPr="000F0A15">
        <w:rPr>
          <w:rFonts w:ascii="Times New Roman" w:eastAsia="Times New Roman" w:hAnsi="Times New Roman" w:cs="Times New Roman"/>
          <w:kern w:val="0"/>
          <w14:ligatures w14:val="none"/>
        </w:rPr>
        <w:t xml:space="preserve">model of international participation. </w:t>
      </w:r>
    </w:p>
    <w:p w14:paraId="264437B1" w14:textId="7C8061B5" w:rsidR="00FC7885" w:rsidRPr="000F0A15" w:rsidRDefault="008A2125"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A</w:t>
      </w:r>
      <w:r w:rsidR="00251855" w:rsidRPr="000F0A15">
        <w:rPr>
          <w:rFonts w:ascii="Times New Roman" w:eastAsia="Times New Roman" w:hAnsi="Times New Roman" w:cs="Times New Roman"/>
          <w:kern w:val="0"/>
          <w14:ligatures w14:val="none"/>
        </w:rPr>
        <w:t xml:space="preserve">ccording to Kimura (2019), </w:t>
      </w:r>
      <w:r w:rsidR="00A323D3" w:rsidRPr="000F0A15">
        <w:rPr>
          <w:rFonts w:ascii="Times New Roman" w:eastAsia="Times New Roman" w:hAnsi="Times New Roman" w:cs="Times New Roman"/>
          <w:kern w:val="0"/>
          <w14:ligatures w14:val="none"/>
        </w:rPr>
        <w:t xml:space="preserve">chapter 14 of CPTPP mandates cross-border data flow and prohibits </w:t>
      </w:r>
      <w:r w:rsidR="00732384" w:rsidRPr="000F0A15">
        <w:rPr>
          <w:rFonts w:ascii="Times New Roman" w:eastAsia="Times New Roman" w:hAnsi="Times New Roman" w:cs="Times New Roman"/>
          <w:kern w:val="0"/>
          <w14:ligatures w14:val="none"/>
        </w:rPr>
        <w:t xml:space="preserve">data localization. It encompasses the e-commerce chapter </w:t>
      </w:r>
      <w:r w:rsidR="000619C6" w:rsidRPr="000F0A15">
        <w:rPr>
          <w:rFonts w:ascii="Times New Roman" w:eastAsia="Times New Roman" w:hAnsi="Times New Roman" w:cs="Times New Roman"/>
          <w:kern w:val="0"/>
          <w14:ligatures w14:val="none"/>
        </w:rPr>
        <w:t xml:space="preserve">that necessitates no imposition of import duties under Article 14.3, no discriminatory treatment under </w:t>
      </w:r>
      <w:r w:rsidR="00251855" w:rsidRPr="000F0A15">
        <w:rPr>
          <w:rFonts w:ascii="Times New Roman" w:eastAsia="Times New Roman" w:hAnsi="Times New Roman" w:cs="Times New Roman"/>
          <w:kern w:val="0"/>
          <w14:ligatures w14:val="none"/>
        </w:rPr>
        <w:t xml:space="preserve">Article </w:t>
      </w:r>
      <w:r w:rsidR="006E2590" w:rsidRPr="000F0A15">
        <w:rPr>
          <w:rFonts w:ascii="Times New Roman" w:eastAsia="Times New Roman" w:hAnsi="Times New Roman" w:cs="Times New Roman"/>
          <w:kern w:val="0"/>
          <w14:ligatures w14:val="none"/>
        </w:rPr>
        <w:t>14.4.</w:t>
      </w:r>
      <w:r w:rsidR="00B72C54" w:rsidRPr="000F0A15">
        <w:rPr>
          <w:rFonts w:ascii="Times New Roman" w:eastAsia="Times New Roman" w:hAnsi="Times New Roman" w:cs="Times New Roman"/>
          <w:kern w:val="0"/>
          <w14:ligatures w14:val="none"/>
        </w:rPr>
        <w:t xml:space="preserve"> It also</w:t>
      </w:r>
      <w:r w:rsidR="00957279" w:rsidRPr="000F0A15">
        <w:rPr>
          <w:rFonts w:ascii="Times New Roman" w:eastAsia="Times New Roman" w:hAnsi="Times New Roman" w:cs="Times New Roman"/>
          <w:kern w:val="0"/>
          <w14:ligatures w14:val="none"/>
        </w:rPr>
        <w:t xml:space="preserve"> prohibits data localization under Article 14.10.</w:t>
      </w:r>
      <w:r w:rsidR="00B72C54" w:rsidRPr="000F0A15">
        <w:rPr>
          <w:rFonts w:ascii="Times New Roman" w:eastAsia="Times New Roman" w:hAnsi="Times New Roman" w:cs="Times New Roman"/>
          <w:kern w:val="0"/>
          <w14:ligatures w14:val="none"/>
        </w:rPr>
        <w:t xml:space="preserve"> and </w:t>
      </w:r>
      <w:r w:rsidR="00A76D57" w:rsidRPr="000F0A15">
        <w:rPr>
          <w:rFonts w:ascii="Times New Roman" w:eastAsia="Times New Roman" w:hAnsi="Times New Roman" w:cs="Times New Roman"/>
          <w:kern w:val="0"/>
          <w14:ligatures w14:val="none"/>
        </w:rPr>
        <w:t xml:space="preserve">cross-border transfer of computing facilities under Article 14.13. </w:t>
      </w:r>
      <w:r w:rsidR="00B72C54" w:rsidRPr="000F0A15">
        <w:rPr>
          <w:rFonts w:ascii="Times New Roman" w:eastAsia="Times New Roman" w:hAnsi="Times New Roman" w:cs="Times New Roman"/>
          <w:kern w:val="0"/>
          <w14:ligatures w14:val="none"/>
        </w:rPr>
        <w:t>Lastly, it inhibits forced transfer of</w:t>
      </w:r>
      <w:r w:rsidR="006E2590" w:rsidRPr="000F0A15">
        <w:rPr>
          <w:rFonts w:ascii="Times New Roman" w:eastAsia="Times New Roman" w:hAnsi="Times New Roman" w:cs="Times New Roman"/>
          <w:kern w:val="0"/>
          <w14:ligatures w14:val="none"/>
        </w:rPr>
        <w:t xml:space="preserve"> software source codes. </w:t>
      </w:r>
      <w:r w:rsidR="00372D93" w:rsidRPr="000F0A15">
        <w:rPr>
          <w:rFonts w:ascii="Times New Roman" w:eastAsia="Times New Roman" w:hAnsi="Times New Roman" w:cs="Times New Roman"/>
          <w:kern w:val="0"/>
          <w14:ligatures w14:val="none"/>
        </w:rPr>
        <w:t xml:space="preserve">However, </w:t>
      </w:r>
      <w:r w:rsidR="00846CBD" w:rsidRPr="000F0A15">
        <w:rPr>
          <w:rFonts w:ascii="Times New Roman" w:eastAsia="Times New Roman" w:hAnsi="Times New Roman" w:cs="Times New Roman"/>
          <w:kern w:val="0"/>
          <w14:ligatures w14:val="none"/>
        </w:rPr>
        <w:t xml:space="preserve">it also includes general exceptions </w:t>
      </w:r>
      <w:r w:rsidR="00062FC0" w:rsidRPr="000F0A15">
        <w:rPr>
          <w:rFonts w:ascii="Times New Roman" w:eastAsia="Times New Roman" w:hAnsi="Times New Roman" w:cs="Times New Roman"/>
          <w:kern w:val="0"/>
          <w14:ligatures w14:val="none"/>
        </w:rPr>
        <w:t xml:space="preserve">in Chapter 29 to preserve policy space (CPTPP Portal, 2025). </w:t>
      </w:r>
      <w:r w:rsidR="00CC2935" w:rsidRPr="000F0A15">
        <w:rPr>
          <w:rFonts w:ascii="Times New Roman" w:eastAsia="Times New Roman" w:hAnsi="Times New Roman" w:cs="Times New Roman"/>
          <w:kern w:val="0"/>
          <w14:ligatures w14:val="none"/>
        </w:rPr>
        <w:t>On the other hand, DEPA encompasses a modular framework that emphasizes regulatory cooperation and interoperability which offers flexibility while simultaneously supporting liberalization</w:t>
      </w:r>
      <w:r w:rsidR="00463CAC" w:rsidRPr="000F0A15">
        <w:rPr>
          <w:rFonts w:ascii="Times New Roman" w:eastAsia="Times New Roman" w:hAnsi="Times New Roman" w:cs="Times New Roman"/>
          <w:kern w:val="0"/>
          <w14:ligatures w14:val="none"/>
        </w:rPr>
        <w:t>. In this regard, the US, EU and China are utilizing domestic and foreign policies to reap the benefits from data-oriented economies of scale and scope</w:t>
      </w:r>
      <w:r w:rsidR="00CC2935" w:rsidRPr="000F0A15">
        <w:rPr>
          <w:rFonts w:ascii="Times New Roman" w:eastAsia="Times New Roman" w:hAnsi="Times New Roman" w:cs="Times New Roman"/>
          <w:kern w:val="0"/>
          <w14:ligatures w14:val="none"/>
        </w:rPr>
        <w:t xml:space="preserve"> (Aaronson &amp; Leblond, 2018). </w:t>
      </w:r>
      <w:r w:rsidR="00AE2847" w:rsidRPr="000F0A15">
        <w:rPr>
          <w:rFonts w:ascii="Times New Roman" w:eastAsia="Times New Roman" w:hAnsi="Times New Roman" w:cs="Times New Roman"/>
          <w:kern w:val="0"/>
          <w14:ligatures w14:val="none"/>
        </w:rPr>
        <w:t>However,</w:t>
      </w:r>
      <w:r w:rsidR="00463CAC" w:rsidRPr="000F0A15">
        <w:rPr>
          <w:rFonts w:ascii="Times New Roman" w:eastAsia="Times New Roman" w:hAnsi="Times New Roman" w:cs="Times New Roman"/>
          <w:kern w:val="0"/>
          <w14:ligatures w14:val="none"/>
        </w:rPr>
        <w:t xml:space="preserve"> </w:t>
      </w:r>
      <w:r w:rsidR="009E6EEB" w:rsidRPr="000F0A15">
        <w:rPr>
          <w:rFonts w:ascii="Times New Roman" w:eastAsia="Times New Roman" w:hAnsi="Times New Roman" w:cs="Times New Roman"/>
          <w:kern w:val="0"/>
          <w14:ligatures w14:val="none"/>
        </w:rPr>
        <w:t>tensions between trade liberalization and protection of domestic regulatory autonomy</w:t>
      </w:r>
      <w:r w:rsidR="00CA21A2" w:rsidRPr="000F0A15">
        <w:rPr>
          <w:rFonts w:ascii="Times New Roman" w:eastAsia="Times New Roman" w:hAnsi="Times New Roman" w:cs="Times New Roman"/>
          <w:kern w:val="0"/>
          <w14:ligatures w14:val="none"/>
        </w:rPr>
        <w:t>, epitomize in this framework</w:t>
      </w:r>
      <w:r w:rsidR="00CC2D1D" w:rsidRPr="000F0A15">
        <w:rPr>
          <w:rFonts w:ascii="Times New Roman" w:eastAsia="Times New Roman" w:hAnsi="Times New Roman" w:cs="Times New Roman"/>
          <w:kern w:val="0"/>
          <w14:ligatures w14:val="none"/>
        </w:rPr>
        <w:t xml:space="preserve"> (EU</w:t>
      </w:r>
      <w:r w:rsidR="002217C3" w:rsidRPr="000F0A15">
        <w:rPr>
          <w:rFonts w:ascii="Times New Roman" w:eastAsia="Times New Roman" w:hAnsi="Times New Roman" w:cs="Times New Roman"/>
          <w:kern w:val="0"/>
          <w14:ligatures w14:val="none"/>
        </w:rPr>
        <w:t xml:space="preserve"> Parliament</w:t>
      </w:r>
      <w:r w:rsidR="00CC2D1D" w:rsidRPr="000F0A15">
        <w:rPr>
          <w:rFonts w:ascii="Times New Roman" w:eastAsia="Times New Roman" w:hAnsi="Times New Roman" w:cs="Times New Roman"/>
          <w:kern w:val="0"/>
          <w14:ligatures w14:val="none"/>
        </w:rPr>
        <w:t xml:space="preserve">, </w:t>
      </w:r>
      <w:r w:rsidR="002217C3" w:rsidRPr="000F0A15">
        <w:rPr>
          <w:rFonts w:ascii="Times New Roman" w:eastAsia="Times New Roman" w:hAnsi="Times New Roman" w:cs="Times New Roman"/>
          <w:kern w:val="0"/>
          <w14:ligatures w14:val="none"/>
        </w:rPr>
        <w:t>2020)</w:t>
      </w:r>
      <w:r w:rsidR="00CA21A2" w:rsidRPr="000F0A15">
        <w:rPr>
          <w:rFonts w:ascii="Times New Roman" w:eastAsia="Times New Roman" w:hAnsi="Times New Roman" w:cs="Times New Roman"/>
          <w:kern w:val="0"/>
          <w14:ligatures w14:val="none"/>
        </w:rPr>
        <w:t>. This is particularly true across digital domains.</w:t>
      </w:r>
      <w:r w:rsidR="00CD6A68" w:rsidRPr="000F0A15">
        <w:rPr>
          <w:rFonts w:ascii="Times New Roman" w:eastAsia="Times New Roman" w:hAnsi="Times New Roman" w:cs="Times New Roman"/>
          <w:kern w:val="0"/>
          <w14:ligatures w14:val="none"/>
        </w:rPr>
        <w:t xml:space="preserve"> Therefore, while on hand, digital transformation and </w:t>
      </w:r>
      <w:r w:rsidR="005F5099" w:rsidRPr="000F0A15">
        <w:rPr>
          <w:rFonts w:ascii="Times New Roman" w:eastAsia="Times New Roman" w:hAnsi="Times New Roman" w:cs="Times New Roman"/>
          <w:kern w:val="0"/>
          <w14:ligatures w14:val="none"/>
        </w:rPr>
        <w:t>technological enhancement are crucial to achieve sustainability of resources</w:t>
      </w:r>
      <w:r w:rsidR="00E509BF" w:rsidRPr="000F0A15">
        <w:rPr>
          <w:rFonts w:ascii="Times New Roman" w:eastAsia="Times New Roman" w:hAnsi="Times New Roman" w:cs="Times New Roman"/>
          <w:kern w:val="0"/>
          <w14:ligatures w14:val="none"/>
        </w:rPr>
        <w:t xml:space="preserve"> and reduce trade costs</w:t>
      </w:r>
      <w:r w:rsidR="005F5099" w:rsidRPr="000F0A15">
        <w:rPr>
          <w:rFonts w:ascii="Times New Roman" w:eastAsia="Times New Roman" w:hAnsi="Times New Roman" w:cs="Times New Roman"/>
          <w:kern w:val="0"/>
          <w14:ligatures w14:val="none"/>
        </w:rPr>
        <w:t xml:space="preserve"> (</w:t>
      </w:r>
      <w:proofErr w:type="spellStart"/>
      <w:r w:rsidR="005F5099" w:rsidRPr="000F0A15">
        <w:rPr>
          <w:rFonts w:ascii="Times New Roman" w:eastAsia="Times New Roman" w:hAnsi="Times New Roman" w:cs="Times New Roman"/>
          <w:kern w:val="0"/>
          <w14:ligatures w14:val="none"/>
        </w:rPr>
        <w:t>Yingch</w:t>
      </w:r>
      <w:r w:rsidR="00EA4FF5" w:rsidRPr="000F0A15">
        <w:rPr>
          <w:rFonts w:ascii="Times New Roman" w:eastAsia="Times New Roman" w:hAnsi="Times New Roman" w:cs="Times New Roman"/>
          <w:kern w:val="0"/>
          <w14:ligatures w14:val="none"/>
        </w:rPr>
        <w:t>a</w:t>
      </w:r>
      <w:r w:rsidR="005F5099" w:rsidRPr="000F0A15">
        <w:rPr>
          <w:rFonts w:ascii="Times New Roman" w:eastAsia="Times New Roman" w:hAnsi="Times New Roman" w:cs="Times New Roman"/>
          <w:kern w:val="0"/>
          <w14:ligatures w14:val="none"/>
        </w:rPr>
        <w:t>o</w:t>
      </w:r>
      <w:proofErr w:type="spellEnd"/>
      <w:r w:rsidR="005F5099" w:rsidRPr="000F0A15">
        <w:rPr>
          <w:rFonts w:ascii="Times New Roman" w:eastAsia="Times New Roman" w:hAnsi="Times New Roman" w:cs="Times New Roman"/>
          <w:kern w:val="0"/>
          <w14:ligatures w14:val="none"/>
        </w:rPr>
        <w:t xml:space="preserve"> &amp; Xiang, 2024</w:t>
      </w:r>
      <w:r w:rsidR="00E509BF" w:rsidRPr="000F0A15">
        <w:rPr>
          <w:rFonts w:ascii="Times New Roman" w:eastAsia="Times New Roman" w:hAnsi="Times New Roman" w:cs="Times New Roman"/>
          <w:kern w:val="0"/>
          <w14:ligatures w14:val="none"/>
        </w:rPr>
        <w:t>;</w:t>
      </w:r>
      <w:r w:rsidR="00354F5E" w:rsidRPr="000F0A15">
        <w:rPr>
          <w:rFonts w:ascii="Times New Roman" w:eastAsia="Times New Roman" w:hAnsi="Times New Roman" w:cs="Times New Roman"/>
          <w:kern w:val="0"/>
          <w14:ligatures w14:val="none"/>
        </w:rPr>
        <w:t xml:space="preserve"> Xiang &amp; Zhao, 2025</w:t>
      </w:r>
      <w:r w:rsidR="005F5099" w:rsidRPr="000F0A15">
        <w:rPr>
          <w:rFonts w:ascii="Times New Roman" w:eastAsia="Times New Roman" w:hAnsi="Times New Roman" w:cs="Times New Roman"/>
          <w:kern w:val="0"/>
          <w14:ligatures w14:val="none"/>
        </w:rPr>
        <w:t>)</w:t>
      </w:r>
      <w:r w:rsidR="00354F5E" w:rsidRPr="000F0A15">
        <w:rPr>
          <w:rFonts w:ascii="Times New Roman" w:eastAsia="Times New Roman" w:hAnsi="Times New Roman" w:cs="Times New Roman"/>
          <w:kern w:val="0"/>
          <w14:ligatures w14:val="none"/>
        </w:rPr>
        <w:t xml:space="preserve">, </w:t>
      </w:r>
      <w:r w:rsidR="00F73074" w:rsidRPr="000F0A15">
        <w:rPr>
          <w:rFonts w:ascii="Times New Roman" w:eastAsia="Times New Roman" w:hAnsi="Times New Roman" w:cs="Times New Roman"/>
          <w:kern w:val="0"/>
          <w14:ligatures w14:val="none"/>
        </w:rPr>
        <w:t xml:space="preserve">on the other, trade provision and privacy protection clauses in the RTA tend to exert much stronger positive impacts on imports than provisions for data flow (Xiang &amp; Zhao, 2025). </w:t>
      </w:r>
    </w:p>
    <w:p w14:paraId="123F7FDF" w14:textId="4DDC0842" w:rsidR="0044725E" w:rsidRPr="000F0A15" w:rsidRDefault="00EA53E8"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In the same context, China’s evolving data governance regime is rooted in the Cybersecurity Law of 2017, Data Security Law</w:t>
      </w:r>
      <w:r w:rsidR="00BE54D7" w:rsidRPr="000F0A15">
        <w:rPr>
          <w:rFonts w:ascii="Times New Roman" w:eastAsia="Times New Roman" w:hAnsi="Times New Roman" w:cs="Times New Roman"/>
          <w:kern w:val="0"/>
          <w14:ligatures w14:val="none"/>
        </w:rPr>
        <w:t xml:space="preserve"> (DSL)</w:t>
      </w:r>
      <w:r w:rsidRPr="000F0A15">
        <w:rPr>
          <w:rFonts w:ascii="Times New Roman" w:eastAsia="Times New Roman" w:hAnsi="Times New Roman" w:cs="Times New Roman"/>
          <w:kern w:val="0"/>
          <w14:ligatures w14:val="none"/>
        </w:rPr>
        <w:t xml:space="preserve"> of 2021 and Personal Information Protection Law</w:t>
      </w:r>
      <w:r w:rsidR="00DF3D87" w:rsidRPr="000F0A15">
        <w:rPr>
          <w:rFonts w:ascii="Times New Roman" w:eastAsia="Times New Roman" w:hAnsi="Times New Roman" w:cs="Times New Roman"/>
          <w:kern w:val="0"/>
          <w14:ligatures w14:val="none"/>
        </w:rPr>
        <w:t xml:space="preserve"> (PIPL)</w:t>
      </w:r>
      <w:r w:rsidRPr="000F0A15">
        <w:rPr>
          <w:rFonts w:ascii="Times New Roman" w:eastAsia="Times New Roman" w:hAnsi="Times New Roman" w:cs="Times New Roman"/>
          <w:kern w:val="0"/>
          <w14:ligatures w14:val="none"/>
        </w:rPr>
        <w:t xml:space="preserve"> of 2021</w:t>
      </w:r>
      <w:r w:rsidR="00396C65" w:rsidRPr="000F0A15">
        <w:rPr>
          <w:rFonts w:ascii="Times New Roman" w:eastAsia="Times New Roman" w:hAnsi="Times New Roman" w:cs="Times New Roman"/>
          <w:kern w:val="0"/>
          <w14:ligatures w14:val="none"/>
        </w:rPr>
        <w:t xml:space="preserve"> (NZFAT, 2022</w:t>
      </w:r>
      <w:r w:rsidR="007205C3" w:rsidRPr="000F0A15">
        <w:rPr>
          <w:rFonts w:ascii="Times New Roman" w:eastAsia="Times New Roman" w:hAnsi="Times New Roman" w:cs="Times New Roman"/>
          <w:kern w:val="0"/>
          <w14:ligatures w14:val="none"/>
        </w:rPr>
        <w:t xml:space="preserve">). </w:t>
      </w:r>
      <w:r w:rsidR="006E1DA6" w:rsidRPr="000F0A15">
        <w:rPr>
          <w:rFonts w:ascii="Times New Roman" w:eastAsia="Times New Roman" w:hAnsi="Times New Roman" w:cs="Times New Roman"/>
          <w:kern w:val="0"/>
          <w14:ligatures w14:val="none"/>
        </w:rPr>
        <w:t xml:space="preserve">These </w:t>
      </w:r>
      <w:r w:rsidR="006E1DA6" w:rsidRPr="00C72729">
        <w:rPr>
          <w:rFonts w:ascii="Times New Roman" w:eastAsia="Times New Roman" w:hAnsi="Times New Roman" w:cs="Times New Roman"/>
          <w:strike/>
          <w:kern w:val="0"/>
          <w14:ligatures w14:val="none"/>
        </w:rPr>
        <w:t>embodies</w:t>
      </w:r>
      <w:r w:rsidR="006E1DA6" w:rsidRPr="000F0A15">
        <w:rPr>
          <w:rFonts w:ascii="Times New Roman" w:eastAsia="Times New Roman" w:hAnsi="Times New Roman" w:cs="Times New Roman"/>
          <w:kern w:val="0"/>
          <w14:ligatures w14:val="none"/>
        </w:rPr>
        <w:t xml:space="preserve"> </w:t>
      </w:r>
      <w:r w:rsidR="00C72729" w:rsidRPr="00C72729">
        <w:rPr>
          <w:rFonts w:ascii="Times New Roman" w:eastAsia="Times New Roman" w:hAnsi="Times New Roman" w:cs="Times New Roman"/>
          <w:color w:val="FF0000"/>
          <w:kern w:val="0"/>
          <w14:ligatures w14:val="none"/>
        </w:rPr>
        <w:t>embody</w:t>
      </w:r>
      <w:r w:rsidR="00C72729">
        <w:rPr>
          <w:rFonts w:ascii="Times New Roman" w:eastAsia="Times New Roman" w:hAnsi="Times New Roman" w:cs="Times New Roman"/>
          <w:kern w:val="0"/>
          <w14:ligatures w14:val="none"/>
        </w:rPr>
        <w:t xml:space="preserve"> </w:t>
      </w:r>
      <w:r w:rsidR="006E1DA6" w:rsidRPr="000F0A15">
        <w:rPr>
          <w:rFonts w:ascii="Times New Roman" w:eastAsia="Times New Roman" w:hAnsi="Times New Roman" w:cs="Times New Roman"/>
          <w:kern w:val="0"/>
          <w14:ligatures w14:val="none"/>
        </w:rPr>
        <w:t xml:space="preserve">a strategy of data sovereignty. It emphasizes state control over data that has been generated within its territory. </w:t>
      </w:r>
      <w:r w:rsidR="005E24C2" w:rsidRPr="000F0A15">
        <w:rPr>
          <w:rFonts w:ascii="Times New Roman" w:eastAsia="Times New Roman" w:hAnsi="Times New Roman" w:cs="Times New Roman"/>
          <w:kern w:val="0"/>
          <w14:ligatures w14:val="none"/>
        </w:rPr>
        <w:t>These policies</w:t>
      </w:r>
      <w:r w:rsidR="00A204D8" w:rsidRPr="000F0A15">
        <w:rPr>
          <w:rFonts w:ascii="Times New Roman" w:eastAsia="Times New Roman" w:hAnsi="Times New Roman" w:cs="Times New Roman"/>
          <w:kern w:val="0"/>
          <w14:ligatures w14:val="none"/>
        </w:rPr>
        <w:t xml:space="preserve"> are in sharp contrast with that of </w:t>
      </w:r>
      <w:r w:rsidR="00E5538A" w:rsidRPr="000F0A15">
        <w:rPr>
          <w:rFonts w:ascii="Times New Roman" w:eastAsia="Times New Roman" w:hAnsi="Times New Roman" w:cs="Times New Roman"/>
          <w:kern w:val="0"/>
          <w14:ligatures w14:val="none"/>
        </w:rPr>
        <w:t xml:space="preserve">the US and EU, as the former has a market friendly data governance model whereas the latter entails the </w:t>
      </w:r>
      <w:r w:rsidR="005E24C2" w:rsidRPr="000F0A15">
        <w:rPr>
          <w:rFonts w:ascii="Times New Roman" w:eastAsia="Times New Roman" w:hAnsi="Times New Roman" w:cs="Times New Roman"/>
          <w:kern w:val="0"/>
          <w14:ligatures w14:val="none"/>
        </w:rPr>
        <w:t>General</w:t>
      </w:r>
      <w:r w:rsidR="00E5538A" w:rsidRPr="000F0A15">
        <w:rPr>
          <w:rFonts w:ascii="Times New Roman" w:eastAsia="Times New Roman" w:hAnsi="Times New Roman" w:cs="Times New Roman"/>
          <w:kern w:val="0"/>
          <w14:ligatures w14:val="none"/>
        </w:rPr>
        <w:t xml:space="preserve"> Data Protection Regulation (GD</w:t>
      </w:r>
      <w:r w:rsidR="005E24C2" w:rsidRPr="000F0A15">
        <w:rPr>
          <w:rFonts w:ascii="Times New Roman" w:eastAsia="Times New Roman" w:hAnsi="Times New Roman" w:cs="Times New Roman"/>
          <w:kern w:val="0"/>
          <w14:ligatures w14:val="none"/>
        </w:rPr>
        <w:t xml:space="preserve">PR) framework (Yun, 2024). Both of these models prioritize the protection of human rights. </w:t>
      </w:r>
      <w:r w:rsidR="00292106" w:rsidRPr="000F0A15">
        <w:rPr>
          <w:rFonts w:ascii="Times New Roman" w:eastAsia="Times New Roman" w:hAnsi="Times New Roman" w:cs="Times New Roman"/>
          <w:kern w:val="0"/>
          <w14:ligatures w14:val="none"/>
        </w:rPr>
        <w:t xml:space="preserve">Thus, although in the context of China, data sovereignty has been framed as necessary for national security and public interest, these laws </w:t>
      </w:r>
      <w:r w:rsidR="00292106" w:rsidRPr="000F0A15">
        <w:rPr>
          <w:rFonts w:ascii="Times New Roman" w:eastAsia="Times New Roman" w:hAnsi="Times New Roman" w:cs="Times New Roman"/>
          <w:kern w:val="0"/>
          <w14:ligatures w14:val="none"/>
        </w:rPr>
        <w:lastRenderedPageBreak/>
        <w:t xml:space="preserve">subsequently raise concerns regarding China’s compatibility with international frameworks of digital trade. </w:t>
      </w:r>
    </w:p>
    <w:p w14:paraId="40912BB8" w14:textId="76E5AEE3" w:rsidR="00EA53E8" w:rsidRPr="000F0A15" w:rsidRDefault="00292106"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Thus, despite a rich literature </w:t>
      </w:r>
      <w:r w:rsidR="0044725E" w:rsidRPr="000F0A15">
        <w:rPr>
          <w:rFonts w:ascii="Times New Roman" w:eastAsia="Times New Roman" w:hAnsi="Times New Roman" w:cs="Times New Roman"/>
          <w:kern w:val="0"/>
          <w14:ligatures w14:val="none"/>
        </w:rPr>
        <w:t xml:space="preserve">that exists in this realm, there is a notable gap in examining how general exceptions operate as legal bridges or perhaps points of friction between multilateral agreements and domestic digital regimes. </w:t>
      </w:r>
      <w:r w:rsidR="00FF1DF5" w:rsidRPr="000F0A15">
        <w:rPr>
          <w:rFonts w:ascii="Times New Roman" w:eastAsia="Times New Roman" w:hAnsi="Times New Roman" w:cs="Times New Roman"/>
          <w:kern w:val="0"/>
          <w14:ligatures w14:val="none"/>
        </w:rPr>
        <w:t xml:space="preserve">Therefore, the concepts of </w:t>
      </w:r>
      <w:commentRangeStart w:id="10"/>
      <w:r w:rsidR="00FF1DF5" w:rsidRPr="000F0A15">
        <w:rPr>
          <w:rFonts w:ascii="Times New Roman" w:eastAsia="Times New Roman" w:hAnsi="Times New Roman" w:cs="Times New Roman"/>
          <w:kern w:val="0"/>
          <w14:ligatures w14:val="none"/>
        </w:rPr>
        <w:t>legal pluralism, regulatory sovereignty and digital protection</w:t>
      </w:r>
      <w:commentRangeEnd w:id="10"/>
      <w:r w:rsidR="008809EB">
        <w:rPr>
          <w:rStyle w:val="CommentReference"/>
        </w:rPr>
        <w:commentReference w:id="10"/>
      </w:r>
      <w:r w:rsidR="00FF1DF5" w:rsidRPr="000F0A15">
        <w:rPr>
          <w:rFonts w:ascii="Times New Roman" w:eastAsia="Times New Roman" w:hAnsi="Times New Roman" w:cs="Times New Roman"/>
          <w:kern w:val="0"/>
          <w14:ligatures w14:val="none"/>
        </w:rPr>
        <w:t xml:space="preserve"> are essential to understand where China stands in this normative landscape that is so highly contested. </w:t>
      </w:r>
    </w:p>
    <w:p w14:paraId="5B8CA67D" w14:textId="592722F5" w:rsidR="003F5E10" w:rsidRPr="000F0A15" w:rsidRDefault="003F5E10" w:rsidP="003F5E10">
      <w:pPr>
        <w:pStyle w:val="ListParagraph"/>
        <w:numPr>
          <w:ilvl w:val="1"/>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 xml:space="preserve"> Legal Background: WTO General Exceptions and the Two-Tier test</w:t>
      </w:r>
    </w:p>
    <w:p w14:paraId="1D3C25C9" w14:textId="7A55DE7C" w:rsidR="003F5E10" w:rsidRPr="000F0A15" w:rsidRDefault="00375414" w:rsidP="003F5E10">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General exception clauses that are embedded in Article XX of GATT and Article XIV of GATS, provides member states with a legal space that is essential to adopt trade-restrictive measures. </w:t>
      </w:r>
      <w:r w:rsidR="005917F0" w:rsidRPr="000F0A15">
        <w:rPr>
          <w:rFonts w:ascii="Times New Roman" w:eastAsia="Times New Roman" w:hAnsi="Times New Roman" w:cs="Times New Roman"/>
          <w:kern w:val="0"/>
          <w14:ligatures w14:val="none"/>
        </w:rPr>
        <w:t xml:space="preserve">These measures pursue public policy objectives that are legitimate. These include the protection of public morals, human, animal or plant life and health, and national security (Bartels, 2017; Marwell, 2006). </w:t>
      </w:r>
      <w:r w:rsidR="00973C09" w:rsidRPr="000F0A15">
        <w:rPr>
          <w:rFonts w:ascii="Times New Roman" w:eastAsia="Times New Roman" w:hAnsi="Times New Roman" w:cs="Times New Roman"/>
          <w:kern w:val="0"/>
          <w14:ligatures w14:val="none"/>
        </w:rPr>
        <w:t xml:space="preserve">However, in order to prevent the misuse of such clauses, they have been subjected to strict legal scrutiny and have rarely been invoked successfully. </w:t>
      </w:r>
      <w:r w:rsidR="00FC319F" w:rsidRPr="000F0A15">
        <w:rPr>
          <w:rFonts w:ascii="Times New Roman" w:eastAsia="Times New Roman" w:hAnsi="Times New Roman" w:cs="Times New Roman"/>
          <w:kern w:val="0"/>
          <w14:ligatures w14:val="none"/>
        </w:rPr>
        <w:t xml:space="preserve">In this regard, </w:t>
      </w:r>
      <w:r w:rsidR="00676E7A" w:rsidRPr="000F0A15">
        <w:rPr>
          <w:rFonts w:ascii="Times New Roman" w:eastAsia="Times New Roman" w:hAnsi="Times New Roman" w:cs="Times New Roman"/>
          <w:kern w:val="0"/>
          <w14:ligatures w14:val="none"/>
        </w:rPr>
        <w:t xml:space="preserve">as per Public </w:t>
      </w:r>
      <w:commentRangeStart w:id="11"/>
      <w:r w:rsidR="00676E7A" w:rsidRPr="000F0A15">
        <w:rPr>
          <w:rFonts w:ascii="Times New Roman" w:eastAsia="Times New Roman" w:hAnsi="Times New Roman" w:cs="Times New Roman"/>
          <w:kern w:val="0"/>
          <w14:ligatures w14:val="none"/>
        </w:rPr>
        <w:t>Citizen (205)</w:t>
      </w:r>
      <w:commentRangeEnd w:id="11"/>
      <w:r w:rsidR="00C72729">
        <w:rPr>
          <w:rStyle w:val="CommentReference"/>
        </w:rPr>
        <w:commentReference w:id="11"/>
      </w:r>
      <w:r w:rsidR="00676E7A" w:rsidRPr="000F0A15">
        <w:rPr>
          <w:rFonts w:ascii="Times New Roman" w:eastAsia="Times New Roman" w:hAnsi="Times New Roman" w:cs="Times New Roman"/>
          <w:kern w:val="0"/>
          <w14:ligatures w14:val="none"/>
        </w:rPr>
        <w:t xml:space="preserve">, </w:t>
      </w:r>
      <w:r w:rsidR="00FC319F" w:rsidRPr="000F0A15">
        <w:rPr>
          <w:rFonts w:ascii="Times New Roman" w:eastAsia="Times New Roman" w:hAnsi="Times New Roman" w:cs="Times New Roman"/>
          <w:kern w:val="0"/>
          <w14:ligatures w14:val="none"/>
        </w:rPr>
        <w:t xml:space="preserve">as of 2015, only 1 out of 44 attempts to use the general exception clauses, have succeeded. </w:t>
      </w:r>
      <w:r w:rsidR="00AC446D" w:rsidRPr="000F0A15">
        <w:rPr>
          <w:rFonts w:ascii="Times New Roman" w:eastAsia="Times New Roman" w:hAnsi="Times New Roman" w:cs="Times New Roman"/>
          <w:kern w:val="0"/>
          <w14:ligatures w14:val="none"/>
        </w:rPr>
        <w:t>This was the EC-Asbestos case. Moreover, out of the 44 cases, the general exceptions were considered to be relevant enough across 33 cases however, 32 out of these 33 case</w:t>
      </w:r>
      <w:r w:rsidR="002B0EAD" w:rsidRPr="000F0A15">
        <w:rPr>
          <w:rFonts w:ascii="Times New Roman" w:eastAsia="Times New Roman" w:hAnsi="Times New Roman" w:cs="Times New Roman"/>
          <w:kern w:val="0"/>
          <w14:ligatures w14:val="none"/>
        </w:rPr>
        <w:t>s</w:t>
      </w:r>
      <w:r w:rsidR="00AC446D" w:rsidRPr="000F0A15">
        <w:rPr>
          <w:rFonts w:ascii="Times New Roman" w:eastAsia="Times New Roman" w:hAnsi="Times New Roman" w:cs="Times New Roman"/>
          <w:kern w:val="0"/>
          <w14:ligatures w14:val="none"/>
        </w:rPr>
        <w:t xml:space="preserve"> failed to satisfy </w:t>
      </w:r>
      <w:r w:rsidR="002B0EAD" w:rsidRPr="000F0A15">
        <w:rPr>
          <w:rFonts w:ascii="Times New Roman" w:eastAsia="Times New Roman" w:hAnsi="Times New Roman" w:cs="Times New Roman"/>
          <w:kern w:val="0"/>
          <w14:ligatures w14:val="none"/>
        </w:rPr>
        <w:t xml:space="preserve">1 out of 3 of the threshold tests that the clauses’ application demand. These are: </w:t>
      </w:r>
    </w:p>
    <w:p w14:paraId="7E2FF179" w14:textId="77777777" w:rsidR="00715D8E" w:rsidRPr="000F0A15" w:rsidRDefault="00720ECA" w:rsidP="00720ECA">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Table 1: Threshold Tests</w:t>
      </w:r>
      <w:r w:rsidR="00715D8E" w:rsidRPr="000F0A15">
        <w:rPr>
          <w:rFonts w:ascii="Times New Roman" w:eastAsia="Times New Roman" w:hAnsi="Times New Roman" w:cs="Times New Roman"/>
          <w:b/>
          <w:bCs/>
          <w:i/>
          <w:iCs/>
          <w:kern w:val="0"/>
          <w:sz w:val="20"/>
          <w:szCs w:val="20"/>
          <w14:ligatures w14:val="none"/>
        </w:rPr>
        <w:t xml:space="preserve"> </w:t>
      </w:r>
    </w:p>
    <w:p w14:paraId="6C81C7DB" w14:textId="128273DF" w:rsidR="00720ECA" w:rsidRPr="000F0A15" w:rsidRDefault="00715D8E" w:rsidP="00720ECA">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Adapted from Public Citizen, 2015</w:t>
      </w:r>
    </w:p>
    <w:tbl>
      <w:tblPr>
        <w:tblStyle w:val="TableGrid"/>
        <w:tblW w:w="0" w:type="auto"/>
        <w:jc w:val="center"/>
        <w:tblLook w:val="04A0" w:firstRow="1" w:lastRow="0" w:firstColumn="1" w:lastColumn="0" w:noHBand="0" w:noVBand="1"/>
      </w:tblPr>
      <w:tblGrid>
        <w:gridCol w:w="3116"/>
        <w:gridCol w:w="3117"/>
        <w:gridCol w:w="3117"/>
      </w:tblGrid>
      <w:tr w:rsidR="006860BF" w:rsidRPr="000F0A15" w14:paraId="691ECDEE" w14:textId="77777777" w:rsidTr="004E0057">
        <w:trPr>
          <w:jc w:val="center"/>
        </w:trPr>
        <w:tc>
          <w:tcPr>
            <w:tcW w:w="3116" w:type="dxa"/>
          </w:tcPr>
          <w:p w14:paraId="3C4BABCB" w14:textId="4B271679" w:rsidR="006860BF" w:rsidRPr="000F0A15" w:rsidRDefault="006860BF" w:rsidP="006860BF">
            <w:pPr>
              <w:spacing w:line="360" w:lineRule="auto"/>
              <w:jc w:val="both"/>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Threshold Test</w:t>
            </w:r>
          </w:p>
        </w:tc>
        <w:tc>
          <w:tcPr>
            <w:tcW w:w="3117" w:type="dxa"/>
          </w:tcPr>
          <w:p w14:paraId="3E0A6BEE" w14:textId="55718AAE" w:rsidR="006860BF" w:rsidRPr="000F0A15" w:rsidRDefault="00ED2692" w:rsidP="006860BF">
            <w:pPr>
              <w:spacing w:line="360" w:lineRule="auto"/>
              <w:jc w:val="both"/>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Definition</w:t>
            </w:r>
          </w:p>
        </w:tc>
        <w:tc>
          <w:tcPr>
            <w:tcW w:w="3117" w:type="dxa"/>
          </w:tcPr>
          <w:p w14:paraId="30DB537E" w14:textId="2F6418A9" w:rsidR="006860BF" w:rsidRPr="000F0A15" w:rsidRDefault="00ED2692" w:rsidP="006860BF">
            <w:pPr>
              <w:spacing w:line="360" w:lineRule="auto"/>
              <w:jc w:val="both"/>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Number of cases failed</w:t>
            </w:r>
          </w:p>
        </w:tc>
      </w:tr>
      <w:tr w:rsidR="006860BF" w:rsidRPr="000F0A15" w14:paraId="14704A09" w14:textId="77777777" w:rsidTr="004E0057">
        <w:trPr>
          <w:jc w:val="center"/>
        </w:trPr>
        <w:tc>
          <w:tcPr>
            <w:tcW w:w="3116" w:type="dxa"/>
          </w:tcPr>
          <w:p w14:paraId="5DCF1666" w14:textId="3CEF6B16" w:rsidR="006860BF" w:rsidRPr="000F0A15" w:rsidRDefault="00ED2692"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Matter/Scope threshold</w:t>
            </w:r>
          </w:p>
        </w:tc>
        <w:tc>
          <w:tcPr>
            <w:tcW w:w="3117" w:type="dxa"/>
          </w:tcPr>
          <w:p w14:paraId="6C9B3951" w14:textId="42D4D01C" w:rsidR="006860BF" w:rsidRPr="000F0A15" w:rsidRDefault="0044466E"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hAnsi="Times New Roman" w:cs="Times New Roman"/>
                <w:sz w:val="20"/>
                <w:szCs w:val="20"/>
              </w:rPr>
              <w:t>“Tribunal concluding that the Respondent failed to show that the measure was designed for the protection of human health or for securing compliance with laws or regulations which were not inconsistent with WTO provisions”</w:t>
            </w:r>
          </w:p>
        </w:tc>
        <w:tc>
          <w:tcPr>
            <w:tcW w:w="3117" w:type="dxa"/>
          </w:tcPr>
          <w:p w14:paraId="19F2D8B5" w14:textId="52108B7C" w:rsidR="006860BF"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5</w:t>
            </w:r>
          </w:p>
        </w:tc>
      </w:tr>
      <w:tr w:rsidR="006860BF" w:rsidRPr="000F0A15" w14:paraId="211900F7" w14:textId="77777777" w:rsidTr="004E0057">
        <w:trPr>
          <w:jc w:val="center"/>
        </w:trPr>
        <w:tc>
          <w:tcPr>
            <w:tcW w:w="3116" w:type="dxa"/>
          </w:tcPr>
          <w:p w14:paraId="32D4EA2D" w14:textId="0A921CD2" w:rsidR="006860BF" w:rsidRPr="000F0A15" w:rsidRDefault="00ED2692"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“Necessary” or ‘Related” threshold</w:t>
            </w:r>
          </w:p>
        </w:tc>
        <w:tc>
          <w:tcPr>
            <w:tcW w:w="3117" w:type="dxa"/>
          </w:tcPr>
          <w:p w14:paraId="2D288EF3" w14:textId="0462818C" w:rsidR="006860BF"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w:t>
            </w:r>
          </w:p>
        </w:tc>
        <w:tc>
          <w:tcPr>
            <w:tcW w:w="3117" w:type="dxa"/>
          </w:tcPr>
          <w:p w14:paraId="0800C883" w14:textId="7B67452D" w:rsidR="006860BF"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18</w:t>
            </w:r>
          </w:p>
        </w:tc>
      </w:tr>
      <w:tr w:rsidR="00ED2692" w:rsidRPr="000F0A15" w14:paraId="2B31A18C" w14:textId="77777777" w:rsidTr="004E0057">
        <w:trPr>
          <w:jc w:val="center"/>
        </w:trPr>
        <w:tc>
          <w:tcPr>
            <w:tcW w:w="3116" w:type="dxa"/>
          </w:tcPr>
          <w:p w14:paraId="7DA1F1FB" w14:textId="24240B0F" w:rsidR="00ED2692" w:rsidRPr="000F0A15" w:rsidRDefault="00ED2692"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lastRenderedPageBreak/>
              <w:t>Chapeau threshold</w:t>
            </w:r>
          </w:p>
        </w:tc>
        <w:tc>
          <w:tcPr>
            <w:tcW w:w="3117" w:type="dxa"/>
          </w:tcPr>
          <w:p w14:paraId="48CD36AD" w14:textId="41235AE3" w:rsidR="00ED2692"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“T</w:t>
            </w:r>
            <w:r w:rsidRPr="000F0A15">
              <w:rPr>
                <w:rFonts w:ascii="Times New Roman" w:hAnsi="Times New Roman" w:cs="Times New Roman"/>
                <w:sz w:val="20"/>
                <w:szCs w:val="20"/>
              </w:rPr>
              <w:t>ribunal finding arbitrary or unjustifiable discrimination in the measures’ application.”</w:t>
            </w:r>
          </w:p>
        </w:tc>
        <w:tc>
          <w:tcPr>
            <w:tcW w:w="3117" w:type="dxa"/>
          </w:tcPr>
          <w:p w14:paraId="03B75482" w14:textId="43D5C4AF" w:rsidR="00ED2692"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9</w:t>
            </w:r>
          </w:p>
        </w:tc>
      </w:tr>
    </w:tbl>
    <w:p w14:paraId="39D699CF" w14:textId="77777777" w:rsidR="002B0EAD" w:rsidRPr="000F0A15" w:rsidRDefault="002B0EAD" w:rsidP="006860BF">
      <w:pPr>
        <w:spacing w:line="360" w:lineRule="auto"/>
        <w:jc w:val="both"/>
        <w:rPr>
          <w:rFonts w:ascii="Times New Roman" w:eastAsia="Times New Roman" w:hAnsi="Times New Roman" w:cs="Times New Roman"/>
          <w:kern w:val="0"/>
          <w14:ligatures w14:val="none"/>
        </w:rPr>
      </w:pPr>
    </w:p>
    <w:p w14:paraId="2AB575AE" w14:textId="2BE08D24" w:rsidR="00720ECA" w:rsidRPr="000F0A15" w:rsidRDefault="00610F1B" w:rsidP="006860BF">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Both GATT Article XX and GATS Article XIV adopt a two-tier structure. </w:t>
      </w:r>
      <w:r w:rsidR="00B6607B" w:rsidRPr="000F0A15">
        <w:rPr>
          <w:rFonts w:ascii="Times New Roman" w:eastAsia="Times New Roman" w:hAnsi="Times New Roman" w:cs="Times New Roman"/>
          <w:kern w:val="0"/>
          <w14:ligatures w14:val="none"/>
        </w:rPr>
        <w:t xml:space="preserve">According to Van den Bossche &amp; </w:t>
      </w:r>
      <w:proofErr w:type="spellStart"/>
      <w:r w:rsidR="00B6607B" w:rsidRPr="000F0A15">
        <w:rPr>
          <w:rFonts w:ascii="Times New Roman" w:eastAsia="Times New Roman" w:hAnsi="Times New Roman" w:cs="Times New Roman"/>
          <w:kern w:val="0"/>
          <w14:ligatures w14:val="none"/>
        </w:rPr>
        <w:t>Zdouc</w:t>
      </w:r>
      <w:proofErr w:type="spellEnd"/>
      <w:r w:rsidR="00B6607B" w:rsidRPr="000F0A15">
        <w:rPr>
          <w:rFonts w:ascii="Times New Roman" w:eastAsia="Times New Roman" w:hAnsi="Times New Roman" w:cs="Times New Roman"/>
          <w:kern w:val="0"/>
          <w14:ligatures w14:val="none"/>
        </w:rPr>
        <w:t xml:space="preserve">, 2017) </w:t>
      </w:r>
      <w:r w:rsidRPr="000F0A15">
        <w:rPr>
          <w:rFonts w:ascii="Times New Roman" w:eastAsia="Times New Roman" w:hAnsi="Times New Roman" w:cs="Times New Roman"/>
          <w:kern w:val="0"/>
          <w14:ligatures w14:val="none"/>
        </w:rPr>
        <w:t xml:space="preserve">The </w:t>
      </w:r>
      <w:r w:rsidR="00E3336D" w:rsidRPr="000F0A15">
        <w:rPr>
          <w:rFonts w:ascii="Times New Roman" w:eastAsia="Times New Roman" w:hAnsi="Times New Roman" w:cs="Times New Roman"/>
          <w:kern w:val="0"/>
          <w14:ligatures w14:val="none"/>
        </w:rPr>
        <w:t>first-tier</w:t>
      </w:r>
      <w:r w:rsidRPr="000F0A15">
        <w:rPr>
          <w:rFonts w:ascii="Times New Roman" w:eastAsia="Times New Roman" w:hAnsi="Times New Roman" w:cs="Times New Roman"/>
          <w:kern w:val="0"/>
          <w14:ligatures w14:val="none"/>
        </w:rPr>
        <w:t xml:space="preserve"> mandates that a contested measure </w:t>
      </w:r>
      <w:r w:rsidR="00107431" w:rsidRPr="000F0A15">
        <w:rPr>
          <w:rFonts w:ascii="Times New Roman" w:eastAsia="Times New Roman" w:hAnsi="Times New Roman" w:cs="Times New Roman"/>
          <w:kern w:val="0"/>
          <w14:ligatures w14:val="none"/>
        </w:rPr>
        <w:t xml:space="preserve">falls within one of the listed sub-paragraphs such as Article XX(b) for health protection or Article XX(a) for public morals. </w:t>
      </w:r>
      <w:r w:rsidR="00E3336D" w:rsidRPr="000F0A15">
        <w:rPr>
          <w:rFonts w:ascii="Times New Roman" w:eastAsia="Times New Roman" w:hAnsi="Times New Roman" w:cs="Times New Roman"/>
          <w:kern w:val="0"/>
          <w14:ligatures w14:val="none"/>
        </w:rPr>
        <w:t xml:space="preserve">The second tier which is often referred to as the </w:t>
      </w:r>
      <w:r w:rsidR="00E3336D" w:rsidRPr="000F0A15">
        <w:rPr>
          <w:rFonts w:ascii="Times New Roman" w:eastAsia="Times New Roman" w:hAnsi="Times New Roman" w:cs="Times New Roman"/>
          <w:i/>
          <w:iCs/>
          <w:kern w:val="0"/>
          <w14:ligatures w14:val="none"/>
        </w:rPr>
        <w:t xml:space="preserve">chapeau, </w:t>
      </w:r>
      <w:r w:rsidR="00E3336D" w:rsidRPr="000F0A15">
        <w:rPr>
          <w:rFonts w:ascii="Times New Roman" w:eastAsia="Times New Roman" w:hAnsi="Times New Roman" w:cs="Times New Roman"/>
          <w:kern w:val="0"/>
          <w14:ligatures w14:val="none"/>
        </w:rPr>
        <w:t>imposes additional constraints. It demands that the measure ought to not be applied in a manner that would constitute as arbitrary or unjustifiable discrimination. Moreover, it should not be</w:t>
      </w:r>
      <w:r w:rsidR="00F42566" w:rsidRPr="000F0A15">
        <w:rPr>
          <w:rFonts w:ascii="Times New Roman" w:eastAsia="Times New Roman" w:hAnsi="Times New Roman" w:cs="Times New Roman"/>
          <w:kern w:val="0"/>
          <w14:ligatures w14:val="none"/>
        </w:rPr>
        <w:t xml:space="preserve"> a</w:t>
      </w:r>
      <w:r w:rsidR="00E3336D" w:rsidRPr="000F0A15">
        <w:rPr>
          <w:rFonts w:ascii="Times New Roman" w:eastAsia="Times New Roman" w:hAnsi="Times New Roman" w:cs="Times New Roman"/>
          <w:kern w:val="0"/>
          <w14:ligatures w14:val="none"/>
        </w:rPr>
        <w:t xml:space="preserve"> disguised </w:t>
      </w:r>
      <w:r w:rsidR="00F42566" w:rsidRPr="000F0A15">
        <w:rPr>
          <w:rFonts w:ascii="Times New Roman" w:eastAsia="Times New Roman" w:hAnsi="Times New Roman" w:cs="Times New Roman"/>
          <w:kern w:val="0"/>
          <w14:ligatures w14:val="none"/>
        </w:rPr>
        <w:t xml:space="preserve">restriction on international trade. This two-step analysis has been clarified by the WTO jurisprudence repeatedly. In the US-Gambling, the Appellate Body emphasized that even when a measure serves a legitimate purpose, it must still be a “necessary” and should be applied non-discriminatorily in order to qualify under the </w:t>
      </w:r>
      <w:r w:rsidR="00F42566" w:rsidRPr="000F0A15">
        <w:rPr>
          <w:rFonts w:ascii="Times New Roman" w:eastAsia="Times New Roman" w:hAnsi="Times New Roman" w:cs="Times New Roman"/>
          <w:i/>
          <w:iCs/>
          <w:kern w:val="0"/>
          <w14:ligatures w14:val="none"/>
        </w:rPr>
        <w:t xml:space="preserve">chapeau </w:t>
      </w:r>
      <w:r w:rsidR="00F42566" w:rsidRPr="000F0A15">
        <w:rPr>
          <w:rFonts w:ascii="Times New Roman" w:eastAsia="Times New Roman" w:hAnsi="Times New Roman" w:cs="Times New Roman"/>
          <w:kern w:val="0"/>
          <w14:ligatures w14:val="none"/>
        </w:rPr>
        <w:t xml:space="preserve">(Appellate Body report, 2005).  </w:t>
      </w:r>
      <w:r w:rsidR="00570C68" w:rsidRPr="000F0A15">
        <w:rPr>
          <w:rFonts w:ascii="Times New Roman" w:eastAsia="Times New Roman" w:hAnsi="Times New Roman" w:cs="Times New Roman"/>
          <w:kern w:val="0"/>
          <w14:ligatures w14:val="none"/>
        </w:rPr>
        <w:t xml:space="preserve">Moreover, the burden of proof lies with the party that is invoking the exception which in turn must satisfy both the necessity of the measure and its consistency with the </w:t>
      </w:r>
      <w:r w:rsidR="00570C68" w:rsidRPr="000F0A15">
        <w:rPr>
          <w:rFonts w:ascii="Times New Roman" w:eastAsia="Times New Roman" w:hAnsi="Times New Roman" w:cs="Times New Roman"/>
          <w:i/>
          <w:iCs/>
          <w:kern w:val="0"/>
          <w14:ligatures w14:val="none"/>
        </w:rPr>
        <w:t>chapeau</w:t>
      </w:r>
      <w:r w:rsidR="00724D38" w:rsidRPr="000F0A15">
        <w:rPr>
          <w:rFonts w:ascii="Times New Roman" w:eastAsia="Times New Roman" w:hAnsi="Times New Roman" w:cs="Times New Roman"/>
          <w:i/>
          <w:iCs/>
          <w:kern w:val="0"/>
          <w14:ligatures w14:val="none"/>
        </w:rPr>
        <w:t xml:space="preserve"> </w:t>
      </w:r>
      <w:r w:rsidR="00724D38" w:rsidRPr="000F0A15">
        <w:rPr>
          <w:rFonts w:ascii="Times New Roman" w:eastAsia="Times New Roman" w:hAnsi="Times New Roman" w:cs="Times New Roman"/>
          <w:kern w:val="0"/>
          <w14:ligatures w14:val="none"/>
        </w:rPr>
        <w:t xml:space="preserve">(Cottier et al., 2008). </w:t>
      </w:r>
      <w:r w:rsidR="00EA09A5" w:rsidRPr="000F0A15">
        <w:rPr>
          <w:rFonts w:ascii="Times New Roman" w:eastAsia="Times New Roman" w:hAnsi="Times New Roman" w:cs="Times New Roman"/>
          <w:kern w:val="0"/>
          <w14:ligatures w14:val="none"/>
        </w:rPr>
        <w:t xml:space="preserve">The WTO </w:t>
      </w:r>
      <w:r w:rsidR="0086471B" w:rsidRPr="000F0A15">
        <w:rPr>
          <w:rFonts w:ascii="Times New Roman" w:eastAsia="Times New Roman" w:hAnsi="Times New Roman" w:cs="Times New Roman"/>
          <w:kern w:val="0"/>
          <w14:ligatures w14:val="none"/>
        </w:rPr>
        <w:t>Dispute settlement Body has also underscored that the general exceptions must be interpreted narrowly. This will help in preserving the liberalizing goals of the system. However, recent decisions such as EC – Seal Products and compliance ruling in Shrimp/Turtle and Tuna, Mexico</w:t>
      </w:r>
      <w:r w:rsidR="003A68C9" w:rsidRPr="000F0A15">
        <w:rPr>
          <w:rFonts w:ascii="Times New Roman" w:eastAsia="Times New Roman" w:hAnsi="Times New Roman" w:cs="Times New Roman"/>
          <w:kern w:val="0"/>
          <w14:ligatures w14:val="none"/>
        </w:rPr>
        <w:t xml:space="preserve"> </w:t>
      </w:r>
      <w:commentRangeStart w:id="12"/>
      <w:r w:rsidR="003A68C9" w:rsidRPr="000F0A15">
        <w:rPr>
          <w:rFonts w:ascii="Times New Roman" w:eastAsia="Times New Roman" w:hAnsi="Times New Roman" w:cs="Times New Roman"/>
          <w:kern w:val="0"/>
          <w14:ligatures w14:val="none"/>
        </w:rPr>
        <w:t>(</w:t>
      </w:r>
      <w:r w:rsidR="00D71039" w:rsidRPr="000F0A15">
        <w:rPr>
          <w:rFonts w:ascii="Times New Roman" w:eastAsia="Times New Roman" w:hAnsi="Times New Roman" w:cs="Times New Roman"/>
          <w:kern w:val="0"/>
          <w14:ligatures w14:val="none"/>
        </w:rPr>
        <w:t>Appellate Body Report, 1998</w:t>
      </w:r>
      <w:r w:rsidR="00B41E6C" w:rsidRPr="000F0A15">
        <w:rPr>
          <w:rFonts w:ascii="Times New Roman" w:eastAsia="Times New Roman" w:hAnsi="Times New Roman" w:cs="Times New Roman"/>
          <w:kern w:val="0"/>
          <w14:ligatures w14:val="none"/>
        </w:rPr>
        <w:t>; 2012</w:t>
      </w:r>
      <w:r w:rsidR="003A68C9" w:rsidRPr="000F0A15">
        <w:rPr>
          <w:rFonts w:ascii="Times New Roman" w:eastAsia="Times New Roman" w:hAnsi="Times New Roman" w:cs="Times New Roman"/>
          <w:kern w:val="0"/>
          <w14:ligatures w14:val="none"/>
        </w:rPr>
        <w:t>)</w:t>
      </w:r>
      <w:commentRangeEnd w:id="12"/>
      <w:r w:rsidR="00C72729">
        <w:rPr>
          <w:rStyle w:val="CommentReference"/>
        </w:rPr>
        <w:commentReference w:id="12"/>
      </w:r>
      <w:r w:rsidR="0086471B" w:rsidRPr="000F0A15">
        <w:rPr>
          <w:rFonts w:ascii="Times New Roman" w:eastAsia="Times New Roman" w:hAnsi="Times New Roman" w:cs="Times New Roman"/>
          <w:kern w:val="0"/>
          <w14:ligatures w14:val="none"/>
        </w:rPr>
        <w:t xml:space="preserve">, suggests that </w:t>
      </w:r>
      <w:r w:rsidR="002F642A" w:rsidRPr="000F0A15">
        <w:rPr>
          <w:rFonts w:ascii="Times New Roman" w:eastAsia="Times New Roman" w:hAnsi="Times New Roman" w:cs="Times New Roman"/>
          <w:kern w:val="0"/>
          <w14:ligatures w14:val="none"/>
        </w:rPr>
        <w:t>there is a growing willingness to balance trade and regulatory autonomy. This is particularly true in areas such as public morals and environment protection. However, the high threshold for satisfying both tiers of the tests implies that several state measures risk failing legal scrutiny especially those in the digital dom</w:t>
      </w:r>
      <w:r w:rsidR="00B41E6C" w:rsidRPr="000F0A15">
        <w:rPr>
          <w:rFonts w:ascii="Times New Roman" w:eastAsia="Times New Roman" w:hAnsi="Times New Roman" w:cs="Times New Roman"/>
          <w:kern w:val="0"/>
          <w14:ligatures w14:val="none"/>
        </w:rPr>
        <w:t>a</w:t>
      </w:r>
      <w:r w:rsidR="002F642A" w:rsidRPr="000F0A15">
        <w:rPr>
          <w:rFonts w:ascii="Times New Roman" w:eastAsia="Times New Roman" w:hAnsi="Times New Roman" w:cs="Times New Roman"/>
          <w:kern w:val="0"/>
          <w14:ligatures w14:val="none"/>
        </w:rPr>
        <w:t xml:space="preserve">in. </w:t>
      </w:r>
    </w:p>
    <w:p w14:paraId="096E5A8D" w14:textId="55DCD200" w:rsidR="00E50380" w:rsidRPr="000F0A15" w:rsidRDefault="00E50380" w:rsidP="00E50380">
      <w:pPr>
        <w:pStyle w:val="ListParagraph"/>
        <w:numPr>
          <w:ilvl w:val="0"/>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Methodology</w:t>
      </w:r>
    </w:p>
    <w:p w14:paraId="7955BFCC" w14:textId="2E09A27D" w:rsidR="00E50380" w:rsidRPr="000F0A15" w:rsidRDefault="00A07EF9" w:rsidP="00E50380">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This </w:t>
      </w:r>
      <w:r w:rsidR="00B06A3D" w:rsidRPr="000F0A15">
        <w:rPr>
          <w:rFonts w:ascii="Times New Roman" w:eastAsia="Times New Roman" w:hAnsi="Times New Roman" w:cs="Times New Roman"/>
          <w:kern w:val="0"/>
          <w14:ligatures w14:val="none"/>
        </w:rPr>
        <w:t xml:space="preserve">paper </w:t>
      </w:r>
      <w:r w:rsidRPr="000F0A15">
        <w:rPr>
          <w:rFonts w:ascii="Times New Roman" w:eastAsia="Times New Roman" w:hAnsi="Times New Roman" w:cs="Times New Roman"/>
          <w:kern w:val="0"/>
          <w14:ligatures w14:val="none"/>
        </w:rPr>
        <w:t xml:space="preserve">adopts a qualitative case study approach to examine how general exception clauses in digital trade agreements interact with China’s data sovereignty regime. </w:t>
      </w:r>
      <w:r w:rsidR="0046786C" w:rsidRPr="000F0A15">
        <w:rPr>
          <w:rFonts w:ascii="Times New Roman" w:eastAsia="Times New Roman" w:hAnsi="Times New Roman" w:cs="Times New Roman"/>
          <w:kern w:val="0"/>
          <w14:ligatures w14:val="none"/>
        </w:rPr>
        <w:t xml:space="preserve">A case study method </w:t>
      </w:r>
      <w:r w:rsidR="009435D8" w:rsidRPr="000F0A15">
        <w:rPr>
          <w:rFonts w:ascii="Times New Roman" w:eastAsia="Times New Roman" w:hAnsi="Times New Roman" w:cs="Times New Roman"/>
          <w:kern w:val="0"/>
          <w14:ligatures w14:val="none"/>
        </w:rPr>
        <w:t xml:space="preserve">helps in developing historical explanations </w:t>
      </w:r>
      <w:r w:rsidR="00A8787B" w:rsidRPr="000F0A15">
        <w:rPr>
          <w:rFonts w:ascii="Times New Roman" w:eastAsia="Times New Roman" w:hAnsi="Times New Roman" w:cs="Times New Roman"/>
          <w:kern w:val="0"/>
          <w14:ligatures w14:val="none"/>
        </w:rPr>
        <w:t>regarding particular cases</w:t>
      </w:r>
      <w:r w:rsidR="00AA4CA0" w:rsidRPr="000F0A15">
        <w:rPr>
          <w:rFonts w:ascii="Times New Roman" w:eastAsia="Times New Roman" w:hAnsi="Times New Roman" w:cs="Times New Roman"/>
          <w:kern w:val="0"/>
          <w14:ligatures w14:val="none"/>
        </w:rPr>
        <w:t xml:space="preserve"> and attaining high levels of </w:t>
      </w:r>
      <w:commentRangeStart w:id="13"/>
      <w:r w:rsidR="00AA4CA0" w:rsidRPr="000F0A15">
        <w:rPr>
          <w:rFonts w:ascii="Times New Roman" w:eastAsia="Times New Roman" w:hAnsi="Times New Roman" w:cs="Times New Roman"/>
          <w:kern w:val="0"/>
          <w14:ligatures w14:val="none"/>
        </w:rPr>
        <w:t>con</w:t>
      </w:r>
      <w:r w:rsidR="00B54C35" w:rsidRPr="000F0A15">
        <w:rPr>
          <w:rFonts w:ascii="Times New Roman" w:eastAsia="Times New Roman" w:hAnsi="Times New Roman" w:cs="Times New Roman"/>
          <w:kern w:val="0"/>
          <w14:ligatures w14:val="none"/>
        </w:rPr>
        <w:t>struct validity</w:t>
      </w:r>
      <w:commentRangeEnd w:id="13"/>
      <w:r w:rsidR="00503BF0">
        <w:rPr>
          <w:rStyle w:val="CommentReference"/>
        </w:rPr>
        <w:commentReference w:id="13"/>
      </w:r>
      <w:r w:rsidR="00B54C35" w:rsidRPr="000F0A15">
        <w:rPr>
          <w:rFonts w:ascii="Times New Roman" w:eastAsia="Times New Roman" w:hAnsi="Times New Roman" w:cs="Times New Roman"/>
          <w:kern w:val="0"/>
          <w14:ligatures w14:val="none"/>
        </w:rPr>
        <w:t>,</w:t>
      </w:r>
      <w:r w:rsidR="00A8787B" w:rsidRPr="000F0A15">
        <w:rPr>
          <w:rFonts w:ascii="Times New Roman" w:eastAsia="Times New Roman" w:hAnsi="Times New Roman" w:cs="Times New Roman"/>
          <w:kern w:val="0"/>
          <w14:ligatures w14:val="none"/>
        </w:rPr>
        <w:t xml:space="preserve"> while analyzing new or omitted variables and hypotheses, </w:t>
      </w:r>
      <w:r w:rsidR="00AA4CA0" w:rsidRPr="000F0A15">
        <w:rPr>
          <w:rFonts w:ascii="Times New Roman" w:eastAsia="Times New Roman" w:hAnsi="Times New Roman" w:cs="Times New Roman"/>
          <w:kern w:val="0"/>
          <w14:ligatures w14:val="none"/>
        </w:rPr>
        <w:t>intervening variables that might have been at work</w:t>
      </w:r>
      <w:r w:rsidR="00B54C35" w:rsidRPr="000F0A15">
        <w:rPr>
          <w:rFonts w:ascii="Times New Roman" w:eastAsia="Times New Roman" w:hAnsi="Times New Roman" w:cs="Times New Roman"/>
          <w:kern w:val="0"/>
          <w14:ligatures w14:val="none"/>
        </w:rPr>
        <w:t xml:space="preserve"> and generalization of complex model relationships (Bennett, </w:t>
      </w:r>
      <w:r w:rsidR="00032E36" w:rsidRPr="000F0A15">
        <w:rPr>
          <w:rFonts w:ascii="Times New Roman" w:eastAsia="Times New Roman" w:hAnsi="Times New Roman" w:cs="Times New Roman"/>
          <w:kern w:val="0"/>
          <w14:ligatures w14:val="none"/>
        </w:rPr>
        <w:t xml:space="preserve">2004). </w:t>
      </w:r>
      <w:r w:rsidR="00F55C1F" w:rsidRPr="000F0A15">
        <w:rPr>
          <w:rFonts w:ascii="Times New Roman" w:eastAsia="Times New Roman" w:hAnsi="Times New Roman" w:cs="Times New Roman"/>
          <w:kern w:val="0"/>
          <w14:ligatures w14:val="none"/>
        </w:rPr>
        <w:t xml:space="preserve">Thus, for this study, the case study method is appropriate given the complex legal, institutional </w:t>
      </w:r>
      <w:r w:rsidR="00F55C1F" w:rsidRPr="000F0A15">
        <w:rPr>
          <w:rFonts w:ascii="Times New Roman" w:eastAsia="Times New Roman" w:hAnsi="Times New Roman" w:cs="Times New Roman"/>
          <w:kern w:val="0"/>
          <w14:ligatures w14:val="none"/>
        </w:rPr>
        <w:lastRenderedPageBreak/>
        <w:t xml:space="preserve">and geopolitical context that surrounds China’s digital governance. </w:t>
      </w:r>
      <w:r w:rsidR="003728FE" w:rsidRPr="000F0A15">
        <w:rPr>
          <w:rFonts w:ascii="Times New Roman" w:eastAsia="Times New Roman" w:hAnsi="Times New Roman" w:cs="Times New Roman"/>
          <w:kern w:val="0"/>
          <w14:ligatures w14:val="none"/>
        </w:rPr>
        <w:t>It also reflects in its evolving relationship with CPTPP and DEPA. These agreements serve as contrasting yet complementary frameworks via which exception clauses and digital trade commitments are articulated. Therefore, the analysis for this study will employ a legal-interpretive method. It in</w:t>
      </w:r>
      <w:r w:rsidR="0059033A" w:rsidRPr="000F0A15">
        <w:rPr>
          <w:rFonts w:ascii="Times New Roman" w:eastAsia="Times New Roman" w:hAnsi="Times New Roman" w:cs="Times New Roman"/>
          <w:kern w:val="0"/>
          <w14:ligatures w14:val="none"/>
        </w:rPr>
        <w:t>volve</w:t>
      </w:r>
      <w:r w:rsidR="00AB4103" w:rsidRPr="000F0A15">
        <w:rPr>
          <w:rFonts w:ascii="Times New Roman" w:eastAsia="Times New Roman" w:hAnsi="Times New Roman" w:cs="Times New Roman"/>
          <w:kern w:val="0"/>
          <w14:ligatures w14:val="none"/>
        </w:rPr>
        <w:t>s</w:t>
      </w:r>
      <w:r w:rsidR="0059033A" w:rsidRPr="000F0A15">
        <w:rPr>
          <w:rFonts w:ascii="Times New Roman" w:eastAsia="Times New Roman" w:hAnsi="Times New Roman" w:cs="Times New Roman"/>
          <w:kern w:val="0"/>
          <w14:ligatures w14:val="none"/>
        </w:rPr>
        <w:t xml:space="preserve"> close reading and comparative interpretation </w:t>
      </w:r>
      <w:commentRangeStart w:id="14"/>
      <w:r w:rsidR="0059033A" w:rsidRPr="000F0A15">
        <w:rPr>
          <w:rFonts w:ascii="Times New Roman" w:eastAsia="Times New Roman" w:hAnsi="Times New Roman" w:cs="Times New Roman"/>
          <w:kern w:val="0"/>
          <w14:ligatures w14:val="none"/>
        </w:rPr>
        <w:t>of legal texts</w:t>
      </w:r>
      <w:commentRangeEnd w:id="14"/>
      <w:r w:rsidR="00D2766C">
        <w:rPr>
          <w:rStyle w:val="CommentReference"/>
        </w:rPr>
        <w:commentReference w:id="14"/>
      </w:r>
      <w:r w:rsidR="0059033A" w:rsidRPr="000F0A15">
        <w:rPr>
          <w:rFonts w:ascii="Times New Roman" w:eastAsia="Times New Roman" w:hAnsi="Times New Roman" w:cs="Times New Roman"/>
          <w:kern w:val="0"/>
          <w14:ligatures w14:val="none"/>
        </w:rPr>
        <w:t xml:space="preserve">. Hence, the primary sources </w:t>
      </w:r>
      <w:r w:rsidR="00A93BD2" w:rsidRPr="000F0A15">
        <w:rPr>
          <w:rFonts w:ascii="Times New Roman" w:eastAsia="Times New Roman" w:hAnsi="Times New Roman" w:cs="Times New Roman"/>
          <w:kern w:val="0"/>
          <w14:ligatures w14:val="none"/>
        </w:rPr>
        <w:t>include</w:t>
      </w:r>
      <w:r w:rsidR="0059033A" w:rsidRPr="000F0A15">
        <w:rPr>
          <w:rFonts w:ascii="Times New Roman" w:eastAsia="Times New Roman" w:hAnsi="Times New Roman" w:cs="Times New Roman"/>
          <w:kern w:val="0"/>
          <w14:ligatures w14:val="none"/>
        </w:rPr>
        <w:t xml:space="preserve"> the full texts of CPTPP and DEPA</w:t>
      </w:r>
      <w:r w:rsidR="00A93BD2" w:rsidRPr="000F0A15">
        <w:rPr>
          <w:rFonts w:ascii="Times New Roman" w:eastAsia="Times New Roman" w:hAnsi="Times New Roman" w:cs="Times New Roman"/>
          <w:kern w:val="0"/>
          <w14:ligatures w14:val="none"/>
        </w:rPr>
        <w:t xml:space="preserve">, especially chapters on digital trade and general exceptions. Additionally, Chinese laws such as Cybersecurity, </w:t>
      </w:r>
      <w:r w:rsidR="00BE54D7" w:rsidRPr="000F0A15">
        <w:rPr>
          <w:rFonts w:ascii="Times New Roman" w:eastAsia="Times New Roman" w:hAnsi="Times New Roman" w:cs="Times New Roman"/>
          <w:kern w:val="0"/>
          <w14:ligatures w14:val="none"/>
        </w:rPr>
        <w:t>DSL</w:t>
      </w:r>
      <w:r w:rsidR="00A93BD2" w:rsidRPr="000F0A15">
        <w:rPr>
          <w:rFonts w:ascii="Times New Roman" w:eastAsia="Times New Roman" w:hAnsi="Times New Roman" w:cs="Times New Roman"/>
          <w:kern w:val="0"/>
          <w14:ligatures w14:val="none"/>
        </w:rPr>
        <w:t xml:space="preserve"> and </w:t>
      </w:r>
      <w:r w:rsidR="00DF3D87" w:rsidRPr="000F0A15">
        <w:rPr>
          <w:rFonts w:ascii="Times New Roman" w:eastAsia="Times New Roman" w:hAnsi="Times New Roman" w:cs="Times New Roman"/>
          <w:kern w:val="0"/>
          <w14:ligatures w14:val="none"/>
        </w:rPr>
        <w:t>PIPL</w:t>
      </w:r>
      <w:r w:rsidR="00A93BD2" w:rsidRPr="000F0A15">
        <w:rPr>
          <w:rFonts w:ascii="Times New Roman" w:eastAsia="Times New Roman" w:hAnsi="Times New Roman" w:cs="Times New Roman"/>
          <w:kern w:val="0"/>
          <w14:ligatures w14:val="none"/>
        </w:rPr>
        <w:t xml:space="preserve">, </w:t>
      </w:r>
      <w:commentRangeStart w:id="15"/>
      <w:r w:rsidR="00A93BD2" w:rsidRPr="000F0A15">
        <w:rPr>
          <w:rFonts w:ascii="Times New Roman" w:eastAsia="Times New Roman" w:hAnsi="Times New Roman" w:cs="Times New Roman"/>
          <w:kern w:val="0"/>
          <w14:ligatures w14:val="none"/>
        </w:rPr>
        <w:t>will</w:t>
      </w:r>
      <w:commentRangeEnd w:id="15"/>
      <w:r w:rsidR="008809EB">
        <w:rPr>
          <w:rStyle w:val="CommentReference"/>
        </w:rPr>
        <w:commentReference w:id="15"/>
      </w:r>
      <w:r w:rsidR="00A93BD2" w:rsidRPr="000F0A15">
        <w:rPr>
          <w:rFonts w:ascii="Times New Roman" w:eastAsia="Times New Roman" w:hAnsi="Times New Roman" w:cs="Times New Roman"/>
          <w:kern w:val="0"/>
          <w14:ligatures w14:val="none"/>
        </w:rPr>
        <w:t xml:space="preserve"> also be analyzed in </w:t>
      </w:r>
      <w:r w:rsidR="00A059EA" w:rsidRPr="000F0A15">
        <w:rPr>
          <w:rFonts w:ascii="Times New Roman" w:eastAsia="Times New Roman" w:hAnsi="Times New Roman" w:cs="Times New Roman"/>
          <w:kern w:val="0"/>
          <w14:ligatures w14:val="none"/>
        </w:rPr>
        <w:t xml:space="preserve">correspondence. Furthermore, secondary sources such as academic commentary, policy papers and institutional reports will also </w:t>
      </w:r>
      <w:r w:rsidR="002C110B" w:rsidRPr="000F0A15">
        <w:rPr>
          <w:rFonts w:ascii="Times New Roman" w:eastAsia="Times New Roman" w:hAnsi="Times New Roman" w:cs="Times New Roman"/>
          <w:kern w:val="0"/>
          <w14:ligatures w14:val="none"/>
        </w:rPr>
        <w:t>be included</w:t>
      </w:r>
      <w:r w:rsidR="00AD6849" w:rsidRPr="000F0A15">
        <w:rPr>
          <w:rFonts w:ascii="Times New Roman" w:eastAsia="Times New Roman" w:hAnsi="Times New Roman" w:cs="Times New Roman"/>
          <w:kern w:val="0"/>
          <w14:ligatures w14:val="none"/>
        </w:rPr>
        <w:t xml:space="preserve">. Overall, this methodology allows the study to assess how exception clauses are structured in order to accommodate state interest. However, China either aligns with or resists these provisions. They stand on a </w:t>
      </w:r>
      <w:commentRangeStart w:id="16"/>
      <w:r w:rsidR="00AD6849" w:rsidRPr="000F0A15">
        <w:rPr>
          <w:rFonts w:ascii="Times New Roman" w:eastAsia="Times New Roman" w:hAnsi="Times New Roman" w:cs="Times New Roman"/>
          <w:kern w:val="0"/>
          <w14:ligatures w14:val="none"/>
        </w:rPr>
        <w:t>grey zone</w:t>
      </w:r>
      <w:commentRangeEnd w:id="16"/>
      <w:r w:rsidR="008809EB">
        <w:rPr>
          <w:rStyle w:val="CommentReference"/>
        </w:rPr>
        <w:commentReference w:id="16"/>
      </w:r>
      <w:r w:rsidR="00AD6849" w:rsidRPr="000F0A15">
        <w:rPr>
          <w:rFonts w:ascii="Times New Roman" w:eastAsia="Times New Roman" w:hAnsi="Times New Roman" w:cs="Times New Roman"/>
          <w:kern w:val="0"/>
          <w14:ligatures w14:val="none"/>
        </w:rPr>
        <w:t xml:space="preserve"> as the</w:t>
      </w:r>
      <w:r w:rsidR="003C28E9" w:rsidRPr="000F0A15">
        <w:rPr>
          <w:rFonts w:ascii="Times New Roman" w:eastAsia="Times New Roman" w:hAnsi="Times New Roman" w:cs="Times New Roman"/>
          <w:kern w:val="0"/>
          <w14:ligatures w14:val="none"/>
        </w:rPr>
        <w:t>ir</w:t>
      </w:r>
      <w:r w:rsidR="00AD6849" w:rsidRPr="000F0A15">
        <w:rPr>
          <w:rFonts w:ascii="Times New Roman" w:eastAsia="Times New Roman" w:hAnsi="Times New Roman" w:cs="Times New Roman"/>
          <w:kern w:val="0"/>
          <w14:ligatures w14:val="none"/>
        </w:rPr>
        <w:t xml:space="preserve"> focus </w:t>
      </w:r>
      <w:r w:rsidR="00780019" w:rsidRPr="000F0A15">
        <w:rPr>
          <w:rFonts w:ascii="Times New Roman" w:eastAsia="Times New Roman" w:hAnsi="Times New Roman" w:cs="Times New Roman"/>
          <w:kern w:val="0"/>
          <w14:ligatures w14:val="none"/>
        </w:rPr>
        <w:t xml:space="preserve">remains on legal function of exceptions as mechanisms of flexibility, contestation or normative divergence in digital trade governance. </w:t>
      </w:r>
    </w:p>
    <w:p w14:paraId="64D58491" w14:textId="72944E9D" w:rsidR="003C28E9" w:rsidRPr="000F0A15" w:rsidRDefault="00DB02C8" w:rsidP="00DB02C8">
      <w:pPr>
        <w:pStyle w:val="ListParagraph"/>
        <w:numPr>
          <w:ilvl w:val="0"/>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Case Analysis</w:t>
      </w:r>
    </w:p>
    <w:p w14:paraId="07ABD316" w14:textId="286D3504" w:rsidR="00DB02C8" w:rsidRPr="000F0A15" w:rsidRDefault="00DB02C8" w:rsidP="00DB02C8">
      <w:pPr>
        <w:pStyle w:val="ListParagraph"/>
        <w:numPr>
          <w:ilvl w:val="1"/>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 xml:space="preserve"> CPTPP</w:t>
      </w:r>
      <w:r w:rsidR="00646E4D" w:rsidRPr="000F0A15">
        <w:rPr>
          <w:rFonts w:ascii="Times New Roman" w:eastAsia="Times New Roman" w:hAnsi="Times New Roman" w:cs="Times New Roman"/>
          <w:b/>
          <w:bCs/>
          <w:kern w:val="0"/>
          <w14:ligatures w14:val="none"/>
        </w:rPr>
        <w:t xml:space="preserve"> and General Exceptions</w:t>
      </w:r>
    </w:p>
    <w:p w14:paraId="554E858A" w14:textId="21131E66" w:rsidR="00646E4D" w:rsidRPr="000F0A15" w:rsidRDefault="00EC187E" w:rsidP="00646E4D">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The CPTPP establishes a comprehensive framework for digital trade under Chapter 14 (CPTPP, n.d.). This mandates free flow of information and restricts data localization as suggested by Kimura (2019). </w:t>
      </w:r>
      <w:r w:rsidR="00833F23" w:rsidRPr="000F0A15">
        <w:rPr>
          <w:rFonts w:ascii="Times New Roman" w:eastAsia="Times New Roman" w:hAnsi="Times New Roman" w:cs="Times New Roman"/>
          <w:kern w:val="0"/>
          <w14:ligatures w14:val="none"/>
        </w:rPr>
        <w:t>In this context, Article 14.1</w:t>
      </w:r>
      <w:r w:rsidR="003A3DDC" w:rsidRPr="000F0A15">
        <w:rPr>
          <w:rFonts w:ascii="Times New Roman" w:eastAsia="Times New Roman" w:hAnsi="Times New Roman" w:cs="Times New Roman"/>
          <w:kern w:val="0"/>
          <w14:ligatures w14:val="none"/>
        </w:rPr>
        <w:t>1</w:t>
      </w:r>
      <w:r w:rsidR="00833F23" w:rsidRPr="000F0A15">
        <w:rPr>
          <w:rFonts w:ascii="Times New Roman" w:eastAsia="Times New Roman" w:hAnsi="Times New Roman" w:cs="Times New Roman"/>
          <w:kern w:val="0"/>
          <w14:ligatures w14:val="none"/>
        </w:rPr>
        <w:t>.</w:t>
      </w:r>
      <w:r w:rsidR="008055B7" w:rsidRPr="000F0A15">
        <w:rPr>
          <w:rFonts w:ascii="Times New Roman" w:eastAsia="Times New Roman" w:hAnsi="Times New Roman" w:cs="Times New Roman"/>
          <w:kern w:val="0"/>
          <w14:ligatures w14:val="none"/>
        </w:rPr>
        <w:t>2</w:t>
      </w:r>
      <w:r w:rsidR="00833F23" w:rsidRPr="000F0A15">
        <w:rPr>
          <w:rFonts w:ascii="Times New Roman" w:eastAsia="Times New Roman" w:hAnsi="Times New Roman" w:cs="Times New Roman"/>
          <w:kern w:val="0"/>
          <w14:ligatures w14:val="none"/>
        </w:rPr>
        <w:t xml:space="preserve"> of CPTPP (n.d.</w:t>
      </w:r>
      <w:r w:rsidR="00C8425F" w:rsidRPr="000F0A15">
        <w:rPr>
          <w:rFonts w:ascii="Times New Roman" w:eastAsia="Times New Roman" w:hAnsi="Times New Roman" w:cs="Times New Roman"/>
          <w:kern w:val="0"/>
          <w14:ligatures w14:val="none"/>
        </w:rPr>
        <w:t>, p. 14-6</w:t>
      </w:r>
      <w:r w:rsidR="00833F23" w:rsidRPr="000F0A15">
        <w:rPr>
          <w:rFonts w:ascii="Times New Roman" w:eastAsia="Times New Roman" w:hAnsi="Times New Roman" w:cs="Times New Roman"/>
          <w:kern w:val="0"/>
          <w14:ligatures w14:val="none"/>
        </w:rPr>
        <w:t>) states:</w:t>
      </w:r>
    </w:p>
    <w:p w14:paraId="3CD651CF" w14:textId="36BA23CE" w:rsidR="00833F23" w:rsidRPr="000F0A15" w:rsidRDefault="00833F23" w:rsidP="000A4CB7">
      <w:pPr>
        <w:spacing w:line="360" w:lineRule="auto"/>
        <w:jc w:val="center"/>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w:t>
      </w:r>
      <w:r w:rsidR="00C8425F" w:rsidRPr="000F0A15">
        <w:rPr>
          <w:rFonts w:ascii="Times New Roman" w:hAnsi="Times New Roman" w:cs="Times New Roman"/>
          <w:i/>
          <w:iCs/>
        </w:rPr>
        <w:t>Each Party shall allow the cross-border transfer of information by electronic means, including personal information, when this activity is for the conduct of the business of a covered person</w:t>
      </w:r>
      <w:r w:rsidR="00C8425F" w:rsidRPr="000F0A15">
        <w:rPr>
          <w:rFonts w:ascii="Times New Roman" w:hAnsi="Times New Roman" w:cs="Times New Roman"/>
        </w:rPr>
        <w:t>.”</w:t>
      </w:r>
    </w:p>
    <w:p w14:paraId="4D8CDC23" w14:textId="37C9FED8" w:rsidR="00DB02C8" w:rsidRPr="000F0A15" w:rsidRDefault="00DE75A3" w:rsidP="00DB02C8">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Thus, this implies that CPTPP members ought to permit data including personal data, to be transferred across borders when it is deemed essential for businesses. However, </w:t>
      </w:r>
      <w:r w:rsidR="003A3DDC" w:rsidRPr="000F0A15">
        <w:rPr>
          <w:rFonts w:ascii="Times New Roman" w:eastAsia="Times New Roman" w:hAnsi="Times New Roman" w:cs="Times New Roman"/>
          <w:kern w:val="0"/>
          <w14:ligatures w14:val="none"/>
        </w:rPr>
        <w:t>Article 14.13</w:t>
      </w:r>
      <w:r w:rsidR="004A04CC" w:rsidRPr="000F0A15">
        <w:rPr>
          <w:rFonts w:ascii="Times New Roman" w:eastAsia="Times New Roman" w:hAnsi="Times New Roman" w:cs="Times New Roman"/>
          <w:kern w:val="0"/>
          <w14:ligatures w14:val="none"/>
        </w:rPr>
        <w:t>.2</w:t>
      </w:r>
      <w:r w:rsidR="00561871" w:rsidRPr="000F0A15">
        <w:rPr>
          <w:rFonts w:ascii="Times New Roman" w:eastAsia="Times New Roman" w:hAnsi="Times New Roman" w:cs="Times New Roman"/>
          <w:kern w:val="0"/>
          <w14:ligatures w14:val="none"/>
        </w:rPr>
        <w:t xml:space="preserve"> (CPTPP, n.d., p. 14-7)</w:t>
      </w:r>
      <w:r w:rsidR="003A3DDC" w:rsidRPr="000F0A15">
        <w:rPr>
          <w:rFonts w:ascii="Times New Roman" w:eastAsia="Times New Roman" w:hAnsi="Times New Roman" w:cs="Times New Roman"/>
          <w:kern w:val="0"/>
          <w14:ligatures w14:val="none"/>
        </w:rPr>
        <w:t>. states:</w:t>
      </w:r>
    </w:p>
    <w:p w14:paraId="16B2C8D6" w14:textId="5D478F8E" w:rsidR="003A3DDC" w:rsidRPr="000F0A15" w:rsidRDefault="003A3DDC" w:rsidP="000A4CB7">
      <w:pPr>
        <w:spacing w:line="360" w:lineRule="auto"/>
        <w:jc w:val="center"/>
        <w:rPr>
          <w:rFonts w:ascii="Times New Roman" w:hAnsi="Times New Roman" w:cs="Times New Roman"/>
        </w:rPr>
      </w:pPr>
      <w:r w:rsidRPr="000F0A15">
        <w:rPr>
          <w:rFonts w:ascii="Times New Roman" w:eastAsia="Times New Roman" w:hAnsi="Times New Roman" w:cs="Times New Roman"/>
          <w:kern w:val="0"/>
          <w14:ligatures w14:val="none"/>
        </w:rPr>
        <w:t>“</w:t>
      </w:r>
      <w:r w:rsidR="00561871" w:rsidRPr="000F0A15">
        <w:rPr>
          <w:rFonts w:ascii="Times New Roman" w:hAnsi="Times New Roman" w:cs="Times New Roman"/>
          <w:i/>
          <w:iCs/>
        </w:rPr>
        <w:t>No Party shall require a covered person to use or locate computing facilities in that Party’s territory as a condition for conducting business in that territory</w:t>
      </w:r>
      <w:r w:rsidR="00561871" w:rsidRPr="000F0A15">
        <w:rPr>
          <w:rFonts w:ascii="Times New Roman" w:hAnsi="Times New Roman" w:cs="Times New Roman"/>
        </w:rPr>
        <w:t>.”</w:t>
      </w:r>
    </w:p>
    <w:p w14:paraId="09446BE5" w14:textId="75651CA5" w:rsidR="000A4CB7" w:rsidRPr="000F0A15" w:rsidRDefault="000A4CB7" w:rsidP="000A4CB7">
      <w:pPr>
        <w:spacing w:line="360" w:lineRule="auto"/>
        <w:jc w:val="both"/>
        <w:rPr>
          <w:rFonts w:ascii="Times New Roman" w:hAnsi="Times New Roman" w:cs="Times New Roman"/>
        </w:rPr>
      </w:pPr>
      <w:r w:rsidRPr="000F0A15">
        <w:rPr>
          <w:rFonts w:ascii="Times New Roman" w:hAnsi="Times New Roman" w:cs="Times New Roman"/>
        </w:rPr>
        <w:t xml:space="preserve">This implies that members of the CPTPP cannot force businesses to store data or set up servers locally as a </w:t>
      </w:r>
      <w:r w:rsidR="00C47FF9" w:rsidRPr="000F0A15">
        <w:rPr>
          <w:rFonts w:ascii="Times New Roman" w:hAnsi="Times New Roman" w:cs="Times New Roman"/>
        </w:rPr>
        <w:t>condition</w:t>
      </w:r>
      <w:r w:rsidRPr="000F0A15">
        <w:rPr>
          <w:rFonts w:ascii="Times New Roman" w:hAnsi="Times New Roman" w:cs="Times New Roman"/>
        </w:rPr>
        <w:t xml:space="preserve"> for them to operate in that country. </w:t>
      </w:r>
      <w:r w:rsidR="00C47FF9" w:rsidRPr="000F0A15">
        <w:rPr>
          <w:rFonts w:ascii="Times New Roman" w:hAnsi="Times New Roman" w:cs="Times New Roman"/>
        </w:rPr>
        <w:t xml:space="preserve">Thus, these provisions aim to eliminate barriers to digital trade while fostering interoperability across jurisdictions. </w:t>
      </w:r>
    </w:p>
    <w:p w14:paraId="48DEFAB0" w14:textId="12B73B0D" w:rsidR="00C47FF9" w:rsidRPr="000F0A15" w:rsidRDefault="00C47FF9" w:rsidP="000A4CB7">
      <w:pPr>
        <w:spacing w:line="360" w:lineRule="auto"/>
        <w:jc w:val="both"/>
        <w:rPr>
          <w:rFonts w:ascii="Times New Roman" w:hAnsi="Times New Roman" w:cs="Times New Roman"/>
        </w:rPr>
      </w:pPr>
      <w:r w:rsidRPr="000F0A15">
        <w:rPr>
          <w:rFonts w:ascii="Times New Roman" w:hAnsi="Times New Roman" w:cs="Times New Roman"/>
        </w:rPr>
        <w:lastRenderedPageBreak/>
        <w:t xml:space="preserve">Nonetheless, these commitments are subjected to general exception clauses </w:t>
      </w:r>
      <w:r w:rsidR="001C4764" w:rsidRPr="000F0A15">
        <w:rPr>
          <w:rFonts w:ascii="Times New Roman" w:hAnsi="Times New Roman" w:cs="Times New Roman"/>
        </w:rPr>
        <w:t xml:space="preserve">included in Chapter 29 (CPTPP, n.d). It reflects the structure of GATT Article XX and GATS Article XIV. </w:t>
      </w:r>
      <w:r w:rsidR="00624100" w:rsidRPr="000F0A15">
        <w:rPr>
          <w:rFonts w:ascii="Times New Roman" w:hAnsi="Times New Roman" w:cs="Times New Roman"/>
        </w:rPr>
        <w:t xml:space="preserve">It thereby permits deviations wherein measures are crucial for the protection of public morals or public order </w:t>
      </w:r>
      <w:r w:rsidR="00CC7A2A" w:rsidRPr="000F0A15">
        <w:rPr>
          <w:rFonts w:ascii="Times New Roman" w:hAnsi="Times New Roman" w:cs="Times New Roman"/>
        </w:rPr>
        <w:t xml:space="preserve">reiterating </w:t>
      </w:r>
      <w:r w:rsidR="00CC7A2A" w:rsidRPr="000F0A15">
        <w:rPr>
          <w:rFonts w:ascii="Times New Roman" w:eastAsia="Times New Roman" w:hAnsi="Times New Roman" w:cs="Times New Roman"/>
          <w:kern w:val="0"/>
          <w14:ligatures w14:val="none"/>
        </w:rPr>
        <w:t xml:space="preserve">Bartels (2017) and Marwell (2006). </w:t>
      </w:r>
      <w:r w:rsidR="000B45CF" w:rsidRPr="000F0A15">
        <w:rPr>
          <w:rFonts w:ascii="Times New Roman" w:hAnsi="Times New Roman" w:cs="Times New Roman"/>
        </w:rPr>
        <w:t xml:space="preserve">It also allows deviation to </w:t>
      </w:r>
      <w:r w:rsidR="00624100" w:rsidRPr="000F0A15">
        <w:rPr>
          <w:rFonts w:ascii="Times New Roman" w:hAnsi="Times New Roman" w:cs="Times New Roman"/>
        </w:rPr>
        <w:t xml:space="preserve">ensure compliance with </w:t>
      </w:r>
      <w:r w:rsidR="00CC7A2A" w:rsidRPr="000F0A15">
        <w:rPr>
          <w:rFonts w:ascii="Times New Roman" w:hAnsi="Times New Roman" w:cs="Times New Roman"/>
        </w:rPr>
        <w:t>domestic</w:t>
      </w:r>
      <w:r w:rsidR="00624100" w:rsidRPr="000F0A15">
        <w:rPr>
          <w:rFonts w:ascii="Times New Roman" w:hAnsi="Times New Roman" w:cs="Times New Roman"/>
        </w:rPr>
        <w:t xml:space="preserve"> laws</w:t>
      </w:r>
      <w:r w:rsidR="00CC7A2A" w:rsidRPr="000F0A15">
        <w:rPr>
          <w:rFonts w:ascii="Times New Roman" w:hAnsi="Times New Roman" w:cs="Times New Roman"/>
        </w:rPr>
        <w:t xml:space="preserve"> </w:t>
      </w:r>
      <w:r w:rsidR="000B45CF" w:rsidRPr="000F0A15">
        <w:rPr>
          <w:rFonts w:ascii="Times New Roman" w:hAnsi="Times New Roman" w:cs="Times New Roman"/>
        </w:rPr>
        <w:t xml:space="preserve">provided that the measures are not applied in a </w:t>
      </w:r>
      <w:r w:rsidR="00A235C7" w:rsidRPr="000F0A15">
        <w:rPr>
          <w:rFonts w:ascii="Times New Roman" w:hAnsi="Times New Roman" w:cs="Times New Roman"/>
        </w:rPr>
        <w:t>“</w:t>
      </w:r>
      <w:r w:rsidR="00A235C7" w:rsidRPr="000F0A15">
        <w:rPr>
          <w:rFonts w:ascii="Times New Roman" w:hAnsi="Times New Roman" w:cs="Times New Roman"/>
          <w:i/>
          <w:iCs/>
        </w:rPr>
        <w:t>manner which would constitute a means of arbitrary or unjustifiable discrimination between Parties or between Parties and non-Parties where like conditions prevail, or a disguised restriction on investment in financial institutions or cross-border trade in financial services as covered by this Chapter</w:t>
      </w:r>
      <w:r w:rsidR="00A235C7" w:rsidRPr="000F0A15">
        <w:rPr>
          <w:rFonts w:ascii="Times New Roman" w:hAnsi="Times New Roman" w:cs="Times New Roman"/>
        </w:rPr>
        <w:t xml:space="preserve">” (CPTPP, n.d., p. 11-12). </w:t>
      </w:r>
      <w:r w:rsidR="00D256FE" w:rsidRPr="000F0A15">
        <w:rPr>
          <w:rFonts w:ascii="Times New Roman" w:hAnsi="Times New Roman" w:cs="Times New Roman"/>
        </w:rPr>
        <w:t xml:space="preserve">Thus, this two-tier test requires a legitimate objective and necessity-based proportionality. </w:t>
      </w:r>
      <w:r w:rsidR="00381751" w:rsidRPr="000F0A15">
        <w:rPr>
          <w:rFonts w:ascii="Times New Roman" w:hAnsi="Times New Roman" w:cs="Times New Roman"/>
        </w:rPr>
        <w:t>This has been clarified in WTO jurisprudence that demands a weighing and balancing of policy goal, trade restrictiveness and existence of less intrusive alternatives (WTO, n.d.a</w:t>
      </w:r>
      <w:r w:rsidR="00DF3D87" w:rsidRPr="000F0A15">
        <w:rPr>
          <w:rFonts w:ascii="Times New Roman" w:hAnsi="Times New Roman" w:cs="Times New Roman"/>
        </w:rPr>
        <w:t xml:space="preserve">; WTO, n.d.b). </w:t>
      </w:r>
    </w:p>
    <w:p w14:paraId="1BDCE742" w14:textId="77777777" w:rsidR="006A2FEA" w:rsidRPr="000F0A15" w:rsidRDefault="00DF3D87" w:rsidP="000A4CB7">
      <w:pPr>
        <w:spacing w:line="360" w:lineRule="auto"/>
        <w:jc w:val="both"/>
        <w:rPr>
          <w:rFonts w:ascii="Times New Roman" w:hAnsi="Times New Roman" w:cs="Times New Roman"/>
        </w:rPr>
      </w:pPr>
      <w:r w:rsidRPr="000F0A15">
        <w:rPr>
          <w:rFonts w:ascii="Times New Roman" w:hAnsi="Times New Roman" w:cs="Times New Roman"/>
        </w:rPr>
        <w:t>In this regard, China’s current legal regime reveals structural incompatibilities given the aforementioned requirements. Article 38 of PIPL</w:t>
      </w:r>
      <w:r w:rsidR="00E07DA6" w:rsidRPr="000F0A15">
        <w:rPr>
          <w:rFonts w:ascii="Times New Roman" w:hAnsi="Times New Roman" w:cs="Times New Roman"/>
        </w:rPr>
        <w:t xml:space="preserve"> requires that any cross-border transfer must undergo a security assessment that has been organized by national authorities (China Briefing, 2021). </w:t>
      </w:r>
      <w:r w:rsidR="00145CB1" w:rsidRPr="000F0A15">
        <w:rPr>
          <w:rFonts w:ascii="Times New Roman" w:hAnsi="Times New Roman" w:cs="Times New Roman"/>
        </w:rPr>
        <w:t xml:space="preserve">Furthermore, Article 40 imposes a </w:t>
      </w:r>
      <w:r w:rsidR="00233BF5" w:rsidRPr="000F0A15">
        <w:rPr>
          <w:rFonts w:ascii="Times New Roman" w:hAnsi="Times New Roman" w:cs="Times New Roman"/>
        </w:rPr>
        <w:t xml:space="preserve">localization mandate on ‘critical information infrastructure operators’ (China Briefing, 2021). It requires personal data to be stored within Chinese territories regardless of case-specific risks. These provisions create a </w:t>
      </w:r>
      <w:r w:rsidR="004A04CC" w:rsidRPr="000F0A15">
        <w:rPr>
          <w:rFonts w:ascii="Times New Roman" w:hAnsi="Times New Roman" w:cs="Times New Roman"/>
        </w:rPr>
        <w:t xml:space="preserve">de jure localization obligation that directly contravenes </w:t>
      </w:r>
      <w:commentRangeStart w:id="17"/>
      <w:r w:rsidR="004A04CC" w:rsidRPr="000F0A15">
        <w:rPr>
          <w:rFonts w:ascii="Times New Roman" w:hAnsi="Times New Roman" w:cs="Times New Roman"/>
        </w:rPr>
        <w:t>CPTPP Article 14.13.2</w:t>
      </w:r>
      <w:commentRangeEnd w:id="17"/>
      <w:r w:rsidR="002652E3">
        <w:rPr>
          <w:rStyle w:val="CommentReference"/>
        </w:rPr>
        <w:commentReference w:id="17"/>
      </w:r>
      <w:r w:rsidR="004A04CC" w:rsidRPr="000F0A15">
        <w:rPr>
          <w:rFonts w:ascii="Times New Roman" w:hAnsi="Times New Roman" w:cs="Times New Roman"/>
        </w:rPr>
        <w:t xml:space="preserve">. </w:t>
      </w:r>
      <w:r w:rsidR="00BE54D7" w:rsidRPr="000F0A15">
        <w:rPr>
          <w:rFonts w:ascii="Times New Roman" w:hAnsi="Times New Roman" w:cs="Times New Roman"/>
        </w:rPr>
        <w:t xml:space="preserve">Moreover, DSL reinforces this approach. Article 24 authorized the export of important data if such transfers could affect national security or public interest (China Law Translate, 2021). </w:t>
      </w:r>
      <w:r w:rsidR="00CC66EA" w:rsidRPr="000F0A15">
        <w:rPr>
          <w:rFonts w:ascii="Times New Roman" w:hAnsi="Times New Roman" w:cs="Times New Roman"/>
        </w:rPr>
        <w:t xml:space="preserve">Additionally, the 2025 draft amendments to Cybersecurity Law proposes enhanced enforcement mechanisms that include </w:t>
      </w:r>
      <w:r w:rsidR="006A2FEA" w:rsidRPr="000F0A15">
        <w:rPr>
          <w:rFonts w:ascii="Times New Roman" w:hAnsi="Times New Roman" w:cs="Times New Roman"/>
        </w:rPr>
        <w:t>administrative penalties, license revocation, and business suspension for firms failing to comply with cross-border data rules (Fan &amp; Zhou, 2025). Thus, collectively, these laws construct a regulatory model that centered around preventive state control over digital infrastructure and outbound flows of information.</w:t>
      </w:r>
    </w:p>
    <w:p w14:paraId="65055967" w14:textId="6DDCE4D1" w:rsidR="00D51643" w:rsidRPr="000F0A15" w:rsidRDefault="006A2FEA" w:rsidP="000A4CB7">
      <w:pPr>
        <w:spacing w:line="360" w:lineRule="auto"/>
        <w:jc w:val="both"/>
        <w:rPr>
          <w:rFonts w:ascii="Times New Roman" w:hAnsi="Times New Roman" w:cs="Times New Roman"/>
        </w:rPr>
      </w:pPr>
      <w:r w:rsidRPr="000F0A15">
        <w:rPr>
          <w:rFonts w:ascii="Times New Roman" w:hAnsi="Times New Roman" w:cs="Times New Roman"/>
        </w:rPr>
        <w:t xml:space="preserve">Although China may attempt to justify the restrictions under the general exceptions </w:t>
      </w:r>
      <w:r w:rsidR="00D21AC0" w:rsidRPr="000F0A15">
        <w:rPr>
          <w:rFonts w:ascii="Times New Roman" w:hAnsi="Times New Roman" w:cs="Times New Roman"/>
        </w:rPr>
        <w:t xml:space="preserve">section of CPTPP Chapter 29, the broad and inflexible nature of the measures presents </w:t>
      </w:r>
      <w:r w:rsidR="00A721A4" w:rsidRPr="000F0A15">
        <w:rPr>
          <w:rFonts w:ascii="Times New Roman" w:hAnsi="Times New Roman" w:cs="Times New Roman"/>
        </w:rPr>
        <w:t xml:space="preserve">considerable legal challenges. Burri (2017) </w:t>
      </w:r>
      <w:r w:rsidR="00245688" w:rsidRPr="000F0A15">
        <w:rPr>
          <w:rFonts w:ascii="Times New Roman" w:hAnsi="Times New Roman" w:cs="Times New Roman"/>
        </w:rPr>
        <w:t xml:space="preserve">argues that exception clauses should be narrowly interpreted in order to preserve the liberalization objective of digital trade agreements. </w:t>
      </w:r>
      <w:r w:rsidRPr="000F0A15">
        <w:rPr>
          <w:rFonts w:ascii="Times New Roman" w:hAnsi="Times New Roman" w:cs="Times New Roman"/>
        </w:rPr>
        <w:t xml:space="preserve"> </w:t>
      </w:r>
      <w:r w:rsidR="00901F9E" w:rsidRPr="000F0A15">
        <w:rPr>
          <w:rFonts w:ascii="Times New Roman" w:hAnsi="Times New Roman" w:cs="Times New Roman"/>
        </w:rPr>
        <w:t>Thus, blanket mandates and risk-</w:t>
      </w:r>
      <w:r w:rsidR="00901F9E" w:rsidRPr="000F0A15">
        <w:rPr>
          <w:rFonts w:ascii="Times New Roman" w:hAnsi="Times New Roman" w:cs="Times New Roman"/>
        </w:rPr>
        <w:lastRenderedPageBreak/>
        <w:t xml:space="preserve">averse transfer bans are unlikely to satisfy CPTPP’s necessity and non-discrimination criteria especially when they are implemented without demonstrating proportionality or offering less trade-restrictive alternatives. </w:t>
      </w:r>
      <w:r w:rsidR="00D317E7" w:rsidRPr="000F0A15">
        <w:rPr>
          <w:rFonts w:ascii="Times New Roman" w:hAnsi="Times New Roman" w:cs="Times New Roman"/>
        </w:rPr>
        <w:t>Additionally, while applying WTO’s two-tier test, CPTPP parties ought to first assess whether China’ s data localization rules pursue a legitimate objective for instance national security or public morals. This threshold is likely to be met. However, the more difficult question arises while assessing whether China’s measures are “necessary” under Article XX(a) or (b)</w:t>
      </w:r>
      <w:r w:rsidR="00B4763E" w:rsidRPr="000F0A15">
        <w:rPr>
          <w:rFonts w:ascii="Times New Roman" w:hAnsi="Times New Roman" w:cs="Times New Roman"/>
        </w:rPr>
        <w:t xml:space="preserve"> and whether they satisfy the </w:t>
      </w:r>
      <w:r w:rsidR="00B4763E" w:rsidRPr="000F0A15">
        <w:rPr>
          <w:rFonts w:ascii="Times New Roman" w:hAnsi="Times New Roman" w:cs="Times New Roman"/>
          <w:i/>
          <w:iCs/>
        </w:rPr>
        <w:t xml:space="preserve">chapeau. </w:t>
      </w:r>
      <w:r w:rsidR="00B4763E" w:rsidRPr="000F0A15">
        <w:rPr>
          <w:rFonts w:ascii="Times New Roman" w:hAnsi="Times New Roman" w:cs="Times New Roman"/>
        </w:rPr>
        <w:t xml:space="preserve">WTO jurisprudence such as in US-Gambling, requires the demonstration that </w:t>
      </w:r>
      <w:r w:rsidR="00E24791" w:rsidRPr="000F0A15">
        <w:rPr>
          <w:rFonts w:ascii="Times New Roman" w:hAnsi="Times New Roman" w:cs="Times New Roman"/>
        </w:rPr>
        <w:t xml:space="preserve">there are no reasonable available alternatives that are less trade restrictive. Moreover, blanket localization rules </w:t>
      </w:r>
      <w:r w:rsidR="00832D0C" w:rsidRPr="000F0A15">
        <w:rPr>
          <w:rFonts w:ascii="Times New Roman" w:hAnsi="Times New Roman" w:cs="Times New Roman"/>
        </w:rPr>
        <w:t>are unlikely to pass this test without any risk-based differentiation. Furthermore, the chapeau prohibits measure that result in arbitrary or unjustifiable discrimination. For instance, in EC-Seal products, the Appellate body found</w:t>
      </w:r>
      <w:r w:rsidR="009D6E8C" w:rsidRPr="000F0A15">
        <w:rPr>
          <w:rFonts w:ascii="Times New Roman" w:hAnsi="Times New Roman" w:cs="Times New Roman"/>
        </w:rPr>
        <w:t xml:space="preserve"> that the</w:t>
      </w:r>
      <w:r w:rsidR="00832D0C" w:rsidRPr="000F0A15">
        <w:rPr>
          <w:rFonts w:ascii="Times New Roman" w:hAnsi="Times New Roman" w:cs="Times New Roman"/>
        </w:rPr>
        <w:t xml:space="preserve"> legitimate moral justification </w:t>
      </w:r>
      <w:r w:rsidR="009D6E8C" w:rsidRPr="000F0A15">
        <w:rPr>
          <w:rFonts w:ascii="Times New Roman" w:hAnsi="Times New Roman" w:cs="Times New Roman"/>
        </w:rPr>
        <w:t xml:space="preserve">was insufficient wherein inconsistent application undermined fairness. If </w:t>
      </w:r>
      <w:commentRangeStart w:id="18"/>
      <w:r w:rsidR="009D6E8C" w:rsidRPr="000F0A15">
        <w:rPr>
          <w:rFonts w:ascii="Times New Roman" w:hAnsi="Times New Roman" w:cs="Times New Roman"/>
        </w:rPr>
        <w:t xml:space="preserve">China’s enforcement </w:t>
      </w:r>
      <w:commentRangeEnd w:id="18"/>
      <w:r w:rsidR="002652E3">
        <w:rPr>
          <w:rStyle w:val="CommentReference"/>
        </w:rPr>
        <w:commentReference w:id="18"/>
      </w:r>
      <w:r w:rsidR="009D6E8C" w:rsidRPr="000F0A15">
        <w:rPr>
          <w:rFonts w:ascii="Times New Roman" w:hAnsi="Times New Roman" w:cs="Times New Roman"/>
        </w:rPr>
        <w:t xml:space="preserve">of localization disproportionately impacts foreign firms without any transparent justification, it may also face a similar </w:t>
      </w:r>
      <w:r w:rsidR="006909E6" w:rsidRPr="000F0A15">
        <w:rPr>
          <w:rFonts w:ascii="Times New Roman" w:hAnsi="Times New Roman" w:cs="Times New Roman"/>
        </w:rPr>
        <w:t>failure</w:t>
      </w:r>
      <w:r w:rsidR="009D6E8C" w:rsidRPr="000F0A15">
        <w:rPr>
          <w:rFonts w:ascii="Times New Roman" w:hAnsi="Times New Roman" w:cs="Times New Roman"/>
        </w:rPr>
        <w:t xml:space="preserve"> as per chapeau standard. </w:t>
      </w:r>
      <w:r w:rsidR="006909E6" w:rsidRPr="000F0A15">
        <w:rPr>
          <w:rFonts w:ascii="Times New Roman" w:hAnsi="Times New Roman" w:cs="Times New Roman"/>
        </w:rPr>
        <w:t xml:space="preserve">Furthermore, the case Russia-traffic in Transit clarifies the restrictions motivated by security </w:t>
      </w:r>
      <w:r w:rsidR="00B20B2E" w:rsidRPr="000F0A15">
        <w:rPr>
          <w:rFonts w:ascii="Times New Roman" w:hAnsi="Times New Roman" w:cs="Times New Roman"/>
        </w:rPr>
        <w:t xml:space="preserve">must still conform to objective legal principles. Although the CPTPP adopts </w:t>
      </w:r>
      <w:r w:rsidR="00D62D1D" w:rsidRPr="000F0A15">
        <w:rPr>
          <w:rFonts w:ascii="Times New Roman" w:hAnsi="Times New Roman" w:cs="Times New Roman"/>
        </w:rPr>
        <w:t>its</w:t>
      </w:r>
      <w:r w:rsidR="00B20B2E" w:rsidRPr="000F0A15">
        <w:rPr>
          <w:rFonts w:ascii="Times New Roman" w:hAnsi="Times New Roman" w:cs="Times New Roman"/>
        </w:rPr>
        <w:t xml:space="preserve"> own language, these WTO precedents are rather informative given the structural equivalence of chapter 29 with GATT Article XX. </w:t>
      </w:r>
      <w:r w:rsidR="00D62D1D" w:rsidRPr="000F0A15">
        <w:rPr>
          <w:rFonts w:ascii="Times New Roman" w:hAnsi="Times New Roman" w:cs="Times New Roman"/>
        </w:rPr>
        <w:t xml:space="preserve">Therefore, CPTPP scrutiny of China’s laws would likely be shaped by the WTO’ evolving standard of necessity and non-discrimination. Overall, China’s legal framework reflects a sovereignty first model. It prioritizes national control over digital policy. This stance may fundamentally misalign CPTPP’s vision of open and rules-based digital trade even though it is anchored in legitimate regulatory concerns. </w:t>
      </w:r>
    </w:p>
    <w:p w14:paraId="4738C04D" w14:textId="5C6CAC4B" w:rsidR="00041939" w:rsidRPr="000F0A15" w:rsidRDefault="00B06C0D" w:rsidP="00B06C0D">
      <w:pPr>
        <w:pStyle w:val="ListParagraph"/>
        <w:numPr>
          <w:ilvl w:val="1"/>
          <w:numId w:val="1"/>
        </w:numPr>
        <w:spacing w:line="360" w:lineRule="auto"/>
        <w:jc w:val="both"/>
        <w:rPr>
          <w:rFonts w:ascii="Times New Roman" w:hAnsi="Times New Roman" w:cs="Times New Roman"/>
          <w:b/>
          <w:bCs/>
        </w:rPr>
      </w:pPr>
      <w:r w:rsidRPr="000F0A15">
        <w:rPr>
          <w:rFonts w:ascii="Times New Roman" w:hAnsi="Times New Roman" w:cs="Times New Roman"/>
          <w:b/>
          <w:bCs/>
        </w:rPr>
        <w:t xml:space="preserve"> DEPA</w:t>
      </w:r>
    </w:p>
    <w:p w14:paraId="28C86ACD" w14:textId="70C23996" w:rsidR="00B06C0D" w:rsidRPr="000F0A15" w:rsidRDefault="00543413" w:rsidP="00B06C0D">
      <w:pPr>
        <w:spacing w:line="360" w:lineRule="auto"/>
        <w:jc w:val="both"/>
        <w:rPr>
          <w:rFonts w:ascii="Times New Roman" w:hAnsi="Times New Roman" w:cs="Times New Roman"/>
        </w:rPr>
      </w:pPr>
      <w:r w:rsidRPr="000F0A15">
        <w:rPr>
          <w:rFonts w:ascii="Times New Roman" w:hAnsi="Times New Roman" w:cs="Times New Roman"/>
        </w:rPr>
        <w:t xml:space="preserve">DEPA represents a novel approach to digital trade governance via its modular framework. It allows economies to engage flexibly across 16 core areas. </w:t>
      </w:r>
      <w:r w:rsidR="00545198" w:rsidRPr="000F0A15">
        <w:rPr>
          <w:rFonts w:ascii="Times New Roman" w:hAnsi="Times New Roman" w:cs="Times New Roman"/>
        </w:rPr>
        <w:t>The</w:t>
      </w:r>
      <w:r w:rsidR="00004FC8" w:rsidRPr="000F0A15">
        <w:rPr>
          <w:rFonts w:ascii="Times New Roman" w:hAnsi="Times New Roman" w:cs="Times New Roman"/>
        </w:rPr>
        <w:t xml:space="preserve"> modular framework of DEPA is captured chronologically in Table-</w:t>
      </w:r>
      <w:r w:rsidR="004E0057" w:rsidRPr="000F0A15">
        <w:rPr>
          <w:rFonts w:ascii="Times New Roman" w:hAnsi="Times New Roman" w:cs="Times New Roman"/>
        </w:rPr>
        <w:t>2</w:t>
      </w:r>
      <w:r w:rsidR="00004FC8" w:rsidRPr="000F0A15">
        <w:rPr>
          <w:rFonts w:ascii="Times New Roman" w:hAnsi="Times New Roman" w:cs="Times New Roman"/>
        </w:rPr>
        <w:t xml:space="preserve">. </w:t>
      </w:r>
      <w:r w:rsidR="00A71F5F" w:rsidRPr="000F0A15">
        <w:rPr>
          <w:rFonts w:ascii="Times New Roman" w:hAnsi="Times New Roman" w:cs="Times New Roman"/>
        </w:rPr>
        <w:t xml:space="preserve">These include </w:t>
      </w:r>
      <w:r w:rsidR="00627280" w:rsidRPr="000F0A15">
        <w:rPr>
          <w:rFonts w:ascii="Times New Roman" w:hAnsi="Times New Roman" w:cs="Times New Roman"/>
        </w:rPr>
        <w:t xml:space="preserve">cross-border data flows, artificial intelligence, cybersecurity, and digital inclusion. DEPA’s design supports high-standard digital commitments alongside </w:t>
      </w:r>
      <w:r w:rsidR="0052259B" w:rsidRPr="000F0A15">
        <w:rPr>
          <w:rFonts w:ascii="Times New Roman" w:hAnsi="Times New Roman" w:cs="Times New Roman"/>
        </w:rPr>
        <w:t xml:space="preserve">differentiated paths of implementation. Hence, it has attracted interest from diverse economies including China. </w:t>
      </w:r>
    </w:p>
    <w:p w14:paraId="4B43FAD5" w14:textId="77417DC1" w:rsidR="003430E9" w:rsidRPr="000F0A15" w:rsidRDefault="003430E9" w:rsidP="003430E9">
      <w:pPr>
        <w:spacing w:line="360" w:lineRule="auto"/>
        <w:jc w:val="center"/>
        <w:rPr>
          <w:rFonts w:ascii="Times New Roman" w:hAnsi="Times New Roman" w:cs="Times New Roman"/>
          <w:b/>
          <w:bCs/>
          <w:i/>
          <w:iCs/>
          <w:sz w:val="20"/>
          <w:szCs w:val="20"/>
        </w:rPr>
      </w:pPr>
      <w:r w:rsidRPr="000F0A15">
        <w:rPr>
          <w:rFonts w:ascii="Times New Roman" w:hAnsi="Times New Roman" w:cs="Times New Roman"/>
          <w:b/>
          <w:bCs/>
          <w:i/>
          <w:iCs/>
          <w:sz w:val="20"/>
          <w:szCs w:val="20"/>
        </w:rPr>
        <w:t xml:space="preserve">Table </w:t>
      </w:r>
      <w:r w:rsidR="004E0057" w:rsidRPr="000F0A15">
        <w:rPr>
          <w:rFonts w:ascii="Times New Roman" w:hAnsi="Times New Roman" w:cs="Times New Roman"/>
          <w:b/>
          <w:bCs/>
          <w:i/>
          <w:iCs/>
          <w:sz w:val="20"/>
          <w:szCs w:val="20"/>
        </w:rPr>
        <w:t>2</w:t>
      </w:r>
      <w:r w:rsidRPr="000F0A15">
        <w:rPr>
          <w:rFonts w:ascii="Times New Roman" w:hAnsi="Times New Roman" w:cs="Times New Roman"/>
          <w:b/>
          <w:bCs/>
          <w:i/>
          <w:iCs/>
          <w:sz w:val="20"/>
          <w:szCs w:val="20"/>
        </w:rPr>
        <w:t xml:space="preserve">: DEPA Modular </w:t>
      </w:r>
      <w:commentRangeStart w:id="19"/>
      <w:r w:rsidRPr="000F0A15">
        <w:rPr>
          <w:rFonts w:ascii="Times New Roman" w:hAnsi="Times New Roman" w:cs="Times New Roman"/>
          <w:b/>
          <w:bCs/>
          <w:i/>
          <w:iCs/>
          <w:sz w:val="20"/>
          <w:szCs w:val="20"/>
        </w:rPr>
        <w:t>Framework (DEPA, n.d.)</w:t>
      </w:r>
      <w:commentRangeEnd w:id="19"/>
      <w:r w:rsidR="008F2CE6">
        <w:rPr>
          <w:rStyle w:val="CommentReference"/>
        </w:rPr>
        <w:commentReference w:id="19"/>
      </w:r>
    </w:p>
    <w:p w14:paraId="7FA42469" w14:textId="22E22757" w:rsidR="006C4F31" w:rsidRPr="000F0A15" w:rsidRDefault="00217005" w:rsidP="00217005">
      <w:pPr>
        <w:spacing w:line="360" w:lineRule="auto"/>
        <w:jc w:val="center"/>
        <w:rPr>
          <w:rFonts w:ascii="Times New Roman" w:hAnsi="Times New Roman" w:cs="Times New Roman"/>
        </w:rPr>
      </w:pPr>
      <w:r w:rsidRPr="000F0A15">
        <w:rPr>
          <w:rFonts w:ascii="Times New Roman" w:hAnsi="Times New Roman" w:cs="Times New Roman"/>
          <w:noProof/>
        </w:rPr>
        <w:lastRenderedPageBreak/>
        <w:drawing>
          <wp:inline distT="0" distB="0" distL="0" distR="0" wp14:anchorId="590BEDA0" wp14:editId="0C099DE7">
            <wp:extent cx="4263208" cy="3710763"/>
            <wp:effectExtent l="0" t="0" r="4445" b="0"/>
            <wp:docPr id="871783201" name="Picture 1" descr="A table of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83201" name="Picture 1" descr="A table of text with black text&#10;&#10;AI-generated content may be incorrect."/>
                    <pic:cNvPicPr/>
                  </pic:nvPicPr>
                  <pic:blipFill>
                    <a:blip r:embed="rId13"/>
                    <a:stretch>
                      <a:fillRect/>
                    </a:stretch>
                  </pic:blipFill>
                  <pic:spPr>
                    <a:xfrm>
                      <a:off x="0" y="0"/>
                      <a:ext cx="4290821" cy="3734798"/>
                    </a:xfrm>
                    <a:prstGeom prst="rect">
                      <a:avLst/>
                    </a:prstGeom>
                  </pic:spPr>
                </pic:pic>
              </a:graphicData>
            </a:graphic>
          </wp:inline>
        </w:drawing>
      </w:r>
    </w:p>
    <w:p w14:paraId="60C368AF" w14:textId="44B8805A" w:rsidR="00940FC6" w:rsidRPr="000F0A15" w:rsidRDefault="006C4F31" w:rsidP="00B06C0D">
      <w:pPr>
        <w:spacing w:line="360" w:lineRule="auto"/>
        <w:jc w:val="both"/>
        <w:rPr>
          <w:rFonts w:ascii="Times New Roman" w:hAnsi="Times New Roman" w:cs="Times New Roman"/>
        </w:rPr>
      </w:pPr>
      <w:r w:rsidRPr="000F0A15">
        <w:rPr>
          <w:rFonts w:ascii="Times New Roman" w:hAnsi="Times New Roman" w:cs="Times New Roman"/>
        </w:rPr>
        <w:t xml:space="preserve">At the core of DEPA’s digital governance are commitments to </w:t>
      </w:r>
      <w:r w:rsidRPr="000F0A15">
        <w:rPr>
          <w:rStyle w:val="Strong"/>
          <w:rFonts w:ascii="Times New Roman" w:hAnsi="Times New Roman" w:cs="Times New Roman"/>
          <w:b w:val="0"/>
          <w:bCs w:val="0"/>
        </w:rPr>
        <w:t>interoperability and regulatory trust</w:t>
      </w:r>
      <w:r w:rsidRPr="000F0A15">
        <w:rPr>
          <w:rFonts w:ascii="Times New Roman" w:hAnsi="Times New Roman" w:cs="Times New Roman"/>
          <w:b/>
          <w:bCs/>
        </w:rPr>
        <w:t xml:space="preserve">. </w:t>
      </w:r>
      <w:r w:rsidRPr="000F0A15">
        <w:rPr>
          <w:rFonts w:ascii="Times New Roman" w:hAnsi="Times New Roman" w:cs="Times New Roman"/>
        </w:rPr>
        <w:t>Module 4</w:t>
      </w:r>
      <w:r w:rsidR="00075EBE" w:rsidRPr="000F0A15">
        <w:rPr>
          <w:rFonts w:ascii="Times New Roman" w:hAnsi="Times New Roman" w:cs="Times New Roman"/>
        </w:rPr>
        <w:t>.3. clause 2</w:t>
      </w:r>
      <w:r w:rsidRPr="000F0A15">
        <w:rPr>
          <w:rFonts w:ascii="Times New Roman" w:hAnsi="Times New Roman" w:cs="Times New Roman"/>
        </w:rPr>
        <w:t xml:space="preserve"> </w:t>
      </w:r>
      <w:r w:rsidR="00507084" w:rsidRPr="000F0A15">
        <w:rPr>
          <w:rFonts w:ascii="Times New Roman" w:hAnsi="Times New Roman" w:cs="Times New Roman"/>
        </w:rPr>
        <w:t xml:space="preserve">(DEPA, n.d., p. 4-3) </w:t>
      </w:r>
      <w:r w:rsidRPr="000F0A15">
        <w:rPr>
          <w:rFonts w:ascii="Times New Roman" w:hAnsi="Times New Roman" w:cs="Times New Roman"/>
        </w:rPr>
        <w:t xml:space="preserve">mandates: </w:t>
      </w:r>
    </w:p>
    <w:p w14:paraId="589D3801" w14:textId="7FFB45BC" w:rsidR="006C4F31" w:rsidRPr="000F0A15" w:rsidRDefault="006C4F31" w:rsidP="00507084">
      <w:pPr>
        <w:spacing w:line="360" w:lineRule="auto"/>
        <w:jc w:val="center"/>
        <w:rPr>
          <w:rFonts w:ascii="Times New Roman" w:hAnsi="Times New Roman" w:cs="Times New Roman"/>
        </w:rPr>
      </w:pPr>
      <w:r w:rsidRPr="000F0A15">
        <w:rPr>
          <w:rFonts w:ascii="Times New Roman" w:hAnsi="Times New Roman" w:cs="Times New Roman"/>
        </w:rPr>
        <w:t>“</w:t>
      </w:r>
      <w:r w:rsidR="00507084" w:rsidRPr="000F0A15">
        <w:rPr>
          <w:rFonts w:ascii="Times New Roman" w:hAnsi="Times New Roman" w:cs="Times New Roman"/>
          <w:i/>
          <w:iCs/>
        </w:rPr>
        <w:t>Each Party shall allow the cross-border transfer of information by electronic means, including personal information, when this activity is for the conduct of the business of a covered person.</w:t>
      </w:r>
      <w:r w:rsidR="00507084" w:rsidRPr="000F0A15">
        <w:rPr>
          <w:rFonts w:ascii="Times New Roman" w:hAnsi="Times New Roman" w:cs="Times New Roman"/>
        </w:rPr>
        <w:t>”</w:t>
      </w:r>
    </w:p>
    <w:p w14:paraId="0C7EA62A" w14:textId="2D2B748F" w:rsidR="00A13B3A" w:rsidRPr="000F0A15" w:rsidRDefault="005C521F" w:rsidP="00A13B3A">
      <w:pPr>
        <w:spacing w:line="360" w:lineRule="auto"/>
        <w:jc w:val="both"/>
        <w:rPr>
          <w:rFonts w:ascii="Times New Roman" w:hAnsi="Times New Roman" w:cs="Times New Roman"/>
        </w:rPr>
      </w:pPr>
      <w:r w:rsidRPr="000F0A15">
        <w:rPr>
          <w:rFonts w:ascii="Times New Roman" w:hAnsi="Times New Roman" w:cs="Times New Roman"/>
        </w:rPr>
        <w:t xml:space="preserve">This is the same as Article 14.11.2 of CPTPP. </w:t>
      </w:r>
      <w:r w:rsidR="004B2A06" w:rsidRPr="000F0A15">
        <w:rPr>
          <w:rFonts w:ascii="Times New Roman" w:hAnsi="Times New Roman" w:cs="Times New Roman"/>
        </w:rPr>
        <w:t xml:space="preserve">Additionally, the cross-border transfer of information under DEPA is subjected to limited </w:t>
      </w:r>
      <w:r w:rsidR="007C3180" w:rsidRPr="000F0A15">
        <w:rPr>
          <w:rFonts w:ascii="Times New Roman" w:hAnsi="Times New Roman" w:cs="Times New Roman"/>
        </w:rPr>
        <w:t xml:space="preserve">exceptions for </w:t>
      </w:r>
      <w:r w:rsidR="007C3180" w:rsidRPr="000F0A15">
        <w:rPr>
          <w:rFonts w:ascii="Times New Roman" w:hAnsi="Times New Roman" w:cs="Times New Roman"/>
          <w:i/>
          <w:iCs/>
        </w:rPr>
        <w:t xml:space="preserve">legitimate public policy objective </w:t>
      </w:r>
      <w:r w:rsidR="007C3180" w:rsidRPr="000F0A15">
        <w:rPr>
          <w:rFonts w:ascii="Times New Roman" w:hAnsi="Times New Roman" w:cs="Times New Roman"/>
        </w:rPr>
        <w:t xml:space="preserve">that are not </w:t>
      </w:r>
      <w:r w:rsidR="007C3180" w:rsidRPr="000F0A15">
        <w:rPr>
          <w:rFonts w:ascii="Times New Roman" w:hAnsi="Times New Roman" w:cs="Times New Roman"/>
          <w:i/>
          <w:iCs/>
        </w:rPr>
        <w:t>applied in a manner which would constitute a means of arbitrary or unjustified discrimination</w:t>
      </w:r>
      <w:r w:rsidR="007C3180" w:rsidRPr="000F0A15">
        <w:rPr>
          <w:rFonts w:ascii="Times New Roman" w:hAnsi="Times New Roman" w:cs="Times New Roman"/>
        </w:rPr>
        <w:t xml:space="preserve">. </w:t>
      </w:r>
      <w:r w:rsidR="003820C1" w:rsidRPr="000F0A15">
        <w:rPr>
          <w:rFonts w:ascii="Times New Roman" w:hAnsi="Times New Roman" w:cs="Times New Roman"/>
        </w:rPr>
        <w:t xml:space="preserve">Similarly, parties are also </w:t>
      </w:r>
      <w:r w:rsidR="003D2BCB" w:rsidRPr="000F0A15">
        <w:rPr>
          <w:rFonts w:ascii="Times New Roman" w:hAnsi="Times New Roman" w:cs="Times New Roman"/>
        </w:rPr>
        <w:t>dis</w:t>
      </w:r>
      <w:r w:rsidR="003820C1" w:rsidRPr="000F0A15">
        <w:rPr>
          <w:rFonts w:ascii="Times New Roman" w:hAnsi="Times New Roman" w:cs="Times New Roman"/>
        </w:rPr>
        <w:t xml:space="preserve">couraged </w:t>
      </w:r>
      <w:r w:rsidR="003D2BCB" w:rsidRPr="000F0A15">
        <w:rPr>
          <w:rFonts w:ascii="Times New Roman" w:hAnsi="Times New Roman" w:cs="Times New Roman"/>
        </w:rPr>
        <w:t xml:space="preserve">from imposing data localization requirements. These provisions collectively mirror the CPTPP digital norms however, they have been integrated into a more flexible and cooperative context. </w:t>
      </w:r>
    </w:p>
    <w:p w14:paraId="172E661C" w14:textId="158F68FB" w:rsidR="006B2DEF" w:rsidRPr="000F0A15" w:rsidRDefault="006B2DEF" w:rsidP="00A13B3A">
      <w:pPr>
        <w:spacing w:line="360" w:lineRule="auto"/>
        <w:jc w:val="both"/>
        <w:rPr>
          <w:rFonts w:ascii="Times New Roman" w:hAnsi="Times New Roman" w:cs="Times New Roman"/>
        </w:rPr>
      </w:pPr>
      <w:r w:rsidRPr="000F0A15">
        <w:rPr>
          <w:rFonts w:ascii="Times New Roman" w:hAnsi="Times New Roman" w:cs="Times New Roman"/>
        </w:rPr>
        <w:t xml:space="preserve">China formally applied to join DEPA in November 2021 and the Accession Working Group (AWG), chaired by Chile was established in August 2022 (APEC, 2024). </w:t>
      </w:r>
      <w:r w:rsidR="001045E0" w:rsidRPr="000F0A15">
        <w:rPr>
          <w:rFonts w:ascii="Times New Roman" w:hAnsi="Times New Roman" w:cs="Times New Roman"/>
        </w:rPr>
        <w:t xml:space="preserve">According to MOFCOM (2024), positive progress is being made as China </w:t>
      </w:r>
      <w:r w:rsidR="00A01A01" w:rsidRPr="000F0A15">
        <w:rPr>
          <w:rFonts w:ascii="Times New Roman" w:hAnsi="Times New Roman" w:cs="Times New Roman"/>
        </w:rPr>
        <w:t xml:space="preserve">actively exchanges views with DEPA members. This strategic interest reflects China’s intent to enhance participation in regional digital governance frameworks. It consequently </w:t>
      </w:r>
      <w:r w:rsidR="00367C93" w:rsidRPr="000F0A15">
        <w:rPr>
          <w:rFonts w:ascii="Times New Roman" w:hAnsi="Times New Roman" w:cs="Times New Roman"/>
        </w:rPr>
        <w:t>signals</w:t>
      </w:r>
      <w:r w:rsidR="00A01A01" w:rsidRPr="000F0A15">
        <w:rPr>
          <w:rFonts w:ascii="Times New Roman" w:hAnsi="Times New Roman" w:cs="Times New Roman"/>
        </w:rPr>
        <w:t xml:space="preserve"> regulatory openness to global investors</w:t>
      </w:r>
      <w:r w:rsidR="00D7082F" w:rsidRPr="000F0A15">
        <w:rPr>
          <w:rFonts w:ascii="Times New Roman" w:hAnsi="Times New Roman" w:cs="Times New Roman"/>
        </w:rPr>
        <w:t xml:space="preserve">. </w:t>
      </w:r>
    </w:p>
    <w:p w14:paraId="5D37CA66" w14:textId="68FE152C" w:rsidR="009C1756" w:rsidRPr="000F0A15" w:rsidRDefault="009C1756" w:rsidP="00A13B3A">
      <w:pPr>
        <w:spacing w:line="360" w:lineRule="auto"/>
        <w:jc w:val="both"/>
        <w:rPr>
          <w:rFonts w:ascii="Times New Roman" w:hAnsi="Times New Roman" w:cs="Times New Roman"/>
        </w:rPr>
      </w:pPr>
      <w:r w:rsidRPr="000F0A15">
        <w:rPr>
          <w:rFonts w:ascii="Times New Roman" w:hAnsi="Times New Roman" w:cs="Times New Roman"/>
        </w:rPr>
        <w:lastRenderedPageBreak/>
        <w:t xml:space="preserve">However, the domestic legal regimes in China represents several frictions with DEPA’s vision. For instance, PIPL requires cross-border transfers to undergo </w:t>
      </w:r>
      <w:r w:rsidR="003F5BAA" w:rsidRPr="000F0A15">
        <w:rPr>
          <w:rFonts w:ascii="Times New Roman" w:hAnsi="Times New Roman" w:cs="Times New Roman"/>
        </w:rPr>
        <w:t xml:space="preserve">state-organized security review and mandates data localization for critical infrastructure operators (China Briefing, 2021). </w:t>
      </w:r>
      <w:r w:rsidR="00583E33" w:rsidRPr="000F0A15">
        <w:rPr>
          <w:rFonts w:ascii="Times New Roman" w:hAnsi="Times New Roman" w:cs="Times New Roman"/>
        </w:rPr>
        <w:t xml:space="preserve">Additionally, Article 24 of DSL </w:t>
      </w:r>
      <w:r w:rsidR="00E61BCC" w:rsidRPr="000F0A15">
        <w:rPr>
          <w:rFonts w:ascii="Times New Roman" w:hAnsi="Times New Roman" w:cs="Times New Roman"/>
        </w:rPr>
        <w:t xml:space="preserve">authorized restrictions on outbound data (China Law Translate, 2021). </w:t>
      </w:r>
      <w:r w:rsidR="00590BF2" w:rsidRPr="000F0A15">
        <w:rPr>
          <w:rFonts w:ascii="Times New Roman" w:hAnsi="Times New Roman" w:cs="Times New Roman"/>
        </w:rPr>
        <w:t xml:space="preserve">Meanwhile, the </w:t>
      </w:r>
      <w:r w:rsidR="00590BF2" w:rsidRPr="000F0A15">
        <w:rPr>
          <w:rStyle w:val="Strong"/>
          <w:rFonts w:ascii="Times New Roman" w:hAnsi="Times New Roman" w:cs="Times New Roman"/>
          <w:b w:val="0"/>
          <w:bCs w:val="0"/>
        </w:rPr>
        <w:t>Cybersecurity Law Amendments (2025)</w:t>
      </w:r>
      <w:r w:rsidR="00590BF2" w:rsidRPr="000F0A15">
        <w:rPr>
          <w:rFonts w:ascii="Times New Roman" w:hAnsi="Times New Roman" w:cs="Times New Roman"/>
        </w:rPr>
        <w:t xml:space="preserve"> reinforce compliance mechanisms such as license revocation and business suspension for violations (Fan &amp; Zhou, 2025).</w:t>
      </w:r>
      <w:r w:rsidR="00560C85" w:rsidRPr="000F0A15">
        <w:rPr>
          <w:rFonts w:ascii="Times New Roman" w:hAnsi="Times New Roman" w:cs="Times New Roman"/>
        </w:rPr>
        <w:t xml:space="preserve"> In this context, DEPA’s exception clause under Module </w:t>
      </w:r>
      <w:r w:rsidR="000E6C4E" w:rsidRPr="000F0A15">
        <w:rPr>
          <w:rFonts w:ascii="Times New Roman" w:hAnsi="Times New Roman" w:cs="Times New Roman"/>
        </w:rPr>
        <w:t>15</w:t>
      </w:r>
      <w:r w:rsidR="004B6512" w:rsidRPr="000F0A15">
        <w:rPr>
          <w:rFonts w:ascii="Times New Roman" w:hAnsi="Times New Roman" w:cs="Times New Roman"/>
        </w:rPr>
        <w:t xml:space="preserve"> incorporates Article XX of GATT and Article XIV of GATS ‘mutatis mutandis”</w:t>
      </w:r>
      <w:r w:rsidR="00C43069" w:rsidRPr="000F0A15">
        <w:rPr>
          <w:rFonts w:ascii="Times New Roman" w:hAnsi="Times New Roman" w:cs="Times New Roman"/>
        </w:rPr>
        <w:t xml:space="preserve"> (DEPA, n.d., p. 14-5). These clauses allow regulatory measures </w:t>
      </w:r>
      <w:r w:rsidR="00780908" w:rsidRPr="000F0A15">
        <w:rPr>
          <w:rFonts w:ascii="Times New Roman" w:hAnsi="Times New Roman" w:cs="Times New Roman"/>
        </w:rPr>
        <w:t xml:space="preserve">that are necessary to protect public morals, privacy or national security. </w:t>
      </w:r>
      <w:r w:rsidR="009F14C3" w:rsidRPr="000F0A15">
        <w:rPr>
          <w:rFonts w:ascii="Times New Roman" w:hAnsi="Times New Roman" w:cs="Times New Roman"/>
        </w:rPr>
        <w:t xml:space="preserve">However, these measures </w:t>
      </w:r>
      <w:r w:rsidR="007A5D1E" w:rsidRPr="000F0A15">
        <w:rPr>
          <w:rFonts w:ascii="Times New Roman" w:hAnsi="Times New Roman" w:cs="Times New Roman"/>
        </w:rPr>
        <w:t xml:space="preserve">should not be arbitrary or unjustifiable or perhaps disguised as restrictions on trade. </w:t>
      </w:r>
      <w:r w:rsidR="002B1678" w:rsidRPr="000F0A15">
        <w:rPr>
          <w:rFonts w:ascii="Times New Roman" w:hAnsi="Times New Roman" w:cs="Times New Roman"/>
        </w:rPr>
        <w:t xml:space="preserve">The interpretive flexibility in this context offers a more diplomatic space than CPTPP. Yet it still mandates transparency, proportionality and dialogue. </w:t>
      </w:r>
      <w:r w:rsidR="00890D49" w:rsidRPr="000F0A15">
        <w:rPr>
          <w:rFonts w:ascii="Times New Roman" w:hAnsi="Times New Roman" w:cs="Times New Roman"/>
        </w:rPr>
        <w:t xml:space="preserve">Moreover, the term </w:t>
      </w:r>
      <w:r w:rsidR="00890D49" w:rsidRPr="000F0A15">
        <w:rPr>
          <w:rFonts w:ascii="Times New Roman" w:hAnsi="Times New Roman" w:cs="Times New Roman"/>
          <w:i/>
          <w:iCs/>
        </w:rPr>
        <w:t>mutatis-mutandis</w:t>
      </w:r>
      <w:r w:rsidR="00890D49" w:rsidRPr="000F0A15">
        <w:rPr>
          <w:rFonts w:ascii="Times New Roman" w:hAnsi="Times New Roman" w:cs="Times New Roman"/>
        </w:rPr>
        <w:t xml:space="preserve"> signals that although DEPA draws from the WTO’s general exception framework</w:t>
      </w:r>
      <w:r w:rsidR="00D07301" w:rsidRPr="000F0A15">
        <w:rPr>
          <w:rFonts w:ascii="Times New Roman" w:hAnsi="Times New Roman" w:cs="Times New Roman"/>
        </w:rPr>
        <w:t xml:space="preserve">. Its application is adjusted to fir the digital context and cooperative spirit of the agreement. This approach arguably gives China a softer landing than CPTPP which directly transplants the stricter two-tier test. However, DEPA still expects members to uphold core principles of proportionality and non-discrimination as developed by the WTP case laws such as US-Gambling and EC- Seal Products. </w:t>
      </w:r>
    </w:p>
    <w:p w14:paraId="07495491" w14:textId="56B958CB" w:rsidR="00D07301" w:rsidRPr="000F0A15" w:rsidRDefault="00D07301" w:rsidP="00A13B3A">
      <w:pPr>
        <w:spacing w:line="360" w:lineRule="auto"/>
        <w:jc w:val="both"/>
        <w:rPr>
          <w:rFonts w:ascii="Times New Roman" w:hAnsi="Times New Roman" w:cs="Times New Roman"/>
        </w:rPr>
      </w:pPr>
      <w:r w:rsidRPr="000F0A15">
        <w:rPr>
          <w:rFonts w:ascii="Times New Roman" w:hAnsi="Times New Roman" w:cs="Times New Roman"/>
        </w:rPr>
        <w:t xml:space="preserve">To further clarify, </w:t>
      </w:r>
      <w:r w:rsidR="009F719C" w:rsidRPr="000F0A15">
        <w:rPr>
          <w:rFonts w:ascii="Times New Roman" w:hAnsi="Times New Roman" w:cs="Times New Roman"/>
        </w:rPr>
        <w:t>Table-2</w:t>
      </w:r>
      <w:r w:rsidRPr="000F0A15">
        <w:rPr>
          <w:rFonts w:ascii="Times New Roman" w:hAnsi="Times New Roman" w:cs="Times New Roman"/>
        </w:rPr>
        <w:t xml:space="preserve"> below compares how CPTPP, DEPA and WTO agreements respectively frame and apply general exception in digital trad</w:t>
      </w:r>
      <w:r w:rsidR="009F719C" w:rsidRPr="000F0A15">
        <w:rPr>
          <w:rFonts w:ascii="Times New Roman" w:hAnsi="Times New Roman" w:cs="Times New Roman"/>
        </w:rPr>
        <w:t>e. This table shows that while DEPA is more flexible procedurally, it inherits the same substantive obligations that have led to failure in 32 of 33 WTO cases attempting to invoke general exceptions (Public Citizen, 2015). Hence, legal divergence may be tolerated in form, but not in effect.</w:t>
      </w:r>
    </w:p>
    <w:p w14:paraId="66C9BE26" w14:textId="4D0A8D5B" w:rsidR="005D68E6" w:rsidRPr="000F0A15" w:rsidRDefault="005D68E6" w:rsidP="00917E26">
      <w:pPr>
        <w:spacing w:line="360" w:lineRule="auto"/>
        <w:jc w:val="center"/>
        <w:rPr>
          <w:rFonts w:ascii="Times New Roman" w:hAnsi="Times New Roman" w:cs="Times New Roman"/>
          <w:b/>
          <w:bCs/>
          <w:i/>
          <w:iCs/>
          <w:sz w:val="20"/>
          <w:szCs w:val="20"/>
        </w:rPr>
      </w:pPr>
      <w:r w:rsidRPr="000F0A15">
        <w:rPr>
          <w:rFonts w:ascii="Times New Roman" w:hAnsi="Times New Roman" w:cs="Times New Roman"/>
          <w:b/>
          <w:bCs/>
          <w:i/>
          <w:iCs/>
          <w:sz w:val="20"/>
          <w:szCs w:val="20"/>
        </w:rPr>
        <w:t xml:space="preserve">Table 3: </w:t>
      </w:r>
      <w:r w:rsidR="00917E26" w:rsidRPr="000F0A15">
        <w:rPr>
          <w:rFonts w:ascii="Times New Roman" w:hAnsi="Times New Roman" w:cs="Times New Roman"/>
          <w:b/>
          <w:bCs/>
          <w:i/>
          <w:iCs/>
          <w:sz w:val="20"/>
          <w:szCs w:val="20"/>
        </w:rPr>
        <w:t>Comparison of General Exceptions Frameworks</w:t>
      </w:r>
    </w:p>
    <w:tbl>
      <w:tblPr>
        <w:tblStyle w:val="TableGrid"/>
        <w:tblW w:w="0" w:type="auto"/>
        <w:jc w:val="center"/>
        <w:tblLook w:val="04A0" w:firstRow="1" w:lastRow="0" w:firstColumn="1" w:lastColumn="0" w:noHBand="0" w:noVBand="1"/>
      </w:tblPr>
      <w:tblGrid>
        <w:gridCol w:w="2574"/>
        <w:gridCol w:w="3540"/>
        <w:gridCol w:w="3236"/>
      </w:tblGrid>
      <w:tr w:rsidR="005D68E6" w:rsidRPr="000F0A15" w14:paraId="46D62CC2" w14:textId="77777777" w:rsidTr="005D68E6">
        <w:trPr>
          <w:jc w:val="center"/>
        </w:trPr>
        <w:tc>
          <w:tcPr>
            <w:tcW w:w="0" w:type="auto"/>
            <w:hideMark/>
          </w:tcPr>
          <w:p w14:paraId="7A2E6CBA" w14:textId="77777777" w:rsidR="005D68E6" w:rsidRPr="000F0A15" w:rsidRDefault="005D68E6" w:rsidP="005D68E6">
            <w:pPr>
              <w:spacing w:line="360" w:lineRule="auto"/>
              <w:jc w:val="center"/>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Agreement</w:t>
            </w:r>
          </w:p>
        </w:tc>
        <w:tc>
          <w:tcPr>
            <w:tcW w:w="0" w:type="auto"/>
            <w:hideMark/>
          </w:tcPr>
          <w:p w14:paraId="620E08E4" w14:textId="77777777" w:rsidR="005D68E6" w:rsidRPr="000F0A15" w:rsidRDefault="005D68E6" w:rsidP="005D68E6">
            <w:pPr>
              <w:spacing w:line="360" w:lineRule="auto"/>
              <w:jc w:val="center"/>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Basis for Exceptions</w:t>
            </w:r>
          </w:p>
        </w:tc>
        <w:tc>
          <w:tcPr>
            <w:tcW w:w="0" w:type="auto"/>
            <w:hideMark/>
          </w:tcPr>
          <w:p w14:paraId="4F77ED44" w14:textId="77777777" w:rsidR="005D68E6" w:rsidRPr="000F0A15" w:rsidRDefault="005D68E6" w:rsidP="005D68E6">
            <w:pPr>
              <w:spacing w:line="360" w:lineRule="auto"/>
              <w:jc w:val="center"/>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Non-Discrimination Test</w:t>
            </w:r>
          </w:p>
        </w:tc>
      </w:tr>
      <w:tr w:rsidR="005D68E6" w:rsidRPr="000F0A15" w14:paraId="0B9BBA91" w14:textId="77777777" w:rsidTr="005D68E6">
        <w:trPr>
          <w:jc w:val="center"/>
        </w:trPr>
        <w:tc>
          <w:tcPr>
            <w:tcW w:w="0" w:type="auto"/>
            <w:hideMark/>
          </w:tcPr>
          <w:p w14:paraId="217FED43"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CPTPP Chapter 29</w:t>
            </w:r>
          </w:p>
        </w:tc>
        <w:tc>
          <w:tcPr>
            <w:tcW w:w="0" w:type="auto"/>
            <w:hideMark/>
          </w:tcPr>
          <w:p w14:paraId="43BDF490"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Article XX GATT-style (explicit)</w:t>
            </w:r>
          </w:p>
        </w:tc>
        <w:tc>
          <w:tcPr>
            <w:tcW w:w="0" w:type="auto"/>
            <w:hideMark/>
          </w:tcPr>
          <w:p w14:paraId="695C0E41"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Yes – via chapeau</w:t>
            </w:r>
          </w:p>
        </w:tc>
      </w:tr>
      <w:tr w:rsidR="005D68E6" w:rsidRPr="000F0A15" w14:paraId="0DA9D00E" w14:textId="77777777" w:rsidTr="005D68E6">
        <w:trPr>
          <w:jc w:val="center"/>
        </w:trPr>
        <w:tc>
          <w:tcPr>
            <w:tcW w:w="0" w:type="auto"/>
            <w:hideMark/>
          </w:tcPr>
          <w:p w14:paraId="7051162E"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DEPA Module 15</w:t>
            </w:r>
          </w:p>
        </w:tc>
        <w:tc>
          <w:tcPr>
            <w:tcW w:w="0" w:type="auto"/>
            <w:hideMark/>
          </w:tcPr>
          <w:p w14:paraId="71CCC3D1" w14:textId="2E874361"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GATT/GAT’S exceptions “mutatis mutandis”</w:t>
            </w:r>
          </w:p>
        </w:tc>
        <w:tc>
          <w:tcPr>
            <w:tcW w:w="0" w:type="auto"/>
            <w:hideMark/>
          </w:tcPr>
          <w:p w14:paraId="57811259"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Yes – adapted, but still binding</w:t>
            </w:r>
          </w:p>
        </w:tc>
      </w:tr>
      <w:tr w:rsidR="005D68E6" w:rsidRPr="000F0A15" w14:paraId="1CC2A85E" w14:textId="77777777" w:rsidTr="005D68E6">
        <w:trPr>
          <w:jc w:val="center"/>
        </w:trPr>
        <w:tc>
          <w:tcPr>
            <w:tcW w:w="0" w:type="auto"/>
            <w:hideMark/>
          </w:tcPr>
          <w:p w14:paraId="469F55E5"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WTO (GATT XX / GATS XIV)</w:t>
            </w:r>
          </w:p>
        </w:tc>
        <w:tc>
          <w:tcPr>
            <w:tcW w:w="0" w:type="auto"/>
            <w:hideMark/>
          </w:tcPr>
          <w:p w14:paraId="69AEFD7E"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Structured two-tier test</w:t>
            </w:r>
          </w:p>
        </w:tc>
        <w:tc>
          <w:tcPr>
            <w:tcW w:w="0" w:type="auto"/>
            <w:hideMark/>
          </w:tcPr>
          <w:p w14:paraId="793FB9AA"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 xml:space="preserve">Strict jurisprudence (e.g., </w:t>
            </w:r>
            <w:r w:rsidRPr="000F0A15">
              <w:rPr>
                <w:rFonts w:ascii="Times New Roman" w:eastAsia="Times New Roman" w:hAnsi="Times New Roman" w:cs="Times New Roman"/>
                <w:i/>
                <w:iCs/>
                <w:kern w:val="0"/>
                <w:sz w:val="20"/>
                <w:szCs w:val="20"/>
                <w14:ligatures w14:val="none"/>
              </w:rPr>
              <w:t>US – Gasoline</w:t>
            </w:r>
            <w:r w:rsidRPr="000F0A15">
              <w:rPr>
                <w:rFonts w:ascii="Times New Roman" w:eastAsia="Times New Roman" w:hAnsi="Times New Roman" w:cs="Times New Roman"/>
                <w:kern w:val="0"/>
                <w:sz w:val="20"/>
                <w:szCs w:val="20"/>
                <w14:ligatures w14:val="none"/>
              </w:rPr>
              <w:t>)</w:t>
            </w:r>
          </w:p>
        </w:tc>
      </w:tr>
    </w:tbl>
    <w:p w14:paraId="7F0B9E26" w14:textId="77777777" w:rsidR="00D07301" w:rsidRPr="000F0A15" w:rsidRDefault="00D07301" w:rsidP="00A13B3A">
      <w:pPr>
        <w:spacing w:line="360" w:lineRule="auto"/>
        <w:jc w:val="both"/>
        <w:rPr>
          <w:rFonts w:ascii="Times New Roman" w:hAnsi="Times New Roman" w:cs="Times New Roman"/>
        </w:rPr>
      </w:pPr>
    </w:p>
    <w:p w14:paraId="4B451393" w14:textId="05AB1D59" w:rsidR="00606297" w:rsidRPr="000F0A15" w:rsidRDefault="00606297" w:rsidP="00A13B3A">
      <w:pPr>
        <w:spacing w:line="360" w:lineRule="auto"/>
        <w:jc w:val="both"/>
        <w:rPr>
          <w:rFonts w:ascii="Times New Roman" w:hAnsi="Times New Roman" w:cs="Times New Roman"/>
        </w:rPr>
      </w:pPr>
      <w:r w:rsidRPr="000F0A15">
        <w:rPr>
          <w:rFonts w:ascii="Times New Roman" w:hAnsi="Times New Roman" w:cs="Times New Roman"/>
        </w:rPr>
        <w:lastRenderedPageBreak/>
        <w:t xml:space="preserve">Thus, instead of a legal confrontation, DEPA’s cooperative model offers a path for gradual alignment. </w:t>
      </w:r>
      <w:r w:rsidR="00BF732A" w:rsidRPr="000F0A15">
        <w:rPr>
          <w:rFonts w:ascii="Times New Roman" w:hAnsi="Times New Roman" w:cs="Times New Roman"/>
        </w:rPr>
        <w:t>Aaronson and Leblond (</w:t>
      </w:r>
      <w:r w:rsidR="003F588B" w:rsidRPr="000F0A15">
        <w:rPr>
          <w:rFonts w:ascii="Times New Roman" w:hAnsi="Times New Roman" w:cs="Times New Roman"/>
        </w:rPr>
        <w:t xml:space="preserve">2018) argue that such frameworks allow regulatory experimentation without forcing any binary choices. Thus, China’s success in joining DEPA will </w:t>
      </w:r>
      <w:r w:rsidR="004F58CB" w:rsidRPr="000F0A15">
        <w:rPr>
          <w:rFonts w:ascii="Times New Roman" w:hAnsi="Times New Roman" w:cs="Times New Roman"/>
        </w:rPr>
        <w:t xml:space="preserve">not </w:t>
      </w:r>
      <w:r w:rsidR="003F588B" w:rsidRPr="000F0A15">
        <w:rPr>
          <w:rFonts w:ascii="Times New Roman" w:hAnsi="Times New Roman" w:cs="Times New Roman"/>
        </w:rPr>
        <w:t xml:space="preserve">depend on strict legal equivalence. </w:t>
      </w:r>
      <w:r w:rsidR="004F58CB" w:rsidRPr="000F0A15">
        <w:rPr>
          <w:rFonts w:ascii="Times New Roman" w:hAnsi="Times New Roman" w:cs="Times New Roman"/>
        </w:rPr>
        <w:t xml:space="preserve">Instead, it will be based on its willingness to engage in trust-based convergence. This will demonstrate that its data governance model can be made compatible with international interoperability norms, if not completely identical. </w:t>
      </w:r>
    </w:p>
    <w:p w14:paraId="5C83FBAB" w14:textId="046586BB" w:rsidR="00D2602B" w:rsidRPr="000F0A15" w:rsidRDefault="005C5421" w:rsidP="005C5421">
      <w:pPr>
        <w:pStyle w:val="ListParagraph"/>
        <w:numPr>
          <w:ilvl w:val="0"/>
          <w:numId w:val="1"/>
        </w:numPr>
        <w:spacing w:line="360" w:lineRule="auto"/>
        <w:jc w:val="both"/>
        <w:rPr>
          <w:rFonts w:ascii="Times New Roman" w:hAnsi="Times New Roman" w:cs="Times New Roman"/>
          <w:b/>
          <w:bCs/>
        </w:rPr>
      </w:pPr>
      <w:r w:rsidRPr="000F0A15">
        <w:rPr>
          <w:rFonts w:ascii="Times New Roman" w:hAnsi="Times New Roman" w:cs="Times New Roman"/>
          <w:b/>
          <w:bCs/>
        </w:rPr>
        <w:t>China’s Strategic Response</w:t>
      </w:r>
    </w:p>
    <w:p w14:paraId="3658CC52" w14:textId="401555FE" w:rsidR="00FB72DA" w:rsidRPr="000F0A15" w:rsidRDefault="00FB72DA" w:rsidP="00FB72DA">
      <w:pPr>
        <w:spacing w:line="360" w:lineRule="auto"/>
        <w:jc w:val="both"/>
        <w:rPr>
          <w:rFonts w:ascii="Times New Roman" w:hAnsi="Times New Roman" w:cs="Times New Roman"/>
        </w:rPr>
      </w:pPr>
      <w:r w:rsidRPr="000F0A15">
        <w:rPr>
          <w:rFonts w:ascii="Times New Roman" w:hAnsi="Times New Roman" w:cs="Times New Roman"/>
        </w:rPr>
        <w:t xml:space="preserve">China’s model for data governance reflects a deliberate legal strategy entailing ‘controlled openness’. It balances global integration with data sovereignty. In the same context, Chinese laws such as PIPL, DSL and Cyrbersecurity laws are usually justified on the grounds of general exception clauses under CPTPP, DEPA, GATT and GATS frameworks. These account for public safety and moral concerns. These measures invoke legitimate objectives. However, they blanket application is rather contested as far as proportionality and transparency is concerned (Sun, 2025; Brkan, 2019). Thus, China should not oppose global digital rules completely. Instead, it should participate in CPTPP and DEPA accession talks in lieu of adopting pragmatic and incremental approaches to shaping its norms. In this regard, firms such as Alibaba and Tencent makes this approach rather evident. They have built compliance systems that are specific to jurisdictions (Tusikov, 2019; Cao, 2020). Hence, nations like China ought to navigate their digital rulemaking rather strategically. It will help them gain economic as well as regulatory leverage as suggested by Aaronson and Leblond (2018). Overall, it will transform compliance to a competitive advantage. </w:t>
      </w:r>
    </w:p>
    <w:p w14:paraId="0D5061C2" w14:textId="35BBBFCD" w:rsidR="00E53858" w:rsidRPr="000F0A15" w:rsidRDefault="00E53858" w:rsidP="00E53858">
      <w:pPr>
        <w:pStyle w:val="ListParagraph"/>
        <w:numPr>
          <w:ilvl w:val="0"/>
          <w:numId w:val="1"/>
        </w:numPr>
        <w:spacing w:line="360" w:lineRule="auto"/>
        <w:jc w:val="both"/>
        <w:rPr>
          <w:rFonts w:ascii="Times New Roman" w:hAnsi="Times New Roman" w:cs="Times New Roman"/>
          <w:b/>
          <w:bCs/>
        </w:rPr>
      </w:pPr>
      <w:r w:rsidRPr="000F0A15">
        <w:rPr>
          <w:rFonts w:ascii="Times New Roman" w:hAnsi="Times New Roman" w:cs="Times New Roman"/>
          <w:b/>
          <w:bCs/>
        </w:rPr>
        <w:t>Policy Implication and Future Research</w:t>
      </w:r>
    </w:p>
    <w:p w14:paraId="3E471845" w14:textId="79339589" w:rsidR="00E53858" w:rsidRPr="000F0A15" w:rsidRDefault="00F07B3D" w:rsidP="009876FD">
      <w:pPr>
        <w:spacing w:before="100" w:beforeAutospacing="1" w:after="100" w:afterAutospacing="1" w:line="360" w:lineRule="auto"/>
        <w:jc w:val="both"/>
        <w:rPr>
          <w:rFonts w:ascii="Times New Roman" w:eastAsia="Times New Roman" w:hAnsi="Times New Roman" w:cs="Times New Roman"/>
          <w:kern w:val="0"/>
          <w14:ligatures w14:val="none"/>
        </w:rPr>
      </w:pPr>
      <w:r w:rsidRPr="000F0A15">
        <w:rPr>
          <w:rFonts w:ascii="Times New Roman" w:hAnsi="Times New Roman" w:cs="Times New Roman"/>
        </w:rPr>
        <w:t>To enhance compatibility, China should adopt proportionality assessment. It should create transparency portals and pilot security review sandboxes in collaboration with partner economies. These steps would demonstrate a commitment to fair and non-discriminatory digital regulation.</w:t>
      </w:r>
      <w:r w:rsidR="00161B41" w:rsidRPr="000F0A15">
        <w:rPr>
          <w:rStyle w:val="Heading1Char"/>
        </w:rPr>
        <w:t xml:space="preserve"> </w:t>
      </w:r>
      <w:r w:rsidR="000B7B4F" w:rsidRPr="000F0A15">
        <w:rPr>
          <w:rStyle w:val="Strong"/>
          <w:rFonts w:ascii="Times New Roman" w:hAnsi="Times New Roman" w:cs="Times New Roman"/>
          <w:b w:val="0"/>
          <w:bCs w:val="0"/>
        </w:rPr>
        <w:t>In addition, establishing dedicated regulatory liaison units to coordinate with DEPA and CPTPP members could ensure real-time policy alignment and dispute prevention. Such institutional mechanisms would demonstrate China’s willingness to participate in rules-based governance and reduce legal uncertainty for digital investors.</w:t>
      </w:r>
      <w:r w:rsidR="000B7B4F" w:rsidRPr="000F0A15">
        <w:t xml:space="preserve"> </w:t>
      </w:r>
      <w:r w:rsidRPr="000F0A15">
        <w:rPr>
          <w:rFonts w:ascii="Times New Roman" w:hAnsi="Times New Roman" w:cs="Times New Roman"/>
        </w:rPr>
        <w:t xml:space="preserve"> Furthermore, the pressing need for a plurilateral digital-trade exception toolkit, that would harmonize how nec</w:t>
      </w:r>
      <w:r w:rsidR="00FE69F6" w:rsidRPr="000F0A15">
        <w:rPr>
          <w:rFonts w:ascii="Times New Roman" w:hAnsi="Times New Roman" w:cs="Times New Roman"/>
        </w:rPr>
        <w:t xml:space="preserve">essity and chapeau standards are </w:t>
      </w:r>
      <w:r w:rsidR="00FE69F6" w:rsidRPr="000F0A15">
        <w:rPr>
          <w:rFonts w:ascii="Times New Roman" w:hAnsi="Times New Roman" w:cs="Times New Roman"/>
        </w:rPr>
        <w:lastRenderedPageBreak/>
        <w:t xml:space="preserve">applied across agreements, become rather evident. Thus, future WTO </w:t>
      </w:r>
      <w:r w:rsidR="009876FD" w:rsidRPr="000F0A15">
        <w:rPr>
          <w:rFonts w:ascii="Times New Roman" w:eastAsia="Times New Roman" w:hAnsi="Times New Roman" w:cs="Times New Roman"/>
          <w:kern w:val="0"/>
          <w14:ligatures w14:val="none"/>
        </w:rPr>
        <w:t>Joint Statement Initiative (JSI) discussions on e-commerce should consider codifying uniform general exception tests, drawing on the evolving jurisprudence from cases such as US – Gambling and EC – Seal Products.</w:t>
      </w:r>
    </w:p>
    <w:p w14:paraId="63055089" w14:textId="1E7E9A9D" w:rsidR="00BD5BA8" w:rsidRPr="000F0A15" w:rsidRDefault="00BD5BA8" w:rsidP="00BD5BA8">
      <w:pPr>
        <w:pStyle w:val="ListParagraph"/>
        <w:numPr>
          <w:ilvl w:val="0"/>
          <w:numId w:val="1"/>
        </w:numPr>
        <w:spacing w:line="360" w:lineRule="auto"/>
        <w:jc w:val="both"/>
        <w:rPr>
          <w:rFonts w:ascii="Times New Roman" w:hAnsi="Times New Roman" w:cs="Times New Roman"/>
          <w:b/>
          <w:bCs/>
        </w:rPr>
      </w:pPr>
      <w:r w:rsidRPr="000F0A15">
        <w:rPr>
          <w:rFonts w:ascii="Times New Roman" w:hAnsi="Times New Roman" w:cs="Times New Roman"/>
          <w:b/>
          <w:bCs/>
        </w:rPr>
        <w:t>Conclusion</w:t>
      </w:r>
    </w:p>
    <w:p w14:paraId="2A1AAB71" w14:textId="3532B097" w:rsidR="00BD5BA8" w:rsidRPr="000F0A15" w:rsidRDefault="00F95BDB" w:rsidP="00BD5BA8">
      <w:pPr>
        <w:spacing w:line="360" w:lineRule="auto"/>
        <w:jc w:val="both"/>
        <w:rPr>
          <w:rFonts w:ascii="Times New Roman" w:hAnsi="Times New Roman" w:cs="Times New Roman"/>
        </w:rPr>
      </w:pPr>
      <w:r w:rsidRPr="000F0A15">
        <w:rPr>
          <w:rFonts w:ascii="Times New Roman" w:hAnsi="Times New Roman" w:cs="Times New Roman"/>
        </w:rPr>
        <w:t>The case study thus explored how CPTPP and DEPA incorporate</w:t>
      </w:r>
      <w:r w:rsidR="00FB72DA" w:rsidRPr="000F0A15">
        <w:rPr>
          <w:rFonts w:ascii="Times New Roman" w:hAnsi="Times New Roman" w:cs="Times New Roman"/>
        </w:rPr>
        <w:t>s</w:t>
      </w:r>
      <w:r w:rsidRPr="000F0A15">
        <w:rPr>
          <w:rFonts w:ascii="Times New Roman" w:hAnsi="Times New Roman" w:cs="Times New Roman"/>
        </w:rPr>
        <w:t xml:space="preserve"> general exception clauses in digital trade. It also examined the legal and strategic tensions posed by China’s data governance model that relied </w:t>
      </w:r>
      <w:r w:rsidR="00FB72DA" w:rsidRPr="000F0A15">
        <w:rPr>
          <w:rFonts w:ascii="Times New Roman" w:hAnsi="Times New Roman" w:cs="Times New Roman"/>
        </w:rPr>
        <w:t xml:space="preserve">primarily </w:t>
      </w:r>
      <w:r w:rsidRPr="000F0A15">
        <w:rPr>
          <w:rFonts w:ascii="Times New Roman" w:hAnsi="Times New Roman" w:cs="Times New Roman"/>
        </w:rPr>
        <w:t xml:space="preserve">on PIPL, DSL and Cybersecurity laws. Thus, while both agreements allow flexibility of policies under exceptions to incorporate public interest and national security, </w:t>
      </w:r>
      <w:r w:rsidR="00F72753" w:rsidRPr="000F0A15">
        <w:rPr>
          <w:rFonts w:ascii="Times New Roman" w:hAnsi="Times New Roman" w:cs="Times New Roman"/>
        </w:rPr>
        <w:t>they simultaneously impose conditions of necessity, proportionality, and non-discrimination. These are criteria that</w:t>
      </w:r>
      <w:r w:rsidR="00484ECE" w:rsidRPr="000F0A15">
        <w:rPr>
          <w:rFonts w:ascii="Times New Roman" w:hAnsi="Times New Roman" w:cs="Times New Roman"/>
        </w:rPr>
        <w:t xml:space="preserve"> China’s rigid localization mandates. Moreover, opaque enforcement might not consistently meet these criteria. Nonetheless, China positions itself in direct opposition to these frameworks. It pursues controlled </w:t>
      </w:r>
      <w:r w:rsidR="005A30F8" w:rsidRPr="000F0A15">
        <w:rPr>
          <w:rFonts w:ascii="Times New Roman" w:hAnsi="Times New Roman" w:cs="Times New Roman"/>
        </w:rPr>
        <w:t>openness</w:t>
      </w:r>
      <w:r w:rsidR="00484ECE" w:rsidRPr="000F0A15">
        <w:rPr>
          <w:rFonts w:ascii="Times New Roman" w:hAnsi="Times New Roman" w:cs="Times New Roman"/>
        </w:rPr>
        <w:t xml:space="preserve"> </w:t>
      </w:r>
      <w:r w:rsidR="005A30F8" w:rsidRPr="000F0A15">
        <w:rPr>
          <w:rFonts w:ascii="Times New Roman" w:hAnsi="Times New Roman" w:cs="Times New Roman"/>
        </w:rPr>
        <w:t xml:space="preserve">while signaling interest in joining CPTPP and DEPA. It also demands to maintain its core regulatory sovereignty. </w:t>
      </w:r>
      <w:r w:rsidR="004925B4" w:rsidRPr="000F0A15">
        <w:rPr>
          <w:rFonts w:ascii="Times New Roman" w:hAnsi="Times New Roman" w:cs="Times New Roman"/>
        </w:rPr>
        <w:t xml:space="preserve">Moreover, Chinese firms further reinforce this hybrid approach by adapting compliance models to international standards. </w:t>
      </w:r>
      <w:r w:rsidR="00B631C9" w:rsidRPr="000F0A15">
        <w:rPr>
          <w:rStyle w:val="Strong"/>
          <w:rFonts w:ascii="Times New Roman" w:hAnsi="Times New Roman" w:cs="Times New Roman"/>
          <w:b w:val="0"/>
          <w:bCs w:val="0"/>
        </w:rPr>
        <w:t>This dual-track strategy enables Beijing to assert digital sovereignty while mitigating international criticism and preserving trade ties.</w:t>
      </w:r>
      <w:r w:rsidR="00B631C9" w:rsidRPr="000F0A15">
        <w:t xml:space="preserve"> </w:t>
      </w:r>
      <w:r w:rsidR="004925B4" w:rsidRPr="000F0A15">
        <w:rPr>
          <w:rFonts w:ascii="Times New Roman" w:hAnsi="Times New Roman" w:cs="Times New Roman"/>
        </w:rPr>
        <w:t>Thus, China’s legal regime ought to coincide with DEPA and CPTPP</w:t>
      </w:r>
      <w:r w:rsidR="00FA3B4F" w:rsidRPr="000F0A15">
        <w:rPr>
          <w:rFonts w:ascii="Times New Roman" w:hAnsi="Times New Roman" w:cs="Times New Roman"/>
        </w:rPr>
        <w:t xml:space="preserve"> in the future. This necessitates </w:t>
      </w:r>
      <w:r w:rsidR="00FA3B4F" w:rsidRPr="000F0A15">
        <w:rPr>
          <w:rStyle w:val="Strong"/>
          <w:rFonts w:ascii="Times New Roman" w:hAnsi="Times New Roman" w:cs="Times New Roman"/>
          <w:b w:val="0"/>
          <w:bCs w:val="0"/>
        </w:rPr>
        <w:t>institutional transparency</w:t>
      </w:r>
      <w:r w:rsidR="00FA3B4F" w:rsidRPr="000F0A15">
        <w:rPr>
          <w:rFonts w:ascii="Times New Roman" w:hAnsi="Times New Roman" w:cs="Times New Roman"/>
          <w:b/>
          <w:bCs/>
        </w:rPr>
        <w:t xml:space="preserve">, </w:t>
      </w:r>
      <w:r w:rsidR="00FA3B4F" w:rsidRPr="000F0A15">
        <w:rPr>
          <w:rStyle w:val="Strong"/>
          <w:rFonts w:ascii="Times New Roman" w:hAnsi="Times New Roman" w:cs="Times New Roman"/>
          <w:b w:val="0"/>
          <w:bCs w:val="0"/>
        </w:rPr>
        <w:t>case-by-case assessments</w:t>
      </w:r>
      <w:r w:rsidR="00FA3B4F" w:rsidRPr="000F0A15">
        <w:rPr>
          <w:rFonts w:ascii="Times New Roman" w:hAnsi="Times New Roman" w:cs="Times New Roman"/>
          <w:b/>
          <w:bCs/>
        </w:rPr>
        <w:t xml:space="preserve">, </w:t>
      </w:r>
      <w:r w:rsidR="00FA3B4F" w:rsidRPr="000F0A15">
        <w:rPr>
          <w:rFonts w:ascii="Times New Roman" w:hAnsi="Times New Roman" w:cs="Times New Roman"/>
        </w:rPr>
        <w:t>and the development of</w:t>
      </w:r>
      <w:r w:rsidR="00FA3B4F" w:rsidRPr="000F0A15">
        <w:rPr>
          <w:rFonts w:ascii="Times New Roman" w:hAnsi="Times New Roman" w:cs="Times New Roman"/>
          <w:b/>
          <w:bCs/>
        </w:rPr>
        <w:t xml:space="preserve"> </w:t>
      </w:r>
      <w:r w:rsidR="00FA3B4F" w:rsidRPr="000F0A15">
        <w:rPr>
          <w:rStyle w:val="Strong"/>
          <w:rFonts w:ascii="Times New Roman" w:hAnsi="Times New Roman" w:cs="Times New Roman"/>
          <w:b w:val="0"/>
          <w:bCs w:val="0"/>
        </w:rPr>
        <w:t>interoperability mechanisms</w:t>
      </w:r>
      <w:r w:rsidR="00FA3B4F" w:rsidRPr="000F0A15">
        <w:rPr>
          <w:rFonts w:ascii="Times New Roman" w:hAnsi="Times New Roman" w:cs="Times New Roman"/>
          <w:b/>
          <w:bCs/>
        </w:rPr>
        <w:t>.</w:t>
      </w:r>
      <w:r w:rsidR="00A91028" w:rsidRPr="000F0A15">
        <w:rPr>
          <w:rFonts w:ascii="Times New Roman" w:hAnsi="Times New Roman" w:cs="Times New Roman"/>
          <w:b/>
          <w:bCs/>
        </w:rPr>
        <w:t xml:space="preserve"> </w:t>
      </w:r>
      <w:r w:rsidR="00A91028" w:rsidRPr="000F0A15">
        <w:rPr>
          <w:rFonts w:ascii="Times New Roman" w:hAnsi="Times New Roman" w:cs="Times New Roman"/>
        </w:rPr>
        <w:t xml:space="preserve">This will enable China to balance digital trade sovereignty with cooperations. The nation will then be able to position itself </w:t>
      </w:r>
      <w:r w:rsidR="001F6B6E" w:rsidRPr="000F0A15">
        <w:rPr>
          <w:rFonts w:ascii="Times New Roman" w:hAnsi="Times New Roman" w:cs="Times New Roman"/>
        </w:rPr>
        <w:t>not only as a rule-taker, but as a credible participant in shaping the future of global digital trade.</w:t>
      </w:r>
    </w:p>
    <w:p w14:paraId="043D0976" w14:textId="77777777" w:rsidR="001F6B6E" w:rsidRPr="000F0A15" w:rsidRDefault="001F6B6E" w:rsidP="00FC7885">
      <w:pPr>
        <w:spacing w:line="360" w:lineRule="auto"/>
        <w:jc w:val="both"/>
        <w:rPr>
          <w:rFonts w:ascii="Times New Roman" w:eastAsia="Times New Roman" w:hAnsi="Times New Roman" w:cs="Times New Roman"/>
          <w:b/>
          <w:bCs/>
          <w:kern w:val="0"/>
          <w14:ligatures w14:val="none"/>
        </w:rPr>
      </w:pPr>
    </w:p>
    <w:p w14:paraId="0EF3BC17" w14:textId="749E8E4D" w:rsidR="00FC7427" w:rsidRPr="000F0A15" w:rsidRDefault="00FC7427" w:rsidP="007205C3">
      <w:p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References</w:t>
      </w:r>
    </w:p>
    <w:p w14:paraId="754FCC6D"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Aaronson, S. A., &amp; Leblond, P. (2018). Another Digital Divide: The Rise of Data Realms and its Implications for the WTO. </w:t>
      </w:r>
      <w:r w:rsidRPr="000F0A15">
        <w:rPr>
          <w:i/>
          <w:iCs/>
        </w:rPr>
        <w:t>Journal of International Economic Law</w:t>
      </w:r>
      <w:r w:rsidRPr="000F0A15">
        <w:t xml:space="preserve">, </w:t>
      </w:r>
      <w:r w:rsidRPr="000F0A15">
        <w:rPr>
          <w:i/>
          <w:iCs/>
        </w:rPr>
        <w:t>21</w:t>
      </w:r>
      <w:r w:rsidRPr="000F0A15">
        <w:t xml:space="preserve">(2), 245–272. </w:t>
      </w:r>
      <w:hyperlink r:id="rId14" w:history="1">
        <w:r w:rsidRPr="000F0A15">
          <w:rPr>
            <w:rStyle w:val="Hyperlink"/>
            <w:rFonts w:eastAsiaTheme="majorEastAsia"/>
          </w:rPr>
          <w:t>https://doi.org/10.1093/jiel/jgy019</w:t>
        </w:r>
      </w:hyperlink>
      <w:r w:rsidRPr="000F0A15">
        <w:rPr>
          <w:rStyle w:val="url"/>
          <w:rFonts w:eastAsiaTheme="majorEastAsia"/>
        </w:rPr>
        <w:t xml:space="preserve">. </w:t>
      </w:r>
    </w:p>
    <w:p w14:paraId="11626D9B"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rPr>
        <w:t xml:space="preserve">APEC. (2024). </w:t>
      </w:r>
      <w:r w:rsidRPr="000F0A15">
        <w:rPr>
          <w:rFonts w:eastAsiaTheme="minorHAnsi"/>
          <w:i/>
          <w:iCs/>
          <w:color w:val="000000" w:themeColor="text1"/>
          <w:kern w:val="2"/>
          <w:shd w:val="clear" w:color="auto" w:fill="FFFFFF"/>
          <w14:ligatures w14:val="standardContextual"/>
        </w:rPr>
        <w:t>Digital Economy Partnership Agreement.</w:t>
      </w:r>
      <w:r w:rsidRPr="000F0A15">
        <w:rPr>
          <w:rFonts w:eastAsiaTheme="minorHAnsi"/>
          <w:color w:val="000000" w:themeColor="text1"/>
          <w:kern w:val="2"/>
          <w:shd w:val="clear" w:color="auto" w:fill="FFFFFF"/>
          <w14:ligatures w14:val="standardContextual"/>
        </w:rPr>
        <w:t xml:space="preserve"> Asia-Pacific Economic Cooperation. Available at: </w:t>
      </w:r>
      <w:hyperlink r:id="rId15" w:history="1">
        <w:r w:rsidRPr="000F0A15">
          <w:rPr>
            <w:rStyle w:val="Hyperlink"/>
            <w:rFonts w:eastAsiaTheme="minorHAnsi"/>
            <w:kern w:val="2"/>
            <w:shd w:val="clear" w:color="auto" w:fill="FFFFFF"/>
            <w14:ligatures w14:val="standardContextual"/>
          </w:rPr>
          <w:t>https://mddb.apec.org/Documents/2024/CTI/CTI3/24_cti3_004_r.pdf</w:t>
        </w:r>
      </w:hyperlink>
      <w:r w:rsidRPr="000F0A15">
        <w:rPr>
          <w:rFonts w:eastAsiaTheme="minorHAnsi"/>
          <w:color w:val="000000" w:themeColor="text1"/>
          <w:kern w:val="2"/>
          <w:shd w:val="clear" w:color="auto" w:fill="FFFFFF"/>
          <w14:ligatures w14:val="standardContextual"/>
        </w:rPr>
        <w:t xml:space="preserve">. </w:t>
      </w:r>
    </w:p>
    <w:p w14:paraId="08139E77" w14:textId="77777777" w:rsidR="00B631C9" w:rsidRPr="000F0A15" w:rsidRDefault="00B631C9" w:rsidP="00D371FC">
      <w:pPr>
        <w:pStyle w:val="NormalWeb"/>
        <w:spacing w:before="0" w:beforeAutospacing="0" w:after="240" w:afterAutospacing="0" w:line="360" w:lineRule="auto"/>
        <w:ind w:left="720" w:hanging="720"/>
        <w:jc w:val="both"/>
        <w:rPr>
          <w:color w:val="000000"/>
          <w:shd w:val="clear" w:color="auto" w:fill="F2F2F2"/>
        </w:rPr>
      </w:pPr>
      <w:r w:rsidRPr="000F0A15">
        <w:rPr>
          <w:color w:val="000000" w:themeColor="text1"/>
          <w:shd w:val="clear" w:color="auto" w:fill="FFFFFF"/>
        </w:rPr>
        <w:lastRenderedPageBreak/>
        <w:t xml:space="preserve">Appellate Body Report. (1998). </w:t>
      </w:r>
      <w:r w:rsidRPr="000F0A15">
        <w:rPr>
          <w:i/>
          <w:iCs/>
          <w:color w:val="000000"/>
          <w:shd w:val="clear" w:color="auto" w:fill="F2F2F2"/>
        </w:rPr>
        <w:t>United States - Import Prohibition of Certain Shrimp and Shrimp Products - AB-1998-4 - Report of the Appellate Body</w:t>
      </w:r>
      <w:r w:rsidRPr="000F0A15">
        <w:rPr>
          <w:color w:val="000000"/>
          <w:shd w:val="clear" w:color="auto" w:fill="F2F2F2"/>
        </w:rPr>
        <w:t xml:space="preserve">. World Trade Organization. Available at: </w:t>
      </w:r>
      <w:hyperlink r:id="rId16" w:history="1">
        <w:r w:rsidRPr="000F0A15">
          <w:rPr>
            <w:rStyle w:val="Hyperlink"/>
            <w:shd w:val="clear" w:color="auto" w:fill="F2F2F2"/>
          </w:rPr>
          <w:t>https://docs.wto.org/dol2fe/Pages/FE_Search/FE_S_S006.aspx?Query=(@Symbol=%20wt/ds58/ab/r*%20not%20rw*)&amp;Language=ENGLISH&amp;Context=FomerScriptedSearch&amp;languageUIChanged=true#</w:t>
        </w:r>
      </w:hyperlink>
      <w:r w:rsidRPr="000F0A15">
        <w:rPr>
          <w:color w:val="000000"/>
          <w:shd w:val="clear" w:color="auto" w:fill="F2F2F2"/>
        </w:rPr>
        <w:t xml:space="preserve">. </w:t>
      </w:r>
    </w:p>
    <w:p w14:paraId="73B2F5D2" w14:textId="77777777" w:rsidR="00B631C9" w:rsidRPr="000F0A15" w:rsidRDefault="00B631C9" w:rsidP="00D371FC">
      <w:pPr>
        <w:pStyle w:val="NormalWeb"/>
        <w:spacing w:before="0" w:beforeAutospacing="0" w:after="240" w:afterAutospacing="0" w:line="360" w:lineRule="auto"/>
        <w:ind w:left="720" w:hanging="720"/>
        <w:jc w:val="both"/>
        <w:rPr>
          <w:color w:val="000000"/>
          <w:shd w:val="clear" w:color="auto" w:fill="F2F2F2"/>
        </w:rPr>
      </w:pPr>
      <w:r w:rsidRPr="000F0A15">
        <w:rPr>
          <w:lang w:eastAsia="zh-CN"/>
        </w:rPr>
        <w:t xml:space="preserve">Appellate Body Report. (2005). </w:t>
      </w:r>
      <w:r w:rsidRPr="000F0A15">
        <w:rPr>
          <w:i/>
          <w:iCs/>
          <w:color w:val="000000"/>
          <w:shd w:val="clear" w:color="auto" w:fill="F2F2F2"/>
        </w:rPr>
        <w:t>United States - Measures Affecting the Cross-Border Supply of Gambling and Betting Services - AB-2005-1 - Report of the Appellate Body – Corrigendum.</w:t>
      </w:r>
      <w:r w:rsidRPr="000F0A15">
        <w:rPr>
          <w:color w:val="000000"/>
          <w:shd w:val="clear" w:color="auto" w:fill="F2F2F2"/>
        </w:rPr>
        <w:t xml:space="preserve"> World Trade Organization. Available at: </w:t>
      </w:r>
      <w:hyperlink r:id="rId17" w:history="1">
        <w:r w:rsidRPr="000F0A15">
          <w:rPr>
            <w:rStyle w:val="Hyperlink"/>
            <w:shd w:val="clear" w:color="auto" w:fill="F2F2F2"/>
          </w:rPr>
          <w:t>https://docs.wto.org/dol2fe/Pages/FE_Search/FE_S_S006.aspx?Query=(@Symbol=%20wt/ds285/ab/r*%20not%20rw*)&amp;Language=ENGLISH&amp;Context=FomerScriptedSearch&amp;languageUIChanged=true#</w:t>
        </w:r>
      </w:hyperlink>
      <w:r w:rsidRPr="000F0A15">
        <w:rPr>
          <w:color w:val="000000"/>
          <w:shd w:val="clear" w:color="auto" w:fill="F2F2F2"/>
        </w:rPr>
        <w:t xml:space="preserve">. </w:t>
      </w:r>
    </w:p>
    <w:p w14:paraId="338D7B24" w14:textId="77777777" w:rsidR="00B631C9" w:rsidRPr="000F0A15" w:rsidRDefault="00B631C9" w:rsidP="00D371FC">
      <w:pPr>
        <w:pStyle w:val="NormalWeb"/>
        <w:spacing w:before="0" w:beforeAutospacing="0" w:after="240" w:afterAutospacing="0" w:line="360" w:lineRule="auto"/>
        <w:ind w:left="720" w:hanging="720"/>
        <w:jc w:val="both"/>
        <w:rPr>
          <w:color w:val="000000"/>
          <w:shd w:val="clear" w:color="auto" w:fill="F2F2F2"/>
        </w:rPr>
      </w:pPr>
      <w:r w:rsidRPr="000F0A15">
        <w:rPr>
          <w:color w:val="000000" w:themeColor="text1"/>
          <w:shd w:val="clear" w:color="auto" w:fill="FFFFFF"/>
        </w:rPr>
        <w:t xml:space="preserve">Appellate Body Report. (2012). </w:t>
      </w:r>
      <w:r w:rsidRPr="000F0A15">
        <w:rPr>
          <w:i/>
          <w:iCs/>
          <w:color w:val="000000"/>
          <w:shd w:val="clear" w:color="auto" w:fill="F2F2F2"/>
        </w:rPr>
        <w:t>United States - Measures Concerning the Importation, Marketing and Sale of Tuna and Tuna Products - AB-2012-2 - Report of the Appellate Body</w:t>
      </w:r>
      <w:r w:rsidRPr="000F0A15">
        <w:rPr>
          <w:color w:val="000000"/>
          <w:shd w:val="clear" w:color="auto" w:fill="F2F2F2"/>
        </w:rPr>
        <w:t xml:space="preserve">. World Trade Organization. Available at: </w:t>
      </w:r>
      <w:hyperlink r:id="rId18" w:history="1">
        <w:r w:rsidRPr="000F0A15">
          <w:rPr>
            <w:rStyle w:val="Hyperlink"/>
            <w:shd w:val="clear" w:color="auto" w:fill="F2F2F2"/>
          </w:rPr>
          <w:t>https://docs.wto.org/dol2fe/Pages/FE_Search/FE_S_S006.aspx?Query=(@Symbol=%20wt/ds381/ab/r*%20not%20rw*)&amp;Language=ENGLISH&amp;Context=FomerScriptedSearch&amp;languageUIChanged=true#</w:t>
        </w:r>
      </w:hyperlink>
      <w:r w:rsidRPr="000F0A15">
        <w:rPr>
          <w:color w:val="000000"/>
          <w:shd w:val="clear" w:color="auto" w:fill="F2F2F2"/>
        </w:rPr>
        <w:t xml:space="preserve">. </w:t>
      </w:r>
    </w:p>
    <w:p w14:paraId="55B9E5AD"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Bartels, L. (2017). The chapeau of the general exceptions in the WTO GATT and GATS agreements: a reconstruction. </w:t>
      </w:r>
      <w:r w:rsidRPr="000F0A15">
        <w:rPr>
          <w:i/>
          <w:iCs/>
        </w:rPr>
        <w:t>American Journal of International Law</w:t>
      </w:r>
      <w:r w:rsidRPr="000F0A15">
        <w:t xml:space="preserve">, </w:t>
      </w:r>
      <w:r w:rsidRPr="000F0A15">
        <w:rPr>
          <w:i/>
          <w:iCs/>
        </w:rPr>
        <w:t>109</w:t>
      </w:r>
      <w:r w:rsidRPr="000F0A15">
        <w:t xml:space="preserve">(1), 95–125. </w:t>
      </w:r>
      <w:hyperlink r:id="rId19" w:history="1">
        <w:r w:rsidRPr="000F0A15">
          <w:rPr>
            <w:rStyle w:val="Hyperlink"/>
            <w:rFonts w:eastAsiaTheme="majorEastAsia"/>
          </w:rPr>
          <w:t>https://doi.org/10.5305/amerjintelaw.109.1.0095</w:t>
        </w:r>
      </w:hyperlink>
      <w:r w:rsidRPr="000F0A15">
        <w:rPr>
          <w:rStyle w:val="url"/>
          <w:rFonts w:eastAsiaTheme="majorEastAsia"/>
        </w:rPr>
        <w:t xml:space="preserve">. </w:t>
      </w:r>
    </w:p>
    <w:p w14:paraId="57ACF045"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Bennett, A. (2004), Case Study Methods: Design, Use and Comparative Advantages. In Detlef, F.S., and Yaek, W.N. (eds) </w:t>
      </w:r>
      <w:r w:rsidRPr="000F0A15">
        <w:rPr>
          <w:rStyle w:val="url"/>
          <w:rFonts w:eastAsiaTheme="majorEastAsia"/>
          <w:i/>
          <w:iCs/>
        </w:rPr>
        <w:t>Models, Numbers, and Cases: Methods for Studying International Relations.</w:t>
      </w:r>
      <w:r w:rsidRPr="000F0A15">
        <w:rPr>
          <w:rStyle w:val="url"/>
          <w:rFonts w:eastAsiaTheme="majorEastAsia"/>
        </w:rPr>
        <w:t xml:space="preserve"> University of Michigan Press. </w:t>
      </w:r>
    </w:p>
    <w:p w14:paraId="208A596A"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Brkan, M. (2019). The essence of the fundamental rights to privacy and data protection: finding the way through the maze of the CJEU’s constitutional reasoning. </w:t>
      </w:r>
      <w:r w:rsidRPr="000F0A15">
        <w:rPr>
          <w:i/>
          <w:iCs/>
        </w:rPr>
        <w:t>German Law Journal</w:t>
      </w:r>
      <w:r w:rsidRPr="000F0A15">
        <w:t xml:space="preserve">, </w:t>
      </w:r>
      <w:r w:rsidRPr="000F0A15">
        <w:rPr>
          <w:i/>
          <w:iCs/>
        </w:rPr>
        <w:t>20</w:t>
      </w:r>
      <w:r w:rsidRPr="000F0A15">
        <w:t xml:space="preserve">(6), 864–883. </w:t>
      </w:r>
      <w:hyperlink r:id="rId20" w:history="1">
        <w:r w:rsidRPr="000F0A15">
          <w:rPr>
            <w:rStyle w:val="Hyperlink"/>
            <w:rFonts w:eastAsiaTheme="majorEastAsia"/>
          </w:rPr>
          <w:t>https://doi.org/10.1017/glj.2019.66</w:t>
        </w:r>
      </w:hyperlink>
      <w:r w:rsidRPr="000F0A15">
        <w:rPr>
          <w:rStyle w:val="url"/>
          <w:rFonts w:eastAsiaTheme="majorEastAsia"/>
        </w:rPr>
        <w:t xml:space="preserve">. </w:t>
      </w:r>
    </w:p>
    <w:p w14:paraId="769502E2"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F5662D"/>
          <w:kern w:val="2"/>
          <w:u w:val="single"/>
          <w:shd w:val="clear" w:color="auto" w:fill="FFFFFF"/>
          <w14:ligatures w14:val="standardContextual"/>
        </w:rPr>
      </w:pPr>
      <w:r w:rsidRPr="000F0A15">
        <w:rPr>
          <w:rStyle w:val="url"/>
          <w:rFonts w:eastAsiaTheme="majorEastAsia"/>
        </w:rPr>
        <w:lastRenderedPageBreak/>
        <w:t xml:space="preserve">Burri, M. (2017). The Regulation of Data Flows Through Trade Agreements. </w:t>
      </w:r>
      <w:r w:rsidRPr="000F0A15">
        <w:rPr>
          <w:rStyle w:val="url"/>
          <w:rFonts w:eastAsiaTheme="majorEastAsia"/>
          <w:i/>
          <w:iCs/>
        </w:rPr>
        <w:t>Georgetown Journal of International Law</w:t>
      </w:r>
      <w:r w:rsidRPr="000F0A15">
        <w:rPr>
          <w:rStyle w:val="url"/>
          <w:rFonts w:eastAsiaTheme="majorEastAsia"/>
        </w:rPr>
        <w:t xml:space="preserve">, 48(1). </w:t>
      </w:r>
      <w:hyperlink r:id="rId21" w:tgtFrame="_blank" w:history="1">
        <w:r w:rsidRPr="000F0A15">
          <w:rPr>
            <w:rStyle w:val="Hyperlink"/>
            <w:rFonts w:eastAsiaTheme="minorHAnsi"/>
            <w:kern w:val="2"/>
            <w:shd w:val="clear" w:color="auto" w:fill="FFFFFF"/>
            <w14:ligatures w14:val="standardContextual"/>
          </w:rPr>
          <w:t>https://ssrn.com/abstract=3028137</w:t>
        </w:r>
        <w:r w:rsidRPr="000F0A15">
          <w:rPr>
            <w:rStyle w:val="Hyperlink"/>
            <w:rFonts w:eastAsiaTheme="minorHAnsi"/>
            <w:kern w:val="2"/>
            <w14:ligatures w14:val="standardContextual"/>
          </w:rPr>
          <w:t>.</w:t>
        </w:r>
      </w:hyperlink>
      <w:r w:rsidRPr="000F0A15">
        <w:rPr>
          <w:rFonts w:eastAsiaTheme="minorHAnsi"/>
          <w:color w:val="F5662D"/>
          <w:kern w:val="2"/>
          <w:u w:val="single"/>
          <w:shd w:val="clear" w:color="auto" w:fill="FFFFFF"/>
          <w14:ligatures w14:val="standardContextual"/>
        </w:rPr>
        <w:t xml:space="preserve"> </w:t>
      </w:r>
    </w:p>
    <w:p w14:paraId="4D9C8DF7"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i/>
          <w:iCs/>
        </w:rPr>
      </w:pPr>
      <w:r w:rsidRPr="000F0A15">
        <w:rPr>
          <w:rStyle w:val="url"/>
          <w:rFonts w:eastAsiaTheme="majorEastAsia"/>
        </w:rPr>
        <w:t xml:space="preserve">Burri, M. (2021). Towards a New Treaty on Digital Trade. </w:t>
      </w:r>
      <w:r w:rsidRPr="000F0A15">
        <w:rPr>
          <w:rStyle w:val="url"/>
          <w:rFonts w:eastAsiaTheme="majorEastAsia"/>
          <w:i/>
          <w:iCs/>
        </w:rPr>
        <w:t xml:space="preserve">SSRN Electronic Journal. </w:t>
      </w:r>
    </w:p>
    <w:p w14:paraId="09FF0BEF" w14:textId="77777777" w:rsidR="00B631C9" w:rsidRPr="000F0A15" w:rsidRDefault="00B631C9" w:rsidP="001F6B6E">
      <w:pPr>
        <w:pStyle w:val="NormalWeb"/>
        <w:spacing w:before="0" w:beforeAutospacing="0" w:after="240" w:afterAutospacing="0" w:line="360" w:lineRule="auto"/>
        <w:ind w:left="720" w:hanging="720"/>
        <w:jc w:val="both"/>
      </w:pPr>
      <w:r w:rsidRPr="000F0A15">
        <w:t xml:space="preserve">Cao, Y. (2020). Regulating digital platforms in China: current practice and future developments. </w:t>
      </w:r>
      <w:r w:rsidRPr="000F0A15">
        <w:rPr>
          <w:i/>
          <w:iCs/>
        </w:rPr>
        <w:t>Journal of European Competition Law &amp; Practice</w:t>
      </w:r>
      <w:r w:rsidRPr="000F0A15">
        <w:t xml:space="preserve">, </w:t>
      </w:r>
      <w:r w:rsidRPr="000F0A15">
        <w:rPr>
          <w:i/>
          <w:iCs/>
        </w:rPr>
        <w:t>11</w:t>
      </w:r>
      <w:r w:rsidRPr="000F0A15">
        <w:t xml:space="preserve">(3–4), 173–180. </w:t>
      </w:r>
      <w:hyperlink r:id="rId22" w:history="1">
        <w:r w:rsidRPr="000F0A15">
          <w:rPr>
            <w:rStyle w:val="Hyperlink"/>
            <w:rFonts w:eastAsiaTheme="majorEastAsia"/>
          </w:rPr>
          <w:t>https://doi.org/10.1093/jeclap/lpaa001</w:t>
        </w:r>
      </w:hyperlink>
      <w:r w:rsidRPr="000F0A15">
        <w:rPr>
          <w:rStyle w:val="url"/>
          <w:rFonts w:eastAsiaTheme="majorEastAsia"/>
        </w:rPr>
        <w:t xml:space="preserve">. </w:t>
      </w:r>
    </w:p>
    <w:p w14:paraId="1879831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China Briefing. (2021). T</w:t>
      </w:r>
      <w:r w:rsidRPr="000F0A15">
        <w:rPr>
          <w:rStyle w:val="url"/>
          <w:rFonts w:eastAsiaTheme="majorEastAsia"/>
          <w:i/>
          <w:iCs/>
        </w:rPr>
        <w:t xml:space="preserve">he PRC Personal Information Protection Law (Final): A Full Translation. </w:t>
      </w:r>
      <w:r w:rsidRPr="000F0A15">
        <w:rPr>
          <w:rStyle w:val="url"/>
          <w:rFonts w:eastAsiaTheme="majorEastAsia"/>
        </w:rPr>
        <w:t xml:space="preserve">China Briefing. Available at: </w:t>
      </w:r>
      <w:hyperlink r:id="rId23" w:history="1">
        <w:r w:rsidRPr="000F0A15">
          <w:rPr>
            <w:rStyle w:val="Hyperlink"/>
            <w:rFonts w:eastAsiaTheme="majorEastAsia"/>
          </w:rPr>
          <w:t>https://www.china-briefing.com/news/the-prc-personal-information-protection-law-final-a-full-translation/</w:t>
        </w:r>
      </w:hyperlink>
      <w:r w:rsidRPr="000F0A15">
        <w:rPr>
          <w:rStyle w:val="url"/>
          <w:rFonts w:eastAsiaTheme="majorEastAsia"/>
        </w:rPr>
        <w:t xml:space="preserve">. </w:t>
      </w:r>
    </w:p>
    <w:p w14:paraId="08A65309"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China Law Translate. (2021). </w:t>
      </w:r>
      <w:r w:rsidRPr="000F0A15">
        <w:rPr>
          <w:rStyle w:val="url"/>
          <w:rFonts w:eastAsiaTheme="majorEastAsia"/>
          <w:i/>
          <w:iCs/>
        </w:rPr>
        <w:t>Data Security Law of the PRC</w:t>
      </w:r>
      <w:r w:rsidRPr="000F0A15">
        <w:rPr>
          <w:rStyle w:val="url"/>
          <w:rFonts w:eastAsiaTheme="majorEastAsia"/>
        </w:rPr>
        <w:t xml:space="preserve">. China Law Translate: Community-supported, Crowd-Sourced Translation and Commentary. Available at: </w:t>
      </w:r>
      <w:hyperlink r:id="rId24" w:history="1">
        <w:r w:rsidRPr="000F0A15">
          <w:rPr>
            <w:rStyle w:val="Hyperlink"/>
            <w:rFonts w:eastAsiaTheme="majorEastAsia"/>
          </w:rPr>
          <w:t>https://www.chinalawtranslate.com/en/datasecuritylaw/</w:t>
        </w:r>
      </w:hyperlink>
      <w:r w:rsidRPr="000F0A15">
        <w:rPr>
          <w:rStyle w:val="url"/>
          <w:rFonts w:eastAsiaTheme="majorEastAsia"/>
        </w:rPr>
        <w:t xml:space="preserve">. </w:t>
      </w:r>
    </w:p>
    <w:p w14:paraId="6FCC3FA8"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Congressional Research Service. (2025). </w:t>
      </w:r>
      <w:r w:rsidRPr="000F0A15">
        <w:rPr>
          <w:rStyle w:val="url"/>
          <w:rFonts w:eastAsiaTheme="majorEastAsia"/>
          <w:i/>
          <w:iCs/>
        </w:rPr>
        <w:t>Digital Trade and Data Policy: Key Issues Facing Congress.</w:t>
      </w:r>
      <w:r w:rsidRPr="000F0A15">
        <w:rPr>
          <w:rStyle w:val="url"/>
          <w:rFonts w:eastAsiaTheme="majorEastAsia"/>
        </w:rPr>
        <w:t xml:space="preserve"> Congress.Gov. Available at: </w:t>
      </w:r>
      <w:hyperlink r:id="rId25" w:anchor=":~:text=Digital%20trade%20includes%20trade%20in,%2C%20streaming%20or%20cloud%20services)" w:history="1">
        <w:r w:rsidRPr="000F0A15">
          <w:rPr>
            <w:rStyle w:val="Hyperlink"/>
            <w:rFonts w:eastAsiaTheme="majorEastAsia"/>
          </w:rPr>
          <w:t>https://www.congress.gov/crs-product/IF12347#:~:text=Digital%20trade%20includes%20trade%20in,%2C%20streaming%20or%20cloud%20services)</w:t>
        </w:r>
      </w:hyperlink>
      <w:r w:rsidRPr="000F0A15">
        <w:rPr>
          <w:rStyle w:val="url"/>
          <w:rFonts w:eastAsiaTheme="majorEastAsia"/>
        </w:rPr>
        <w:t>.</w:t>
      </w:r>
    </w:p>
    <w:p w14:paraId="09B30380" w14:textId="77777777" w:rsidR="00B631C9" w:rsidRPr="000F0A15" w:rsidRDefault="00B631C9" w:rsidP="00D371FC">
      <w:pPr>
        <w:pStyle w:val="NormalWeb"/>
        <w:spacing w:before="0" w:beforeAutospacing="0" w:after="240" w:afterAutospacing="0" w:line="360" w:lineRule="auto"/>
        <w:ind w:left="720" w:hanging="720"/>
        <w:jc w:val="both"/>
        <w:rPr>
          <w:color w:val="000000" w:themeColor="text1"/>
          <w:shd w:val="clear" w:color="auto" w:fill="FFFFFF"/>
        </w:rPr>
      </w:pPr>
      <w:r w:rsidRPr="000F0A15">
        <w:rPr>
          <w:color w:val="000000"/>
          <w:shd w:val="clear" w:color="auto" w:fill="F2F2F2"/>
        </w:rPr>
        <w:t xml:space="preserve">Cottier, T., Delimatsis, p., </w:t>
      </w:r>
      <w:proofErr w:type="spellStart"/>
      <w:r w:rsidRPr="000F0A15">
        <w:rPr>
          <w:color w:val="000000"/>
          <w:shd w:val="clear" w:color="auto" w:fill="F2F2F2"/>
        </w:rPr>
        <w:t>Deibold</w:t>
      </w:r>
      <w:proofErr w:type="spellEnd"/>
      <w:r w:rsidRPr="000F0A15">
        <w:rPr>
          <w:color w:val="000000"/>
          <w:shd w:val="clear" w:color="auto" w:fill="F2F2F2"/>
        </w:rPr>
        <w:t xml:space="preserve">, N.F. (2008). </w:t>
      </w:r>
      <w:r w:rsidRPr="000F0A15">
        <w:rPr>
          <w:i/>
          <w:iCs/>
          <w:color w:val="000000"/>
          <w:shd w:val="clear" w:color="auto" w:fill="F2F2F2"/>
        </w:rPr>
        <w:t xml:space="preserve">Article XIV GATS: General Exceptions. </w:t>
      </w:r>
      <w:r w:rsidRPr="000F0A15">
        <w:rPr>
          <w:i/>
          <w:iCs/>
          <w:color w:val="000000" w:themeColor="text1"/>
          <w:shd w:val="clear" w:color="auto" w:fill="FFFFFF"/>
        </w:rPr>
        <w:t>MAX PLANCK COMMENTARIES ON WORLD TRADE LAW, WTO - TRADE</w:t>
      </w:r>
      <w:r w:rsidRPr="000F0A15">
        <w:rPr>
          <w:color w:val="000000" w:themeColor="text1"/>
          <w:shd w:val="clear" w:color="auto" w:fill="FFFFFF"/>
        </w:rPr>
        <w:t xml:space="preserve"> IN SERVICES, Rüdiger, W., Peter-Tobias, S. and Clemens, F., eds., volume 6, pp. 287-328, Leiden/Boston: Martinus Nijhoff Publishers, 2008. </w:t>
      </w:r>
    </w:p>
    <w:p w14:paraId="3399F588"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CPTPP Portal. (2025). </w:t>
      </w:r>
      <w:r w:rsidRPr="000F0A15">
        <w:rPr>
          <w:rStyle w:val="url"/>
          <w:rFonts w:eastAsiaTheme="majorEastAsia"/>
          <w:i/>
          <w:iCs/>
        </w:rPr>
        <w:t xml:space="preserve">Chapter 29 – Exception and General Provisions. </w:t>
      </w:r>
      <w:r w:rsidRPr="000F0A15">
        <w:rPr>
          <w:rStyle w:val="url"/>
          <w:rFonts w:eastAsiaTheme="majorEastAsia"/>
        </w:rPr>
        <w:t xml:space="preserve">Asia Pacific Foundation of Canada. Available at: </w:t>
      </w:r>
      <w:hyperlink r:id="rId26" w:history="1">
        <w:r w:rsidRPr="000F0A15">
          <w:rPr>
            <w:rStyle w:val="Hyperlink"/>
            <w:rFonts w:eastAsiaTheme="majorEastAsia"/>
          </w:rPr>
          <w:t>https://apfccptppportal.ca/agreement/31</w:t>
        </w:r>
      </w:hyperlink>
      <w:r w:rsidRPr="000F0A15">
        <w:rPr>
          <w:rStyle w:val="url"/>
          <w:rFonts w:eastAsiaTheme="majorEastAsia"/>
        </w:rPr>
        <w:t xml:space="preserve">. </w:t>
      </w:r>
    </w:p>
    <w:p w14:paraId="346D2671"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CPTPP. (n.d.). </w:t>
      </w:r>
      <w:r w:rsidRPr="000F0A15">
        <w:rPr>
          <w:rStyle w:val="url"/>
          <w:rFonts w:eastAsiaTheme="majorEastAsia"/>
          <w:i/>
          <w:iCs/>
        </w:rPr>
        <w:t>Comprehensive and Progressive Agreement for Trans-Pacific Partnership</w:t>
      </w:r>
      <w:r w:rsidRPr="000F0A15">
        <w:rPr>
          <w:rStyle w:val="url"/>
          <w:rFonts w:eastAsiaTheme="majorEastAsia"/>
        </w:rPr>
        <w:t xml:space="preserve">. Institute of International Law and Justice. Available at: </w:t>
      </w:r>
      <w:hyperlink r:id="rId27" w:history="1">
        <w:r w:rsidRPr="000F0A15">
          <w:rPr>
            <w:rStyle w:val="Hyperlink"/>
            <w:rFonts w:eastAsiaTheme="majorEastAsia"/>
          </w:rPr>
          <w:t>https://www.iilj.org/wp-content/uploads/2018/03/CPTPP-consolidated.pdf</w:t>
        </w:r>
      </w:hyperlink>
      <w:r w:rsidRPr="000F0A15">
        <w:rPr>
          <w:rStyle w:val="url"/>
          <w:rFonts w:eastAsiaTheme="majorEastAsia"/>
        </w:rPr>
        <w:t xml:space="preserve">. </w:t>
      </w:r>
    </w:p>
    <w:p w14:paraId="5A689431"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rPr>
        <w:lastRenderedPageBreak/>
        <w:t xml:space="preserve">DEPA. (n.d.). </w:t>
      </w:r>
      <w:r w:rsidRPr="000F0A15">
        <w:rPr>
          <w:rFonts w:eastAsiaTheme="minorHAnsi"/>
          <w:i/>
          <w:iCs/>
          <w:color w:val="000000" w:themeColor="text1"/>
          <w:kern w:val="2"/>
          <w:shd w:val="clear" w:color="auto" w:fill="FFFFFF"/>
          <w14:ligatures w14:val="standardContextual"/>
        </w:rPr>
        <w:t>Digital Economy Partnership Agreement</w:t>
      </w:r>
      <w:r w:rsidRPr="000F0A15">
        <w:rPr>
          <w:rFonts w:eastAsiaTheme="minorHAnsi"/>
          <w:color w:val="000000" w:themeColor="text1"/>
          <w:kern w:val="2"/>
          <w:shd w:val="clear" w:color="auto" w:fill="FFFFFF"/>
          <w14:ligatures w14:val="standardContextual"/>
        </w:rPr>
        <w:t xml:space="preserve">. Ministry of Trade &amp; Industry. Available at: </w:t>
      </w:r>
      <w:hyperlink r:id="rId28" w:history="1">
        <w:r w:rsidRPr="000F0A15">
          <w:rPr>
            <w:rStyle w:val="Hyperlink"/>
            <w:rFonts w:eastAsiaTheme="minorHAnsi"/>
            <w:kern w:val="2"/>
            <w:shd w:val="clear" w:color="auto" w:fill="FFFFFF"/>
            <w14:ligatures w14:val="standardContextual"/>
          </w:rPr>
          <w:t>https://www.mti.gov.sg/-/media/MTI/Microsites/DEAs/Digital-Economy-Partnership-Agreement/Text-of-the-DEPA.pdf</w:t>
        </w:r>
      </w:hyperlink>
      <w:r w:rsidRPr="000F0A15">
        <w:rPr>
          <w:rFonts w:eastAsiaTheme="minorHAnsi"/>
          <w:color w:val="000000" w:themeColor="text1"/>
          <w:kern w:val="2"/>
          <w:shd w:val="clear" w:color="auto" w:fill="FFFFFF"/>
          <w14:ligatures w14:val="standardContextual"/>
        </w:rPr>
        <w:t xml:space="preserve">. </w:t>
      </w:r>
    </w:p>
    <w:p w14:paraId="7909FF27"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EU Parliament. (2020). </w:t>
      </w:r>
      <w:r w:rsidRPr="000F0A15">
        <w:rPr>
          <w:rStyle w:val="url"/>
          <w:rFonts w:eastAsiaTheme="majorEastAsia"/>
          <w:i/>
          <w:iCs/>
        </w:rPr>
        <w:t>Legal Analysis of International Trade Law and Digital Trade.</w:t>
      </w:r>
      <w:r w:rsidRPr="000F0A15">
        <w:rPr>
          <w:rStyle w:val="url"/>
          <w:rFonts w:eastAsiaTheme="majorEastAsia"/>
        </w:rPr>
        <w:t xml:space="preserve"> Directorate-General for External Policies: Policy Department. Available at: </w:t>
      </w:r>
      <w:hyperlink r:id="rId29" w:history="1">
        <w:r w:rsidRPr="000F0A15">
          <w:rPr>
            <w:rStyle w:val="Hyperlink"/>
            <w:rFonts w:eastAsiaTheme="majorEastAsia"/>
          </w:rPr>
          <w:t>https://www.europarl.europa.eu/RegData/etudes/BRIE/2020/603517/EXPO_BRI(2020)603517_EN.pdf</w:t>
        </w:r>
      </w:hyperlink>
      <w:r w:rsidRPr="000F0A15">
        <w:rPr>
          <w:rStyle w:val="url"/>
          <w:rFonts w:eastAsiaTheme="majorEastAsia"/>
        </w:rPr>
        <w:t xml:space="preserve">. </w:t>
      </w:r>
    </w:p>
    <w:p w14:paraId="0F8E75D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Fan, C. &amp; Zhou, Q. (2025). </w:t>
      </w:r>
      <w:r w:rsidRPr="000F0A15">
        <w:rPr>
          <w:rStyle w:val="url"/>
          <w:rFonts w:eastAsiaTheme="majorEastAsia"/>
          <w:i/>
          <w:iCs/>
        </w:rPr>
        <w:t>China’s Cybersecurity Law Amendments: Key Changes in the Second Draft</w:t>
      </w:r>
      <w:r w:rsidRPr="000F0A15">
        <w:rPr>
          <w:rStyle w:val="url"/>
          <w:rFonts w:eastAsiaTheme="majorEastAsia"/>
        </w:rPr>
        <w:t xml:space="preserve">. China Briefing. Available at: </w:t>
      </w:r>
      <w:hyperlink r:id="rId30" w:history="1">
        <w:r w:rsidRPr="000F0A15">
          <w:rPr>
            <w:rStyle w:val="Hyperlink"/>
            <w:rFonts w:eastAsiaTheme="majorEastAsia"/>
          </w:rPr>
          <w:t>https://www.china-briefing.com/news/china-cybersecurity-law-amendments-2025/</w:t>
        </w:r>
      </w:hyperlink>
      <w:r w:rsidRPr="000F0A15">
        <w:rPr>
          <w:rStyle w:val="url"/>
          <w:rFonts w:eastAsiaTheme="majorEastAsia"/>
        </w:rPr>
        <w:t xml:space="preserve">. </w:t>
      </w:r>
    </w:p>
    <w:p w14:paraId="674B06D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Kimura, F. (2019). The Importance and Implication of the e-Commerce Clause in the CPTPP. </w:t>
      </w:r>
      <w:r w:rsidRPr="000F0A15">
        <w:rPr>
          <w:rStyle w:val="url"/>
          <w:rFonts w:eastAsiaTheme="majorEastAsia"/>
          <w:i/>
          <w:iCs/>
        </w:rPr>
        <w:t>Financial Cooperation in East Asia</w:t>
      </w:r>
      <w:r w:rsidRPr="000F0A15">
        <w:rPr>
          <w:rStyle w:val="url"/>
          <w:rFonts w:eastAsiaTheme="majorEastAsia"/>
        </w:rPr>
        <w:t xml:space="preserve">, 106-113. </w:t>
      </w:r>
      <w:hyperlink r:id="rId31" w:history="1">
        <w:r w:rsidRPr="000F0A15">
          <w:rPr>
            <w:rStyle w:val="Hyperlink"/>
            <w:rFonts w:eastAsiaTheme="majorEastAsia"/>
          </w:rPr>
          <w:t>https://www.jstor.org/stable/resrep25423.17</w:t>
        </w:r>
      </w:hyperlink>
      <w:r w:rsidRPr="000F0A15">
        <w:rPr>
          <w:rStyle w:val="url"/>
          <w:rFonts w:eastAsiaTheme="majorEastAsia"/>
        </w:rPr>
        <w:t xml:space="preserve">. </w:t>
      </w:r>
    </w:p>
    <w:p w14:paraId="4451D16D"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Marwell, J. C. (2006). </w:t>
      </w:r>
      <w:r w:rsidRPr="000F0A15">
        <w:rPr>
          <w:i/>
          <w:iCs/>
        </w:rPr>
        <w:t>Trade and Morality: The WTO Public Morals Exception after Gambling</w:t>
      </w:r>
      <w:r w:rsidRPr="000F0A15">
        <w:t xml:space="preserve">. </w:t>
      </w:r>
      <w:r w:rsidRPr="000F0A15">
        <w:rPr>
          <w:i/>
          <w:iCs/>
        </w:rPr>
        <w:t>New York University of Law Review, 81</w:t>
      </w:r>
      <w:r w:rsidRPr="000F0A15">
        <w:t xml:space="preserve">, 802. </w:t>
      </w:r>
      <w:hyperlink r:id="rId32" w:history="1">
        <w:r w:rsidRPr="000F0A15">
          <w:rPr>
            <w:rStyle w:val="Hyperlink"/>
            <w:rFonts w:eastAsiaTheme="majorEastAsia"/>
          </w:rPr>
          <w:t>https://papers.ssrn.com/sol3/papers.cfm?abstract_id=907393</w:t>
        </w:r>
      </w:hyperlink>
      <w:r w:rsidRPr="000F0A15">
        <w:rPr>
          <w:rStyle w:val="url"/>
          <w:rFonts w:eastAsiaTheme="majorEastAsia"/>
        </w:rPr>
        <w:t xml:space="preserve">. </w:t>
      </w:r>
    </w:p>
    <w:p w14:paraId="11DC1758"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rPr>
        <w:t xml:space="preserve">MOFCOM. (2022). </w:t>
      </w:r>
      <w:r w:rsidRPr="000F0A15">
        <w:rPr>
          <w:rFonts w:eastAsiaTheme="minorHAnsi"/>
          <w:i/>
          <w:iCs/>
          <w:color w:val="000000" w:themeColor="text1"/>
          <w:kern w:val="2"/>
          <w:shd w:val="clear" w:color="auto" w:fill="FFFFFF"/>
          <w14:ligatures w14:val="standardContextual"/>
        </w:rPr>
        <w:t>Report on Foreign Investment in China.</w:t>
      </w:r>
      <w:r w:rsidRPr="000F0A15">
        <w:rPr>
          <w:rFonts w:eastAsiaTheme="minorHAnsi"/>
          <w:color w:val="000000" w:themeColor="text1"/>
          <w:kern w:val="2"/>
          <w:shd w:val="clear" w:color="auto" w:fill="FFFFFF"/>
          <w14:ligatures w14:val="standardContextual"/>
        </w:rPr>
        <w:t xml:space="preserve"> Ministry of Commerce People’s Republic of China. Available at: </w:t>
      </w:r>
      <w:hyperlink r:id="rId33" w:history="1">
        <w:r w:rsidRPr="000F0A15">
          <w:rPr>
            <w:rStyle w:val="Hyperlink"/>
            <w:rFonts w:eastAsiaTheme="minorHAnsi"/>
            <w:kern w:val="2"/>
            <w:shd w:val="clear" w:color="auto" w:fill="FFFFFF"/>
            <w14:ligatures w14:val="standardContextual"/>
          </w:rPr>
          <w:t>https://wzs.mofcom.gov.cn/cms_files/oldfile//wzs/202301/20230104194942451.pdf</w:t>
        </w:r>
      </w:hyperlink>
      <w:r w:rsidRPr="000F0A15">
        <w:rPr>
          <w:rFonts w:eastAsiaTheme="minorHAnsi"/>
          <w:color w:val="000000" w:themeColor="text1"/>
          <w:kern w:val="2"/>
          <w:shd w:val="clear" w:color="auto" w:fill="FFFFFF"/>
          <w14:ligatures w14:val="standardContextual"/>
        </w:rPr>
        <w:t xml:space="preserve">. </w:t>
      </w:r>
    </w:p>
    <w:p w14:paraId="43784F27"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rPr>
        <w:t xml:space="preserve">MOFCOM. (2024). </w:t>
      </w:r>
      <w:r w:rsidRPr="000F0A15">
        <w:rPr>
          <w:rFonts w:eastAsiaTheme="minorHAnsi"/>
          <w:i/>
          <w:iCs/>
          <w:color w:val="000000" w:themeColor="text1"/>
          <w:kern w:val="2"/>
          <w:shd w:val="clear" w:color="auto" w:fill="FFFFFF"/>
          <w14:ligatures w14:val="standardContextual"/>
        </w:rPr>
        <w:t>Ministry of Commerce Holds Regular Press Conference</w:t>
      </w:r>
      <w:r w:rsidRPr="000F0A15">
        <w:rPr>
          <w:rFonts w:eastAsiaTheme="minorHAnsi"/>
          <w:color w:val="000000" w:themeColor="text1"/>
          <w:kern w:val="2"/>
          <w:shd w:val="clear" w:color="auto" w:fill="FFFFFF"/>
          <w14:ligatures w14:val="standardContextual"/>
        </w:rPr>
        <w:t xml:space="preserve">. Ministry of Commerce People’s Republic of China. Available at: </w:t>
      </w:r>
      <w:hyperlink r:id="rId34" w:history="1">
        <w:r w:rsidRPr="000F0A15">
          <w:rPr>
            <w:rStyle w:val="Hyperlink"/>
            <w:rFonts w:eastAsiaTheme="minorHAnsi"/>
            <w:kern w:val="2"/>
            <w:shd w:val="clear" w:color="auto" w:fill="FFFFFF"/>
            <w14:ligatures w14:val="standardContextual"/>
          </w:rPr>
          <w:t>https://english.mofcom.gov.cn/News/PressConference/art/2024/art_95700a953fdb4d7085628008e7a825d9.html</w:t>
        </w:r>
      </w:hyperlink>
      <w:r w:rsidRPr="000F0A15">
        <w:rPr>
          <w:rFonts w:eastAsiaTheme="minorHAnsi"/>
          <w:color w:val="000000" w:themeColor="text1"/>
          <w:kern w:val="2"/>
          <w:shd w:val="clear" w:color="auto" w:fill="FFFFFF"/>
          <w14:ligatures w14:val="standardContextual"/>
        </w:rPr>
        <w:t xml:space="preserve">. </w:t>
      </w:r>
    </w:p>
    <w:p w14:paraId="7981703E"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i/>
          <w:iCs/>
        </w:rPr>
      </w:pPr>
      <w:proofErr w:type="spellStart"/>
      <w:r w:rsidRPr="000F0A15">
        <w:rPr>
          <w:rStyle w:val="url"/>
          <w:rFonts w:eastAsiaTheme="majorEastAsia"/>
        </w:rPr>
        <w:t>Nanxiang</w:t>
      </w:r>
      <w:proofErr w:type="spellEnd"/>
      <w:r w:rsidRPr="000F0A15">
        <w:rPr>
          <w:rStyle w:val="url"/>
          <w:rFonts w:eastAsiaTheme="majorEastAsia"/>
        </w:rPr>
        <w:t xml:space="preserve">, S. (2023). Internet Regulation and the Invocation of Security Exceptions in the WTO </w:t>
      </w:r>
      <w:proofErr w:type="spellStart"/>
      <w:r w:rsidRPr="000F0A15">
        <w:rPr>
          <w:rStyle w:val="url"/>
          <w:rFonts w:eastAsiaTheme="majorEastAsia"/>
        </w:rPr>
        <w:t>Agreeement</w:t>
      </w:r>
      <w:proofErr w:type="spellEnd"/>
      <w:r w:rsidRPr="000F0A15">
        <w:rPr>
          <w:rStyle w:val="url"/>
          <w:rFonts w:eastAsiaTheme="majorEastAsia"/>
        </w:rPr>
        <w:t xml:space="preserve">, </w:t>
      </w:r>
      <w:proofErr w:type="spellStart"/>
      <w:r w:rsidRPr="000F0A15">
        <w:rPr>
          <w:rStyle w:val="url"/>
          <w:rFonts w:eastAsiaTheme="majorEastAsia"/>
          <w:i/>
          <w:iCs/>
        </w:rPr>
        <w:t>HeinOnline</w:t>
      </w:r>
      <w:proofErr w:type="spellEnd"/>
      <w:r w:rsidRPr="000F0A15">
        <w:rPr>
          <w:rStyle w:val="url"/>
          <w:rFonts w:eastAsiaTheme="majorEastAsia"/>
          <w:i/>
          <w:iCs/>
        </w:rPr>
        <w:t xml:space="preserve">, J. WTO &amp; China, 13. </w:t>
      </w:r>
    </w:p>
    <w:p w14:paraId="75BBFBFF"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NZFAT. (2022). </w:t>
      </w:r>
      <w:r w:rsidRPr="000F0A15">
        <w:rPr>
          <w:rStyle w:val="url"/>
          <w:rFonts w:eastAsiaTheme="majorEastAsia"/>
          <w:i/>
          <w:iCs/>
        </w:rPr>
        <w:t>China’s Data Governance Framework takes shape: Implications for New Zealand business</w:t>
      </w:r>
      <w:r w:rsidRPr="000F0A15">
        <w:rPr>
          <w:rStyle w:val="url"/>
          <w:rFonts w:eastAsiaTheme="majorEastAsia"/>
        </w:rPr>
        <w:t xml:space="preserve">. New Zealand Foreign Affairs &amp; Trade. Available at: </w:t>
      </w:r>
      <w:hyperlink r:id="rId35" w:history="1">
        <w:r w:rsidRPr="000F0A15">
          <w:rPr>
            <w:rStyle w:val="Hyperlink"/>
            <w:rFonts w:eastAsiaTheme="majorEastAsia"/>
          </w:rPr>
          <w:t>https://www.mfat.govt.nz/assets/Trade-General/Trade-Market-reports/China-data-governance-framework-takes-shape.pdf</w:t>
        </w:r>
      </w:hyperlink>
      <w:r w:rsidRPr="000F0A15">
        <w:rPr>
          <w:rStyle w:val="url"/>
          <w:rFonts w:eastAsiaTheme="majorEastAsia"/>
        </w:rPr>
        <w:t xml:space="preserve">. </w:t>
      </w:r>
    </w:p>
    <w:p w14:paraId="47BF610B"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OECD. (2023). </w:t>
      </w:r>
      <w:r w:rsidRPr="000F0A15">
        <w:rPr>
          <w:rFonts w:ascii="Times New Roman" w:eastAsia="Times New Roman" w:hAnsi="Times New Roman" w:cs="Times New Roman"/>
          <w:i/>
          <w:iCs/>
          <w:kern w:val="0"/>
          <w14:ligatures w14:val="none"/>
        </w:rPr>
        <w:t xml:space="preserve">Key Issues in Digital Trade: OECD Global Forum on Trade 2023 “Making Digital Trade Work for All”. </w:t>
      </w:r>
      <w:r w:rsidRPr="000F0A15">
        <w:rPr>
          <w:rFonts w:ascii="Times New Roman" w:eastAsia="Times New Roman" w:hAnsi="Times New Roman" w:cs="Times New Roman"/>
          <w:kern w:val="0"/>
          <w14:ligatures w14:val="none"/>
        </w:rPr>
        <w:t xml:space="preserve">OECD. Available at: </w:t>
      </w:r>
      <w:hyperlink r:id="rId36" w:history="1">
        <w:r w:rsidRPr="000F0A15">
          <w:rPr>
            <w:rStyle w:val="Hyperlink"/>
            <w:rFonts w:ascii="Times New Roman" w:eastAsia="Times New Roman" w:hAnsi="Times New Roman" w:cs="Times New Roman"/>
            <w:kern w:val="0"/>
            <w14:ligatures w14:val="none"/>
          </w:rPr>
          <w:t>https://www.oecd.org/content/dam/oecd/en/publications/reports/2023/01/key-issues-in-digital-trade-review_5a91f9a0/b2a9c4b1-en.pdf</w:t>
        </w:r>
      </w:hyperlink>
      <w:r w:rsidRPr="000F0A15">
        <w:rPr>
          <w:rFonts w:ascii="Times New Roman" w:eastAsia="Times New Roman" w:hAnsi="Times New Roman" w:cs="Times New Roman"/>
          <w:kern w:val="0"/>
          <w14:ligatures w14:val="none"/>
        </w:rPr>
        <w:t xml:space="preserve">. </w:t>
      </w:r>
    </w:p>
    <w:p w14:paraId="13FAC322"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Peng, S. (2015). Cybersecurity threats and the WTO national security exceptions. </w:t>
      </w:r>
      <w:r w:rsidRPr="000F0A15">
        <w:rPr>
          <w:i/>
          <w:iCs/>
        </w:rPr>
        <w:t>Journal of International Economic Law</w:t>
      </w:r>
      <w:r w:rsidRPr="000F0A15">
        <w:t xml:space="preserve">, </w:t>
      </w:r>
      <w:r w:rsidRPr="000F0A15">
        <w:rPr>
          <w:i/>
          <w:iCs/>
        </w:rPr>
        <w:t>18</w:t>
      </w:r>
      <w:r w:rsidRPr="000F0A15">
        <w:t xml:space="preserve">(2), 449–478. </w:t>
      </w:r>
      <w:hyperlink r:id="rId37" w:history="1">
        <w:r w:rsidRPr="000F0A15">
          <w:rPr>
            <w:rStyle w:val="Hyperlink"/>
            <w:rFonts w:eastAsiaTheme="majorEastAsia"/>
          </w:rPr>
          <w:t>https://doi.org/10.1093/jiel/jgv025</w:t>
        </w:r>
      </w:hyperlink>
      <w:r w:rsidRPr="000F0A15">
        <w:rPr>
          <w:rStyle w:val="url"/>
          <w:rFonts w:eastAsiaTheme="majorEastAsia"/>
        </w:rPr>
        <w:t xml:space="preserve">. </w:t>
      </w:r>
    </w:p>
    <w:p w14:paraId="161CA48E" w14:textId="77777777" w:rsidR="00B631C9" w:rsidRPr="000F0A15" w:rsidRDefault="00B631C9" w:rsidP="00D371FC">
      <w:pPr>
        <w:pStyle w:val="NormalWeb"/>
        <w:spacing w:before="0" w:beforeAutospacing="0" w:after="240" w:afterAutospacing="0" w:line="360" w:lineRule="auto"/>
        <w:ind w:left="720" w:hanging="720"/>
        <w:jc w:val="both"/>
      </w:pPr>
      <w:r w:rsidRPr="000F0A15">
        <w:rPr>
          <w:rStyle w:val="url"/>
          <w:rFonts w:eastAsiaTheme="majorEastAsia"/>
        </w:rPr>
        <w:t xml:space="preserve">Public Citizen. (2015). </w:t>
      </w:r>
      <w:r w:rsidRPr="000F0A15">
        <w:rPr>
          <w:i/>
          <w:iCs/>
        </w:rPr>
        <w:t>Only One of 44 Attempts to Use the GATT Article XX/GATS Article XIV “General Exception” Has Ever Succeeded: Replicating the WTO Exception Construct Will Not Provide for an Effective TPP General Exception</w:t>
      </w:r>
      <w:r w:rsidRPr="000F0A15">
        <w:t xml:space="preserve">. Public Citizen. Available at: </w:t>
      </w:r>
      <w:hyperlink r:id="rId38" w:history="1">
        <w:r w:rsidRPr="000F0A15">
          <w:rPr>
            <w:rStyle w:val="Hyperlink"/>
          </w:rPr>
          <w:t>https://www.citizen.org/wp-content/uploads/general-exception_1.pdf</w:t>
        </w:r>
      </w:hyperlink>
      <w:r w:rsidRPr="000F0A15">
        <w:t xml:space="preserve">. </w:t>
      </w:r>
    </w:p>
    <w:p w14:paraId="63E18DB6"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Sun, Q. (2025). The Study on Exception Clauses of Cross-Border Data Flows in International Trade Agreements. </w:t>
      </w:r>
      <w:r w:rsidRPr="000F0A15">
        <w:rPr>
          <w:rStyle w:val="url"/>
          <w:rFonts w:eastAsiaTheme="majorEastAsia"/>
          <w:i/>
          <w:iCs/>
        </w:rPr>
        <w:t>Journal of Theory and Practice in Humanities and Social Sciences, 2</w:t>
      </w:r>
      <w:r w:rsidRPr="000F0A15">
        <w:rPr>
          <w:rStyle w:val="url"/>
          <w:rFonts w:eastAsiaTheme="majorEastAsia"/>
        </w:rPr>
        <w:t xml:space="preserve">(2), 1-18. </w:t>
      </w:r>
    </w:p>
    <w:p w14:paraId="5F066CD0"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The Asian Foundation. (2024). </w:t>
      </w:r>
      <w:r w:rsidRPr="000F0A15">
        <w:rPr>
          <w:rFonts w:ascii="Times New Roman" w:eastAsia="Times New Roman" w:hAnsi="Times New Roman" w:cs="Times New Roman"/>
          <w:i/>
          <w:iCs/>
          <w:kern w:val="0"/>
          <w14:ligatures w14:val="none"/>
        </w:rPr>
        <w:t>Digital Trade and Digital Economy Agreements in Asia and the Pacific.</w:t>
      </w:r>
      <w:r w:rsidRPr="000F0A15">
        <w:rPr>
          <w:rFonts w:ascii="Times New Roman" w:eastAsia="Times New Roman" w:hAnsi="Times New Roman" w:cs="Times New Roman"/>
          <w:kern w:val="0"/>
          <w14:ligatures w14:val="none"/>
        </w:rPr>
        <w:t xml:space="preserve"> The Asian Foundation. Available at: </w:t>
      </w:r>
      <w:hyperlink r:id="rId39" w:history="1">
        <w:r w:rsidRPr="000F0A15">
          <w:rPr>
            <w:rStyle w:val="Hyperlink"/>
            <w:rFonts w:ascii="Times New Roman" w:eastAsia="Times New Roman" w:hAnsi="Times New Roman" w:cs="Times New Roman"/>
            <w:kern w:val="0"/>
            <w14:ligatures w14:val="none"/>
          </w:rPr>
          <w:t>https://asiafoundation.org/wp-content/uploads/2024/05/Digital-Trade-Agreements-in-Asia-and-the-Pacific_Tech-Policy.pdf</w:t>
        </w:r>
      </w:hyperlink>
      <w:r w:rsidRPr="000F0A15">
        <w:rPr>
          <w:rFonts w:ascii="Times New Roman" w:eastAsia="Times New Roman" w:hAnsi="Times New Roman" w:cs="Times New Roman"/>
          <w:kern w:val="0"/>
          <w14:ligatures w14:val="none"/>
        </w:rPr>
        <w:t xml:space="preserve">. </w:t>
      </w:r>
    </w:p>
    <w:p w14:paraId="14893E68"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Tusikov, N. (2019). How US-made rules shape internet governance in China. </w:t>
      </w:r>
      <w:r w:rsidRPr="000F0A15">
        <w:rPr>
          <w:i/>
          <w:iCs/>
        </w:rPr>
        <w:t>Internet Policy Review</w:t>
      </w:r>
      <w:r w:rsidRPr="000F0A15">
        <w:t xml:space="preserve">, </w:t>
      </w:r>
      <w:r w:rsidRPr="000F0A15">
        <w:rPr>
          <w:i/>
          <w:iCs/>
        </w:rPr>
        <w:t>8</w:t>
      </w:r>
      <w:r w:rsidRPr="000F0A15">
        <w:t xml:space="preserve">(2). </w:t>
      </w:r>
      <w:hyperlink r:id="rId40" w:history="1">
        <w:r w:rsidRPr="000F0A15">
          <w:rPr>
            <w:rStyle w:val="Hyperlink"/>
            <w:rFonts w:eastAsiaTheme="majorEastAsia"/>
          </w:rPr>
          <w:t>https://doi.org/10.14763/2019.2.1408</w:t>
        </w:r>
      </w:hyperlink>
      <w:r w:rsidRPr="000F0A15">
        <w:rPr>
          <w:rStyle w:val="url"/>
          <w:rFonts w:eastAsiaTheme="majorEastAsia"/>
        </w:rPr>
        <w:t xml:space="preserve">. </w:t>
      </w:r>
    </w:p>
    <w:p w14:paraId="702BE343" w14:textId="77777777" w:rsidR="00B631C9" w:rsidRPr="000F0A15" w:rsidRDefault="00B631C9" w:rsidP="00D371FC">
      <w:pPr>
        <w:pStyle w:val="NormalWeb"/>
        <w:spacing w:before="0" w:beforeAutospacing="0" w:after="240" w:afterAutospacing="0" w:line="360" w:lineRule="auto"/>
        <w:ind w:left="720" w:hanging="720"/>
        <w:jc w:val="both"/>
        <w:rPr>
          <w:lang w:eastAsia="zh-CN"/>
        </w:rPr>
      </w:pPr>
      <w:r w:rsidRPr="000F0A15">
        <w:rPr>
          <w:lang w:eastAsia="zh-CN"/>
        </w:rPr>
        <w:t xml:space="preserve">Van den </w:t>
      </w:r>
      <w:proofErr w:type="spellStart"/>
      <w:r w:rsidRPr="000F0A15">
        <w:rPr>
          <w:lang w:eastAsia="zh-CN"/>
        </w:rPr>
        <w:t>Bosschem</w:t>
      </w:r>
      <w:proofErr w:type="spellEnd"/>
      <w:r w:rsidRPr="000F0A15">
        <w:rPr>
          <w:lang w:eastAsia="zh-CN"/>
        </w:rPr>
        <w:t xml:space="preserve">, P. &amp; </w:t>
      </w:r>
      <w:proofErr w:type="spellStart"/>
      <w:r w:rsidRPr="000F0A15">
        <w:rPr>
          <w:lang w:eastAsia="zh-CN"/>
        </w:rPr>
        <w:t>Zdouc</w:t>
      </w:r>
      <w:proofErr w:type="spellEnd"/>
      <w:r w:rsidRPr="000F0A15">
        <w:rPr>
          <w:lang w:eastAsia="zh-CN"/>
        </w:rPr>
        <w:t xml:space="preserve">, W. </w:t>
      </w:r>
      <w:r w:rsidRPr="000F0A15">
        <w:rPr>
          <w:i/>
          <w:iCs/>
          <w:lang w:eastAsia="zh-CN"/>
        </w:rPr>
        <w:t>The Law and Policy of the World Trade Organization: Text, Cases and Materials, 4th edition</w:t>
      </w:r>
      <w:r w:rsidRPr="000F0A15">
        <w:rPr>
          <w:lang w:eastAsia="zh-CN"/>
        </w:rPr>
        <w:t>. Cambridge, United Kingdom; New York, USA: Cambridge University Press, 2017.9, p.547.</w:t>
      </w:r>
    </w:p>
    <w:p w14:paraId="5EBA661E"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Voss, W.G. (2020). Cross-Border Data Flows, the GDPR, and Data Governance. </w:t>
      </w:r>
      <w:proofErr w:type="spellStart"/>
      <w:r w:rsidRPr="000F0A15">
        <w:rPr>
          <w:rStyle w:val="url"/>
          <w:rFonts w:eastAsiaTheme="majorEastAsia"/>
          <w:i/>
          <w:iCs/>
        </w:rPr>
        <w:t>HeinOnline</w:t>
      </w:r>
      <w:proofErr w:type="spellEnd"/>
      <w:r w:rsidRPr="000F0A15">
        <w:rPr>
          <w:rStyle w:val="url"/>
          <w:rFonts w:eastAsiaTheme="majorEastAsia"/>
          <w:i/>
          <w:iCs/>
        </w:rPr>
        <w:t xml:space="preserve">: Wah, Int’l </w:t>
      </w:r>
      <w:proofErr w:type="spellStart"/>
      <w:r w:rsidRPr="000F0A15">
        <w:rPr>
          <w:rStyle w:val="url"/>
          <w:rFonts w:eastAsiaTheme="majorEastAsia"/>
          <w:i/>
          <w:iCs/>
        </w:rPr>
        <w:t>L.j.</w:t>
      </w:r>
      <w:proofErr w:type="spellEnd"/>
      <w:r w:rsidRPr="000F0A15">
        <w:rPr>
          <w:rStyle w:val="url"/>
          <w:rFonts w:eastAsiaTheme="majorEastAsia"/>
          <w:i/>
          <w:iCs/>
        </w:rPr>
        <w:t>, 29</w:t>
      </w:r>
      <w:r w:rsidRPr="000F0A15">
        <w:rPr>
          <w:rStyle w:val="url"/>
          <w:rFonts w:eastAsiaTheme="majorEastAsia"/>
        </w:rPr>
        <w:t xml:space="preserve">, 485. </w:t>
      </w:r>
    </w:p>
    <w:p w14:paraId="2FEC729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lastRenderedPageBreak/>
        <w:t xml:space="preserve">Woods, A.K. (2016). Against Data Exceptionalism. </w:t>
      </w:r>
      <w:proofErr w:type="spellStart"/>
      <w:r w:rsidRPr="000F0A15">
        <w:rPr>
          <w:rStyle w:val="url"/>
          <w:rFonts w:eastAsiaTheme="majorEastAsia"/>
          <w:i/>
          <w:iCs/>
        </w:rPr>
        <w:t>HeinOnline</w:t>
      </w:r>
      <w:proofErr w:type="spellEnd"/>
      <w:r w:rsidRPr="000F0A15">
        <w:rPr>
          <w:rStyle w:val="url"/>
          <w:rFonts w:eastAsiaTheme="majorEastAsia"/>
          <w:i/>
          <w:iCs/>
        </w:rPr>
        <w:t>: Stan. L. Rev, 68</w:t>
      </w:r>
      <w:r w:rsidRPr="000F0A15">
        <w:rPr>
          <w:rStyle w:val="url"/>
          <w:rFonts w:eastAsiaTheme="majorEastAsia"/>
        </w:rPr>
        <w:t xml:space="preserve">, 729. </w:t>
      </w:r>
    </w:p>
    <w:p w14:paraId="1CF45DE7"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WTO. (2023). </w:t>
      </w:r>
      <w:r w:rsidRPr="000F0A15">
        <w:rPr>
          <w:rFonts w:ascii="Times New Roman" w:eastAsia="Times New Roman" w:hAnsi="Times New Roman" w:cs="Times New Roman"/>
          <w:i/>
          <w:iCs/>
          <w:kern w:val="0"/>
          <w14:ligatures w14:val="none"/>
        </w:rPr>
        <w:t>Digital Trade for Development</w:t>
      </w:r>
      <w:r w:rsidRPr="000F0A15">
        <w:rPr>
          <w:rFonts w:ascii="Times New Roman" w:eastAsia="Times New Roman" w:hAnsi="Times New Roman" w:cs="Times New Roman"/>
          <w:kern w:val="0"/>
          <w14:ligatures w14:val="none"/>
        </w:rPr>
        <w:t xml:space="preserve">. World Trade Organization. Available at: </w:t>
      </w:r>
      <w:hyperlink r:id="rId41" w:history="1">
        <w:r w:rsidRPr="000F0A15">
          <w:rPr>
            <w:rStyle w:val="Hyperlink"/>
            <w:rFonts w:ascii="Times New Roman" w:eastAsia="Times New Roman" w:hAnsi="Times New Roman" w:cs="Times New Roman"/>
            <w:kern w:val="0"/>
            <w14:ligatures w14:val="none"/>
          </w:rPr>
          <w:t>https://www.wto.org/english/res_e/booksp_e/dtd2023_e.pdf</w:t>
        </w:r>
      </w:hyperlink>
      <w:r w:rsidRPr="000F0A15">
        <w:rPr>
          <w:rFonts w:ascii="Times New Roman" w:eastAsia="Times New Roman" w:hAnsi="Times New Roman" w:cs="Times New Roman"/>
          <w:kern w:val="0"/>
          <w14:ligatures w14:val="none"/>
        </w:rPr>
        <w:t xml:space="preserve">. </w:t>
      </w:r>
    </w:p>
    <w:p w14:paraId="65C31AFE"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WTO. (2025). </w:t>
      </w:r>
      <w:r w:rsidRPr="000F0A15">
        <w:rPr>
          <w:rFonts w:ascii="Times New Roman" w:eastAsia="Times New Roman" w:hAnsi="Times New Roman" w:cs="Times New Roman"/>
          <w:i/>
          <w:iCs/>
          <w:kern w:val="0"/>
          <w14:ligatures w14:val="none"/>
        </w:rPr>
        <w:t>Digitally delivered services trade dataset</w:t>
      </w:r>
      <w:r w:rsidRPr="000F0A15">
        <w:rPr>
          <w:rFonts w:ascii="Times New Roman" w:eastAsia="Times New Roman" w:hAnsi="Times New Roman" w:cs="Times New Roman"/>
          <w:kern w:val="0"/>
          <w14:ligatures w14:val="none"/>
        </w:rPr>
        <w:t xml:space="preserve">.  World Trade Organization. Available at: </w:t>
      </w:r>
      <w:hyperlink r:id="rId42" w:history="1">
        <w:r w:rsidRPr="000F0A15">
          <w:rPr>
            <w:rStyle w:val="Hyperlink"/>
            <w:rFonts w:ascii="Times New Roman" w:eastAsia="Times New Roman" w:hAnsi="Times New Roman" w:cs="Times New Roman"/>
            <w:kern w:val="0"/>
            <w14:ligatures w14:val="none"/>
          </w:rPr>
          <w:t>https://www.wto.org/english/res_e/statis_e/gstdh_digital_services_e.htm</w:t>
        </w:r>
      </w:hyperlink>
      <w:r w:rsidRPr="000F0A15">
        <w:rPr>
          <w:rFonts w:ascii="Times New Roman" w:eastAsia="Times New Roman" w:hAnsi="Times New Roman" w:cs="Times New Roman"/>
          <w:kern w:val="0"/>
          <w14:ligatures w14:val="none"/>
        </w:rPr>
        <w:t xml:space="preserve">. </w:t>
      </w:r>
    </w:p>
    <w:p w14:paraId="08EF6555"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WTO. (n.d.a). </w:t>
      </w:r>
      <w:r w:rsidRPr="000F0A15">
        <w:rPr>
          <w:rFonts w:ascii="Times New Roman" w:eastAsia="Times New Roman" w:hAnsi="Times New Roman" w:cs="Times New Roman"/>
          <w:i/>
          <w:iCs/>
          <w:kern w:val="0"/>
          <w14:ligatures w14:val="none"/>
        </w:rPr>
        <w:t>Article XX: General Exceptions</w:t>
      </w:r>
      <w:r w:rsidRPr="000F0A15">
        <w:rPr>
          <w:rFonts w:ascii="Times New Roman" w:eastAsia="Times New Roman" w:hAnsi="Times New Roman" w:cs="Times New Roman"/>
          <w:kern w:val="0"/>
          <w14:ligatures w14:val="none"/>
        </w:rPr>
        <w:t xml:space="preserve">. World Trade Organization. Available at: </w:t>
      </w:r>
      <w:hyperlink r:id="rId43" w:history="1">
        <w:r w:rsidRPr="000F0A15">
          <w:rPr>
            <w:rStyle w:val="Hyperlink"/>
            <w:rFonts w:ascii="Times New Roman" w:eastAsia="Times New Roman" w:hAnsi="Times New Roman" w:cs="Times New Roman"/>
            <w:kern w:val="0"/>
            <w14:ligatures w14:val="none"/>
          </w:rPr>
          <w:t>https://www.wto.org/english/res_e/booksp_e/gatt_ai_e/art20_e.pdf</w:t>
        </w:r>
      </w:hyperlink>
      <w:r w:rsidRPr="000F0A15">
        <w:rPr>
          <w:rFonts w:ascii="Times New Roman" w:eastAsia="Times New Roman" w:hAnsi="Times New Roman" w:cs="Times New Roman"/>
          <w:kern w:val="0"/>
          <w14:ligatures w14:val="none"/>
        </w:rPr>
        <w:t xml:space="preserve">. </w:t>
      </w:r>
    </w:p>
    <w:p w14:paraId="630F264C"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WTO. (n.d.b). </w:t>
      </w:r>
      <w:r w:rsidRPr="000F0A15">
        <w:rPr>
          <w:rFonts w:ascii="Times New Roman" w:eastAsia="Times New Roman" w:hAnsi="Times New Roman" w:cs="Times New Roman"/>
          <w:i/>
          <w:iCs/>
          <w:kern w:val="0"/>
          <w14:ligatures w14:val="none"/>
        </w:rPr>
        <w:t>Article XIV: General Exceptions</w:t>
      </w:r>
      <w:r w:rsidRPr="000F0A15">
        <w:rPr>
          <w:rFonts w:ascii="Times New Roman" w:eastAsia="Times New Roman" w:hAnsi="Times New Roman" w:cs="Times New Roman"/>
          <w:kern w:val="0"/>
          <w14:ligatures w14:val="none"/>
        </w:rPr>
        <w:t xml:space="preserve">. World Trade Organization. Available at: </w:t>
      </w:r>
      <w:hyperlink r:id="rId44" w:history="1">
        <w:r w:rsidRPr="000F0A15">
          <w:rPr>
            <w:rStyle w:val="Hyperlink"/>
            <w:rFonts w:ascii="Times New Roman" w:eastAsia="Times New Roman" w:hAnsi="Times New Roman" w:cs="Times New Roman"/>
            <w:kern w:val="0"/>
            <w14:ligatures w14:val="none"/>
          </w:rPr>
          <w:t>https://www.wto.org/english/res_e/publications_e/ai17_e/gats_art14_jur.pdf</w:t>
        </w:r>
      </w:hyperlink>
      <w:r w:rsidRPr="000F0A15">
        <w:rPr>
          <w:rFonts w:ascii="Times New Roman" w:eastAsia="Times New Roman" w:hAnsi="Times New Roman" w:cs="Times New Roman"/>
          <w:kern w:val="0"/>
          <w14:ligatures w14:val="none"/>
        </w:rPr>
        <w:t xml:space="preserve">. </w:t>
      </w:r>
    </w:p>
    <w:p w14:paraId="573D2932"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Xiang, X., &amp; Zhao, J. (2025). Enhancing sustainable development through digital service trade liberalization: Analyzing the effects and mechanisms on bilateral imports. </w:t>
      </w:r>
      <w:r w:rsidRPr="000F0A15">
        <w:rPr>
          <w:i/>
          <w:iCs/>
        </w:rPr>
        <w:t>Sustainability</w:t>
      </w:r>
      <w:r w:rsidRPr="000F0A15">
        <w:t xml:space="preserve">, </w:t>
      </w:r>
      <w:r w:rsidRPr="000F0A15">
        <w:rPr>
          <w:i/>
          <w:iCs/>
        </w:rPr>
        <w:t>17</w:t>
      </w:r>
      <w:r w:rsidRPr="000F0A15">
        <w:t xml:space="preserve">(5), 1823. </w:t>
      </w:r>
      <w:hyperlink r:id="rId45" w:history="1">
        <w:r w:rsidRPr="000F0A15">
          <w:rPr>
            <w:rStyle w:val="Hyperlink"/>
            <w:rFonts w:eastAsiaTheme="majorEastAsia"/>
          </w:rPr>
          <w:t>https://doi.org/10.3390/su17051823</w:t>
        </w:r>
      </w:hyperlink>
      <w:r w:rsidRPr="000F0A15">
        <w:rPr>
          <w:rStyle w:val="url"/>
          <w:rFonts w:eastAsiaTheme="majorEastAsia"/>
        </w:rPr>
        <w:t xml:space="preserve">. </w:t>
      </w:r>
    </w:p>
    <w:p w14:paraId="6062391B"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proofErr w:type="spellStart"/>
      <w:r w:rsidRPr="000F0A15">
        <w:t>Yingchao</w:t>
      </w:r>
      <w:proofErr w:type="spellEnd"/>
      <w:r w:rsidRPr="000F0A15">
        <w:t xml:space="preserve">, H., &amp; Xiang, Y. (2024). Influence of trade liberalization and digital trade on material footprint in the BRICS region. </w:t>
      </w:r>
      <w:r w:rsidRPr="000F0A15">
        <w:rPr>
          <w:i/>
          <w:iCs/>
        </w:rPr>
        <w:t>Resources Policy</w:t>
      </w:r>
      <w:r w:rsidRPr="000F0A15">
        <w:t xml:space="preserve">, </w:t>
      </w:r>
      <w:r w:rsidRPr="000F0A15">
        <w:rPr>
          <w:i/>
          <w:iCs/>
        </w:rPr>
        <w:t>88</w:t>
      </w:r>
      <w:r w:rsidRPr="000F0A15">
        <w:t xml:space="preserve">, 104374. </w:t>
      </w:r>
      <w:hyperlink r:id="rId46" w:history="1">
        <w:r w:rsidRPr="000F0A15">
          <w:rPr>
            <w:rStyle w:val="Hyperlink"/>
            <w:rFonts w:eastAsiaTheme="majorEastAsia"/>
          </w:rPr>
          <w:t>https://doi.org/10.1016/j.resourpol.2023.104374</w:t>
        </w:r>
      </w:hyperlink>
      <w:r w:rsidRPr="000F0A15">
        <w:rPr>
          <w:rStyle w:val="url"/>
          <w:rFonts w:eastAsiaTheme="majorEastAsia"/>
        </w:rPr>
        <w:t xml:space="preserve">. </w:t>
      </w:r>
    </w:p>
    <w:p w14:paraId="3335A7C3"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i/>
          <w:iCs/>
        </w:rPr>
      </w:pPr>
      <w:r w:rsidRPr="000F0A15">
        <w:rPr>
          <w:rStyle w:val="url"/>
          <w:rFonts w:eastAsiaTheme="majorEastAsia"/>
        </w:rPr>
        <w:t xml:space="preserve">Yun, H. (2024). China’s Data Sovereignty and Security: Implications for Global Digital Borders and Governance. </w:t>
      </w:r>
      <w:r w:rsidRPr="000F0A15">
        <w:rPr>
          <w:rStyle w:val="url"/>
          <w:rFonts w:eastAsiaTheme="majorEastAsia"/>
          <w:i/>
          <w:iCs/>
        </w:rPr>
        <w:t xml:space="preserve">Chinese Political Science Review. </w:t>
      </w:r>
    </w:p>
    <w:p w14:paraId="2C71AD59" w14:textId="77777777" w:rsidR="00B631C9"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Zhang, S. (2020). Protection of Cross-Border Data Flows Under International Investment Law. </w:t>
      </w:r>
      <w:r w:rsidRPr="000F0A15">
        <w:rPr>
          <w:rStyle w:val="url"/>
          <w:rFonts w:eastAsiaTheme="majorEastAsia"/>
          <w:i/>
          <w:iCs/>
        </w:rPr>
        <w:t>Handbook of International Investment Law and Policy</w:t>
      </w:r>
      <w:r w:rsidRPr="000F0A15">
        <w:rPr>
          <w:rStyle w:val="url"/>
          <w:rFonts w:eastAsiaTheme="majorEastAsia"/>
        </w:rPr>
        <w:t>, 1-23.</w:t>
      </w:r>
      <w:r w:rsidRPr="00237890">
        <w:rPr>
          <w:rStyle w:val="url"/>
          <w:rFonts w:eastAsiaTheme="majorEastAsia"/>
        </w:rPr>
        <w:t xml:space="preserve"> </w:t>
      </w:r>
    </w:p>
    <w:p w14:paraId="5E2C8F64" w14:textId="10345AFE" w:rsidR="0026366C" w:rsidRPr="00237890" w:rsidRDefault="0026366C" w:rsidP="00EA4FF5">
      <w:pPr>
        <w:pStyle w:val="NormalWeb"/>
        <w:spacing w:before="0" w:beforeAutospacing="0" w:after="0" w:afterAutospacing="0" w:line="360" w:lineRule="auto"/>
        <w:jc w:val="both"/>
        <w:rPr>
          <w:rFonts w:eastAsiaTheme="majorEastAsia"/>
        </w:rPr>
      </w:pPr>
    </w:p>
    <w:sectPr w:rsidR="0026366C" w:rsidRPr="00237890">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neth Besigomwe 06/05/2025" w:date="2025-05-06T17:43:00Z" w:initials="KB">
    <w:p w14:paraId="34E3A8D5" w14:textId="72F97375" w:rsidR="000D4497" w:rsidRDefault="000D4497">
      <w:pPr>
        <w:pStyle w:val="CommentText"/>
      </w:pPr>
      <w:r>
        <w:rPr>
          <w:rStyle w:val="CommentReference"/>
        </w:rPr>
        <w:annotationRef/>
      </w:r>
      <w:r>
        <w:t>This title is too long. See suggestion in review</w:t>
      </w:r>
    </w:p>
  </w:comment>
  <w:comment w:id="1" w:author="Kenneth Besigomwe 06/05/2025" w:date="2025-05-06T17:44:00Z" w:initials="KB">
    <w:p w14:paraId="2FE0CF54" w14:textId="77777777" w:rsidR="000D4497" w:rsidRDefault="000D4497">
      <w:pPr>
        <w:pStyle w:val="CommentText"/>
      </w:pPr>
      <w:r>
        <w:rPr>
          <w:rStyle w:val="CommentReference"/>
        </w:rPr>
        <w:annotationRef/>
      </w:r>
      <w:r>
        <w:t>It seems incomplete</w:t>
      </w:r>
    </w:p>
    <w:p w14:paraId="66CF33C2" w14:textId="23B4A57D" w:rsidR="000D4497" w:rsidRDefault="000D4497">
      <w:pPr>
        <w:pStyle w:val="CommentText"/>
      </w:pPr>
      <w:r>
        <w:t xml:space="preserve">Suggestion: </w:t>
      </w:r>
      <w:r w:rsidRPr="000D4497">
        <w:t>The study highlights the need for strategic engagement and modular compliance to balance digital sovereignty with international cooperation in an increasingly data-driven global economy.</w:t>
      </w:r>
    </w:p>
  </w:comment>
  <w:comment w:id="2" w:author="Kenneth Besigomwe 06/05/2025" w:date="2025-05-06T18:20:00Z" w:initials="KB">
    <w:p w14:paraId="0BB1F61D" w14:textId="3C5F3286" w:rsidR="009B282F" w:rsidRDefault="009B282F">
      <w:pPr>
        <w:pStyle w:val="CommentText"/>
      </w:pPr>
      <w:r>
        <w:rPr>
          <w:rStyle w:val="CommentReference"/>
        </w:rPr>
        <w:annotationRef/>
      </w:r>
      <w:r w:rsidRPr="009B282F">
        <w:t>How exactly does digital trade contribute to inclusivity?</w:t>
      </w:r>
      <w:r>
        <w:t xml:space="preserve"> </w:t>
      </w:r>
      <w:r w:rsidRPr="009B282F">
        <w:t>Provi</w:t>
      </w:r>
      <w:r>
        <w:t>de</w:t>
      </w:r>
      <w:r w:rsidRPr="009B282F">
        <w:t xml:space="preserve"> some specifics here </w:t>
      </w:r>
      <w:r>
        <w:t>to</w:t>
      </w:r>
      <w:r w:rsidRPr="009B282F">
        <w:t xml:space="preserve"> strengthen the statement.</w:t>
      </w:r>
    </w:p>
  </w:comment>
  <w:comment w:id="3" w:author="Kenneth Besigomwe 06/05/2025" w:date="2025-05-06T18:28:00Z" w:initials="KB">
    <w:p w14:paraId="29905D34" w14:textId="2C627847" w:rsidR="009B282F" w:rsidRDefault="009B282F">
      <w:pPr>
        <w:pStyle w:val="CommentText"/>
      </w:pPr>
      <w:r>
        <w:rPr>
          <w:rStyle w:val="CommentReference"/>
        </w:rPr>
        <w:annotationRef/>
      </w:r>
      <w:r>
        <w:t>The first paragraph should include a brief description of this graph</w:t>
      </w:r>
    </w:p>
  </w:comment>
  <w:comment w:id="4" w:author="Kenneth Besigomwe 06/05/2025" w:date="2025-05-06T18:25:00Z" w:initials="KB">
    <w:p w14:paraId="18BC7A61" w14:textId="77777777" w:rsidR="009B282F" w:rsidRDefault="009B282F">
      <w:pPr>
        <w:pStyle w:val="CommentText"/>
      </w:pPr>
      <w:r>
        <w:rPr>
          <w:rStyle w:val="CommentReference"/>
        </w:rPr>
        <w:annotationRef/>
      </w:r>
      <w:r>
        <w:t xml:space="preserve">This introduction of RTA is improper and abrupt. </w:t>
      </w:r>
    </w:p>
    <w:p w14:paraId="2B221440" w14:textId="09A211C5" w:rsidR="009B282F" w:rsidRDefault="009B282F">
      <w:pPr>
        <w:pStyle w:val="CommentText"/>
      </w:pPr>
      <w:r>
        <w:t>Begin with a sentence that bridges ‘</w:t>
      </w:r>
      <w:r w:rsidRPr="009B282F">
        <w:t>digital trade</w:t>
      </w:r>
      <w:r>
        <w:t>’ with RTA</w:t>
      </w:r>
    </w:p>
  </w:comment>
  <w:comment w:id="5" w:author="Kenneth Besigomwe 06/05/2025" w:date="2025-05-06T18:30:00Z" w:initials="KB">
    <w:p w14:paraId="58AD128F" w14:textId="1CA28277" w:rsidR="009B282F" w:rsidRDefault="009B282F">
      <w:pPr>
        <w:pStyle w:val="CommentText"/>
      </w:pPr>
      <w:r>
        <w:rPr>
          <w:rStyle w:val="CommentReference"/>
        </w:rPr>
        <w:annotationRef/>
      </w:r>
      <w:r>
        <w:t>Of what importance or significancy is the graph above</w:t>
      </w:r>
      <w:r w:rsidR="00DB26B7">
        <w:t>? Begin with a brief description of the graph.</w:t>
      </w:r>
    </w:p>
  </w:comment>
  <w:comment w:id="6" w:author="Kenneth Besigomwe 06/05/2025" w:date="2025-05-06T18:33:00Z" w:initials="KB">
    <w:p w14:paraId="2173C661" w14:textId="1B8DA759" w:rsidR="00DB26B7" w:rsidRDefault="00DB26B7">
      <w:pPr>
        <w:pStyle w:val="CommentText"/>
      </w:pPr>
      <w:r>
        <w:rPr>
          <w:rStyle w:val="CommentReference"/>
        </w:rPr>
        <w:annotationRef/>
      </w:r>
      <w:r w:rsidRPr="00DB26B7">
        <w:t>A stronger introduction to why China’s approach to digital trade is important</w:t>
      </w:r>
    </w:p>
  </w:comment>
  <w:comment w:id="7" w:author="Kenneth Besigomwe 06/05/2025" w:date="2025-05-06T18:36:00Z" w:initials="KB">
    <w:p w14:paraId="54389078" w14:textId="77777777" w:rsidR="00DB26B7" w:rsidRDefault="00DB26B7">
      <w:pPr>
        <w:pStyle w:val="CommentText"/>
      </w:pPr>
      <w:r>
        <w:rPr>
          <w:rStyle w:val="CommentReference"/>
        </w:rPr>
        <w:annotationRef/>
      </w:r>
      <w:r>
        <w:t>These questions need some revision for clarity and depth</w:t>
      </w:r>
    </w:p>
    <w:p w14:paraId="5DE30765" w14:textId="77777777" w:rsidR="00DB26B7" w:rsidRDefault="00DB26B7">
      <w:pPr>
        <w:pStyle w:val="CommentText"/>
      </w:pPr>
      <w:r>
        <w:t>Suggestions:</w:t>
      </w:r>
    </w:p>
    <w:p w14:paraId="5C904D05" w14:textId="7042359B" w:rsidR="00DB26B7" w:rsidRPr="00DB26B7" w:rsidRDefault="00DB26B7" w:rsidP="00DB26B7">
      <w:pPr>
        <w:pStyle w:val="CommentText"/>
        <w:numPr>
          <w:ilvl w:val="0"/>
          <w:numId w:val="4"/>
        </w:numPr>
        <w:rPr>
          <w:lang w:val="en-UG"/>
        </w:rPr>
      </w:pPr>
      <w:r w:rsidRPr="00DB26B7">
        <w:rPr>
          <w:lang w:val="en-UG"/>
        </w:rPr>
        <w:t>How are general exception clauses related to digital trade incorporated within the CPTPP and DEPA frameworks?</w:t>
      </w:r>
    </w:p>
    <w:p w14:paraId="26E7998D" w14:textId="1F1D5F90" w:rsidR="00DB26B7" w:rsidRPr="00DB26B7" w:rsidRDefault="00DB26B7" w:rsidP="00DB26B7">
      <w:pPr>
        <w:pStyle w:val="CommentText"/>
        <w:numPr>
          <w:ilvl w:val="0"/>
          <w:numId w:val="4"/>
        </w:numPr>
        <w:rPr>
          <w:lang w:val="en-UG"/>
        </w:rPr>
      </w:pPr>
      <w:r w:rsidRPr="00DB26B7">
        <w:rPr>
          <w:lang w:val="en-UG"/>
        </w:rPr>
        <w:t>In what ways has China’s domestic legal and data governance framework responded to or aligned with these international agreements?</w:t>
      </w:r>
    </w:p>
    <w:p w14:paraId="1DFA7CCF" w14:textId="40541892" w:rsidR="00DB26B7" w:rsidRPr="00DB26B7" w:rsidRDefault="00DB26B7" w:rsidP="00DB26B7">
      <w:pPr>
        <w:pStyle w:val="CommentText"/>
        <w:numPr>
          <w:ilvl w:val="0"/>
          <w:numId w:val="4"/>
        </w:numPr>
        <w:rPr>
          <w:lang w:val="en-UG"/>
        </w:rPr>
      </w:pPr>
      <w:r w:rsidRPr="00DB26B7">
        <w:rPr>
          <w:lang w:val="en-UG"/>
        </w:rPr>
        <w:t>What legal and policy tensions—or areas of compatibility—exist between China's digital governance model and the general exception provisions in the CPTPP and DEPA?</w:t>
      </w:r>
    </w:p>
    <w:p w14:paraId="799AF202" w14:textId="5EDA5AE7" w:rsidR="00DB26B7" w:rsidRDefault="00DB26B7">
      <w:pPr>
        <w:pStyle w:val="CommentText"/>
      </w:pPr>
    </w:p>
  </w:comment>
  <w:comment w:id="8" w:author="Kenneth Besigomwe 06/05/2025" w:date="2025-05-06T18:47:00Z" w:initials="KB">
    <w:p w14:paraId="4178C834" w14:textId="76DE240E" w:rsidR="00C72729" w:rsidRDefault="00C72729">
      <w:pPr>
        <w:pStyle w:val="CommentText"/>
      </w:pPr>
      <w:r>
        <w:rPr>
          <w:rStyle w:val="CommentReference"/>
        </w:rPr>
        <w:annotationRef/>
      </w:r>
      <w:r>
        <w:t>This sentence is not clear</w:t>
      </w:r>
    </w:p>
  </w:comment>
  <w:comment w:id="9" w:author="Kenneth Besigomwe 06/05/2025" w:date="2025-05-06T18:48:00Z" w:initials="KB">
    <w:p w14:paraId="0CC1FCDD" w14:textId="3B4E1EFC" w:rsidR="00C72729" w:rsidRDefault="00C72729">
      <w:pPr>
        <w:pStyle w:val="CommentText"/>
      </w:pPr>
      <w:r>
        <w:rPr>
          <w:rStyle w:val="CommentReference"/>
        </w:rPr>
        <w:annotationRef/>
      </w:r>
      <w:r>
        <w:t>State the basis and its usefulness</w:t>
      </w:r>
    </w:p>
  </w:comment>
  <w:comment w:id="10" w:author="Kenneth Besigomwe 06/05/2025" w:date="2025-05-06T18:51:00Z" w:initials="KB">
    <w:p w14:paraId="393E7DA6" w14:textId="35FDD159" w:rsidR="008809EB" w:rsidRDefault="008809EB">
      <w:pPr>
        <w:pStyle w:val="CommentText"/>
      </w:pPr>
      <w:r>
        <w:rPr>
          <w:rStyle w:val="CommentReference"/>
        </w:rPr>
        <w:annotationRef/>
      </w:r>
      <w:r>
        <w:t>These terms need to be defined</w:t>
      </w:r>
    </w:p>
  </w:comment>
  <w:comment w:id="11" w:author="Kenneth Besigomwe 06/05/2025" w:date="2025-05-06T18:44:00Z" w:initials="KB">
    <w:p w14:paraId="5E3F81B5" w14:textId="723D6EB2" w:rsidR="00C72729" w:rsidRDefault="00C72729">
      <w:pPr>
        <w:pStyle w:val="CommentText"/>
      </w:pPr>
      <w:r>
        <w:rPr>
          <w:rStyle w:val="CommentReference"/>
        </w:rPr>
        <w:annotationRef/>
      </w:r>
      <w:r>
        <w:t>Is this year correct?</w:t>
      </w:r>
    </w:p>
  </w:comment>
  <w:comment w:id="12" w:author="Kenneth Besigomwe 06/05/2025" w:date="2025-05-06T18:45:00Z" w:initials="KB">
    <w:p w14:paraId="5175D890" w14:textId="6B600F15" w:rsidR="00C72729" w:rsidRDefault="00C72729">
      <w:pPr>
        <w:pStyle w:val="CommentText"/>
      </w:pPr>
      <w:r>
        <w:rPr>
          <w:rStyle w:val="CommentReference"/>
        </w:rPr>
        <w:annotationRef/>
      </w:r>
      <w:r>
        <w:t>Edit this citation</w:t>
      </w:r>
    </w:p>
  </w:comment>
  <w:comment w:id="13" w:author="Kenneth Besigomwe 06/05/2025" w:date="2025-05-06T19:05:00Z" w:initials="KB">
    <w:p w14:paraId="3706BD29" w14:textId="58133367" w:rsidR="00503BF0" w:rsidRPr="00503BF0" w:rsidRDefault="00503BF0">
      <w:pPr>
        <w:pStyle w:val="CommentText"/>
        <w:rPr>
          <w:rFonts w:asciiTheme="majorHAnsi" w:hAnsiTheme="majorHAnsi"/>
        </w:rPr>
      </w:pPr>
      <w:r>
        <w:rPr>
          <w:rStyle w:val="CommentReference"/>
        </w:rPr>
        <w:annotationRef/>
      </w:r>
      <w:r w:rsidRPr="00503BF0">
        <w:rPr>
          <w:rFonts w:asciiTheme="majorHAnsi" w:hAnsiTheme="majorHAnsi"/>
        </w:rPr>
        <w:t xml:space="preserve">This is typical of mainly quantitative methods. I suggest you change or else you have to clarify how </w:t>
      </w:r>
      <w:r w:rsidRPr="00503BF0">
        <w:rPr>
          <w:rFonts w:asciiTheme="majorHAnsi" w:eastAsia="Times New Roman" w:hAnsiTheme="majorHAnsi" w:cs="Times New Roman"/>
          <w:kern w:val="0"/>
          <w14:ligatures w14:val="none"/>
        </w:rPr>
        <w:t>construct validity</w:t>
      </w:r>
      <w:r w:rsidRPr="00503BF0">
        <w:rPr>
          <w:rStyle w:val="CommentReference"/>
          <w:rFonts w:asciiTheme="majorHAnsi" w:hAnsiTheme="majorHAnsi"/>
        </w:rPr>
        <w:annotationRef/>
      </w:r>
      <w:r w:rsidRPr="00503BF0">
        <w:rPr>
          <w:rFonts w:asciiTheme="majorHAnsi" w:eastAsia="Times New Roman" w:hAnsiTheme="majorHAnsi" w:cs="Times New Roman"/>
          <w:kern w:val="0"/>
          <w14:ligatures w14:val="none"/>
        </w:rPr>
        <w:t xml:space="preserve"> is achieved in </w:t>
      </w:r>
      <w:r w:rsidRPr="00503BF0">
        <w:rPr>
          <w:rFonts w:asciiTheme="majorHAnsi" w:hAnsiTheme="majorHAnsi"/>
        </w:rPr>
        <w:t>legal-qualitative context</w:t>
      </w:r>
    </w:p>
  </w:comment>
  <w:comment w:id="14" w:author="Kenneth Besigomwe 06/05/2025" w:date="2025-05-06T19:03:00Z" w:initials="KB">
    <w:p w14:paraId="77C40D48" w14:textId="72887811" w:rsidR="00D2766C" w:rsidRDefault="00D2766C">
      <w:pPr>
        <w:pStyle w:val="CommentText"/>
      </w:pPr>
      <w:r>
        <w:rPr>
          <w:rStyle w:val="CommentReference"/>
        </w:rPr>
        <w:annotationRef/>
      </w:r>
      <w:r w:rsidRPr="00D2766C">
        <w:t xml:space="preserve">Explain more clearly </w:t>
      </w:r>
      <w:r>
        <w:t>how</w:t>
      </w:r>
      <w:r w:rsidRPr="00D2766C">
        <w:t xml:space="preserve"> the legal texts will be analyzed</w:t>
      </w:r>
    </w:p>
  </w:comment>
  <w:comment w:id="15" w:author="Kenneth Besigomwe 06/05/2025" w:date="2025-05-06T19:00:00Z" w:initials="KB">
    <w:p w14:paraId="4E75AB50" w14:textId="2738EC6C" w:rsidR="008809EB" w:rsidRDefault="008809EB">
      <w:pPr>
        <w:pStyle w:val="CommentText"/>
      </w:pPr>
      <w:r>
        <w:rPr>
          <w:rStyle w:val="CommentReference"/>
        </w:rPr>
        <w:annotationRef/>
      </w:r>
      <w:r>
        <w:t xml:space="preserve">Be consistent with the tense. </w:t>
      </w:r>
      <w:r w:rsidR="00D2766C" w:rsidRPr="00D2766C">
        <w:t>There’s a mix of present and future tenses without clear rationale</w:t>
      </w:r>
    </w:p>
  </w:comment>
  <w:comment w:id="16" w:author="Kenneth Besigomwe 06/05/2025" w:date="2025-05-06T18:55:00Z" w:initials="KB">
    <w:p w14:paraId="1D44AE24" w14:textId="16399B09" w:rsidR="008809EB" w:rsidRDefault="008809EB">
      <w:pPr>
        <w:pStyle w:val="CommentText"/>
      </w:pPr>
      <w:r>
        <w:rPr>
          <w:rStyle w:val="CommentReference"/>
        </w:rPr>
        <w:annotationRef/>
      </w:r>
      <w:r>
        <w:t>This term isn’t appropriate</w:t>
      </w:r>
    </w:p>
  </w:comment>
  <w:comment w:id="17" w:author="Kenneth Besigomwe 06/05/2025" w:date="2025-05-06T19:12:00Z" w:initials="KB">
    <w:p w14:paraId="74D123A6" w14:textId="0026842D" w:rsidR="002652E3" w:rsidRDefault="002652E3">
      <w:pPr>
        <w:pStyle w:val="CommentText"/>
      </w:pPr>
      <w:r>
        <w:rPr>
          <w:rStyle w:val="CommentReference"/>
        </w:rPr>
        <w:annotationRef/>
      </w:r>
      <w:r>
        <w:t>Check for this throughout the work and make sure it is consistently stated. I have seen some variants</w:t>
      </w:r>
    </w:p>
  </w:comment>
  <w:comment w:id="18" w:author="Kenneth Besigomwe 06/05/2025" w:date="2025-05-06T19:16:00Z" w:initials="KB">
    <w:p w14:paraId="5B9CA58D" w14:textId="72EFBFBE" w:rsidR="002652E3" w:rsidRDefault="002652E3">
      <w:pPr>
        <w:pStyle w:val="CommentText"/>
      </w:pPr>
      <w:r>
        <w:rPr>
          <w:rStyle w:val="CommentReference"/>
        </w:rPr>
        <w:annotationRef/>
      </w:r>
      <w:r>
        <w:t xml:space="preserve">Cite more evidence </w:t>
      </w:r>
      <w:proofErr w:type="spellStart"/>
      <w:r>
        <w:t>eg</w:t>
      </w:r>
      <w:proofErr w:type="spellEnd"/>
      <w:r>
        <w:t xml:space="preserve"> from reports</w:t>
      </w:r>
    </w:p>
  </w:comment>
  <w:comment w:id="19" w:author="Kenneth Besigomwe 06/05/2025" w:date="2025-05-06T19:09:00Z" w:initials="KB">
    <w:p w14:paraId="6579D2B1" w14:textId="491087CA" w:rsidR="008F2CE6" w:rsidRDefault="008F2CE6">
      <w:pPr>
        <w:pStyle w:val="CommentText"/>
      </w:pPr>
      <w:r>
        <w:rPr>
          <w:rStyle w:val="CommentReference"/>
        </w:rPr>
        <w:annotationRef/>
      </w:r>
      <w:r>
        <w:t>Once again, all your tables are necessary but you don’t begin with a description. T</w:t>
      </w:r>
      <w:r w:rsidRPr="008F2CE6">
        <w:t>heir integration into the narrative is weak. Explain each table’s significance more clearly before and after its inclusion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E3A8D5" w15:done="0"/>
  <w15:commentEx w15:paraId="66CF33C2" w15:done="0"/>
  <w15:commentEx w15:paraId="0BB1F61D" w15:done="0"/>
  <w15:commentEx w15:paraId="29905D34" w15:done="0"/>
  <w15:commentEx w15:paraId="2B221440" w15:done="0"/>
  <w15:commentEx w15:paraId="58AD128F" w15:done="0"/>
  <w15:commentEx w15:paraId="2173C661" w15:done="0"/>
  <w15:commentEx w15:paraId="799AF202" w15:done="0"/>
  <w15:commentEx w15:paraId="4178C834" w15:done="0"/>
  <w15:commentEx w15:paraId="0CC1FCDD" w15:done="0"/>
  <w15:commentEx w15:paraId="393E7DA6" w15:done="0"/>
  <w15:commentEx w15:paraId="5E3F81B5" w15:done="0"/>
  <w15:commentEx w15:paraId="5175D890" w15:done="0"/>
  <w15:commentEx w15:paraId="3706BD29" w15:done="0"/>
  <w15:commentEx w15:paraId="77C40D48" w15:done="0"/>
  <w15:commentEx w15:paraId="4E75AB50" w15:done="0"/>
  <w15:commentEx w15:paraId="1D44AE24" w15:done="0"/>
  <w15:commentEx w15:paraId="74D123A6" w15:done="0"/>
  <w15:commentEx w15:paraId="5B9CA58D" w15:done="0"/>
  <w15:commentEx w15:paraId="6579D2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A70C02" w16cex:dateUtc="2025-05-06T14:43:00Z"/>
  <w16cex:commentExtensible w16cex:durableId="735FB055" w16cex:dateUtc="2025-05-06T14:44:00Z"/>
  <w16cex:commentExtensible w16cex:durableId="5782F872" w16cex:dateUtc="2025-05-06T15:20:00Z"/>
  <w16cex:commentExtensible w16cex:durableId="3280516E" w16cex:dateUtc="2025-05-06T15:28:00Z"/>
  <w16cex:commentExtensible w16cex:durableId="7E347016" w16cex:dateUtc="2025-05-06T15:25:00Z"/>
  <w16cex:commentExtensible w16cex:durableId="02444C7A" w16cex:dateUtc="2025-05-06T15:30:00Z"/>
  <w16cex:commentExtensible w16cex:durableId="2087087D" w16cex:dateUtc="2025-05-06T15:33:00Z"/>
  <w16cex:commentExtensible w16cex:durableId="505781CA" w16cex:dateUtc="2025-05-06T15:36:00Z"/>
  <w16cex:commentExtensible w16cex:durableId="3185A28C" w16cex:dateUtc="2025-05-06T15:47:00Z"/>
  <w16cex:commentExtensible w16cex:durableId="053D9C52" w16cex:dateUtc="2025-05-06T15:48:00Z"/>
  <w16cex:commentExtensible w16cex:durableId="6BF735CF" w16cex:dateUtc="2025-05-06T15:51:00Z"/>
  <w16cex:commentExtensible w16cex:durableId="00945D12" w16cex:dateUtc="2025-05-06T15:44:00Z"/>
  <w16cex:commentExtensible w16cex:durableId="698A03A5" w16cex:dateUtc="2025-05-06T15:45:00Z"/>
  <w16cex:commentExtensible w16cex:durableId="6FC0FBB4" w16cex:dateUtc="2025-05-06T16:05:00Z"/>
  <w16cex:commentExtensible w16cex:durableId="4C4B3C9D" w16cex:dateUtc="2025-05-06T16:03:00Z"/>
  <w16cex:commentExtensible w16cex:durableId="218FFD29" w16cex:dateUtc="2025-05-06T16:00:00Z"/>
  <w16cex:commentExtensible w16cex:durableId="1B251A76" w16cex:dateUtc="2025-05-06T15:55:00Z"/>
  <w16cex:commentExtensible w16cex:durableId="74F557DA" w16cex:dateUtc="2025-05-06T16:12:00Z"/>
  <w16cex:commentExtensible w16cex:durableId="1D164C93" w16cex:dateUtc="2025-05-06T16:16:00Z"/>
  <w16cex:commentExtensible w16cex:durableId="4748761E" w16cex:dateUtc="2025-05-06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E3A8D5" w16cid:durableId="33A70C02"/>
  <w16cid:commentId w16cid:paraId="66CF33C2" w16cid:durableId="735FB055"/>
  <w16cid:commentId w16cid:paraId="0BB1F61D" w16cid:durableId="5782F872"/>
  <w16cid:commentId w16cid:paraId="29905D34" w16cid:durableId="3280516E"/>
  <w16cid:commentId w16cid:paraId="2B221440" w16cid:durableId="7E347016"/>
  <w16cid:commentId w16cid:paraId="58AD128F" w16cid:durableId="02444C7A"/>
  <w16cid:commentId w16cid:paraId="2173C661" w16cid:durableId="2087087D"/>
  <w16cid:commentId w16cid:paraId="799AF202" w16cid:durableId="505781CA"/>
  <w16cid:commentId w16cid:paraId="4178C834" w16cid:durableId="3185A28C"/>
  <w16cid:commentId w16cid:paraId="0CC1FCDD" w16cid:durableId="053D9C52"/>
  <w16cid:commentId w16cid:paraId="393E7DA6" w16cid:durableId="6BF735CF"/>
  <w16cid:commentId w16cid:paraId="5E3F81B5" w16cid:durableId="00945D12"/>
  <w16cid:commentId w16cid:paraId="5175D890" w16cid:durableId="698A03A5"/>
  <w16cid:commentId w16cid:paraId="3706BD29" w16cid:durableId="6FC0FBB4"/>
  <w16cid:commentId w16cid:paraId="77C40D48" w16cid:durableId="4C4B3C9D"/>
  <w16cid:commentId w16cid:paraId="4E75AB50" w16cid:durableId="218FFD29"/>
  <w16cid:commentId w16cid:paraId="1D44AE24" w16cid:durableId="1B251A76"/>
  <w16cid:commentId w16cid:paraId="74D123A6" w16cid:durableId="74F557DA"/>
  <w16cid:commentId w16cid:paraId="5B9CA58D" w16cid:durableId="1D164C93"/>
  <w16cid:commentId w16cid:paraId="6579D2B1" w16cid:durableId="474876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56168" w14:textId="77777777" w:rsidR="001040B8" w:rsidRDefault="001040B8" w:rsidP="009C1046">
      <w:pPr>
        <w:spacing w:after="0" w:line="240" w:lineRule="auto"/>
      </w:pPr>
      <w:r>
        <w:separator/>
      </w:r>
    </w:p>
  </w:endnote>
  <w:endnote w:type="continuationSeparator" w:id="0">
    <w:p w14:paraId="14DA8C2C" w14:textId="77777777" w:rsidR="001040B8" w:rsidRDefault="001040B8" w:rsidP="009C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9460590"/>
      <w:docPartObj>
        <w:docPartGallery w:val="Page Numbers (Bottom of Page)"/>
        <w:docPartUnique/>
      </w:docPartObj>
    </w:sdtPr>
    <w:sdtContent>
      <w:p w14:paraId="78232158" w14:textId="37B46DA6" w:rsidR="009C1046" w:rsidRDefault="009C1046" w:rsidP="00736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3E3FD2" w14:textId="77777777" w:rsidR="009C1046" w:rsidRDefault="009C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383588"/>
      <w:docPartObj>
        <w:docPartGallery w:val="Page Numbers (Bottom of Page)"/>
        <w:docPartUnique/>
      </w:docPartObj>
    </w:sdtPr>
    <w:sdtContent>
      <w:p w14:paraId="0A2F3BC9" w14:textId="02F6554E" w:rsidR="009C1046" w:rsidRDefault="009C1046" w:rsidP="00736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792FE4" w14:textId="77777777" w:rsidR="009C1046" w:rsidRDefault="009C1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5033" w14:textId="77777777" w:rsidR="008D69A4" w:rsidRDefault="008D6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61F0" w14:textId="77777777" w:rsidR="001040B8" w:rsidRDefault="001040B8" w:rsidP="009C1046">
      <w:pPr>
        <w:spacing w:after="0" w:line="240" w:lineRule="auto"/>
      </w:pPr>
      <w:r>
        <w:separator/>
      </w:r>
    </w:p>
  </w:footnote>
  <w:footnote w:type="continuationSeparator" w:id="0">
    <w:p w14:paraId="78A7AC99" w14:textId="77777777" w:rsidR="001040B8" w:rsidRDefault="001040B8" w:rsidP="009C1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AC7F" w14:textId="6F68BB97" w:rsidR="008D69A4" w:rsidRDefault="00000000">
    <w:pPr>
      <w:pStyle w:val="Header"/>
    </w:pPr>
    <w:r>
      <w:rPr>
        <w:noProof/>
      </w:rPr>
      <w:pict w14:anchorId="39BBA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0657"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1796" w14:textId="53865CDE" w:rsidR="008D69A4" w:rsidRDefault="00000000">
    <w:pPr>
      <w:pStyle w:val="Header"/>
    </w:pPr>
    <w:r>
      <w:rPr>
        <w:noProof/>
      </w:rPr>
      <w:pict w14:anchorId="673E1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0658"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93A8" w14:textId="7C087C5F" w:rsidR="008D69A4" w:rsidRDefault="00000000">
    <w:pPr>
      <w:pStyle w:val="Header"/>
    </w:pPr>
    <w:r>
      <w:rPr>
        <w:noProof/>
      </w:rPr>
      <w:pict w14:anchorId="05B49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0656"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730"/>
    <w:multiLevelType w:val="hybridMultilevel"/>
    <w:tmpl w:val="502AAF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005DCD"/>
    <w:multiLevelType w:val="hybridMultilevel"/>
    <w:tmpl w:val="A6FC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F6FD2"/>
    <w:multiLevelType w:val="multilevel"/>
    <w:tmpl w:val="562C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0972F8"/>
    <w:multiLevelType w:val="multilevel"/>
    <w:tmpl w:val="D8D61D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91582983">
    <w:abstractNumId w:val="3"/>
  </w:num>
  <w:num w:numId="2" w16cid:durableId="1973635425">
    <w:abstractNumId w:val="2"/>
  </w:num>
  <w:num w:numId="3" w16cid:durableId="410079845">
    <w:abstractNumId w:val="1"/>
  </w:num>
  <w:num w:numId="4" w16cid:durableId="20920042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neth Besigomwe 06/05/2025">
    <w15:presenceInfo w15:providerId="None" w15:userId="Kenneth Besigomwe 06/05/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27"/>
    <w:rsid w:val="00001D9F"/>
    <w:rsid w:val="00004FC8"/>
    <w:rsid w:val="000135FA"/>
    <w:rsid w:val="00032E36"/>
    <w:rsid w:val="00036F0E"/>
    <w:rsid w:val="00041939"/>
    <w:rsid w:val="000552AC"/>
    <w:rsid w:val="000619C6"/>
    <w:rsid w:val="00062FC0"/>
    <w:rsid w:val="00075EBE"/>
    <w:rsid w:val="00076D48"/>
    <w:rsid w:val="0008715C"/>
    <w:rsid w:val="000A3626"/>
    <w:rsid w:val="000A4CB7"/>
    <w:rsid w:val="000B45CF"/>
    <w:rsid w:val="000B7B4F"/>
    <w:rsid w:val="000C20E0"/>
    <w:rsid w:val="000C36F8"/>
    <w:rsid w:val="000D4497"/>
    <w:rsid w:val="000E0A46"/>
    <w:rsid w:val="000E52A9"/>
    <w:rsid w:val="000E6C4E"/>
    <w:rsid w:val="000F0A15"/>
    <w:rsid w:val="001040B8"/>
    <w:rsid w:val="001045E0"/>
    <w:rsid w:val="00107431"/>
    <w:rsid w:val="00116E02"/>
    <w:rsid w:val="00145CB1"/>
    <w:rsid w:val="0015375A"/>
    <w:rsid w:val="00161B41"/>
    <w:rsid w:val="0016557F"/>
    <w:rsid w:val="001A27B2"/>
    <w:rsid w:val="001A4986"/>
    <w:rsid w:val="001B3243"/>
    <w:rsid w:val="001C085E"/>
    <w:rsid w:val="001C4764"/>
    <w:rsid w:val="001E18BC"/>
    <w:rsid w:val="001E6A93"/>
    <w:rsid w:val="001E7791"/>
    <w:rsid w:val="001F4D19"/>
    <w:rsid w:val="001F6B6E"/>
    <w:rsid w:val="002160AA"/>
    <w:rsid w:val="00217005"/>
    <w:rsid w:val="002217C3"/>
    <w:rsid w:val="00226737"/>
    <w:rsid w:val="00233BF5"/>
    <w:rsid w:val="00237890"/>
    <w:rsid w:val="00245688"/>
    <w:rsid w:val="00251855"/>
    <w:rsid w:val="00253E9D"/>
    <w:rsid w:val="0026366C"/>
    <w:rsid w:val="002652E3"/>
    <w:rsid w:val="00272271"/>
    <w:rsid w:val="00276598"/>
    <w:rsid w:val="00290EB7"/>
    <w:rsid w:val="0029174D"/>
    <w:rsid w:val="00292106"/>
    <w:rsid w:val="00297A56"/>
    <w:rsid w:val="002A6728"/>
    <w:rsid w:val="002A6D76"/>
    <w:rsid w:val="002B0EAD"/>
    <w:rsid w:val="002B1678"/>
    <w:rsid w:val="002B42EC"/>
    <w:rsid w:val="002B4CAC"/>
    <w:rsid w:val="002C110B"/>
    <w:rsid w:val="002F642A"/>
    <w:rsid w:val="003300E4"/>
    <w:rsid w:val="003430E9"/>
    <w:rsid w:val="00354F5E"/>
    <w:rsid w:val="003648D2"/>
    <w:rsid w:val="00367C93"/>
    <w:rsid w:val="003728FE"/>
    <w:rsid w:val="00372D93"/>
    <w:rsid w:val="00373293"/>
    <w:rsid w:val="00375414"/>
    <w:rsid w:val="00377113"/>
    <w:rsid w:val="00381751"/>
    <w:rsid w:val="003820C1"/>
    <w:rsid w:val="003900F5"/>
    <w:rsid w:val="00396C65"/>
    <w:rsid w:val="003A3DDC"/>
    <w:rsid w:val="003A4978"/>
    <w:rsid w:val="003A68C9"/>
    <w:rsid w:val="003B0743"/>
    <w:rsid w:val="003B416C"/>
    <w:rsid w:val="003B5494"/>
    <w:rsid w:val="003B7316"/>
    <w:rsid w:val="003C28E9"/>
    <w:rsid w:val="003D2BCB"/>
    <w:rsid w:val="003E2ED8"/>
    <w:rsid w:val="003E6A17"/>
    <w:rsid w:val="003F588B"/>
    <w:rsid w:val="003F5BAA"/>
    <w:rsid w:val="003F5E10"/>
    <w:rsid w:val="004008E2"/>
    <w:rsid w:val="00400EA0"/>
    <w:rsid w:val="00403705"/>
    <w:rsid w:val="00415369"/>
    <w:rsid w:val="00421B21"/>
    <w:rsid w:val="00426841"/>
    <w:rsid w:val="004312C2"/>
    <w:rsid w:val="0044466E"/>
    <w:rsid w:val="00446BAA"/>
    <w:rsid w:val="0044725E"/>
    <w:rsid w:val="00452EBC"/>
    <w:rsid w:val="00463CAC"/>
    <w:rsid w:val="0046786C"/>
    <w:rsid w:val="00470077"/>
    <w:rsid w:val="00476F23"/>
    <w:rsid w:val="00484ECE"/>
    <w:rsid w:val="004925B4"/>
    <w:rsid w:val="004A04CC"/>
    <w:rsid w:val="004A2CF8"/>
    <w:rsid w:val="004B2A06"/>
    <w:rsid w:val="004B6512"/>
    <w:rsid w:val="004D2BE1"/>
    <w:rsid w:val="004E0057"/>
    <w:rsid w:val="004E677E"/>
    <w:rsid w:val="004E6AE3"/>
    <w:rsid w:val="004F58CB"/>
    <w:rsid w:val="00503BF0"/>
    <w:rsid w:val="00507084"/>
    <w:rsid w:val="00510865"/>
    <w:rsid w:val="0052259B"/>
    <w:rsid w:val="00535D12"/>
    <w:rsid w:val="00537016"/>
    <w:rsid w:val="00541E6D"/>
    <w:rsid w:val="00543413"/>
    <w:rsid w:val="0054375A"/>
    <w:rsid w:val="00545198"/>
    <w:rsid w:val="00545B2B"/>
    <w:rsid w:val="00560C85"/>
    <w:rsid w:val="00561871"/>
    <w:rsid w:val="005672D1"/>
    <w:rsid w:val="00570C68"/>
    <w:rsid w:val="00583E33"/>
    <w:rsid w:val="005845A0"/>
    <w:rsid w:val="0059033A"/>
    <w:rsid w:val="00590BF2"/>
    <w:rsid w:val="005917F0"/>
    <w:rsid w:val="00593694"/>
    <w:rsid w:val="005A30F8"/>
    <w:rsid w:val="005B2445"/>
    <w:rsid w:val="005C521F"/>
    <w:rsid w:val="005C5421"/>
    <w:rsid w:val="005C64BB"/>
    <w:rsid w:val="005D68E6"/>
    <w:rsid w:val="005E24C2"/>
    <w:rsid w:val="005E7DDC"/>
    <w:rsid w:val="005F5099"/>
    <w:rsid w:val="00606297"/>
    <w:rsid w:val="00610F1B"/>
    <w:rsid w:val="00624100"/>
    <w:rsid w:val="00627280"/>
    <w:rsid w:val="00630603"/>
    <w:rsid w:val="00646E4D"/>
    <w:rsid w:val="00662540"/>
    <w:rsid w:val="00671063"/>
    <w:rsid w:val="00676E7A"/>
    <w:rsid w:val="00681319"/>
    <w:rsid w:val="0068201E"/>
    <w:rsid w:val="00683AE5"/>
    <w:rsid w:val="006860BF"/>
    <w:rsid w:val="006909E6"/>
    <w:rsid w:val="00697DE1"/>
    <w:rsid w:val="006A2FEA"/>
    <w:rsid w:val="006B2DEF"/>
    <w:rsid w:val="006C4F31"/>
    <w:rsid w:val="006C569E"/>
    <w:rsid w:val="006D4F8F"/>
    <w:rsid w:val="006D4FD2"/>
    <w:rsid w:val="006D6AD9"/>
    <w:rsid w:val="006D7EFA"/>
    <w:rsid w:val="006E1DA6"/>
    <w:rsid w:val="006E2590"/>
    <w:rsid w:val="006E577A"/>
    <w:rsid w:val="006E6FD0"/>
    <w:rsid w:val="00706260"/>
    <w:rsid w:val="00715D8E"/>
    <w:rsid w:val="007205C3"/>
    <w:rsid w:val="00720ECA"/>
    <w:rsid w:val="0072169E"/>
    <w:rsid w:val="00724D38"/>
    <w:rsid w:val="00732384"/>
    <w:rsid w:val="007335A0"/>
    <w:rsid w:val="00734590"/>
    <w:rsid w:val="00742C1D"/>
    <w:rsid w:val="00763445"/>
    <w:rsid w:val="007715BE"/>
    <w:rsid w:val="00776655"/>
    <w:rsid w:val="00780019"/>
    <w:rsid w:val="00780908"/>
    <w:rsid w:val="00780929"/>
    <w:rsid w:val="007A1BBE"/>
    <w:rsid w:val="007A5D1E"/>
    <w:rsid w:val="007C3180"/>
    <w:rsid w:val="007D0B40"/>
    <w:rsid w:val="007D1323"/>
    <w:rsid w:val="007D3935"/>
    <w:rsid w:val="007E4277"/>
    <w:rsid w:val="007F3D04"/>
    <w:rsid w:val="00800EC4"/>
    <w:rsid w:val="008052FD"/>
    <w:rsid w:val="008055B7"/>
    <w:rsid w:val="00824DED"/>
    <w:rsid w:val="00832D0C"/>
    <w:rsid w:val="00832EBC"/>
    <w:rsid w:val="00833380"/>
    <w:rsid w:val="00833F23"/>
    <w:rsid w:val="00834BE0"/>
    <w:rsid w:val="00840CF4"/>
    <w:rsid w:val="00846CBD"/>
    <w:rsid w:val="00847FA1"/>
    <w:rsid w:val="0086471B"/>
    <w:rsid w:val="008809EB"/>
    <w:rsid w:val="00880D6D"/>
    <w:rsid w:val="00890D49"/>
    <w:rsid w:val="0089675F"/>
    <w:rsid w:val="008A2125"/>
    <w:rsid w:val="008A5627"/>
    <w:rsid w:val="008A5A55"/>
    <w:rsid w:val="008D69A4"/>
    <w:rsid w:val="008E1BAB"/>
    <w:rsid w:val="008F0149"/>
    <w:rsid w:val="008F2CE6"/>
    <w:rsid w:val="00901F9E"/>
    <w:rsid w:val="00917E26"/>
    <w:rsid w:val="0092057E"/>
    <w:rsid w:val="00927375"/>
    <w:rsid w:val="00940FC6"/>
    <w:rsid w:val="009435D8"/>
    <w:rsid w:val="009455F7"/>
    <w:rsid w:val="00957279"/>
    <w:rsid w:val="00972D48"/>
    <w:rsid w:val="00973C09"/>
    <w:rsid w:val="00976D17"/>
    <w:rsid w:val="00982E14"/>
    <w:rsid w:val="00985633"/>
    <w:rsid w:val="009876FD"/>
    <w:rsid w:val="009935DD"/>
    <w:rsid w:val="009B282F"/>
    <w:rsid w:val="009C1046"/>
    <w:rsid w:val="009C1756"/>
    <w:rsid w:val="009D6E8C"/>
    <w:rsid w:val="009E6EEB"/>
    <w:rsid w:val="009F14C3"/>
    <w:rsid w:val="009F2A43"/>
    <w:rsid w:val="009F6CFB"/>
    <w:rsid w:val="009F719C"/>
    <w:rsid w:val="00A01A01"/>
    <w:rsid w:val="00A04D61"/>
    <w:rsid w:val="00A059EA"/>
    <w:rsid w:val="00A07EF9"/>
    <w:rsid w:val="00A13B3A"/>
    <w:rsid w:val="00A204D8"/>
    <w:rsid w:val="00A235C7"/>
    <w:rsid w:val="00A323D3"/>
    <w:rsid w:val="00A71F5F"/>
    <w:rsid w:val="00A721A4"/>
    <w:rsid w:val="00A76D57"/>
    <w:rsid w:val="00A82AAC"/>
    <w:rsid w:val="00A8787B"/>
    <w:rsid w:val="00A91028"/>
    <w:rsid w:val="00A91FC9"/>
    <w:rsid w:val="00A93BD2"/>
    <w:rsid w:val="00A94803"/>
    <w:rsid w:val="00AA1D71"/>
    <w:rsid w:val="00AA4CA0"/>
    <w:rsid w:val="00AA7F06"/>
    <w:rsid w:val="00AB37FE"/>
    <w:rsid w:val="00AB4103"/>
    <w:rsid w:val="00AC1F58"/>
    <w:rsid w:val="00AC446D"/>
    <w:rsid w:val="00AD6849"/>
    <w:rsid w:val="00AE2847"/>
    <w:rsid w:val="00B06A3D"/>
    <w:rsid w:val="00B06C0D"/>
    <w:rsid w:val="00B16D97"/>
    <w:rsid w:val="00B20B2E"/>
    <w:rsid w:val="00B24597"/>
    <w:rsid w:val="00B3381F"/>
    <w:rsid w:val="00B4196A"/>
    <w:rsid w:val="00B41E6C"/>
    <w:rsid w:val="00B4763E"/>
    <w:rsid w:val="00B51E34"/>
    <w:rsid w:val="00B54C35"/>
    <w:rsid w:val="00B57BDE"/>
    <w:rsid w:val="00B61897"/>
    <w:rsid w:val="00B631C9"/>
    <w:rsid w:val="00B6607B"/>
    <w:rsid w:val="00B72C54"/>
    <w:rsid w:val="00B74464"/>
    <w:rsid w:val="00B92B58"/>
    <w:rsid w:val="00BA0C9B"/>
    <w:rsid w:val="00BC4F1A"/>
    <w:rsid w:val="00BC5343"/>
    <w:rsid w:val="00BC7337"/>
    <w:rsid w:val="00BD3350"/>
    <w:rsid w:val="00BD5BA8"/>
    <w:rsid w:val="00BE54D7"/>
    <w:rsid w:val="00BF0DD5"/>
    <w:rsid w:val="00BF3D2B"/>
    <w:rsid w:val="00BF3D8E"/>
    <w:rsid w:val="00BF5444"/>
    <w:rsid w:val="00BF5B0C"/>
    <w:rsid w:val="00BF6C72"/>
    <w:rsid w:val="00BF732A"/>
    <w:rsid w:val="00C018C3"/>
    <w:rsid w:val="00C05CE2"/>
    <w:rsid w:val="00C0644E"/>
    <w:rsid w:val="00C10C43"/>
    <w:rsid w:val="00C25B83"/>
    <w:rsid w:val="00C30D42"/>
    <w:rsid w:val="00C31FE1"/>
    <w:rsid w:val="00C3786D"/>
    <w:rsid w:val="00C43069"/>
    <w:rsid w:val="00C45E5E"/>
    <w:rsid w:val="00C47FF9"/>
    <w:rsid w:val="00C50054"/>
    <w:rsid w:val="00C62BD6"/>
    <w:rsid w:val="00C65541"/>
    <w:rsid w:val="00C664BA"/>
    <w:rsid w:val="00C72729"/>
    <w:rsid w:val="00C8425F"/>
    <w:rsid w:val="00C94AD5"/>
    <w:rsid w:val="00C97ECC"/>
    <w:rsid w:val="00CA1AE2"/>
    <w:rsid w:val="00CA21A2"/>
    <w:rsid w:val="00CB0842"/>
    <w:rsid w:val="00CB0E0D"/>
    <w:rsid w:val="00CB6FCD"/>
    <w:rsid w:val="00CC27FE"/>
    <w:rsid w:val="00CC2935"/>
    <w:rsid w:val="00CC2D1D"/>
    <w:rsid w:val="00CC66EA"/>
    <w:rsid w:val="00CC7A2A"/>
    <w:rsid w:val="00CD46B0"/>
    <w:rsid w:val="00CD6A68"/>
    <w:rsid w:val="00CE6FED"/>
    <w:rsid w:val="00D02097"/>
    <w:rsid w:val="00D07301"/>
    <w:rsid w:val="00D103A3"/>
    <w:rsid w:val="00D21AC0"/>
    <w:rsid w:val="00D256FE"/>
    <w:rsid w:val="00D2602B"/>
    <w:rsid w:val="00D2766C"/>
    <w:rsid w:val="00D317E7"/>
    <w:rsid w:val="00D371FC"/>
    <w:rsid w:val="00D3740B"/>
    <w:rsid w:val="00D4319E"/>
    <w:rsid w:val="00D4354D"/>
    <w:rsid w:val="00D468A3"/>
    <w:rsid w:val="00D46EC5"/>
    <w:rsid w:val="00D46F6F"/>
    <w:rsid w:val="00D51643"/>
    <w:rsid w:val="00D62D1D"/>
    <w:rsid w:val="00D65178"/>
    <w:rsid w:val="00D7082F"/>
    <w:rsid w:val="00D71039"/>
    <w:rsid w:val="00D829D6"/>
    <w:rsid w:val="00D861E6"/>
    <w:rsid w:val="00D87813"/>
    <w:rsid w:val="00D972C4"/>
    <w:rsid w:val="00DB02C8"/>
    <w:rsid w:val="00DB26B7"/>
    <w:rsid w:val="00DC59BC"/>
    <w:rsid w:val="00DD076E"/>
    <w:rsid w:val="00DD310D"/>
    <w:rsid w:val="00DE63B8"/>
    <w:rsid w:val="00DE75A3"/>
    <w:rsid w:val="00DF3D87"/>
    <w:rsid w:val="00DF750C"/>
    <w:rsid w:val="00E06099"/>
    <w:rsid w:val="00E07DA6"/>
    <w:rsid w:val="00E22DCC"/>
    <w:rsid w:val="00E24791"/>
    <w:rsid w:val="00E3336D"/>
    <w:rsid w:val="00E47934"/>
    <w:rsid w:val="00E50380"/>
    <w:rsid w:val="00E509BF"/>
    <w:rsid w:val="00E53858"/>
    <w:rsid w:val="00E5538A"/>
    <w:rsid w:val="00E61BCC"/>
    <w:rsid w:val="00E6358F"/>
    <w:rsid w:val="00EA09A5"/>
    <w:rsid w:val="00EA4FF5"/>
    <w:rsid w:val="00EA53E8"/>
    <w:rsid w:val="00EB3091"/>
    <w:rsid w:val="00EB582A"/>
    <w:rsid w:val="00EC187E"/>
    <w:rsid w:val="00EC514D"/>
    <w:rsid w:val="00ED0963"/>
    <w:rsid w:val="00ED2692"/>
    <w:rsid w:val="00EE41BB"/>
    <w:rsid w:val="00EF632B"/>
    <w:rsid w:val="00F00CA6"/>
    <w:rsid w:val="00F07B3D"/>
    <w:rsid w:val="00F16672"/>
    <w:rsid w:val="00F214E0"/>
    <w:rsid w:val="00F31F9C"/>
    <w:rsid w:val="00F42566"/>
    <w:rsid w:val="00F52E9A"/>
    <w:rsid w:val="00F55C1F"/>
    <w:rsid w:val="00F72753"/>
    <w:rsid w:val="00F73074"/>
    <w:rsid w:val="00F80717"/>
    <w:rsid w:val="00F95BDB"/>
    <w:rsid w:val="00FA3B4F"/>
    <w:rsid w:val="00FB2AA8"/>
    <w:rsid w:val="00FB72DA"/>
    <w:rsid w:val="00FB7FD0"/>
    <w:rsid w:val="00FC319F"/>
    <w:rsid w:val="00FC7427"/>
    <w:rsid w:val="00FC7885"/>
    <w:rsid w:val="00FE2F14"/>
    <w:rsid w:val="00FE69F6"/>
    <w:rsid w:val="00FF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FD386"/>
  <w15:chartTrackingRefBased/>
  <w15:docId w15:val="{ADEFA75C-2C84-2A47-B176-9D56DA0B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27"/>
  </w:style>
  <w:style w:type="paragraph" w:styleId="Heading1">
    <w:name w:val="heading 1"/>
    <w:basedOn w:val="Normal"/>
    <w:next w:val="Normal"/>
    <w:link w:val="Heading1Char"/>
    <w:uiPriority w:val="9"/>
    <w:qFormat/>
    <w:rsid w:val="00FC7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427"/>
    <w:rPr>
      <w:rFonts w:eastAsiaTheme="majorEastAsia" w:cstheme="majorBidi"/>
      <w:color w:val="272727" w:themeColor="text1" w:themeTint="D8"/>
    </w:rPr>
  </w:style>
  <w:style w:type="paragraph" w:styleId="Title">
    <w:name w:val="Title"/>
    <w:basedOn w:val="Normal"/>
    <w:next w:val="Normal"/>
    <w:link w:val="TitleChar"/>
    <w:uiPriority w:val="10"/>
    <w:qFormat/>
    <w:rsid w:val="00FC7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427"/>
    <w:pPr>
      <w:spacing w:before="160"/>
      <w:jc w:val="center"/>
    </w:pPr>
    <w:rPr>
      <w:i/>
      <w:iCs/>
      <w:color w:val="404040" w:themeColor="text1" w:themeTint="BF"/>
    </w:rPr>
  </w:style>
  <w:style w:type="character" w:customStyle="1" w:styleId="QuoteChar">
    <w:name w:val="Quote Char"/>
    <w:basedOn w:val="DefaultParagraphFont"/>
    <w:link w:val="Quote"/>
    <w:uiPriority w:val="29"/>
    <w:rsid w:val="00FC7427"/>
    <w:rPr>
      <w:i/>
      <w:iCs/>
      <w:color w:val="404040" w:themeColor="text1" w:themeTint="BF"/>
    </w:rPr>
  </w:style>
  <w:style w:type="paragraph" w:styleId="ListParagraph">
    <w:name w:val="List Paragraph"/>
    <w:basedOn w:val="Normal"/>
    <w:uiPriority w:val="34"/>
    <w:qFormat/>
    <w:rsid w:val="00FC7427"/>
    <w:pPr>
      <w:ind w:left="720"/>
      <w:contextualSpacing/>
    </w:pPr>
  </w:style>
  <w:style w:type="character" w:styleId="IntenseEmphasis">
    <w:name w:val="Intense Emphasis"/>
    <w:basedOn w:val="DefaultParagraphFont"/>
    <w:uiPriority w:val="21"/>
    <w:qFormat/>
    <w:rsid w:val="00FC7427"/>
    <w:rPr>
      <w:i/>
      <w:iCs/>
      <w:color w:val="0F4761" w:themeColor="accent1" w:themeShade="BF"/>
    </w:rPr>
  </w:style>
  <w:style w:type="paragraph" w:styleId="IntenseQuote">
    <w:name w:val="Intense Quote"/>
    <w:basedOn w:val="Normal"/>
    <w:next w:val="Normal"/>
    <w:link w:val="IntenseQuoteChar"/>
    <w:uiPriority w:val="30"/>
    <w:qFormat/>
    <w:rsid w:val="00FC7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427"/>
    <w:rPr>
      <w:i/>
      <w:iCs/>
      <w:color w:val="0F4761" w:themeColor="accent1" w:themeShade="BF"/>
    </w:rPr>
  </w:style>
  <w:style w:type="character" w:styleId="IntenseReference">
    <w:name w:val="Intense Reference"/>
    <w:basedOn w:val="DefaultParagraphFont"/>
    <w:uiPriority w:val="32"/>
    <w:qFormat/>
    <w:rsid w:val="00FC7427"/>
    <w:rPr>
      <w:b/>
      <w:bCs/>
      <w:smallCaps/>
      <w:color w:val="0F4761" w:themeColor="accent1" w:themeShade="BF"/>
      <w:spacing w:val="5"/>
    </w:rPr>
  </w:style>
  <w:style w:type="character" w:styleId="Hyperlink">
    <w:name w:val="Hyperlink"/>
    <w:basedOn w:val="DefaultParagraphFont"/>
    <w:uiPriority w:val="99"/>
    <w:unhideWhenUsed/>
    <w:rsid w:val="00476F23"/>
    <w:rPr>
      <w:color w:val="467886" w:themeColor="hyperlink"/>
      <w:u w:val="single"/>
    </w:rPr>
  </w:style>
  <w:style w:type="character" w:styleId="UnresolvedMention">
    <w:name w:val="Unresolved Mention"/>
    <w:basedOn w:val="DefaultParagraphFont"/>
    <w:uiPriority w:val="99"/>
    <w:semiHidden/>
    <w:unhideWhenUsed/>
    <w:rsid w:val="00476F23"/>
    <w:rPr>
      <w:color w:val="605E5C"/>
      <w:shd w:val="clear" w:color="auto" w:fill="E1DFDD"/>
    </w:rPr>
  </w:style>
  <w:style w:type="paragraph" w:styleId="NormalWeb">
    <w:name w:val="Normal (Web)"/>
    <w:basedOn w:val="Normal"/>
    <w:uiPriority w:val="99"/>
    <w:unhideWhenUsed/>
    <w:rsid w:val="0076344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rl">
    <w:name w:val="url"/>
    <w:basedOn w:val="DefaultParagraphFont"/>
    <w:rsid w:val="00763445"/>
  </w:style>
  <w:style w:type="table" w:styleId="TableGrid">
    <w:name w:val="Table Grid"/>
    <w:basedOn w:val="TableNormal"/>
    <w:uiPriority w:val="39"/>
    <w:rsid w:val="0094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30E9"/>
    <w:rPr>
      <w:b/>
      <w:bCs/>
    </w:rPr>
  </w:style>
  <w:style w:type="character" w:styleId="FollowedHyperlink">
    <w:name w:val="FollowedHyperlink"/>
    <w:basedOn w:val="DefaultParagraphFont"/>
    <w:uiPriority w:val="99"/>
    <w:semiHidden/>
    <w:unhideWhenUsed/>
    <w:rsid w:val="00367C93"/>
    <w:rPr>
      <w:color w:val="96607D" w:themeColor="followedHyperlink"/>
      <w:u w:val="single"/>
    </w:rPr>
  </w:style>
  <w:style w:type="paragraph" w:styleId="Footer">
    <w:name w:val="footer"/>
    <w:basedOn w:val="Normal"/>
    <w:link w:val="FooterChar"/>
    <w:uiPriority w:val="99"/>
    <w:unhideWhenUsed/>
    <w:rsid w:val="009C1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046"/>
  </w:style>
  <w:style w:type="character" w:styleId="PageNumber">
    <w:name w:val="page number"/>
    <w:basedOn w:val="DefaultParagraphFont"/>
    <w:uiPriority w:val="99"/>
    <w:semiHidden/>
    <w:unhideWhenUsed/>
    <w:rsid w:val="009C1046"/>
  </w:style>
  <w:style w:type="character" w:styleId="Emphasis">
    <w:name w:val="Emphasis"/>
    <w:basedOn w:val="DefaultParagraphFont"/>
    <w:uiPriority w:val="20"/>
    <w:qFormat/>
    <w:rsid w:val="005D68E6"/>
    <w:rPr>
      <w:i/>
      <w:iCs/>
    </w:rPr>
  </w:style>
  <w:style w:type="paragraph" w:styleId="Header">
    <w:name w:val="header"/>
    <w:basedOn w:val="Normal"/>
    <w:link w:val="HeaderChar"/>
    <w:uiPriority w:val="99"/>
    <w:unhideWhenUsed/>
    <w:rsid w:val="000F0A15"/>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0F0A15"/>
    <w:rPr>
      <w:sz w:val="18"/>
      <w:szCs w:val="18"/>
    </w:rPr>
  </w:style>
  <w:style w:type="character" w:styleId="CommentReference">
    <w:name w:val="annotation reference"/>
    <w:basedOn w:val="DefaultParagraphFont"/>
    <w:uiPriority w:val="99"/>
    <w:semiHidden/>
    <w:unhideWhenUsed/>
    <w:rsid w:val="000D4497"/>
    <w:rPr>
      <w:sz w:val="16"/>
      <w:szCs w:val="16"/>
    </w:rPr>
  </w:style>
  <w:style w:type="paragraph" w:styleId="CommentText">
    <w:name w:val="annotation text"/>
    <w:basedOn w:val="Normal"/>
    <w:link w:val="CommentTextChar"/>
    <w:uiPriority w:val="99"/>
    <w:semiHidden/>
    <w:unhideWhenUsed/>
    <w:rsid w:val="000D4497"/>
    <w:pPr>
      <w:spacing w:line="240" w:lineRule="auto"/>
    </w:pPr>
    <w:rPr>
      <w:sz w:val="20"/>
      <w:szCs w:val="20"/>
    </w:rPr>
  </w:style>
  <w:style w:type="character" w:customStyle="1" w:styleId="CommentTextChar">
    <w:name w:val="Comment Text Char"/>
    <w:basedOn w:val="DefaultParagraphFont"/>
    <w:link w:val="CommentText"/>
    <w:uiPriority w:val="99"/>
    <w:semiHidden/>
    <w:rsid w:val="000D4497"/>
    <w:rPr>
      <w:sz w:val="20"/>
      <w:szCs w:val="20"/>
    </w:rPr>
  </w:style>
  <w:style w:type="paragraph" w:styleId="CommentSubject">
    <w:name w:val="annotation subject"/>
    <w:basedOn w:val="CommentText"/>
    <w:next w:val="CommentText"/>
    <w:link w:val="CommentSubjectChar"/>
    <w:uiPriority w:val="99"/>
    <w:semiHidden/>
    <w:unhideWhenUsed/>
    <w:rsid w:val="000D4497"/>
    <w:rPr>
      <w:b/>
      <w:bCs/>
    </w:rPr>
  </w:style>
  <w:style w:type="character" w:customStyle="1" w:styleId="CommentSubjectChar">
    <w:name w:val="Comment Subject Char"/>
    <w:basedOn w:val="CommentTextChar"/>
    <w:link w:val="CommentSubject"/>
    <w:uiPriority w:val="99"/>
    <w:semiHidden/>
    <w:rsid w:val="000D4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51879">
      <w:bodyDiv w:val="1"/>
      <w:marLeft w:val="0"/>
      <w:marRight w:val="0"/>
      <w:marTop w:val="0"/>
      <w:marBottom w:val="0"/>
      <w:divBdr>
        <w:top w:val="none" w:sz="0" w:space="0" w:color="auto"/>
        <w:left w:val="none" w:sz="0" w:space="0" w:color="auto"/>
        <w:bottom w:val="none" w:sz="0" w:space="0" w:color="auto"/>
        <w:right w:val="none" w:sz="0" w:space="0" w:color="auto"/>
      </w:divBdr>
      <w:divsChild>
        <w:div w:id="255095266">
          <w:marLeft w:val="-720"/>
          <w:marRight w:val="0"/>
          <w:marTop w:val="0"/>
          <w:marBottom w:val="0"/>
          <w:divBdr>
            <w:top w:val="none" w:sz="0" w:space="0" w:color="auto"/>
            <w:left w:val="none" w:sz="0" w:space="0" w:color="auto"/>
            <w:bottom w:val="none" w:sz="0" w:space="0" w:color="auto"/>
            <w:right w:val="none" w:sz="0" w:space="0" w:color="auto"/>
          </w:divBdr>
        </w:div>
      </w:divsChild>
    </w:div>
    <w:div w:id="300574555">
      <w:bodyDiv w:val="1"/>
      <w:marLeft w:val="0"/>
      <w:marRight w:val="0"/>
      <w:marTop w:val="0"/>
      <w:marBottom w:val="0"/>
      <w:divBdr>
        <w:top w:val="none" w:sz="0" w:space="0" w:color="auto"/>
        <w:left w:val="none" w:sz="0" w:space="0" w:color="auto"/>
        <w:bottom w:val="none" w:sz="0" w:space="0" w:color="auto"/>
        <w:right w:val="none" w:sz="0" w:space="0" w:color="auto"/>
      </w:divBdr>
      <w:divsChild>
        <w:div w:id="641497894">
          <w:marLeft w:val="-720"/>
          <w:marRight w:val="0"/>
          <w:marTop w:val="0"/>
          <w:marBottom w:val="0"/>
          <w:divBdr>
            <w:top w:val="none" w:sz="0" w:space="0" w:color="auto"/>
            <w:left w:val="none" w:sz="0" w:space="0" w:color="auto"/>
            <w:bottom w:val="none" w:sz="0" w:space="0" w:color="auto"/>
            <w:right w:val="none" w:sz="0" w:space="0" w:color="auto"/>
          </w:divBdr>
        </w:div>
      </w:divsChild>
    </w:div>
    <w:div w:id="437914807">
      <w:bodyDiv w:val="1"/>
      <w:marLeft w:val="0"/>
      <w:marRight w:val="0"/>
      <w:marTop w:val="0"/>
      <w:marBottom w:val="0"/>
      <w:divBdr>
        <w:top w:val="none" w:sz="0" w:space="0" w:color="auto"/>
        <w:left w:val="none" w:sz="0" w:space="0" w:color="auto"/>
        <w:bottom w:val="none" w:sz="0" w:space="0" w:color="auto"/>
        <w:right w:val="none" w:sz="0" w:space="0" w:color="auto"/>
      </w:divBdr>
      <w:divsChild>
        <w:div w:id="1052802344">
          <w:marLeft w:val="-720"/>
          <w:marRight w:val="0"/>
          <w:marTop w:val="0"/>
          <w:marBottom w:val="0"/>
          <w:divBdr>
            <w:top w:val="none" w:sz="0" w:space="0" w:color="auto"/>
            <w:left w:val="none" w:sz="0" w:space="0" w:color="auto"/>
            <w:bottom w:val="none" w:sz="0" w:space="0" w:color="auto"/>
            <w:right w:val="none" w:sz="0" w:space="0" w:color="auto"/>
          </w:divBdr>
        </w:div>
      </w:divsChild>
    </w:div>
    <w:div w:id="506139203">
      <w:bodyDiv w:val="1"/>
      <w:marLeft w:val="0"/>
      <w:marRight w:val="0"/>
      <w:marTop w:val="0"/>
      <w:marBottom w:val="0"/>
      <w:divBdr>
        <w:top w:val="none" w:sz="0" w:space="0" w:color="auto"/>
        <w:left w:val="none" w:sz="0" w:space="0" w:color="auto"/>
        <w:bottom w:val="none" w:sz="0" w:space="0" w:color="auto"/>
        <w:right w:val="none" w:sz="0" w:space="0" w:color="auto"/>
      </w:divBdr>
      <w:divsChild>
        <w:div w:id="335546780">
          <w:marLeft w:val="-720"/>
          <w:marRight w:val="0"/>
          <w:marTop w:val="0"/>
          <w:marBottom w:val="0"/>
          <w:divBdr>
            <w:top w:val="none" w:sz="0" w:space="0" w:color="auto"/>
            <w:left w:val="none" w:sz="0" w:space="0" w:color="auto"/>
            <w:bottom w:val="none" w:sz="0" w:space="0" w:color="auto"/>
            <w:right w:val="none" w:sz="0" w:space="0" w:color="auto"/>
          </w:divBdr>
        </w:div>
      </w:divsChild>
    </w:div>
    <w:div w:id="549805632">
      <w:bodyDiv w:val="1"/>
      <w:marLeft w:val="0"/>
      <w:marRight w:val="0"/>
      <w:marTop w:val="0"/>
      <w:marBottom w:val="0"/>
      <w:divBdr>
        <w:top w:val="none" w:sz="0" w:space="0" w:color="auto"/>
        <w:left w:val="none" w:sz="0" w:space="0" w:color="auto"/>
        <w:bottom w:val="none" w:sz="0" w:space="0" w:color="auto"/>
        <w:right w:val="none" w:sz="0" w:space="0" w:color="auto"/>
      </w:divBdr>
    </w:div>
    <w:div w:id="571619062">
      <w:bodyDiv w:val="1"/>
      <w:marLeft w:val="0"/>
      <w:marRight w:val="0"/>
      <w:marTop w:val="0"/>
      <w:marBottom w:val="0"/>
      <w:divBdr>
        <w:top w:val="none" w:sz="0" w:space="0" w:color="auto"/>
        <w:left w:val="none" w:sz="0" w:space="0" w:color="auto"/>
        <w:bottom w:val="none" w:sz="0" w:space="0" w:color="auto"/>
        <w:right w:val="none" w:sz="0" w:space="0" w:color="auto"/>
      </w:divBdr>
    </w:div>
    <w:div w:id="585529264">
      <w:bodyDiv w:val="1"/>
      <w:marLeft w:val="0"/>
      <w:marRight w:val="0"/>
      <w:marTop w:val="0"/>
      <w:marBottom w:val="0"/>
      <w:divBdr>
        <w:top w:val="none" w:sz="0" w:space="0" w:color="auto"/>
        <w:left w:val="none" w:sz="0" w:space="0" w:color="auto"/>
        <w:bottom w:val="none" w:sz="0" w:space="0" w:color="auto"/>
        <w:right w:val="none" w:sz="0" w:space="0" w:color="auto"/>
      </w:divBdr>
    </w:div>
    <w:div w:id="615061961">
      <w:bodyDiv w:val="1"/>
      <w:marLeft w:val="0"/>
      <w:marRight w:val="0"/>
      <w:marTop w:val="0"/>
      <w:marBottom w:val="0"/>
      <w:divBdr>
        <w:top w:val="none" w:sz="0" w:space="0" w:color="auto"/>
        <w:left w:val="none" w:sz="0" w:space="0" w:color="auto"/>
        <w:bottom w:val="none" w:sz="0" w:space="0" w:color="auto"/>
        <w:right w:val="none" w:sz="0" w:space="0" w:color="auto"/>
      </w:divBdr>
      <w:divsChild>
        <w:div w:id="2008048204">
          <w:marLeft w:val="-720"/>
          <w:marRight w:val="0"/>
          <w:marTop w:val="0"/>
          <w:marBottom w:val="0"/>
          <w:divBdr>
            <w:top w:val="none" w:sz="0" w:space="0" w:color="auto"/>
            <w:left w:val="none" w:sz="0" w:space="0" w:color="auto"/>
            <w:bottom w:val="none" w:sz="0" w:space="0" w:color="auto"/>
            <w:right w:val="none" w:sz="0" w:space="0" w:color="auto"/>
          </w:divBdr>
        </w:div>
      </w:divsChild>
    </w:div>
    <w:div w:id="735126280">
      <w:bodyDiv w:val="1"/>
      <w:marLeft w:val="0"/>
      <w:marRight w:val="0"/>
      <w:marTop w:val="0"/>
      <w:marBottom w:val="0"/>
      <w:divBdr>
        <w:top w:val="none" w:sz="0" w:space="0" w:color="auto"/>
        <w:left w:val="none" w:sz="0" w:space="0" w:color="auto"/>
        <w:bottom w:val="none" w:sz="0" w:space="0" w:color="auto"/>
        <w:right w:val="none" w:sz="0" w:space="0" w:color="auto"/>
      </w:divBdr>
      <w:divsChild>
        <w:div w:id="2056852706">
          <w:marLeft w:val="-720"/>
          <w:marRight w:val="0"/>
          <w:marTop w:val="0"/>
          <w:marBottom w:val="0"/>
          <w:divBdr>
            <w:top w:val="none" w:sz="0" w:space="0" w:color="auto"/>
            <w:left w:val="none" w:sz="0" w:space="0" w:color="auto"/>
            <w:bottom w:val="none" w:sz="0" w:space="0" w:color="auto"/>
            <w:right w:val="none" w:sz="0" w:space="0" w:color="auto"/>
          </w:divBdr>
        </w:div>
      </w:divsChild>
    </w:div>
    <w:div w:id="748620757">
      <w:bodyDiv w:val="1"/>
      <w:marLeft w:val="0"/>
      <w:marRight w:val="0"/>
      <w:marTop w:val="0"/>
      <w:marBottom w:val="0"/>
      <w:divBdr>
        <w:top w:val="none" w:sz="0" w:space="0" w:color="auto"/>
        <w:left w:val="none" w:sz="0" w:space="0" w:color="auto"/>
        <w:bottom w:val="none" w:sz="0" w:space="0" w:color="auto"/>
        <w:right w:val="none" w:sz="0" w:space="0" w:color="auto"/>
      </w:divBdr>
    </w:div>
    <w:div w:id="1078403729">
      <w:bodyDiv w:val="1"/>
      <w:marLeft w:val="0"/>
      <w:marRight w:val="0"/>
      <w:marTop w:val="0"/>
      <w:marBottom w:val="0"/>
      <w:divBdr>
        <w:top w:val="none" w:sz="0" w:space="0" w:color="auto"/>
        <w:left w:val="none" w:sz="0" w:space="0" w:color="auto"/>
        <w:bottom w:val="none" w:sz="0" w:space="0" w:color="auto"/>
        <w:right w:val="none" w:sz="0" w:space="0" w:color="auto"/>
      </w:divBdr>
      <w:divsChild>
        <w:div w:id="147718262">
          <w:marLeft w:val="-720"/>
          <w:marRight w:val="0"/>
          <w:marTop w:val="0"/>
          <w:marBottom w:val="0"/>
          <w:divBdr>
            <w:top w:val="none" w:sz="0" w:space="0" w:color="auto"/>
            <w:left w:val="none" w:sz="0" w:space="0" w:color="auto"/>
            <w:bottom w:val="none" w:sz="0" w:space="0" w:color="auto"/>
            <w:right w:val="none" w:sz="0" w:space="0" w:color="auto"/>
          </w:divBdr>
        </w:div>
      </w:divsChild>
    </w:div>
    <w:div w:id="1425807501">
      <w:bodyDiv w:val="1"/>
      <w:marLeft w:val="0"/>
      <w:marRight w:val="0"/>
      <w:marTop w:val="0"/>
      <w:marBottom w:val="0"/>
      <w:divBdr>
        <w:top w:val="none" w:sz="0" w:space="0" w:color="auto"/>
        <w:left w:val="none" w:sz="0" w:space="0" w:color="auto"/>
        <w:bottom w:val="none" w:sz="0" w:space="0" w:color="auto"/>
        <w:right w:val="none" w:sz="0" w:space="0" w:color="auto"/>
      </w:divBdr>
    </w:div>
    <w:div w:id="1687828513">
      <w:bodyDiv w:val="1"/>
      <w:marLeft w:val="0"/>
      <w:marRight w:val="0"/>
      <w:marTop w:val="0"/>
      <w:marBottom w:val="0"/>
      <w:divBdr>
        <w:top w:val="none" w:sz="0" w:space="0" w:color="auto"/>
        <w:left w:val="none" w:sz="0" w:space="0" w:color="auto"/>
        <w:bottom w:val="none" w:sz="0" w:space="0" w:color="auto"/>
        <w:right w:val="none" w:sz="0" w:space="0" w:color="auto"/>
      </w:divBdr>
      <w:divsChild>
        <w:div w:id="1676104996">
          <w:marLeft w:val="-720"/>
          <w:marRight w:val="0"/>
          <w:marTop w:val="0"/>
          <w:marBottom w:val="0"/>
          <w:divBdr>
            <w:top w:val="none" w:sz="0" w:space="0" w:color="auto"/>
            <w:left w:val="none" w:sz="0" w:space="0" w:color="auto"/>
            <w:bottom w:val="none" w:sz="0" w:space="0" w:color="auto"/>
            <w:right w:val="none" w:sz="0" w:space="0" w:color="auto"/>
          </w:divBdr>
        </w:div>
      </w:divsChild>
    </w:div>
    <w:div w:id="1903255314">
      <w:bodyDiv w:val="1"/>
      <w:marLeft w:val="0"/>
      <w:marRight w:val="0"/>
      <w:marTop w:val="0"/>
      <w:marBottom w:val="0"/>
      <w:divBdr>
        <w:top w:val="none" w:sz="0" w:space="0" w:color="auto"/>
        <w:left w:val="none" w:sz="0" w:space="0" w:color="auto"/>
        <w:bottom w:val="none" w:sz="0" w:space="0" w:color="auto"/>
        <w:right w:val="none" w:sz="0" w:space="0" w:color="auto"/>
      </w:divBdr>
    </w:div>
    <w:div w:id="1986619006">
      <w:bodyDiv w:val="1"/>
      <w:marLeft w:val="0"/>
      <w:marRight w:val="0"/>
      <w:marTop w:val="0"/>
      <w:marBottom w:val="0"/>
      <w:divBdr>
        <w:top w:val="none" w:sz="0" w:space="0" w:color="auto"/>
        <w:left w:val="none" w:sz="0" w:space="0" w:color="auto"/>
        <w:bottom w:val="none" w:sz="0" w:space="0" w:color="auto"/>
        <w:right w:val="none" w:sz="0" w:space="0" w:color="auto"/>
      </w:divBdr>
      <w:divsChild>
        <w:div w:id="1856260808">
          <w:marLeft w:val="-720"/>
          <w:marRight w:val="0"/>
          <w:marTop w:val="0"/>
          <w:marBottom w:val="0"/>
          <w:divBdr>
            <w:top w:val="none" w:sz="0" w:space="0" w:color="auto"/>
            <w:left w:val="none" w:sz="0" w:space="0" w:color="auto"/>
            <w:bottom w:val="none" w:sz="0" w:space="0" w:color="auto"/>
            <w:right w:val="none" w:sz="0" w:space="0" w:color="auto"/>
          </w:divBdr>
        </w:div>
      </w:divsChild>
    </w:div>
    <w:div w:id="206374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cs.wto.org/dol2fe/Pages/FE_Search/FE_S_S006.aspx?Query=(@Symbol=%20wt/ds381/ab/r*%20not%20rw*)&amp;Language=ENGLISH&amp;Context=FomerScriptedSearch&amp;languageUIChanged=true" TargetMode="External"/><Relationship Id="rId26" Type="http://schemas.openxmlformats.org/officeDocument/2006/relationships/hyperlink" Target="https://apfccptppportal.ca/agreement/31" TargetMode="External"/><Relationship Id="rId39" Type="http://schemas.openxmlformats.org/officeDocument/2006/relationships/hyperlink" Target="https://asiafoundation.org/wp-content/uploads/2024/05/Digital-Trade-Agreements-in-Asia-and-the-Pacific_Tech-Policy.pdf" TargetMode="External"/><Relationship Id="rId21" Type="http://schemas.openxmlformats.org/officeDocument/2006/relationships/hyperlink" Target="https://ssrn.com/abstract=3028137" TargetMode="External"/><Relationship Id="rId34" Type="http://schemas.openxmlformats.org/officeDocument/2006/relationships/hyperlink" Target="https://english.mofcom.gov.cn/News/PressConference/art/2024/art_95700a953fdb4d7085628008e7a825d9.html" TargetMode="External"/><Relationship Id="rId42" Type="http://schemas.openxmlformats.org/officeDocument/2006/relationships/hyperlink" Target="https://www.wto.org/english/res_e/statis_e/gstdh_digital_services_e.htm"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cs.wto.org/dol2fe/Pages/FE_Search/FE_S_S006.aspx?Query=(@Symbol=%20wt/ds58/ab/r*%20not%20rw*)&amp;Language=ENGLISH&amp;Context=FomerScriptedSearch&amp;languageUIChanged=true" TargetMode="External"/><Relationship Id="rId29" Type="http://schemas.openxmlformats.org/officeDocument/2006/relationships/hyperlink" Target="https://www.europarl.europa.eu/RegData/etudes/BRIE/2020/603517/EXPO_BRI(2020)603517_EN.pdf" TargetMode="External"/><Relationship Id="rId11" Type="http://schemas.openxmlformats.org/officeDocument/2006/relationships/chart" Target="charts/chart1.xml"/><Relationship Id="rId24" Type="http://schemas.openxmlformats.org/officeDocument/2006/relationships/hyperlink" Target="https://www.chinalawtranslate.com/en/datasecuritylaw/" TargetMode="External"/><Relationship Id="rId32" Type="http://schemas.openxmlformats.org/officeDocument/2006/relationships/hyperlink" Target="https://papers.ssrn.com/sol3/papers.cfm?abstract_id=907393" TargetMode="External"/><Relationship Id="rId37" Type="http://schemas.openxmlformats.org/officeDocument/2006/relationships/hyperlink" Target="https://doi.org/10.1093/jiel/jgv025" TargetMode="External"/><Relationship Id="rId40" Type="http://schemas.openxmlformats.org/officeDocument/2006/relationships/hyperlink" Target="https://doi.org/10.14763/2019.2.1408" TargetMode="External"/><Relationship Id="rId45" Type="http://schemas.openxmlformats.org/officeDocument/2006/relationships/hyperlink" Target="https://doi.org/10.3390/su17051823" TargetMode="External"/><Relationship Id="rId53"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19" Type="http://schemas.openxmlformats.org/officeDocument/2006/relationships/hyperlink" Target="https://doi.org/10.5305/amerjintelaw.109.1.0095" TargetMode="External"/><Relationship Id="rId31" Type="http://schemas.openxmlformats.org/officeDocument/2006/relationships/hyperlink" Target="https://www.jstor.org/stable/resrep25423.17" TargetMode="External"/><Relationship Id="rId44" Type="http://schemas.openxmlformats.org/officeDocument/2006/relationships/hyperlink" Target="https://www.wto.org/english/res_e/publications_e/ai17_e/gats_art14_jur.pdf" TargetMode="External"/><Relationship Id="rId52"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93/jiel/jgy019" TargetMode="External"/><Relationship Id="rId22" Type="http://schemas.openxmlformats.org/officeDocument/2006/relationships/hyperlink" Target="https://doi.org/10.1093/jeclap/lpaa001" TargetMode="External"/><Relationship Id="rId27" Type="http://schemas.openxmlformats.org/officeDocument/2006/relationships/hyperlink" Target="https://www.iilj.org/wp-content/uploads/2018/03/CPTPP-consolidated.pdf" TargetMode="External"/><Relationship Id="rId30" Type="http://schemas.openxmlformats.org/officeDocument/2006/relationships/hyperlink" Target="https://www.china-briefing.com/news/china-cybersecurity-law-amendments-2025/" TargetMode="External"/><Relationship Id="rId35" Type="http://schemas.openxmlformats.org/officeDocument/2006/relationships/hyperlink" Target="https://www.mfat.govt.nz/assets/Trade-General/Trade-Market-reports/China-data-governance-framework-takes-shape.pdf" TargetMode="External"/><Relationship Id="rId43" Type="http://schemas.openxmlformats.org/officeDocument/2006/relationships/hyperlink" Target="https://www.wto.org/english/res_e/booksp_e/gatt_ai_e/art20_e.pdf" TargetMode="External"/><Relationship Id="rId48" Type="http://schemas.openxmlformats.org/officeDocument/2006/relationships/header" Target="header2.xml"/><Relationship Id="rId8" Type="http://schemas.microsoft.com/office/2011/relationships/commentsExtended" Target="commentsExtended.xm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cs.wto.org/dol2fe/Pages/FE_Search/FE_S_S006.aspx?Query=(@Symbol=%20wt/ds285/ab/r*%20not%20rw*)&amp;Language=ENGLISH&amp;Context=FomerScriptedSearch&amp;languageUIChanged=true" TargetMode="External"/><Relationship Id="rId25" Type="http://schemas.openxmlformats.org/officeDocument/2006/relationships/hyperlink" Target="https://www.congress.gov/crs-product/IF12347" TargetMode="External"/><Relationship Id="rId33" Type="http://schemas.openxmlformats.org/officeDocument/2006/relationships/hyperlink" Target="https://wzs.mofcom.gov.cn/cms_files/oldfile//wzs/202301/20230104194942451.pdf" TargetMode="External"/><Relationship Id="rId38" Type="http://schemas.openxmlformats.org/officeDocument/2006/relationships/hyperlink" Target="https://www.citizen.org/wp-content/uploads/general-exception_1.pdf" TargetMode="External"/><Relationship Id="rId46" Type="http://schemas.openxmlformats.org/officeDocument/2006/relationships/hyperlink" Target="https://doi.org/10.1016/j.resourpol.2023.104374" TargetMode="External"/><Relationship Id="rId20" Type="http://schemas.openxmlformats.org/officeDocument/2006/relationships/hyperlink" Target="https://doi.org/10.1017/glj.2019.66" TargetMode="External"/><Relationship Id="rId41" Type="http://schemas.openxmlformats.org/officeDocument/2006/relationships/hyperlink" Target="https://www.wto.org/english/res_e/booksp_e/dtd2023_e.pdf"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ddb.apec.org/Documents/2024/CTI/CTI3/24_cti3_004_r.pdf" TargetMode="External"/><Relationship Id="rId23" Type="http://schemas.openxmlformats.org/officeDocument/2006/relationships/hyperlink" Target="https://www.china-briefing.com/news/the-prc-personal-information-protection-law-final-a-full-translation/" TargetMode="External"/><Relationship Id="rId28" Type="http://schemas.openxmlformats.org/officeDocument/2006/relationships/hyperlink" Target="https://www.mti.gov.sg/-/media/MTI/Microsites/DEAs/Digital-Economy-Partnership-Agreement/Text-of-the-DEPA.pdf" TargetMode="External"/><Relationship Id="rId36" Type="http://schemas.openxmlformats.org/officeDocument/2006/relationships/hyperlink" Target="https://www.oecd.org/content/dam/oecd/en/publications/reports/2023/01/key-issues-in-digital-trade-review_5a91f9a0/b2a9c4b1-en.pdf" TargetMode="External"/><Relationship Id="rId4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hresthaghosh\Downloads\DDS_bulk_download%202.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col"/>
        <c:grouping val="clustered"/>
        <c:varyColors val="0"/>
        <c:ser>
          <c:idx val="0"/>
          <c:order val="0"/>
          <c:tx>
            <c:strRef>
              <c:f>Sheet5!$G$30</c:f>
              <c:strCache>
                <c:ptCount val="1"/>
                <c:pt idx="0">
                  <c:v>Total digitally delivered services (in US$ Trillion)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ln>
              <a:effectLst/>
            </c:spPr>
            <c:trendlineType val="linear"/>
            <c:dispRSqr val="0"/>
            <c:dispEq val="0"/>
          </c:trendline>
          <c:cat>
            <c:numRef>
              <c:f>Sheet5!$F$31:$F$50</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Sheet5!$G$31:$G$50</c:f>
              <c:numCache>
                <c:formatCode>0.0</c:formatCode>
                <c:ptCount val="20"/>
                <c:pt idx="0">
                  <c:v>6.6478795480486994</c:v>
                </c:pt>
                <c:pt idx="1">
                  <c:v>7.6521642770890148</c:v>
                </c:pt>
                <c:pt idx="2">
                  <c:v>9.2089872090381046</c:v>
                </c:pt>
                <c:pt idx="3">
                  <c:v>10.537259003683786</c:v>
                </c:pt>
                <c:pt idx="4">
                  <c:v>9.9241202108011883</c:v>
                </c:pt>
                <c:pt idx="5">
                  <c:v>10.447328094763121</c:v>
                </c:pt>
                <c:pt idx="6">
                  <c:v>11.862166905484795</c:v>
                </c:pt>
                <c:pt idx="7">
                  <c:v>12.149820213116501</c:v>
                </c:pt>
                <c:pt idx="8">
                  <c:v>13.055889483184215</c:v>
                </c:pt>
                <c:pt idx="9">
                  <c:v>14.470253836417012</c:v>
                </c:pt>
                <c:pt idx="10">
                  <c:v>14.096525817225004</c:v>
                </c:pt>
                <c:pt idx="11">
                  <c:v>14.591980051194716</c:v>
                </c:pt>
                <c:pt idx="12">
                  <c:v>15.858070570802402</c:v>
                </c:pt>
                <c:pt idx="13">
                  <c:v>17.320716263021826</c:v>
                </c:pt>
                <c:pt idx="14">
                  <c:v>18.522884899862138</c:v>
                </c:pt>
                <c:pt idx="15">
                  <c:v>20.884991455575463</c:v>
                </c:pt>
                <c:pt idx="16">
                  <c:v>23.986556147978991</c:v>
                </c:pt>
                <c:pt idx="17">
                  <c:v>24.917318199352607</c:v>
                </c:pt>
                <c:pt idx="18">
                  <c:v>27.014147699566283</c:v>
                </c:pt>
                <c:pt idx="19">
                  <c:v>29.137840949699807</c:v>
                </c:pt>
              </c:numCache>
            </c:numRef>
          </c:val>
          <c:extLst>
            <c:ext xmlns:c16="http://schemas.microsoft.com/office/drawing/2014/chart" uri="{C3380CC4-5D6E-409C-BE32-E72D297353CC}">
              <c16:uniqueId val="{00000001-F28E-7A48-8242-72CC56E6E545}"/>
            </c:ext>
          </c:extLst>
        </c:ser>
        <c:dLbls>
          <c:showLegendKey val="0"/>
          <c:showVal val="0"/>
          <c:showCatName val="0"/>
          <c:showSerName val="0"/>
          <c:showPercent val="0"/>
          <c:showBubbleSize val="0"/>
        </c:dLbls>
        <c:gapWidth val="100"/>
        <c:overlap val="-24"/>
        <c:axId val="420089792"/>
        <c:axId val="420091520"/>
      </c:barChart>
      <c:catAx>
        <c:axId val="420089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0091520"/>
        <c:crosses val="autoZero"/>
        <c:auto val="1"/>
        <c:lblAlgn val="ctr"/>
        <c:lblOffset val="100"/>
        <c:noMultiLvlLbl val="0"/>
      </c:catAx>
      <c:valAx>
        <c:axId val="420091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008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402</TotalTime>
  <Pages>19</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1</dc:creator>
  <cp:keywords/>
  <dc:description/>
  <cp:lastModifiedBy>Kenneth Besigomwe 06/05/2025</cp:lastModifiedBy>
  <cp:revision>414</cp:revision>
  <dcterms:created xsi:type="dcterms:W3CDTF">2025-04-19T07:04:00Z</dcterms:created>
  <dcterms:modified xsi:type="dcterms:W3CDTF">2025-05-06T16:23:00Z</dcterms:modified>
</cp:coreProperties>
</file>