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FC747" w14:textId="24A3092B" w:rsidR="00AA2B49" w:rsidRDefault="00AA2B49" w:rsidP="00AA2B49">
      <w:pPr>
        <w:pStyle w:val="NoSpacing"/>
        <w:spacing w:line="480" w:lineRule="auto"/>
        <w:rPr>
          <w:rFonts w:ascii="Times New Roman" w:hAnsi="Times New Roman" w:cs="Times New Roman"/>
          <w:b/>
          <w:bCs/>
          <w:sz w:val="24"/>
          <w:szCs w:val="24"/>
        </w:rPr>
      </w:pPr>
      <w:bookmarkStart w:id="0" w:name="_Hlk181874532"/>
      <w:r w:rsidRPr="00AA2B49">
        <w:rPr>
          <w:rFonts w:ascii="Times New Roman" w:hAnsi="Times New Roman" w:cs="Times New Roman"/>
          <w:b/>
          <w:bCs/>
          <w:sz w:val="24"/>
          <w:szCs w:val="24"/>
        </w:rPr>
        <w:t>Aqueous Extract of Garcinia kola: A Potential Remedy for Lead-Induced Kidney Damage in Wistar Rats</w:t>
      </w:r>
    </w:p>
    <w:p w14:paraId="36B07087" w14:textId="77777777" w:rsidR="004D7797" w:rsidRPr="004D7797" w:rsidRDefault="004D7797" w:rsidP="004D7797">
      <w:pPr>
        <w:spacing w:after="0" w:line="480" w:lineRule="auto"/>
        <w:jc w:val="both"/>
        <w:rPr>
          <w:rFonts w:ascii="Times New Roman" w:eastAsia="Times New Roman" w:hAnsi="Times New Roman" w:cs="Times New Roman"/>
          <w:b/>
          <w:sz w:val="24"/>
          <w:szCs w:val="24"/>
        </w:rPr>
      </w:pPr>
    </w:p>
    <w:p w14:paraId="0AA4DDE2" w14:textId="77777777" w:rsidR="0038065D" w:rsidRDefault="0038065D" w:rsidP="00AA2B49">
      <w:pPr>
        <w:pStyle w:val="NoSpacing"/>
        <w:spacing w:line="480" w:lineRule="auto"/>
        <w:rPr>
          <w:rFonts w:ascii="Times New Roman" w:hAnsi="Times New Roman" w:cs="Times New Roman"/>
          <w:b/>
          <w:bCs/>
          <w:sz w:val="24"/>
          <w:szCs w:val="24"/>
        </w:rPr>
      </w:pPr>
    </w:p>
    <w:p w14:paraId="29DD224D" w14:textId="01784F97" w:rsidR="0038065D" w:rsidRDefault="0038065D" w:rsidP="00AA2B49">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1D2DBC37" w14:textId="3424AA0E" w:rsidR="0038065D" w:rsidRPr="0038065D" w:rsidRDefault="0038065D" w:rsidP="0038065D">
      <w:pPr>
        <w:pStyle w:val="NoSpacing"/>
        <w:spacing w:line="480" w:lineRule="auto"/>
        <w:jc w:val="both"/>
        <w:rPr>
          <w:rFonts w:ascii="Times New Roman" w:hAnsi="Times New Roman" w:cs="Times New Roman"/>
          <w:sz w:val="24"/>
          <w:szCs w:val="24"/>
        </w:rPr>
      </w:pPr>
      <w:commentRangeStart w:id="1"/>
      <w:r w:rsidRPr="0038065D">
        <w:rPr>
          <w:rFonts w:ascii="Times New Roman" w:hAnsi="Times New Roman" w:cs="Times New Roman"/>
          <w:sz w:val="24"/>
          <w:szCs w:val="24"/>
        </w:rPr>
        <w:t>Lead exposure is a pervasive environmental hazard known for its detrimental effects on renal function.</w:t>
      </w:r>
      <w:commentRangeEnd w:id="1"/>
      <w:r w:rsidR="005B7B3F">
        <w:rPr>
          <w:rStyle w:val="CommentReference"/>
        </w:rPr>
        <w:commentReference w:id="1"/>
      </w:r>
      <w:r w:rsidRPr="0038065D">
        <w:rPr>
          <w:rFonts w:ascii="Times New Roman" w:hAnsi="Times New Roman" w:cs="Times New Roman"/>
          <w:sz w:val="24"/>
          <w:szCs w:val="24"/>
        </w:rPr>
        <w:t xml:space="preserve"> This study investigates the nephroprotective effects of </w:t>
      </w:r>
      <w:r w:rsidRPr="00CA614C">
        <w:rPr>
          <w:rFonts w:ascii="Times New Roman" w:hAnsi="Times New Roman" w:cs="Times New Roman"/>
          <w:i/>
          <w:iCs/>
          <w:sz w:val="24"/>
          <w:szCs w:val="24"/>
        </w:rPr>
        <w:t>Garcinia kola</w:t>
      </w:r>
      <w:r w:rsidRPr="0038065D">
        <w:rPr>
          <w:rFonts w:ascii="Times New Roman" w:hAnsi="Times New Roman" w:cs="Times New Roman"/>
          <w:sz w:val="24"/>
          <w:szCs w:val="24"/>
        </w:rPr>
        <w:t xml:space="preserve"> (bitter kola) aqueous extract against lead-induced kidney damage in Wistar rats. Twenty-five male Wistar rats were divided into five groups: a control group, a lead-only group (60 mg/kg lead acetate), and three treated groups receiving lead followed by </w:t>
      </w:r>
      <w:r w:rsidRPr="00CA614C">
        <w:rPr>
          <w:rFonts w:ascii="Times New Roman" w:hAnsi="Times New Roman" w:cs="Times New Roman"/>
          <w:i/>
          <w:iCs/>
          <w:sz w:val="24"/>
          <w:szCs w:val="24"/>
        </w:rPr>
        <w:t>Garcinia kola</w:t>
      </w:r>
      <w:r w:rsidRPr="0038065D">
        <w:rPr>
          <w:rFonts w:ascii="Times New Roman" w:hAnsi="Times New Roman" w:cs="Times New Roman"/>
          <w:sz w:val="24"/>
          <w:szCs w:val="24"/>
        </w:rPr>
        <w:t xml:space="preserve"> extract at doses of 150 mg/kg, 300 mg/kg, and 600 mg/kg for 21 days. Biochemical analyses were conducted to assess serum urea, creatinine, and uric acid levels, alongside morphological assessments of kidney tissues. Results indicated that lead acetate administration significantly elevated serum creatinine levels (</w:t>
      </w:r>
      <w:r w:rsidRPr="00CA614C">
        <w:rPr>
          <w:rFonts w:ascii="Times New Roman" w:hAnsi="Times New Roman" w:cs="Times New Roman"/>
          <w:i/>
          <w:iCs/>
          <w:sz w:val="24"/>
          <w:szCs w:val="24"/>
        </w:rPr>
        <w:t>P</w:t>
      </w:r>
      <w:r w:rsidRPr="0038065D">
        <w:rPr>
          <w:rFonts w:ascii="Times New Roman" w:hAnsi="Times New Roman" w:cs="Times New Roman"/>
          <w:sz w:val="24"/>
          <w:szCs w:val="24"/>
        </w:rPr>
        <w:t xml:space="preserve"> = .001) and caused observable morphological changes, indicating renal impairment. Conversely, treatment with </w:t>
      </w:r>
      <w:r w:rsidRPr="00CA614C">
        <w:rPr>
          <w:rFonts w:ascii="Times New Roman" w:hAnsi="Times New Roman" w:cs="Times New Roman"/>
          <w:i/>
          <w:iCs/>
          <w:sz w:val="24"/>
          <w:szCs w:val="24"/>
        </w:rPr>
        <w:t xml:space="preserve">Garcinia kola </w:t>
      </w:r>
      <w:r w:rsidRPr="0038065D">
        <w:rPr>
          <w:rFonts w:ascii="Times New Roman" w:hAnsi="Times New Roman" w:cs="Times New Roman"/>
          <w:sz w:val="24"/>
          <w:szCs w:val="24"/>
        </w:rPr>
        <w:t>extract resulted in a dose-dependent restoration of kidney function, with groups receiving 300 mg/kg and 600 mg/kg showing significant reductions in creatinine (</w:t>
      </w:r>
      <w:r w:rsidRPr="00CA614C">
        <w:rPr>
          <w:rFonts w:ascii="Times New Roman" w:hAnsi="Times New Roman" w:cs="Times New Roman"/>
          <w:i/>
          <w:iCs/>
          <w:sz w:val="24"/>
          <w:szCs w:val="24"/>
        </w:rPr>
        <w:t>P</w:t>
      </w:r>
      <w:r w:rsidRPr="0038065D">
        <w:rPr>
          <w:rFonts w:ascii="Times New Roman" w:hAnsi="Times New Roman" w:cs="Times New Roman"/>
          <w:sz w:val="24"/>
          <w:szCs w:val="24"/>
        </w:rPr>
        <w:t xml:space="preserve"> = .001, P = .011) and improvements in overall health metrics. These findings suggest that </w:t>
      </w:r>
      <w:r w:rsidRPr="00CA614C">
        <w:rPr>
          <w:rFonts w:ascii="Times New Roman" w:hAnsi="Times New Roman" w:cs="Times New Roman"/>
          <w:i/>
          <w:iCs/>
          <w:sz w:val="24"/>
          <w:szCs w:val="24"/>
        </w:rPr>
        <w:t>Garcinia kola</w:t>
      </w:r>
      <w:r w:rsidRPr="0038065D">
        <w:rPr>
          <w:rFonts w:ascii="Times New Roman" w:hAnsi="Times New Roman" w:cs="Times New Roman"/>
          <w:sz w:val="24"/>
          <w:szCs w:val="24"/>
        </w:rPr>
        <w:t xml:space="preserve"> extract effectively mitigates lead-induced renal damage, likely due to its antioxidant properties. This study highlights the potential of </w:t>
      </w:r>
      <w:r w:rsidRPr="00CA614C">
        <w:rPr>
          <w:rFonts w:ascii="Times New Roman" w:hAnsi="Times New Roman" w:cs="Times New Roman"/>
          <w:i/>
          <w:iCs/>
          <w:sz w:val="24"/>
          <w:szCs w:val="24"/>
        </w:rPr>
        <w:t>Garcinia kola</w:t>
      </w:r>
      <w:r w:rsidRPr="0038065D">
        <w:rPr>
          <w:rFonts w:ascii="Times New Roman" w:hAnsi="Times New Roman" w:cs="Times New Roman"/>
          <w:sz w:val="24"/>
          <w:szCs w:val="24"/>
        </w:rPr>
        <w:t xml:space="preserve"> as a therapeutic agent for protecting against heavy metal toxicity, warranting further investigation into its mechanisms of action and long-term efficacy in clinical settings.</w:t>
      </w:r>
    </w:p>
    <w:bookmarkEnd w:id="0"/>
    <w:p w14:paraId="2BBAE0A5" w14:textId="77777777" w:rsidR="00EC6137" w:rsidRDefault="00EC6137" w:rsidP="00AA2B49">
      <w:pPr>
        <w:pStyle w:val="NoSpacing"/>
        <w:spacing w:line="480" w:lineRule="auto"/>
        <w:rPr>
          <w:rFonts w:ascii="Times New Roman" w:hAnsi="Times New Roman" w:cs="Times New Roman"/>
          <w:b/>
          <w:bCs/>
          <w:sz w:val="24"/>
          <w:szCs w:val="24"/>
        </w:rPr>
      </w:pPr>
    </w:p>
    <w:p w14:paraId="735CA495" w14:textId="78428936" w:rsidR="0038065D" w:rsidRPr="0038065D" w:rsidRDefault="0038065D" w:rsidP="0038065D">
      <w:pPr>
        <w:pStyle w:val="NoSpacing"/>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Keywords: </w:t>
      </w:r>
      <w:r w:rsidR="00394931" w:rsidRPr="0038065D">
        <w:rPr>
          <w:rFonts w:ascii="Times New Roman" w:hAnsi="Times New Roman" w:cs="Times New Roman"/>
          <w:sz w:val="24"/>
          <w:szCs w:val="24"/>
        </w:rPr>
        <w:t>Heavy metal toxicity</w:t>
      </w:r>
      <w:r w:rsidR="00394931">
        <w:rPr>
          <w:rFonts w:ascii="Times New Roman" w:hAnsi="Times New Roman" w:cs="Times New Roman"/>
          <w:sz w:val="24"/>
          <w:szCs w:val="24"/>
        </w:rPr>
        <w:t xml:space="preserve">, </w:t>
      </w:r>
      <w:r w:rsidRPr="0038065D">
        <w:rPr>
          <w:rFonts w:ascii="Times New Roman" w:hAnsi="Times New Roman" w:cs="Times New Roman"/>
          <w:sz w:val="24"/>
          <w:szCs w:val="24"/>
        </w:rPr>
        <w:t>Lead toxicity</w:t>
      </w:r>
      <w:r>
        <w:rPr>
          <w:rFonts w:ascii="Times New Roman" w:hAnsi="Times New Roman" w:cs="Times New Roman"/>
          <w:sz w:val="24"/>
          <w:szCs w:val="24"/>
        </w:rPr>
        <w:t xml:space="preserve">, </w:t>
      </w:r>
      <w:r w:rsidRPr="0038065D">
        <w:rPr>
          <w:rFonts w:ascii="Times New Roman" w:hAnsi="Times New Roman" w:cs="Times New Roman"/>
          <w:sz w:val="24"/>
          <w:szCs w:val="24"/>
        </w:rPr>
        <w:t>Morphological kidney assessment</w:t>
      </w:r>
      <w:r w:rsidR="00394931">
        <w:rPr>
          <w:rFonts w:ascii="Times New Roman" w:hAnsi="Times New Roman" w:cs="Times New Roman"/>
          <w:sz w:val="24"/>
          <w:szCs w:val="24"/>
        </w:rPr>
        <w:t xml:space="preserve">, </w:t>
      </w:r>
      <w:r w:rsidR="00394931" w:rsidRPr="0038065D">
        <w:rPr>
          <w:rFonts w:ascii="Times New Roman" w:hAnsi="Times New Roman" w:cs="Times New Roman"/>
          <w:sz w:val="24"/>
          <w:szCs w:val="24"/>
        </w:rPr>
        <w:t>Nephroprotection</w:t>
      </w:r>
      <w:r w:rsidR="00394931">
        <w:rPr>
          <w:rFonts w:ascii="Times New Roman" w:hAnsi="Times New Roman" w:cs="Times New Roman"/>
          <w:sz w:val="24"/>
          <w:szCs w:val="24"/>
        </w:rPr>
        <w:t xml:space="preserve">, </w:t>
      </w:r>
      <w:r w:rsidRPr="0038065D">
        <w:rPr>
          <w:rFonts w:ascii="Times New Roman" w:hAnsi="Times New Roman" w:cs="Times New Roman"/>
          <w:sz w:val="24"/>
          <w:szCs w:val="24"/>
        </w:rPr>
        <w:t>Phytotherapy</w:t>
      </w:r>
      <w:r w:rsidR="00394931">
        <w:rPr>
          <w:rFonts w:ascii="Times New Roman" w:hAnsi="Times New Roman" w:cs="Times New Roman"/>
          <w:sz w:val="24"/>
          <w:szCs w:val="24"/>
        </w:rPr>
        <w:t>.</w:t>
      </w:r>
    </w:p>
    <w:p w14:paraId="3B48E5D8" w14:textId="0BE08B53" w:rsidR="005B69A7" w:rsidRPr="00684B93" w:rsidRDefault="005B69A7" w:rsidP="00B34C3B">
      <w:pPr>
        <w:pStyle w:val="NoSpacing"/>
        <w:numPr>
          <w:ilvl w:val="0"/>
          <w:numId w:val="23"/>
        </w:numPr>
        <w:spacing w:line="480" w:lineRule="auto"/>
        <w:jc w:val="both"/>
        <w:rPr>
          <w:rFonts w:ascii="Times New Roman" w:hAnsi="Times New Roman" w:cs="Times New Roman"/>
          <w:b/>
          <w:sz w:val="24"/>
          <w:szCs w:val="24"/>
        </w:rPr>
      </w:pPr>
      <w:r w:rsidRPr="00684B93">
        <w:rPr>
          <w:rFonts w:ascii="Times New Roman" w:hAnsi="Times New Roman" w:cs="Times New Roman"/>
          <w:b/>
          <w:sz w:val="24"/>
          <w:szCs w:val="24"/>
        </w:rPr>
        <w:t>INTRODUCTION</w:t>
      </w:r>
    </w:p>
    <w:p w14:paraId="4AD120A3" w14:textId="77777777" w:rsidR="00021F59" w:rsidRDefault="00021F59" w:rsidP="00021F59">
      <w:pPr>
        <w:pStyle w:val="NoSpacing"/>
        <w:spacing w:line="480" w:lineRule="auto"/>
        <w:jc w:val="both"/>
        <w:rPr>
          <w:rFonts w:ascii="Times New Roman" w:hAnsi="Times New Roman" w:cs="Times New Roman"/>
          <w:sz w:val="24"/>
          <w:szCs w:val="24"/>
        </w:rPr>
      </w:pPr>
      <w:bookmarkStart w:id="2" w:name="_Hlk181955266"/>
      <w:r w:rsidRPr="00021F59">
        <w:rPr>
          <w:rFonts w:ascii="Times New Roman" w:hAnsi="Times New Roman" w:cs="Times New Roman"/>
          <w:sz w:val="24"/>
          <w:szCs w:val="24"/>
        </w:rPr>
        <w:t xml:space="preserve">Lead, a ubiquitous heavy metal, poses severe environmental and health risks due to its non-biodegradable nature and persistent use in industrial processes. Despite measures to reduce its exposure, lead remains a major toxicant, impacting multiple organ systems in humans and animals. Chronic exposure to lead primarily affects the kidneys, where it induces oxidative stress, inflammation, and cellular damage that may lead to nephropathy or even renal failure over prolonged periods. Studies indicate that lead exposure disrupts cellular function in renal tissue by generating </w:t>
      </w:r>
      <w:bookmarkStart w:id="3" w:name="_Hlk181954383"/>
      <w:r w:rsidRPr="00021F59">
        <w:rPr>
          <w:rFonts w:ascii="Times New Roman" w:hAnsi="Times New Roman" w:cs="Times New Roman"/>
          <w:sz w:val="24"/>
          <w:szCs w:val="24"/>
        </w:rPr>
        <w:t>reactive oxygen species (ROS)</w:t>
      </w:r>
      <w:bookmarkEnd w:id="3"/>
      <w:r w:rsidRPr="00021F59">
        <w:rPr>
          <w:rFonts w:ascii="Times New Roman" w:hAnsi="Times New Roman" w:cs="Times New Roman"/>
          <w:sz w:val="24"/>
          <w:szCs w:val="24"/>
        </w:rPr>
        <w:t>, which impairs mitochondrial function and causes apoptosis of renal cells. Given the high vulnerability of kidney tissue to oxidative stress, mitigating lead-induced renal damage has become an area of active research [1].</w:t>
      </w:r>
    </w:p>
    <w:p w14:paraId="2CFC3FF5" w14:textId="77777777" w:rsidR="00021F59" w:rsidRPr="00021F59" w:rsidRDefault="00021F59" w:rsidP="00021F59">
      <w:pPr>
        <w:pStyle w:val="NoSpacing"/>
        <w:spacing w:line="480" w:lineRule="auto"/>
        <w:jc w:val="both"/>
        <w:rPr>
          <w:rFonts w:ascii="Times New Roman" w:eastAsia="Times New Roman" w:hAnsi="Times New Roman" w:cs="Times New Roman"/>
          <w:sz w:val="24"/>
          <w:szCs w:val="24"/>
        </w:rPr>
      </w:pPr>
    </w:p>
    <w:p w14:paraId="53DDECF9" w14:textId="77777777" w:rsidR="00021F59" w:rsidRPr="00021F59" w:rsidRDefault="00021F59" w:rsidP="00021F59">
      <w:pPr>
        <w:pStyle w:val="NoSpacing"/>
        <w:spacing w:line="480" w:lineRule="auto"/>
        <w:jc w:val="both"/>
        <w:rPr>
          <w:rFonts w:ascii="Times New Roman" w:hAnsi="Times New Roman" w:cs="Times New Roman"/>
          <w:sz w:val="24"/>
          <w:szCs w:val="24"/>
        </w:rPr>
      </w:pPr>
      <w:r w:rsidRPr="00021F59">
        <w:rPr>
          <w:rFonts w:ascii="Times New Roman" w:hAnsi="Times New Roman" w:cs="Times New Roman"/>
          <w:sz w:val="24"/>
          <w:szCs w:val="24"/>
        </w:rPr>
        <w:t xml:space="preserve">Kidneys play a crucial role in filtering blood, excreting toxins, and maintaining homeostasis, and they are particularly sensitive to toxic exposures, including heavy metals like lead. Lead-induced kidney damage can result in impaired glomerular function, tubular necrosis, and altered electrolyte balance, compromising renal physiology. Current therapeutic strategies often involve chelating agents like </w:t>
      </w:r>
      <w:bookmarkStart w:id="4" w:name="_Hlk181954404"/>
      <w:r w:rsidRPr="00021F59">
        <w:rPr>
          <w:rFonts w:ascii="Times New Roman" w:hAnsi="Times New Roman" w:cs="Times New Roman"/>
          <w:sz w:val="24"/>
          <w:szCs w:val="24"/>
        </w:rPr>
        <w:t xml:space="preserve">ethylenediaminetetraacetic acid (EDTA) and </w:t>
      </w:r>
      <w:proofErr w:type="spellStart"/>
      <w:r w:rsidRPr="00021F59">
        <w:rPr>
          <w:rFonts w:ascii="Times New Roman" w:hAnsi="Times New Roman" w:cs="Times New Roman"/>
          <w:sz w:val="24"/>
          <w:szCs w:val="24"/>
        </w:rPr>
        <w:t>dimercaptosuccinic</w:t>
      </w:r>
      <w:proofErr w:type="spellEnd"/>
      <w:r w:rsidRPr="00021F59">
        <w:rPr>
          <w:rFonts w:ascii="Times New Roman" w:hAnsi="Times New Roman" w:cs="Times New Roman"/>
          <w:sz w:val="24"/>
          <w:szCs w:val="24"/>
        </w:rPr>
        <w:t xml:space="preserve"> acid (DMSA)</w:t>
      </w:r>
      <w:bookmarkEnd w:id="4"/>
      <w:r w:rsidRPr="00021F59">
        <w:rPr>
          <w:rFonts w:ascii="Times New Roman" w:hAnsi="Times New Roman" w:cs="Times New Roman"/>
          <w:sz w:val="24"/>
          <w:szCs w:val="24"/>
        </w:rPr>
        <w:t>. However, these treatments are associated with limitations, including potential adverse effects and limited efficacy in chronic cases [2,3]. Consequently, exploring natural compounds that offer protective or therapeutic benefits against lead-induced renal damage has garnered considerable scientific interest.</w:t>
      </w:r>
    </w:p>
    <w:p w14:paraId="61EE9BDE" w14:textId="77777777" w:rsidR="00021F59" w:rsidRDefault="00021F59" w:rsidP="00021F59">
      <w:pPr>
        <w:pStyle w:val="NoSpacing"/>
        <w:spacing w:line="480" w:lineRule="auto"/>
        <w:jc w:val="both"/>
        <w:rPr>
          <w:rFonts w:ascii="Times New Roman" w:hAnsi="Times New Roman" w:cs="Times New Roman"/>
          <w:sz w:val="24"/>
          <w:szCs w:val="24"/>
        </w:rPr>
      </w:pPr>
    </w:p>
    <w:p w14:paraId="03D8EB8C" w14:textId="642E5E90" w:rsidR="00021F59" w:rsidRPr="00021F59" w:rsidRDefault="00021F59" w:rsidP="00021F59">
      <w:pPr>
        <w:pStyle w:val="NoSpacing"/>
        <w:spacing w:line="480" w:lineRule="auto"/>
        <w:jc w:val="both"/>
        <w:rPr>
          <w:rFonts w:ascii="Times New Roman" w:hAnsi="Times New Roman" w:cs="Times New Roman"/>
          <w:sz w:val="24"/>
          <w:szCs w:val="24"/>
        </w:rPr>
      </w:pPr>
      <w:r w:rsidRPr="00021F59">
        <w:rPr>
          <w:rFonts w:ascii="Times New Roman" w:hAnsi="Times New Roman" w:cs="Times New Roman"/>
          <w:sz w:val="24"/>
          <w:szCs w:val="24"/>
        </w:rPr>
        <w:lastRenderedPageBreak/>
        <w:t xml:space="preserve">In recent years,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commonly known as bitter kola, has attracted attention due to its antioxidant, anti-inflammatory, and hepatoprotective properties. Indigenous to West and Central Africa,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has been traditionally utilized for medicinal purposes, particularly for its potential effects on liver and kidney health. The seeds of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contain bioactive compounds such as flavonoids, xanthones, and </w:t>
      </w:r>
      <w:proofErr w:type="spellStart"/>
      <w:r w:rsidRPr="00021F59">
        <w:rPr>
          <w:rFonts w:ascii="Times New Roman" w:hAnsi="Times New Roman" w:cs="Times New Roman"/>
          <w:sz w:val="24"/>
          <w:szCs w:val="24"/>
        </w:rPr>
        <w:t>biflavonoids</w:t>
      </w:r>
      <w:proofErr w:type="spellEnd"/>
      <w:r w:rsidRPr="00021F59">
        <w:rPr>
          <w:rFonts w:ascii="Times New Roman" w:hAnsi="Times New Roman" w:cs="Times New Roman"/>
          <w:sz w:val="24"/>
          <w:szCs w:val="24"/>
        </w:rPr>
        <w:t xml:space="preserve">, which are known to exhibit potent antioxidant activities by neutralizing free radicals and reducing oxidative stress [4,5]. Moreover, </w:t>
      </w:r>
      <w:proofErr w:type="spellStart"/>
      <w:r w:rsidRPr="00021F59">
        <w:rPr>
          <w:rFonts w:ascii="Times New Roman" w:hAnsi="Times New Roman" w:cs="Times New Roman"/>
          <w:sz w:val="24"/>
          <w:szCs w:val="24"/>
        </w:rPr>
        <w:t>biflavonoids</w:t>
      </w:r>
      <w:proofErr w:type="spellEnd"/>
      <w:r w:rsidRPr="00021F59">
        <w:rPr>
          <w:rFonts w:ascii="Times New Roman" w:hAnsi="Times New Roman" w:cs="Times New Roman"/>
          <w:sz w:val="24"/>
          <w:szCs w:val="24"/>
        </w:rPr>
        <w:t xml:space="preserve"> in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have been shown to attenuate inflammation, a key mechanism in renal pathologies induced by toxic insults [6].</w:t>
      </w:r>
    </w:p>
    <w:p w14:paraId="07F5453D" w14:textId="77777777" w:rsidR="00021F59" w:rsidRDefault="00021F59" w:rsidP="00021F59">
      <w:pPr>
        <w:pStyle w:val="NoSpacing"/>
        <w:spacing w:line="480" w:lineRule="auto"/>
        <w:jc w:val="both"/>
        <w:rPr>
          <w:rFonts w:ascii="Times New Roman" w:hAnsi="Times New Roman" w:cs="Times New Roman"/>
          <w:sz w:val="24"/>
          <w:szCs w:val="24"/>
        </w:rPr>
      </w:pPr>
    </w:p>
    <w:p w14:paraId="33D0FA3B" w14:textId="19DE8086" w:rsidR="00021F59" w:rsidRPr="00021F59" w:rsidRDefault="00021F59" w:rsidP="00021F59">
      <w:pPr>
        <w:pStyle w:val="NoSpacing"/>
        <w:spacing w:line="480" w:lineRule="auto"/>
        <w:jc w:val="both"/>
        <w:rPr>
          <w:rFonts w:ascii="Times New Roman" w:hAnsi="Times New Roman" w:cs="Times New Roman"/>
          <w:sz w:val="24"/>
          <w:szCs w:val="24"/>
        </w:rPr>
      </w:pPr>
      <w:r w:rsidRPr="00021F59">
        <w:rPr>
          <w:rFonts w:ascii="Times New Roman" w:hAnsi="Times New Roman" w:cs="Times New Roman"/>
          <w:sz w:val="24"/>
          <w:szCs w:val="24"/>
        </w:rPr>
        <w:t xml:space="preserve">Emerging evidence suggests that natural antioxidants, including those found in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could mitigate oxidative damage in renal tissue, providing a basis for investigating their effects in cases of lead toxicity. Animal studies have demonstrated that extracts from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possess nephroprotective properties, likely due to the scavenging of ROS and modulation of inflammatory pathways [7]. This suggests that aqueous extracts of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may have the potential to counteract lead-induced oxidative damage in renal tissues, thereby preserving kidney function.</w:t>
      </w:r>
    </w:p>
    <w:p w14:paraId="7CCD9A8A" w14:textId="77777777" w:rsidR="00021F59" w:rsidRDefault="00021F59" w:rsidP="00021F59">
      <w:pPr>
        <w:pStyle w:val="NoSpacing"/>
        <w:spacing w:line="480" w:lineRule="auto"/>
        <w:jc w:val="both"/>
        <w:rPr>
          <w:rFonts w:ascii="Times New Roman" w:hAnsi="Times New Roman" w:cs="Times New Roman"/>
          <w:sz w:val="24"/>
          <w:szCs w:val="24"/>
        </w:rPr>
      </w:pPr>
    </w:p>
    <w:p w14:paraId="731C6EE4" w14:textId="676DDD3F" w:rsidR="00021F59" w:rsidRPr="00021F59" w:rsidRDefault="00021F59" w:rsidP="00021F59">
      <w:pPr>
        <w:pStyle w:val="NoSpacing"/>
        <w:spacing w:line="480" w:lineRule="auto"/>
        <w:jc w:val="both"/>
        <w:rPr>
          <w:rFonts w:ascii="Times New Roman" w:hAnsi="Times New Roman" w:cs="Times New Roman"/>
          <w:sz w:val="24"/>
          <w:szCs w:val="24"/>
        </w:rPr>
      </w:pPr>
      <w:r w:rsidRPr="00021F59">
        <w:rPr>
          <w:rFonts w:ascii="Times New Roman" w:hAnsi="Times New Roman" w:cs="Times New Roman"/>
          <w:sz w:val="24"/>
          <w:szCs w:val="24"/>
        </w:rPr>
        <w:t xml:space="preserve">Given this background, this study aims to evaluate the protective effects of aqueous extracts of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on lead-induced renal damage in Wistar rats. By focusing on biochemical and histopathological markers of kidney function and oxidative stress, this research seeks to contribute to the growing body of knowledge on natural remedies for heavy metal toxicity and offer a potential alternative approach to preventing lead-induced kidney damage.</w:t>
      </w:r>
    </w:p>
    <w:bookmarkEnd w:id="2"/>
    <w:p w14:paraId="1F16F91C" w14:textId="77777777" w:rsidR="00A9035E" w:rsidRDefault="00A9035E" w:rsidP="00021F59">
      <w:pPr>
        <w:pStyle w:val="NoSpacing"/>
        <w:rPr>
          <w:rFonts w:ascii="Times New Roman" w:eastAsia="TimesNewRoman" w:hAnsi="Times New Roman" w:cs="Times New Roman"/>
          <w:sz w:val="24"/>
          <w:szCs w:val="24"/>
        </w:rPr>
      </w:pPr>
    </w:p>
    <w:p w14:paraId="2AFB1A84" w14:textId="77777777" w:rsidR="002D3074" w:rsidRDefault="002D3074" w:rsidP="00021F59">
      <w:pPr>
        <w:pStyle w:val="NoSpacing"/>
        <w:rPr>
          <w:rFonts w:ascii="Times New Roman" w:eastAsia="TimesNewRoman" w:hAnsi="Times New Roman" w:cs="Times New Roman"/>
          <w:sz w:val="24"/>
          <w:szCs w:val="24"/>
        </w:rPr>
      </w:pPr>
    </w:p>
    <w:p w14:paraId="50853B1F" w14:textId="77777777" w:rsidR="002D3074" w:rsidRDefault="002D3074" w:rsidP="00021F59">
      <w:pPr>
        <w:pStyle w:val="NoSpacing"/>
        <w:rPr>
          <w:rFonts w:ascii="Times New Roman" w:eastAsia="TimesNewRoman" w:hAnsi="Times New Roman" w:cs="Times New Roman"/>
          <w:sz w:val="24"/>
          <w:szCs w:val="24"/>
        </w:rPr>
      </w:pPr>
    </w:p>
    <w:p w14:paraId="25E890AB" w14:textId="77777777" w:rsidR="002D3074" w:rsidRDefault="002D3074" w:rsidP="00021F59">
      <w:pPr>
        <w:pStyle w:val="NoSpacing"/>
        <w:rPr>
          <w:rFonts w:ascii="Times New Roman" w:eastAsia="TimesNewRoman" w:hAnsi="Times New Roman" w:cs="Times New Roman"/>
          <w:sz w:val="24"/>
          <w:szCs w:val="24"/>
        </w:rPr>
      </w:pPr>
    </w:p>
    <w:p w14:paraId="261B800A" w14:textId="77777777" w:rsidR="00021F59" w:rsidRDefault="00021F59" w:rsidP="00021F59">
      <w:pPr>
        <w:pStyle w:val="NoSpacing"/>
        <w:spacing w:line="480" w:lineRule="auto"/>
        <w:ind w:left="720"/>
        <w:jc w:val="both"/>
        <w:rPr>
          <w:rFonts w:ascii="Times New Roman" w:hAnsi="Times New Roman" w:cs="Times New Roman"/>
          <w:b/>
          <w:sz w:val="24"/>
          <w:szCs w:val="24"/>
        </w:rPr>
      </w:pPr>
    </w:p>
    <w:p w14:paraId="7C5F4538" w14:textId="76AEAC78" w:rsidR="00CA5105" w:rsidRPr="00684B93" w:rsidRDefault="00CA5105" w:rsidP="00013C0C">
      <w:pPr>
        <w:pStyle w:val="NoSpacing"/>
        <w:numPr>
          <w:ilvl w:val="0"/>
          <w:numId w:val="23"/>
        </w:numPr>
        <w:spacing w:line="480" w:lineRule="auto"/>
        <w:jc w:val="both"/>
        <w:rPr>
          <w:rFonts w:ascii="Times New Roman" w:hAnsi="Times New Roman" w:cs="Times New Roman"/>
          <w:b/>
          <w:sz w:val="24"/>
          <w:szCs w:val="24"/>
        </w:rPr>
      </w:pPr>
      <w:commentRangeStart w:id="5"/>
      <w:r w:rsidRPr="00684B93">
        <w:rPr>
          <w:rFonts w:ascii="Times New Roman" w:hAnsi="Times New Roman" w:cs="Times New Roman"/>
          <w:b/>
          <w:sz w:val="24"/>
          <w:szCs w:val="24"/>
        </w:rPr>
        <w:t>MATERIALS AND METHODS</w:t>
      </w:r>
      <w:commentRangeEnd w:id="5"/>
      <w:r w:rsidR="005B7B3F">
        <w:rPr>
          <w:rStyle w:val="CommentReference"/>
        </w:rPr>
        <w:commentReference w:id="5"/>
      </w:r>
    </w:p>
    <w:p w14:paraId="6DEF5E9E" w14:textId="161C7D4E" w:rsidR="00CA5105" w:rsidRPr="00684B93" w:rsidRDefault="00B34C3B" w:rsidP="00013C0C">
      <w:pPr>
        <w:pStyle w:val="NoSpacing"/>
        <w:spacing w:line="480" w:lineRule="auto"/>
        <w:jc w:val="both"/>
        <w:rPr>
          <w:rFonts w:ascii="Times New Roman" w:hAnsi="Times New Roman" w:cs="Times New Roman"/>
          <w:b/>
          <w:bCs/>
          <w:sz w:val="24"/>
          <w:szCs w:val="24"/>
        </w:rPr>
      </w:pPr>
      <w:r w:rsidRPr="00684B93">
        <w:rPr>
          <w:rFonts w:ascii="Times New Roman" w:hAnsi="Times New Roman" w:cs="Times New Roman"/>
          <w:b/>
          <w:bCs/>
          <w:sz w:val="24"/>
          <w:szCs w:val="24"/>
        </w:rPr>
        <w:t xml:space="preserve">2.1 </w:t>
      </w:r>
      <w:r w:rsidRPr="00684B93">
        <w:rPr>
          <w:rFonts w:ascii="Times New Roman" w:hAnsi="Times New Roman" w:cs="Times New Roman"/>
          <w:b/>
          <w:bCs/>
          <w:sz w:val="24"/>
          <w:szCs w:val="24"/>
        </w:rPr>
        <w:tab/>
      </w:r>
      <w:r w:rsidR="00CA5105" w:rsidRPr="00684B93">
        <w:rPr>
          <w:rFonts w:ascii="Times New Roman" w:hAnsi="Times New Roman" w:cs="Times New Roman"/>
          <w:b/>
          <w:bCs/>
          <w:sz w:val="24"/>
          <w:szCs w:val="24"/>
        </w:rPr>
        <w:t xml:space="preserve">Materials </w:t>
      </w:r>
    </w:p>
    <w:p w14:paraId="130DB52F" w14:textId="5737E36C" w:rsidR="00CA5105" w:rsidRPr="00684B93" w:rsidRDefault="00B34C3B" w:rsidP="00013C0C">
      <w:pPr>
        <w:pStyle w:val="NoSpacing"/>
        <w:spacing w:line="480" w:lineRule="auto"/>
        <w:jc w:val="both"/>
        <w:rPr>
          <w:rFonts w:ascii="Times New Roman" w:hAnsi="Times New Roman" w:cs="Times New Roman"/>
          <w:b/>
          <w:sz w:val="24"/>
          <w:szCs w:val="24"/>
        </w:rPr>
      </w:pPr>
      <w:r w:rsidRPr="00684B93">
        <w:rPr>
          <w:rFonts w:ascii="Times New Roman" w:hAnsi="Times New Roman" w:cs="Times New Roman"/>
          <w:b/>
          <w:sz w:val="24"/>
          <w:szCs w:val="24"/>
        </w:rPr>
        <w:t xml:space="preserve">2.1.1 </w:t>
      </w:r>
      <w:r w:rsidRPr="00684B93">
        <w:rPr>
          <w:rFonts w:ascii="Times New Roman" w:hAnsi="Times New Roman" w:cs="Times New Roman"/>
          <w:b/>
          <w:sz w:val="24"/>
          <w:szCs w:val="24"/>
        </w:rPr>
        <w:tab/>
      </w:r>
      <w:r w:rsidR="00CA5105" w:rsidRPr="00684B93">
        <w:rPr>
          <w:rFonts w:ascii="Times New Roman" w:hAnsi="Times New Roman" w:cs="Times New Roman"/>
          <w:b/>
          <w:sz w:val="24"/>
          <w:szCs w:val="24"/>
        </w:rPr>
        <w:t>Animals</w:t>
      </w:r>
    </w:p>
    <w:p w14:paraId="7F25530C" w14:textId="1B0C5F73" w:rsidR="00CA5105" w:rsidRDefault="006F3A8F" w:rsidP="00013C0C">
      <w:pPr>
        <w:pStyle w:val="NoSpacing"/>
        <w:spacing w:line="480" w:lineRule="auto"/>
        <w:jc w:val="both"/>
        <w:rPr>
          <w:rFonts w:ascii="Times New Roman" w:hAnsi="Times New Roman" w:cs="Times New Roman"/>
          <w:bCs/>
          <w:sz w:val="24"/>
          <w:szCs w:val="24"/>
        </w:rPr>
      </w:pPr>
      <w:r w:rsidRPr="006F3A8F">
        <w:rPr>
          <w:rFonts w:ascii="Times New Roman" w:hAnsi="Times New Roman" w:cs="Times New Roman"/>
          <w:bCs/>
          <w:sz w:val="24"/>
          <w:szCs w:val="24"/>
        </w:rPr>
        <w:t xml:space="preserve">This study involved 25 male </w:t>
      </w:r>
      <w:r>
        <w:rPr>
          <w:rFonts w:ascii="Times New Roman" w:hAnsi="Times New Roman" w:cs="Times New Roman"/>
          <w:bCs/>
          <w:sz w:val="24"/>
          <w:szCs w:val="24"/>
        </w:rPr>
        <w:t xml:space="preserve">adult </w:t>
      </w:r>
      <w:r w:rsidRPr="006F3A8F">
        <w:rPr>
          <w:rFonts w:ascii="Times New Roman" w:hAnsi="Times New Roman" w:cs="Times New Roman"/>
          <w:bCs/>
          <w:sz w:val="24"/>
          <w:szCs w:val="24"/>
        </w:rPr>
        <w:t>Wistar rats, each weighing between 135 and 197 grams. The animals were sourced from the Department of Physiology’s animal farm at Nnamdi Azikiwe University and were given one week to acclimate, with unrestricted access to food and water. A veterinarian confirmed the animals’ health before and after transport to the research facility. At the facility, the rats were housed in spacious, comfortable cages under a 12-hour light/dark cycle, with their health carefully monitored throughout the study. All procedures adhered strictly to the ethical guidelines set by the Faculty of Basic Medical Sciences at Nnamdi Azikiwe University, Nnewi campus, Nigeria, with ethics approval number NAU/CHS/NC/FMBS/580, granted on August 5, 2023.</w:t>
      </w:r>
    </w:p>
    <w:p w14:paraId="3DCEE822" w14:textId="77777777" w:rsidR="006F3A8F" w:rsidRPr="00684B93" w:rsidRDefault="006F3A8F" w:rsidP="00013C0C">
      <w:pPr>
        <w:pStyle w:val="NoSpacing"/>
        <w:spacing w:line="480" w:lineRule="auto"/>
        <w:jc w:val="both"/>
        <w:rPr>
          <w:rFonts w:ascii="Times New Roman" w:hAnsi="Times New Roman" w:cs="Times New Roman"/>
          <w:sz w:val="24"/>
          <w:szCs w:val="24"/>
        </w:rPr>
      </w:pPr>
    </w:p>
    <w:p w14:paraId="55EFE52D" w14:textId="5C1E45F0" w:rsidR="00CA5105" w:rsidRPr="00CE01CE" w:rsidRDefault="00B34C3B" w:rsidP="00013C0C">
      <w:pPr>
        <w:pStyle w:val="NoSpacing"/>
        <w:spacing w:line="480" w:lineRule="auto"/>
        <w:jc w:val="both"/>
        <w:rPr>
          <w:rFonts w:ascii="Times New Roman" w:hAnsi="Times New Roman" w:cs="Times New Roman"/>
          <w:b/>
          <w:sz w:val="24"/>
          <w:szCs w:val="24"/>
        </w:rPr>
      </w:pPr>
      <w:r w:rsidRPr="00684B93">
        <w:rPr>
          <w:rFonts w:ascii="Times New Roman" w:hAnsi="Times New Roman" w:cs="Times New Roman"/>
          <w:b/>
          <w:sz w:val="24"/>
          <w:szCs w:val="24"/>
        </w:rPr>
        <w:t xml:space="preserve">2.1.2 </w:t>
      </w:r>
      <w:r w:rsidRPr="00684B93">
        <w:rPr>
          <w:rFonts w:ascii="Times New Roman" w:hAnsi="Times New Roman" w:cs="Times New Roman"/>
          <w:b/>
          <w:sz w:val="24"/>
          <w:szCs w:val="24"/>
        </w:rPr>
        <w:tab/>
      </w:r>
      <w:r w:rsidR="00CE01CE">
        <w:rPr>
          <w:rFonts w:ascii="Times New Roman" w:hAnsi="Times New Roman" w:cs="Times New Roman"/>
          <w:b/>
          <w:sz w:val="24"/>
          <w:szCs w:val="24"/>
        </w:rPr>
        <w:t xml:space="preserve">Purchase of </w:t>
      </w:r>
      <w:r w:rsidR="00CA5105" w:rsidRPr="00684B93">
        <w:rPr>
          <w:rFonts w:ascii="Times New Roman" w:hAnsi="Times New Roman" w:cs="Times New Roman"/>
          <w:b/>
          <w:sz w:val="24"/>
          <w:szCs w:val="24"/>
        </w:rPr>
        <w:t>Feed</w:t>
      </w:r>
      <w:r w:rsidR="00572638">
        <w:rPr>
          <w:rFonts w:ascii="Times New Roman" w:hAnsi="Times New Roman" w:cs="Times New Roman"/>
          <w:b/>
          <w:sz w:val="24"/>
          <w:szCs w:val="24"/>
        </w:rPr>
        <w:t xml:space="preserve"> and </w:t>
      </w:r>
      <w:r w:rsidR="00CE01CE">
        <w:rPr>
          <w:rFonts w:ascii="Times New Roman" w:hAnsi="Times New Roman" w:cs="Times New Roman"/>
          <w:b/>
          <w:i/>
          <w:iCs/>
          <w:sz w:val="24"/>
          <w:szCs w:val="24"/>
        </w:rPr>
        <w:t xml:space="preserve">Garcinia kola </w:t>
      </w:r>
      <w:r w:rsidR="00CE01CE">
        <w:rPr>
          <w:rFonts w:ascii="Times New Roman" w:hAnsi="Times New Roman" w:cs="Times New Roman"/>
          <w:b/>
          <w:sz w:val="24"/>
          <w:szCs w:val="24"/>
        </w:rPr>
        <w:t>seeds</w:t>
      </w:r>
    </w:p>
    <w:p w14:paraId="49AF8DCD" w14:textId="4B277B5D" w:rsidR="00CA5105" w:rsidRDefault="009761AB" w:rsidP="00013C0C">
      <w:pPr>
        <w:pStyle w:val="NoSpacing"/>
        <w:spacing w:line="480" w:lineRule="auto"/>
        <w:jc w:val="both"/>
        <w:rPr>
          <w:rFonts w:ascii="Times New Roman" w:hAnsi="Times New Roman" w:cs="Times New Roman"/>
          <w:sz w:val="24"/>
          <w:szCs w:val="24"/>
        </w:rPr>
      </w:pPr>
      <w:r w:rsidRPr="009761AB">
        <w:rPr>
          <w:rFonts w:ascii="Times New Roman" w:hAnsi="Times New Roman" w:cs="Times New Roman"/>
          <w:i/>
          <w:iCs/>
          <w:sz w:val="24"/>
          <w:szCs w:val="24"/>
        </w:rPr>
        <w:t xml:space="preserve">Garcinia kola </w:t>
      </w:r>
      <w:r w:rsidRPr="009761AB">
        <w:rPr>
          <w:rFonts w:ascii="Times New Roman" w:hAnsi="Times New Roman" w:cs="Times New Roman"/>
          <w:sz w:val="24"/>
          <w:szCs w:val="24"/>
        </w:rPr>
        <w:t xml:space="preserve">seeds were obtained from </w:t>
      </w:r>
      <w:proofErr w:type="spellStart"/>
      <w:r w:rsidRPr="009761AB">
        <w:rPr>
          <w:rFonts w:ascii="Times New Roman" w:hAnsi="Times New Roman" w:cs="Times New Roman"/>
          <w:sz w:val="24"/>
          <w:szCs w:val="24"/>
        </w:rPr>
        <w:t>Nkwo</w:t>
      </w:r>
      <w:proofErr w:type="spellEnd"/>
      <w:r w:rsidRPr="009761AB">
        <w:rPr>
          <w:rFonts w:ascii="Times New Roman" w:hAnsi="Times New Roman" w:cs="Times New Roman"/>
          <w:sz w:val="24"/>
          <w:szCs w:val="24"/>
        </w:rPr>
        <w:t xml:space="preserve"> Market in Nnewi, Anambra State, and were identified and authenticated by a botanist from the Department of Botany at Nnamdi Azikiwe University. The rats were fed Top Feeds Grower’s Mash Super-Deluxe animal feed, manufactured by Eastern Premier Feed Mills Ltd, a branch of Premier Feeds Mills Co. Ltd, located in Plateau State, Nigeria.</w:t>
      </w:r>
    </w:p>
    <w:p w14:paraId="16696A92" w14:textId="77777777" w:rsidR="009761AB" w:rsidRDefault="009761AB" w:rsidP="00013C0C">
      <w:pPr>
        <w:pStyle w:val="NoSpacing"/>
        <w:spacing w:line="480" w:lineRule="auto"/>
        <w:jc w:val="both"/>
        <w:rPr>
          <w:rFonts w:ascii="Times New Roman" w:hAnsi="Times New Roman" w:cs="Times New Roman"/>
          <w:b/>
          <w:bCs/>
          <w:sz w:val="24"/>
          <w:szCs w:val="24"/>
        </w:rPr>
      </w:pPr>
    </w:p>
    <w:p w14:paraId="57FD0A0D" w14:textId="77777777" w:rsidR="002D3074" w:rsidRDefault="002D3074" w:rsidP="00013C0C">
      <w:pPr>
        <w:pStyle w:val="NoSpacing"/>
        <w:spacing w:line="480" w:lineRule="auto"/>
        <w:jc w:val="both"/>
        <w:rPr>
          <w:rFonts w:ascii="Times New Roman" w:hAnsi="Times New Roman" w:cs="Times New Roman"/>
          <w:b/>
          <w:bCs/>
          <w:sz w:val="24"/>
          <w:szCs w:val="24"/>
        </w:rPr>
      </w:pPr>
    </w:p>
    <w:p w14:paraId="7D341361" w14:textId="77777777" w:rsidR="002D3074" w:rsidRDefault="002D3074" w:rsidP="00013C0C">
      <w:pPr>
        <w:pStyle w:val="NoSpacing"/>
        <w:spacing w:line="480" w:lineRule="auto"/>
        <w:jc w:val="both"/>
        <w:rPr>
          <w:rFonts w:ascii="Times New Roman" w:hAnsi="Times New Roman" w:cs="Times New Roman"/>
          <w:b/>
          <w:bCs/>
          <w:sz w:val="24"/>
          <w:szCs w:val="24"/>
        </w:rPr>
      </w:pPr>
    </w:p>
    <w:p w14:paraId="77CBABE1" w14:textId="77777777" w:rsidR="002D3074" w:rsidRDefault="002D3074" w:rsidP="00013C0C">
      <w:pPr>
        <w:pStyle w:val="NoSpacing"/>
        <w:spacing w:line="480" w:lineRule="auto"/>
        <w:jc w:val="both"/>
        <w:rPr>
          <w:rFonts w:ascii="Times New Roman" w:hAnsi="Times New Roman" w:cs="Times New Roman"/>
          <w:b/>
          <w:bCs/>
          <w:sz w:val="24"/>
          <w:szCs w:val="24"/>
        </w:rPr>
      </w:pPr>
    </w:p>
    <w:p w14:paraId="6EDFC085" w14:textId="50C7A749" w:rsidR="00CA5105" w:rsidRDefault="00B34C3B" w:rsidP="00013C0C">
      <w:pPr>
        <w:pStyle w:val="NoSpacing"/>
        <w:spacing w:line="480" w:lineRule="auto"/>
        <w:jc w:val="both"/>
        <w:rPr>
          <w:rFonts w:ascii="Times New Roman" w:hAnsi="Times New Roman" w:cs="Times New Roman"/>
          <w:b/>
          <w:bCs/>
          <w:sz w:val="24"/>
          <w:szCs w:val="24"/>
        </w:rPr>
      </w:pPr>
      <w:r w:rsidRPr="00684B93">
        <w:rPr>
          <w:rFonts w:ascii="Times New Roman" w:hAnsi="Times New Roman" w:cs="Times New Roman"/>
          <w:b/>
          <w:bCs/>
          <w:sz w:val="24"/>
          <w:szCs w:val="24"/>
        </w:rPr>
        <w:t xml:space="preserve">2.2 </w:t>
      </w:r>
      <w:r w:rsidRPr="00684B93">
        <w:rPr>
          <w:rFonts w:ascii="Times New Roman" w:hAnsi="Times New Roman" w:cs="Times New Roman"/>
          <w:b/>
          <w:bCs/>
          <w:sz w:val="24"/>
          <w:szCs w:val="24"/>
        </w:rPr>
        <w:tab/>
      </w:r>
      <w:r w:rsidR="00CA5105" w:rsidRPr="00684B93">
        <w:rPr>
          <w:rFonts w:ascii="Times New Roman" w:hAnsi="Times New Roman" w:cs="Times New Roman"/>
          <w:b/>
          <w:bCs/>
          <w:sz w:val="24"/>
          <w:szCs w:val="24"/>
        </w:rPr>
        <w:t>Methods</w:t>
      </w:r>
    </w:p>
    <w:p w14:paraId="115500E4" w14:textId="01C7965C" w:rsidR="009761AB" w:rsidRDefault="009761AB" w:rsidP="00013C0C">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Pr>
          <w:rFonts w:ascii="Times New Roman" w:hAnsi="Times New Roman" w:cs="Times New Roman"/>
          <w:b/>
          <w:bCs/>
          <w:sz w:val="24"/>
          <w:szCs w:val="24"/>
        </w:rPr>
        <w:tab/>
        <w:t>Determination of LD-50</w:t>
      </w:r>
    </w:p>
    <w:p w14:paraId="52443B1F" w14:textId="14A86C9A" w:rsidR="00373CBE" w:rsidRDefault="00BE12D6" w:rsidP="00BE12D6">
      <w:pPr>
        <w:pStyle w:val="NoSpacing"/>
        <w:spacing w:line="480" w:lineRule="auto"/>
        <w:jc w:val="both"/>
        <w:rPr>
          <w:rFonts w:ascii="Times New Roman" w:hAnsi="Times New Roman" w:cs="Times New Roman"/>
          <w:sz w:val="24"/>
          <w:szCs w:val="24"/>
        </w:rPr>
      </w:pPr>
      <w:r w:rsidRPr="00BE12D6">
        <w:rPr>
          <w:rFonts w:ascii="Times New Roman" w:hAnsi="Times New Roman" w:cs="Times New Roman"/>
          <w:sz w:val="24"/>
          <w:szCs w:val="24"/>
        </w:rPr>
        <w:t xml:space="preserve">When studying the ameliorative (therapeutic) effect of a drug on a disease in Wistar rats, </w:t>
      </w:r>
      <w:bookmarkStart w:id="6" w:name="_Hlk181954495"/>
      <w:r w:rsidRPr="00BE12D6">
        <w:rPr>
          <w:rFonts w:ascii="Times New Roman" w:hAnsi="Times New Roman" w:cs="Times New Roman"/>
          <w:sz w:val="24"/>
          <w:szCs w:val="24"/>
        </w:rPr>
        <w:t xml:space="preserve">lethal dose determination (LD) </w:t>
      </w:r>
      <w:bookmarkEnd w:id="6"/>
      <w:r w:rsidRPr="00BE12D6">
        <w:rPr>
          <w:rFonts w:ascii="Times New Roman" w:hAnsi="Times New Roman" w:cs="Times New Roman"/>
          <w:sz w:val="24"/>
          <w:szCs w:val="24"/>
        </w:rPr>
        <w:t xml:space="preserve">isn't directly involved, as LD studies aim to evaluate the toxicity profile rather than therapeutic effects. However, a toxicity assessment </w:t>
      </w:r>
      <w:r>
        <w:rPr>
          <w:rFonts w:ascii="Times New Roman" w:hAnsi="Times New Roman" w:cs="Times New Roman"/>
          <w:sz w:val="24"/>
          <w:szCs w:val="24"/>
        </w:rPr>
        <w:t>was employed to establish the median toxicity of lead</w:t>
      </w:r>
      <w:r w:rsidR="00373CBE">
        <w:rPr>
          <w:rFonts w:ascii="Times New Roman" w:hAnsi="Times New Roman" w:cs="Times New Roman"/>
          <w:sz w:val="24"/>
          <w:szCs w:val="24"/>
        </w:rPr>
        <w:t xml:space="preserve"> </w:t>
      </w:r>
      <w:r w:rsidR="00FF6F76">
        <w:rPr>
          <w:rFonts w:ascii="Times New Roman" w:hAnsi="Times New Roman" w:cs="Times New Roman"/>
          <w:sz w:val="24"/>
          <w:szCs w:val="24"/>
        </w:rPr>
        <w:t xml:space="preserve">acetate </w:t>
      </w:r>
      <w:r w:rsidR="00373CBE">
        <w:rPr>
          <w:rFonts w:ascii="Times New Roman" w:hAnsi="Times New Roman" w:cs="Times New Roman"/>
          <w:sz w:val="24"/>
          <w:szCs w:val="24"/>
        </w:rPr>
        <w:t>to the animals</w:t>
      </w:r>
      <w:r>
        <w:rPr>
          <w:rFonts w:ascii="Times New Roman" w:hAnsi="Times New Roman" w:cs="Times New Roman"/>
          <w:sz w:val="24"/>
          <w:szCs w:val="24"/>
        </w:rPr>
        <w:t xml:space="preserve">. </w:t>
      </w:r>
      <w:r w:rsidRPr="00BE12D6">
        <w:rPr>
          <w:rFonts w:ascii="Times New Roman" w:hAnsi="Times New Roman" w:cs="Times New Roman"/>
          <w:sz w:val="24"/>
          <w:szCs w:val="24"/>
        </w:rPr>
        <w:t xml:space="preserve">The OECD Guidelines for the Testing of Chemicals provide standardized methods for determining acute and chronic toxicity, including lethal dose determination, which can help define the drug's safe starting dose. </w:t>
      </w:r>
      <w:r>
        <w:rPr>
          <w:rFonts w:ascii="Times New Roman" w:hAnsi="Times New Roman" w:cs="Times New Roman"/>
          <w:sz w:val="24"/>
          <w:szCs w:val="24"/>
        </w:rPr>
        <w:t xml:space="preserve">The study employed </w:t>
      </w:r>
      <w:r w:rsidR="00373CBE">
        <w:rPr>
          <w:rFonts w:ascii="Times New Roman" w:hAnsi="Times New Roman" w:cs="Times New Roman"/>
          <w:sz w:val="24"/>
          <w:szCs w:val="24"/>
        </w:rPr>
        <w:t>OECD</w:t>
      </w:r>
      <w:r>
        <w:rPr>
          <w:rFonts w:ascii="Times New Roman" w:hAnsi="Times New Roman" w:cs="Times New Roman"/>
          <w:sz w:val="24"/>
          <w:szCs w:val="24"/>
        </w:rPr>
        <w:t xml:space="preserve"> 425</w:t>
      </w:r>
      <w:r w:rsidR="00373CBE">
        <w:rPr>
          <w:rFonts w:ascii="Times New Roman" w:hAnsi="Times New Roman" w:cs="Times New Roman"/>
          <w:sz w:val="24"/>
          <w:szCs w:val="24"/>
        </w:rPr>
        <w:t xml:space="preserve"> – t</w:t>
      </w:r>
      <w:r w:rsidR="00373CBE" w:rsidRPr="00373CBE">
        <w:rPr>
          <w:rFonts w:ascii="Times New Roman" w:hAnsi="Times New Roman" w:cs="Times New Roman"/>
          <w:sz w:val="24"/>
          <w:szCs w:val="24"/>
        </w:rPr>
        <w:t>he</w:t>
      </w:r>
      <w:r w:rsidR="00373CBE">
        <w:rPr>
          <w:rFonts w:ascii="Times New Roman" w:hAnsi="Times New Roman" w:cs="Times New Roman"/>
          <w:sz w:val="24"/>
          <w:szCs w:val="24"/>
        </w:rPr>
        <w:t xml:space="preserve"> </w:t>
      </w:r>
      <w:r w:rsidR="00373CBE" w:rsidRPr="00373CBE">
        <w:rPr>
          <w:rFonts w:ascii="Times New Roman" w:hAnsi="Times New Roman" w:cs="Times New Roman"/>
          <w:sz w:val="24"/>
          <w:szCs w:val="24"/>
        </w:rPr>
        <w:t>Up-and-Down Procedure</w:t>
      </w:r>
      <w:r>
        <w:rPr>
          <w:rFonts w:ascii="Times New Roman" w:hAnsi="Times New Roman" w:cs="Times New Roman"/>
          <w:sz w:val="24"/>
          <w:szCs w:val="24"/>
        </w:rPr>
        <w:t>.</w:t>
      </w:r>
      <w:r w:rsidR="00373CBE">
        <w:rPr>
          <w:rFonts w:ascii="Times New Roman" w:hAnsi="Times New Roman" w:cs="Times New Roman"/>
          <w:sz w:val="24"/>
          <w:szCs w:val="24"/>
        </w:rPr>
        <w:t xml:space="preserve"> This procedure </w:t>
      </w:r>
      <w:r w:rsidR="00373CBE" w:rsidRPr="00373CBE">
        <w:rPr>
          <w:rFonts w:ascii="Times New Roman" w:hAnsi="Times New Roman" w:cs="Times New Roman"/>
          <w:sz w:val="24"/>
          <w:szCs w:val="24"/>
        </w:rPr>
        <w:t>sequentially administers doses based on the outcome of previous administrations, allowing for a more refined LD50 estimate with minimal animal use</w:t>
      </w:r>
      <w:r w:rsidR="00373CBE">
        <w:rPr>
          <w:rFonts w:ascii="Times New Roman" w:hAnsi="Times New Roman" w:cs="Times New Roman"/>
          <w:sz w:val="24"/>
          <w:szCs w:val="24"/>
        </w:rPr>
        <w:t xml:space="preserve"> [8].</w:t>
      </w:r>
    </w:p>
    <w:p w14:paraId="249A6CEB" w14:textId="77777777" w:rsidR="00FF6F76" w:rsidRDefault="00FF6F76" w:rsidP="00BE12D6">
      <w:pPr>
        <w:pStyle w:val="NoSpacing"/>
        <w:spacing w:line="480" w:lineRule="auto"/>
        <w:jc w:val="both"/>
        <w:rPr>
          <w:rFonts w:ascii="Times New Roman" w:hAnsi="Times New Roman" w:cs="Times New Roman"/>
          <w:sz w:val="24"/>
          <w:szCs w:val="24"/>
        </w:rPr>
      </w:pPr>
    </w:p>
    <w:p w14:paraId="581F45E6" w14:textId="77777777" w:rsidR="00E204EA" w:rsidRPr="00FF3E2D" w:rsidRDefault="00FF6F76" w:rsidP="00E204EA">
      <w:pPr>
        <w:pStyle w:val="NoSpacing"/>
        <w:spacing w:line="480" w:lineRule="auto"/>
        <w:jc w:val="both"/>
        <w:rPr>
          <w:rFonts w:ascii="Times New Roman" w:hAnsi="Times New Roman" w:cs="Times New Roman"/>
          <w:b/>
          <w:bCs/>
          <w:sz w:val="24"/>
          <w:szCs w:val="24"/>
        </w:rPr>
      </w:pPr>
      <w:r w:rsidRPr="00D11502">
        <w:rPr>
          <w:rFonts w:ascii="Times New Roman" w:hAnsi="Times New Roman" w:cs="Times New Roman"/>
          <w:b/>
          <w:bCs/>
          <w:sz w:val="24"/>
          <w:szCs w:val="24"/>
        </w:rPr>
        <w:t xml:space="preserve">2.2.2 </w:t>
      </w:r>
      <w:r w:rsidRPr="00D11502">
        <w:rPr>
          <w:rFonts w:ascii="Times New Roman" w:hAnsi="Times New Roman" w:cs="Times New Roman"/>
          <w:b/>
          <w:bCs/>
          <w:sz w:val="24"/>
          <w:szCs w:val="24"/>
        </w:rPr>
        <w:tab/>
      </w:r>
      <w:r w:rsidR="00E204EA" w:rsidRPr="00FF3E2D">
        <w:rPr>
          <w:rFonts w:ascii="Times New Roman" w:hAnsi="Times New Roman" w:cs="Times New Roman"/>
          <w:b/>
          <w:bCs/>
          <w:sz w:val="24"/>
          <w:szCs w:val="24"/>
        </w:rPr>
        <w:t xml:space="preserve">Preparation of </w:t>
      </w:r>
      <w:r w:rsidR="00E204EA" w:rsidRPr="00FF3E2D">
        <w:rPr>
          <w:rFonts w:ascii="Times New Roman" w:hAnsi="Times New Roman" w:cs="Times New Roman"/>
          <w:b/>
          <w:bCs/>
          <w:i/>
          <w:iCs/>
          <w:sz w:val="24"/>
          <w:szCs w:val="24"/>
        </w:rPr>
        <w:t>Garcinia kola</w:t>
      </w:r>
      <w:r w:rsidR="00E204EA" w:rsidRPr="00FF3E2D">
        <w:rPr>
          <w:rFonts w:ascii="Times New Roman" w:hAnsi="Times New Roman" w:cs="Times New Roman"/>
          <w:b/>
          <w:bCs/>
          <w:sz w:val="24"/>
          <w:szCs w:val="24"/>
        </w:rPr>
        <w:t xml:space="preserve"> for oral administration</w:t>
      </w:r>
    </w:p>
    <w:p w14:paraId="42C97161"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 xml:space="preserve">The process of preparing </w:t>
      </w:r>
      <w:r w:rsidRPr="00FF3E2D">
        <w:rPr>
          <w:rFonts w:ascii="Times New Roman" w:hAnsi="Times New Roman" w:cs="Times New Roman"/>
          <w:i/>
          <w:iCs/>
          <w:sz w:val="24"/>
          <w:szCs w:val="24"/>
        </w:rPr>
        <w:t>Garcinia kola</w:t>
      </w:r>
      <w:r w:rsidRPr="00FF3E2D">
        <w:rPr>
          <w:rFonts w:ascii="Times New Roman" w:hAnsi="Times New Roman" w:cs="Times New Roman"/>
          <w:sz w:val="24"/>
          <w:szCs w:val="24"/>
        </w:rPr>
        <w:t xml:space="preserve"> seeds for oral administration to Wistar rats involved cleaning, drying, grinding, and dosing according to established protocols in experimental pharmacology and toxicology studies [</w:t>
      </w:r>
      <w:r>
        <w:rPr>
          <w:rFonts w:ascii="Times New Roman" w:hAnsi="Times New Roman" w:cs="Times New Roman"/>
          <w:sz w:val="24"/>
          <w:szCs w:val="24"/>
        </w:rPr>
        <w:t xml:space="preserve">6, </w:t>
      </w:r>
      <w:r w:rsidRPr="00FF3E2D">
        <w:rPr>
          <w:rFonts w:ascii="Times New Roman" w:hAnsi="Times New Roman" w:cs="Times New Roman"/>
          <w:sz w:val="24"/>
          <w:szCs w:val="24"/>
        </w:rPr>
        <w:t>9-1</w:t>
      </w:r>
      <w:r>
        <w:rPr>
          <w:rFonts w:ascii="Times New Roman" w:hAnsi="Times New Roman" w:cs="Times New Roman"/>
          <w:sz w:val="24"/>
          <w:szCs w:val="24"/>
        </w:rPr>
        <w:t>2</w:t>
      </w:r>
      <w:r w:rsidRPr="00FF3E2D">
        <w:rPr>
          <w:rFonts w:ascii="Times New Roman" w:hAnsi="Times New Roman" w:cs="Times New Roman"/>
          <w:sz w:val="24"/>
          <w:szCs w:val="24"/>
        </w:rPr>
        <w:t>].</w:t>
      </w:r>
    </w:p>
    <w:p w14:paraId="450F7480" w14:textId="77777777" w:rsidR="00E204EA" w:rsidRPr="00FF3E2D" w:rsidRDefault="00E204EA" w:rsidP="00E204EA">
      <w:pPr>
        <w:pStyle w:val="NoSpacing"/>
        <w:spacing w:line="480" w:lineRule="auto"/>
        <w:jc w:val="both"/>
        <w:rPr>
          <w:rFonts w:ascii="Times New Roman" w:hAnsi="Times New Roman" w:cs="Times New Roman"/>
          <w:b/>
          <w:bCs/>
          <w:sz w:val="24"/>
          <w:szCs w:val="24"/>
        </w:rPr>
      </w:pPr>
    </w:p>
    <w:p w14:paraId="7CF5194E"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 xml:space="preserve">Fresh </w:t>
      </w:r>
      <w:r w:rsidRPr="00FF3E2D">
        <w:rPr>
          <w:rFonts w:ascii="Times New Roman" w:hAnsi="Times New Roman" w:cs="Times New Roman"/>
          <w:i/>
          <w:iCs/>
          <w:sz w:val="24"/>
          <w:szCs w:val="24"/>
        </w:rPr>
        <w:t>Garcinia kola</w:t>
      </w:r>
      <w:r w:rsidRPr="00FF3E2D">
        <w:rPr>
          <w:rFonts w:ascii="Times New Roman" w:hAnsi="Times New Roman" w:cs="Times New Roman"/>
          <w:sz w:val="24"/>
          <w:szCs w:val="24"/>
        </w:rPr>
        <w:t xml:space="preserve"> seeds were collected and cleaned thoroughly with distilled water to remove any dirt or contaminants on the surface. The seeds were then air-dried under shade at room temperature until they are completely dry. This helped to prevent fungal growth and reduced moisture content, making the seeds easier to grind. The dried seeds were ground into a fine </w:t>
      </w:r>
      <w:r w:rsidRPr="00FF3E2D">
        <w:rPr>
          <w:rFonts w:ascii="Times New Roman" w:hAnsi="Times New Roman" w:cs="Times New Roman"/>
          <w:sz w:val="24"/>
          <w:szCs w:val="24"/>
        </w:rPr>
        <w:lastRenderedPageBreak/>
        <w:t>powder using a laboratory mill or grinder. The powder form increased the surface area, allowing for more consistent dosing and easier administration to rats. The powder was suspended in distilled water to ensure uniform dosing. The prepared suspension was administered orally.</w:t>
      </w:r>
    </w:p>
    <w:p w14:paraId="61D8B820" w14:textId="77777777" w:rsidR="00E204EA" w:rsidRPr="00FF3E2D" w:rsidRDefault="00E204EA" w:rsidP="00E204EA">
      <w:pPr>
        <w:pStyle w:val="NoSpacing"/>
        <w:spacing w:line="480" w:lineRule="auto"/>
        <w:jc w:val="both"/>
        <w:rPr>
          <w:rFonts w:ascii="Times New Roman" w:hAnsi="Times New Roman" w:cs="Times New Roman"/>
          <w:b/>
          <w:bCs/>
          <w:sz w:val="24"/>
          <w:szCs w:val="24"/>
        </w:rPr>
      </w:pPr>
    </w:p>
    <w:p w14:paraId="521C87F4" w14:textId="3C4F5B63" w:rsidR="00E204EA" w:rsidRPr="00FF3E2D" w:rsidRDefault="00E204EA" w:rsidP="00E204EA">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2.2.3 </w:t>
      </w:r>
      <w:r>
        <w:rPr>
          <w:rFonts w:ascii="Times New Roman" w:hAnsi="Times New Roman" w:cs="Times New Roman"/>
          <w:b/>
          <w:sz w:val="24"/>
          <w:szCs w:val="24"/>
        </w:rPr>
        <w:tab/>
      </w:r>
      <w:r w:rsidRPr="00FF3E2D">
        <w:rPr>
          <w:rFonts w:ascii="Times New Roman" w:hAnsi="Times New Roman" w:cs="Times New Roman"/>
          <w:b/>
          <w:sz w:val="24"/>
          <w:szCs w:val="24"/>
        </w:rPr>
        <w:t>Experimental Protocol</w:t>
      </w:r>
    </w:p>
    <w:p w14:paraId="2B987DCC"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The rats were weighed before the start of the experiment using a weighing scale with a 6000g capacity (model WT6000GT, manufactured by Want Balance Instrument Company Limited, China). Throughout the acclimatization and experimental periods, the rats were provided ad libitum with standard pelleted feed and clean tap water. The cages and environment were cleaned and disinfected daily.</w:t>
      </w:r>
    </w:p>
    <w:p w14:paraId="141ED301" w14:textId="77777777" w:rsidR="00E204EA" w:rsidRPr="00FF3E2D" w:rsidRDefault="00E204EA" w:rsidP="00E204EA">
      <w:pPr>
        <w:pStyle w:val="NoSpacing"/>
        <w:spacing w:line="480" w:lineRule="auto"/>
        <w:jc w:val="both"/>
        <w:rPr>
          <w:rFonts w:ascii="Times New Roman" w:hAnsi="Times New Roman" w:cs="Times New Roman"/>
          <w:sz w:val="24"/>
          <w:szCs w:val="24"/>
        </w:rPr>
      </w:pPr>
    </w:p>
    <w:p w14:paraId="7D91834F"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 xml:space="preserve">The rats were divided into five groups, each containing five rats, and housed in four large, mesh cages. All animals received food and water. Group A served as the control group. After determining the LD-50, group B was given 60mg of lead acetate, along with feed and water, for the entire experiment. Group C received 60mg of lead acetate for 14 days, followed by immediate treatment with 150mg/kg of an aqueous extract of </w:t>
      </w:r>
      <w:r w:rsidRPr="00FF3E2D">
        <w:rPr>
          <w:rFonts w:ascii="Times New Roman" w:hAnsi="Times New Roman" w:cs="Times New Roman"/>
          <w:i/>
          <w:iCs/>
          <w:sz w:val="24"/>
          <w:szCs w:val="24"/>
        </w:rPr>
        <w:t>Garcinia kola</w:t>
      </w:r>
      <w:r w:rsidRPr="00FF3E2D">
        <w:rPr>
          <w:rFonts w:ascii="Times New Roman" w:hAnsi="Times New Roman" w:cs="Times New Roman"/>
          <w:sz w:val="24"/>
          <w:szCs w:val="24"/>
        </w:rPr>
        <w:t xml:space="preserve"> seed. Group D received the same initial dose of lead acetate for 14 days, then was treated with 300mg/kg of the </w:t>
      </w:r>
      <w:r w:rsidRPr="00FF3E2D">
        <w:rPr>
          <w:rFonts w:ascii="Times New Roman" w:hAnsi="Times New Roman" w:cs="Times New Roman"/>
          <w:i/>
          <w:iCs/>
          <w:sz w:val="24"/>
          <w:szCs w:val="24"/>
        </w:rPr>
        <w:t>Garcinia kola</w:t>
      </w:r>
      <w:r w:rsidRPr="00FF3E2D">
        <w:rPr>
          <w:rFonts w:ascii="Times New Roman" w:hAnsi="Times New Roman" w:cs="Times New Roman"/>
          <w:sz w:val="24"/>
          <w:szCs w:val="24"/>
        </w:rPr>
        <w:t xml:space="preserve"> seed extract. Group E also received 60mg of lead acetate for 14 days, followed by 600mg/kg of the </w:t>
      </w:r>
      <w:r w:rsidRPr="00FF3E2D">
        <w:rPr>
          <w:rFonts w:ascii="Times New Roman" w:hAnsi="Times New Roman" w:cs="Times New Roman"/>
          <w:i/>
          <w:iCs/>
          <w:sz w:val="24"/>
          <w:szCs w:val="24"/>
        </w:rPr>
        <w:t>Garcinia kola</w:t>
      </w:r>
      <w:r w:rsidRPr="00FF3E2D">
        <w:rPr>
          <w:rFonts w:ascii="Times New Roman" w:hAnsi="Times New Roman" w:cs="Times New Roman"/>
          <w:sz w:val="24"/>
          <w:szCs w:val="24"/>
        </w:rPr>
        <w:t xml:space="preserve"> seed extract. Lead administration for groups B to E lasted 14 days, while the extract was given orally to groups C to E for 21 days.</w:t>
      </w:r>
    </w:p>
    <w:p w14:paraId="52676582" w14:textId="77777777" w:rsidR="00E204EA" w:rsidRDefault="00E204EA" w:rsidP="00E204EA">
      <w:pPr>
        <w:pStyle w:val="NoSpacing"/>
        <w:spacing w:line="480" w:lineRule="auto"/>
        <w:jc w:val="both"/>
        <w:rPr>
          <w:rFonts w:ascii="Times New Roman" w:hAnsi="Times New Roman" w:cs="Times New Roman"/>
          <w:sz w:val="24"/>
          <w:szCs w:val="24"/>
        </w:rPr>
      </w:pPr>
    </w:p>
    <w:p w14:paraId="62BAD8A6" w14:textId="77777777" w:rsidR="00E204EA" w:rsidRDefault="00E204EA" w:rsidP="00E204EA">
      <w:pPr>
        <w:pStyle w:val="NoSpacing"/>
        <w:spacing w:line="480" w:lineRule="auto"/>
        <w:jc w:val="both"/>
        <w:rPr>
          <w:rFonts w:ascii="Times New Roman" w:hAnsi="Times New Roman" w:cs="Times New Roman"/>
          <w:sz w:val="24"/>
          <w:szCs w:val="24"/>
        </w:rPr>
      </w:pPr>
    </w:p>
    <w:p w14:paraId="5095E196" w14:textId="77777777" w:rsidR="00E204EA" w:rsidRDefault="00E204EA" w:rsidP="00E204EA">
      <w:pPr>
        <w:pStyle w:val="NoSpacing"/>
        <w:spacing w:line="480" w:lineRule="auto"/>
        <w:jc w:val="both"/>
        <w:rPr>
          <w:rFonts w:ascii="Times New Roman" w:hAnsi="Times New Roman" w:cs="Times New Roman"/>
          <w:sz w:val="24"/>
          <w:szCs w:val="24"/>
        </w:rPr>
      </w:pPr>
    </w:p>
    <w:p w14:paraId="0162995B" w14:textId="77777777" w:rsidR="00E204EA" w:rsidRPr="00FF3E2D" w:rsidRDefault="00E204EA" w:rsidP="00E204EA">
      <w:pPr>
        <w:pStyle w:val="NoSpacing"/>
        <w:spacing w:line="480" w:lineRule="auto"/>
        <w:jc w:val="both"/>
        <w:rPr>
          <w:rFonts w:ascii="Times New Roman" w:hAnsi="Times New Roman" w:cs="Times New Roman"/>
          <w:sz w:val="24"/>
          <w:szCs w:val="24"/>
        </w:rPr>
      </w:pPr>
    </w:p>
    <w:p w14:paraId="63AE1726" w14:textId="410A5CE7" w:rsidR="00E204EA" w:rsidRPr="00FF3E2D" w:rsidRDefault="00E204EA" w:rsidP="00E204EA">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2.2.4 </w:t>
      </w:r>
      <w:r>
        <w:rPr>
          <w:rFonts w:ascii="Times New Roman" w:hAnsi="Times New Roman" w:cs="Times New Roman"/>
          <w:b/>
          <w:sz w:val="24"/>
          <w:szCs w:val="24"/>
        </w:rPr>
        <w:tab/>
      </w:r>
      <w:r w:rsidRPr="00FF3E2D">
        <w:rPr>
          <w:rFonts w:ascii="Times New Roman" w:hAnsi="Times New Roman" w:cs="Times New Roman"/>
          <w:b/>
          <w:sz w:val="24"/>
          <w:szCs w:val="24"/>
        </w:rPr>
        <w:t>Animal Euthanasia</w:t>
      </w:r>
    </w:p>
    <w:p w14:paraId="28BAEE5D" w14:textId="1A4BCD2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The euthanasia of the Wistar rats adhered strictly to Nnamdi Azikiwe University animal welfare regulations, ethical considerations, and guidelines which conform with established protocols in</w:t>
      </w:r>
      <w:r w:rsidR="00F8360C">
        <w:rPr>
          <w:rFonts w:ascii="Times New Roman" w:hAnsi="Times New Roman" w:cs="Times New Roman"/>
          <w:sz w:val="24"/>
          <w:szCs w:val="24"/>
        </w:rPr>
        <w:t xml:space="preserve"> </w:t>
      </w:r>
      <w:r w:rsidRPr="00FF3E2D">
        <w:rPr>
          <w:rFonts w:ascii="Times New Roman" w:hAnsi="Times New Roman" w:cs="Times New Roman"/>
          <w:sz w:val="24"/>
          <w:szCs w:val="24"/>
        </w:rPr>
        <w:t>experimental studies involving Wistar rats [1</w:t>
      </w:r>
      <w:r>
        <w:rPr>
          <w:rFonts w:ascii="Times New Roman" w:hAnsi="Times New Roman" w:cs="Times New Roman"/>
          <w:sz w:val="24"/>
          <w:szCs w:val="24"/>
        </w:rPr>
        <w:t>3</w:t>
      </w:r>
      <w:r w:rsidRPr="00FF3E2D">
        <w:rPr>
          <w:rFonts w:ascii="Times New Roman" w:hAnsi="Times New Roman" w:cs="Times New Roman"/>
          <w:sz w:val="24"/>
          <w:szCs w:val="24"/>
        </w:rPr>
        <w:t>].</w:t>
      </w:r>
    </w:p>
    <w:p w14:paraId="26572C4B" w14:textId="77777777" w:rsidR="00E204EA" w:rsidRPr="00FF3E2D" w:rsidRDefault="00E204EA" w:rsidP="00E204EA">
      <w:pPr>
        <w:pStyle w:val="NoSpacing"/>
        <w:spacing w:line="480" w:lineRule="auto"/>
        <w:jc w:val="both"/>
        <w:rPr>
          <w:rFonts w:ascii="Times New Roman" w:hAnsi="Times New Roman" w:cs="Times New Roman"/>
          <w:sz w:val="24"/>
          <w:szCs w:val="24"/>
        </w:rPr>
      </w:pPr>
    </w:p>
    <w:p w14:paraId="794B1029"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Animals were euthanized using inhalant anesthesia overdose (CO₂ gas). The gas flow rate displaced 10–30% of the chamber volume per minute to avoid distress. The animal was monitored for unconsciousness, which was followed by euthanasia confirmation after complete cessation of respiratory and cardiac function. Euthanasia was confirmed by assessing the absence of heartbeat, respiration, and reflexes (e.g., corneal reflexes). The carcasses of the Wistar rats were disposed of following institutional biosafety protocols.</w:t>
      </w:r>
    </w:p>
    <w:p w14:paraId="4FB7E9B5" w14:textId="77777777" w:rsidR="00E204EA" w:rsidRPr="00FF3E2D" w:rsidRDefault="00E204EA" w:rsidP="00E204EA">
      <w:pPr>
        <w:pStyle w:val="NoSpacing"/>
        <w:spacing w:line="480" w:lineRule="auto"/>
        <w:jc w:val="both"/>
        <w:rPr>
          <w:rFonts w:ascii="Times New Roman" w:hAnsi="Times New Roman" w:cs="Times New Roman"/>
          <w:sz w:val="24"/>
          <w:szCs w:val="24"/>
        </w:rPr>
      </w:pPr>
    </w:p>
    <w:p w14:paraId="5D8DA57C" w14:textId="4AB0859A" w:rsidR="00E204EA" w:rsidRPr="00FF3E2D" w:rsidRDefault="00E204EA" w:rsidP="00E204EA">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2.2.5 </w:t>
      </w:r>
      <w:r>
        <w:rPr>
          <w:rFonts w:ascii="Times New Roman" w:hAnsi="Times New Roman" w:cs="Times New Roman"/>
          <w:b/>
          <w:sz w:val="24"/>
          <w:szCs w:val="24"/>
        </w:rPr>
        <w:tab/>
      </w:r>
      <w:r w:rsidRPr="00FF3E2D">
        <w:rPr>
          <w:rFonts w:ascii="Times New Roman" w:hAnsi="Times New Roman" w:cs="Times New Roman"/>
          <w:b/>
          <w:sz w:val="24"/>
          <w:szCs w:val="24"/>
        </w:rPr>
        <w:t xml:space="preserve">Blood collection </w:t>
      </w:r>
    </w:p>
    <w:p w14:paraId="1E1272FF"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Blood samples were collected via ocular puncture into plastic plain tubes. The blood samples were allowed to stand for 30 mins to ensure complete clotting. The clotted blood sample was centrifuged (using 800D Electric Centrifuge Machine with 4000</w:t>
      </w:r>
      <w:bookmarkStart w:id="7" w:name="_Hlk178156333"/>
      <w:r w:rsidRPr="00FF3E2D">
        <w:rPr>
          <w:rFonts w:ascii="Times New Roman" w:hAnsi="Times New Roman" w:cs="Times New Roman"/>
          <w:sz w:val="24"/>
          <w:szCs w:val="24"/>
        </w:rPr>
        <w:t>RPM</w:t>
      </w:r>
      <w:bookmarkEnd w:id="7"/>
      <w:r w:rsidRPr="00FF3E2D">
        <w:rPr>
          <w:rFonts w:ascii="Times New Roman" w:hAnsi="Times New Roman" w:cs="Times New Roman"/>
          <w:sz w:val="24"/>
          <w:szCs w:val="24"/>
        </w:rPr>
        <w:t xml:space="preserve"> W/ 6X20Ml Rotor capacity) at 2500rpm (rotary per minutes) for 10 min and clear serum samples were aspirated off and stored frozen at -2</w:t>
      </w:r>
      <w:r w:rsidRPr="00FF3E2D">
        <w:rPr>
          <w:rFonts w:ascii="Times New Roman" w:hAnsi="Times New Roman" w:cs="Times New Roman"/>
          <w:sz w:val="24"/>
          <w:szCs w:val="24"/>
          <w:vertAlign w:val="superscript"/>
        </w:rPr>
        <w:t>0</w:t>
      </w:r>
      <w:r w:rsidRPr="00FF3E2D">
        <w:rPr>
          <w:rFonts w:ascii="Times New Roman" w:hAnsi="Times New Roman" w:cs="Times New Roman"/>
          <w:sz w:val="24"/>
          <w:szCs w:val="24"/>
        </w:rPr>
        <w:t>C until required for biochemical analysis.</w:t>
      </w:r>
    </w:p>
    <w:p w14:paraId="44D25829" w14:textId="77777777" w:rsidR="00E204EA" w:rsidRPr="00FF3E2D" w:rsidRDefault="00E204EA" w:rsidP="00E204EA">
      <w:pPr>
        <w:pStyle w:val="NoSpacing"/>
        <w:spacing w:line="480" w:lineRule="auto"/>
        <w:jc w:val="both"/>
        <w:rPr>
          <w:rFonts w:ascii="Times New Roman" w:hAnsi="Times New Roman" w:cs="Times New Roman"/>
          <w:b/>
          <w:sz w:val="24"/>
          <w:szCs w:val="24"/>
        </w:rPr>
      </w:pPr>
    </w:p>
    <w:p w14:paraId="548CE739" w14:textId="3B0A61F5" w:rsidR="00E204EA" w:rsidRPr="00FF3E2D" w:rsidRDefault="00E204EA" w:rsidP="00E204EA">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2.2.6 </w:t>
      </w:r>
      <w:r>
        <w:rPr>
          <w:rFonts w:ascii="Times New Roman" w:hAnsi="Times New Roman" w:cs="Times New Roman"/>
          <w:b/>
          <w:sz w:val="24"/>
          <w:szCs w:val="24"/>
        </w:rPr>
        <w:tab/>
      </w:r>
      <w:r w:rsidRPr="00FF3E2D">
        <w:rPr>
          <w:rFonts w:ascii="Times New Roman" w:hAnsi="Times New Roman" w:cs="Times New Roman"/>
          <w:b/>
          <w:sz w:val="24"/>
          <w:szCs w:val="24"/>
        </w:rPr>
        <w:t>Kidney Function Test</w:t>
      </w:r>
    </w:p>
    <w:p w14:paraId="3C8F56BD" w14:textId="04ED7FD6"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lastRenderedPageBreak/>
        <w:t>The biochemical parameters analyzed in the serum samples included urea, creatinine, and uric acid. The kidney function test was carried out according to established protocols in rat experimental studies [1</w:t>
      </w:r>
      <w:r w:rsidR="00F8360C">
        <w:rPr>
          <w:rFonts w:ascii="Times New Roman" w:hAnsi="Times New Roman" w:cs="Times New Roman"/>
          <w:sz w:val="24"/>
          <w:szCs w:val="24"/>
        </w:rPr>
        <w:t>4</w:t>
      </w:r>
      <w:r w:rsidRPr="00FF3E2D">
        <w:rPr>
          <w:rFonts w:ascii="Times New Roman" w:hAnsi="Times New Roman" w:cs="Times New Roman"/>
          <w:sz w:val="24"/>
          <w:szCs w:val="24"/>
        </w:rPr>
        <w:t>].</w:t>
      </w:r>
    </w:p>
    <w:p w14:paraId="61FF731D" w14:textId="77777777" w:rsidR="00E204EA" w:rsidRPr="00FF3E2D" w:rsidRDefault="00E204EA" w:rsidP="00E204EA">
      <w:pPr>
        <w:pStyle w:val="NoSpacing"/>
        <w:spacing w:line="360" w:lineRule="auto"/>
        <w:jc w:val="both"/>
        <w:rPr>
          <w:rFonts w:ascii="Times New Roman" w:hAnsi="Times New Roman" w:cs="Times New Roman"/>
          <w:b/>
          <w:bCs/>
          <w:sz w:val="24"/>
          <w:szCs w:val="24"/>
        </w:rPr>
      </w:pPr>
    </w:p>
    <w:p w14:paraId="259E2F59" w14:textId="1FF0134D" w:rsidR="00AC0A1F" w:rsidRPr="00684B93" w:rsidRDefault="00AC0A1F" w:rsidP="00E204EA">
      <w:pPr>
        <w:pStyle w:val="NoSpacing"/>
        <w:spacing w:line="480" w:lineRule="auto"/>
        <w:jc w:val="both"/>
        <w:rPr>
          <w:rFonts w:ascii="Times New Roman" w:hAnsi="Times New Roman" w:cs="Times New Roman"/>
          <w:b/>
          <w:bCs/>
          <w:sz w:val="24"/>
          <w:szCs w:val="24"/>
        </w:rPr>
      </w:pPr>
    </w:p>
    <w:p w14:paraId="408B35AF" w14:textId="3290C222" w:rsidR="00AC0A1F" w:rsidRPr="00684B93" w:rsidRDefault="00B34C3B" w:rsidP="00013C0C">
      <w:pPr>
        <w:pStyle w:val="NoSpacing"/>
        <w:spacing w:line="480" w:lineRule="auto"/>
        <w:jc w:val="both"/>
        <w:rPr>
          <w:rFonts w:ascii="Times New Roman" w:hAnsi="Times New Roman" w:cs="Times New Roman"/>
          <w:b/>
          <w:bCs/>
          <w:sz w:val="24"/>
          <w:szCs w:val="24"/>
        </w:rPr>
      </w:pPr>
      <w:r w:rsidRPr="00684B93">
        <w:rPr>
          <w:rFonts w:ascii="Times New Roman" w:hAnsi="Times New Roman" w:cs="Times New Roman"/>
          <w:b/>
          <w:bCs/>
          <w:sz w:val="24"/>
          <w:szCs w:val="24"/>
        </w:rPr>
        <w:t xml:space="preserve">2.3 </w:t>
      </w:r>
      <w:r w:rsidRPr="00684B93">
        <w:rPr>
          <w:rFonts w:ascii="Times New Roman" w:hAnsi="Times New Roman" w:cs="Times New Roman"/>
          <w:b/>
          <w:bCs/>
          <w:sz w:val="24"/>
          <w:szCs w:val="24"/>
        </w:rPr>
        <w:tab/>
      </w:r>
      <w:r w:rsidR="00AC0A1F" w:rsidRPr="00684B93">
        <w:rPr>
          <w:rFonts w:ascii="Times New Roman" w:hAnsi="Times New Roman" w:cs="Times New Roman"/>
          <w:b/>
          <w:bCs/>
          <w:sz w:val="24"/>
          <w:szCs w:val="24"/>
        </w:rPr>
        <w:t>Statistical Analysis</w:t>
      </w:r>
    </w:p>
    <w:p w14:paraId="10EA8790" w14:textId="0333CB77" w:rsidR="005C1674" w:rsidRPr="00684B93" w:rsidRDefault="005C1674" w:rsidP="00013C0C">
      <w:pPr>
        <w:pStyle w:val="NoSpacing"/>
        <w:spacing w:line="480" w:lineRule="auto"/>
        <w:jc w:val="both"/>
        <w:rPr>
          <w:rFonts w:ascii="Times New Roman" w:hAnsi="Times New Roman" w:cs="Times New Roman"/>
          <w:b/>
          <w:bCs/>
          <w:sz w:val="24"/>
          <w:szCs w:val="24"/>
        </w:rPr>
      </w:pPr>
      <w:r w:rsidRPr="005C1674">
        <w:rPr>
          <w:rFonts w:ascii="Times New Roman" w:hAnsi="Times New Roman" w:cs="Times New Roman"/>
          <w:bCs/>
          <w:sz w:val="24"/>
          <w:szCs w:val="24"/>
        </w:rPr>
        <w:t xml:space="preserve">Data in this study were analyzed using </w:t>
      </w:r>
      <w:bookmarkStart w:id="8" w:name="_Hlk181954611"/>
      <w:r w:rsidRPr="005C1674">
        <w:rPr>
          <w:rFonts w:ascii="Times New Roman" w:hAnsi="Times New Roman" w:cs="Times New Roman"/>
          <w:bCs/>
          <w:sz w:val="24"/>
          <w:szCs w:val="24"/>
        </w:rPr>
        <w:t xml:space="preserve">IBM’s Statistical Package for Social Sciences (SPSS), </w:t>
      </w:r>
      <w:bookmarkEnd w:id="8"/>
      <w:r w:rsidRPr="005C1674">
        <w:rPr>
          <w:rFonts w:ascii="Times New Roman" w:hAnsi="Times New Roman" w:cs="Times New Roman"/>
          <w:bCs/>
          <w:sz w:val="24"/>
          <w:szCs w:val="24"/>
        </w:rPr>
        <w:t xml:space="preserve">version 25, with a 95% confidence level for hypothesis testing. Both descriptive and inferential analyses were performed, with results presented as mean and standard error of the mean (SEM). Serum urea, serum creatinine, serum uric acid, and organ relative weight were evaluated using one-way </w:t>
      </w:r>
      <w:bookmarkStart w:id="9" w:name="_Hlk181954587"/>
      <w:r w:rsidRPr="005C1674">
        <w:rPr>
          <w:rFonts w:ascii="Times New Roman" w:hAnsi="Times New Roman" w:cs="Times New Roman"/>
          <w:bCs/>
          <w:sz w:val="24"/>
          <w:szCs w:val="24"/>
        </w:rPr>
        <w:t xml:space="preserve">ANOVA followed by a post hoc LSD (least significant difference) </w:t>
      </w:r>
      <w:bookmarkEnd w:id="9"/>
      <w:r w:rsidRPr="005C1674">
        <w:rPr>
          <w:rFonts w:ascii="Times New Roman" w:hAnsi="Times New Roman" w:cs="Times New Roman"/>
          <w:bCs/>
          <w:sz w:val="24"/>
          <w:szCs w:val="24"/>
        </w:rPr>
        <w:t xml:space="preserve">test, while body weight was assessed using the Student’s independent t-test. Statistical significance was set at </w:t>
      </w:r>
      <w:r w:rsidRPr="005C1674">
        <w:rPr>
          <w:rFonts w:ascii="Times New Roman" w:hAnsi="Times New Roman" w:cs="Times New Roman"/>
          <w:bCs/>
          <w:i/>
          <w:iCs/>
          <w:sz w:val="24"/>
          <w:szCs w:val="24"/>
        </w:rPr>
        <w:t>P</w:t>
      </w:r>
      <w:r w:rsidRPr="005C1674">
        <w:rPr>
          <w:rFonts w:ascii="Times New Roman" w:hAnsi="Times New Roman" w:cs="Times New Roman"/>
          <w:bCs/>
          <w:sz w:val="24"/>
          <w:szCs w:val="24"/>
        </w:rPr>
        <w:t xml:space="preserve"> ≤ .05.</w:t>
      </w:r>
    </w:p>
    <w:p w14:paraId="4415521A" w14:textId="77777777" w:rsidR="00AC0A1F" w:rsidRPr="00684B93" w:rsidRDefault="00AC0A1F" w:rsidP="00013C0C">
      <w:pPr>
        <w:pStyle w:val="NoSpacing"/>
        <w:spacing w:line="480" w:lineRule="auto"/>
        <w:jc w:val="both"/>
        <w:rPr>
          <w:rFonts w:ascii="Times New Roman" w:hAnsi="Times New Roman" w:cs="Times New Roman"/>
          <w:b/>
          <w:bCs/>
          <w:sz w:val="24"/>
          <w:szCs w:val="24"/>
        </w:rPr>
      </w:pPr>
    </w:p>
    <w:p w14:paraId="00FB86F7" w14:textId="6624F4F8" w:rsidR="00AC0A1F" w:rsidRPr="00684B93" w:rsidRDefault="00B34C3B" w:rsidP="00013C0C">
      <w:pPr>
        <w:pStyle w:val="NoSpacing"/>
        <w:spacing w:line="480" w:lineRule="auto"/>
        <w:jc w:val="both"/>
        <w:rPr>
          <w:rFonts w:ascii="Times New Roman" w:hAnsi="Times New Roman" w:cs="Times New Roman"/>
          <w:b/>
          <w:sz w:val="24"/>
          <w:szCs w:val="24"/>
        </w:rPr>
      </w:pPr>
      <w:r w:rsidRPr="00684B93">
        <w:rPr>
          <w:rFonts w:ascii="Times New Roman" w:hAnsi="Times New Roman" w:cs="Times New Roman"/>
          <w:b/>
          <w:sz w:val="24"/>
          <w:szCs w:val="24"/>
        </w:rPr>
        <w:t xml:space="preserve">2.4 </w:t>
      </w:r>
      <w:r w:rsidRPr="00684B93">
        <w:rPr>
          <w:rFonts w:ascii="Times New Roman" w:hAnsi="Times New Roman" w:cs="Times New Roman"/>
          <w:b/>
          <w:sz w:val="24"/>
          <w:szCs w:val="24"/>
        </w:rPr>
        <w:tab/>
      </w:r>
      <w:commentRangeStart w:id="10"/>
      <w:r w:rsidR="00AC0A1F" w:rsidRPr="00684B93">
        <w:rPr>
          <w:rFonts w:ascii="Times New Roman" w:hAnsi="Times New Roman" w:cs="Times New Roman"/>
          <w:b/>
          <w:sz w:val="24"/>
          <w:szCs w:val="24"/>
        </w:rPr>
        <w:t xml:space="preserve">Duration of the study </w:t>
      </w:r>
      <w:commentRangeEnd w:id="10"/>
      <w:r w:rsidR="005B7B3F">
        <w:rPr>
          <w:rStyle w:val="CommentReference"/>
        </w:rPr>
        <w:commentReference w:id="10"/>
      </w:r>
    </w:p>
    <w:p w14:paraId="366845DD" w14:textId="70B8E785" w:rsidR="005B69A7" w:rsidRPr="00684B93" w:rsidRDefault="00013C0C" w:rsidP="00013C0C">
      <w:pPr>
        <w:pStyle w:val="NoSpacing"/>
        <w:spacing w:line="480" w:lineRule="auto"/>
        <w:rPr>
          <w:rFonts w:ascii="Times New Roman" w:hAnsi="Times New Roman" w:cs="Times New Roman"/>
          <w:sz w:val="24"/>
          <w:szCs w:val="24"/>
        </w:rPr>
      </w:pPr>
      <w:r w:rsidRPr="00684B93">
        <w:rPr>
          <w:rFonts w:ascii="Times New Roman" w:hAnsi="Times New Roman" w:cs="Times New Roman"/>
          <w:sz w:val="24"/>
          <w:szCs w:val="24"/>
        </w:rPr>
        <w:t>The study spanned a total of 1</w:t>
      </w:r>
      <w:r w:rsidR="005C1674">
        <w:rPr>
          <w:rFonts w:ascii="Times New Roman" w:hAnsi="Times New Roman" w:cs="Times New Roman"/>
          <w:sz w:val="24"/>
          <w:szCs w:val="24"/>
        </w:rPr>
        <w:t>1</w:t>
      </w:r>
      <w:r w:rsidRPr="00684B93">
        <w:rPr>
          <w:rFonts w:ascii="Times New Roman" w:hAnsi="Times New Roman" w:cs="Times New Roman"/>
          <w:sz w:val="24"/>
          <w:szCs w:val="24"/>
        </w:rPr>
        <w:t xml:space="preserve"> weeks, with a two-week acclimatization period for the rats, followed by a </w:t>
      </w:r>
      <w:r w:rsidR="005C1674">
        <w:rPr>
          <w:rFonts w:ascii="Times New Roman" w:hAnsi="Times New Roman" w:cs="Times New Roman"/>
          <w:sz w:val="24"/>
          <w:szCs w:val="24"/>
        </w:rPr>
        <w:t>five</w:t>
      </w:r>
      <w:r w:rsidRPr="00684B93">
        <w:rPr>
          <w:rFonts w:ascii="Times New Roman" w:hAnsi="Times New Roman" w:cs="Times New Roman"/>
          <w:sz w:val="24"/>
          <w:szCs w:val="24"/>
        </w:rPr>
        <w:t>-week experimental phase. Data analysis was conducted over the final four weeks.</w:t>
      </w:r>
    </w:p>
    <w:p w14:paraId="35B10635" w14:textId="77777777" w:rsidR="006D4BDF" w:rsidRPr="00684B93" w:rsidRDefault="006D4BDF" w:rsidP="006D4BDF">
      <w:pPr>
        <w:pStyle w:val="NoSpacing"/>
        <w:spacing w:line="480" w:lineRule="auto"/>
        <w:rPr>
          <w:rFonts w:ascii="Times New Roman" w:hAnsi="Times New Roman" w:cs="Times New Roman"/>
          <w:sz w:val="24"/>
          <w:szCs w:val="24"/>
        </w:rPr>
      </w:pPr>
    </w:p>
    <w:p w14:paraId="6347F798" w14:textId="11F01FB4" w:rsidR="006D4BDF" w:rsidRDefault="006D4BDF" w:rsidP="006D4BDF">
      <w:pPr>
        <w:pStyle w:val="NoSpacing"/>
        <w:numPr>
          <w:ilvl w:val="0"/>
          <w:numId w:val="23"/>
        </w:numPr>
        <w:spacing w:line="480" w:lineRule="auto"/>
        <w:jc w:val="both"/>
        <w:rPr>
          <w:rFonts w:ascii="Times New Roman" w:hAnsi="Times New Roman" w:cs="Times New Roman"/>
          <w:b/>
          <w:sz w:val="24"/>
          <w:szCs w:val="24"/>
        </w:rPr>
      </w:pPr>
      <w:bookmarkStart w:id="11" w:name="_Hlk181955401"/>
      <w:r w:rsidRPr="00684B93">
        <w:rPr>
          <w:rFonts w:ascii="Times New Roman" w:hAnsi="Times New Roman" w:cs="Times New Roman"/>
          <w:b/>
          <w:sz w:val="24"/>
          <w:szCs w:val="24"/>
        </w:rPr>
        <w:t>RESULTS</w:t>
      </w:r>
    </w:p>
    <w:p w14:paraId="1B16864D" w14:textId="77777777" w:rsidR="006D4BDF" w:rsidRDefault="006D4BDF" w:rsidP="006D4BDF">
      <w:pPr>
        <w:pStyle w:val="NoSpacing"/>
        <w:spacing w:line="480" w:lineRule="auto"/>
        <w:jc w:val="both"/>
        <w:rPr>
          <w:rFonts w:ascii="Times New Roman" w:eastAsia="Calibri" w:hAnsi="Times New Roman" w:cs="Times New Roman"/>
          <w:b/>
          <w:bCs/>
          <w:sz w:val="24"/>
          <w:szCs w:val="24"/>
        </w:rPr>
      </w:pPr>
      <w:r w:rsidRPr="00684B93">
        <w:rPr>
          <w:rFonts w:ascii="Times New Roman" w:eastAsia="Calibri" w:hAnsi="Times New Roman" w:cs="Times New Roman"/>
          <w:b/>
          <w:bCs/>
          <w:sz w:val="24"/>
          <w:szCs w:val="24"/>
        </w:rPr>
        <w:t xml:space="preserve">3.1 </w:t>
      </w:r>
      <w:r w:rsidRPr="00684B93">
        <w:rPr>
          <w:rFonts w:ascii="Times New Roman" w:eastAsia="Calibri" w:hAnsi="Times New Roman" w:cs="Times New Roman"/>
          <w:b/>
          <w:bCs/>
          <w:sz w:val="24"/>
          <w:szCs w:val="24"/>
        </w:rPr>
        <w:tab/>
      </w:r>
      <w:r>
        <w:rPr>
          <w:rFonts w:ascii="Times New Roman" w:eastAsia="Calibri" w:hAnsi="Times New Roman" w:cs="Times New Roman"/>
          <w:b/>
          <w:bCs/>
          <w:sz w:val="24"/>
          <w:szCs w:val="24"/>
        </w:rPr>
        <w:t xml:space="preserve">Morphological assessment </w:t>
      </w:r>
    </w:p>
    <w:p w14:paraId="1EC6E016" w14:textId="77777777" w:rsidR="007615F4" w:rsidRPr="007615F4" w:rsidRDefault="007615F4" w:rsidP="007615F4">
      <w:pPr>
        <w:pStyle w:val="NoSpacing"/>
        <w:spacing w:line="480" w:lineRule="auto"/>
        <w:jc w:val="both"/>
        <w:rPr>
          <w:rFonts w:ascii="Times New Roman" w:hAnsi="Times New Roman" w:cs="Times New Roman"/>
          <w:sz w:val="24"/>
          <w:szCs w:val="24"/>
        </w:rPr>
      </w:pPr>
      <w:r w:rsidRPr="007615F4">
        <w:rPr>
          <w:rFonts w:ascii="Times New Roman" w:hAnsi="Times New Roman" w:cs="Times New Roman"/>
          <w:sz w:val="24"/>
          <w:szCs w:val="24"/>
        </w:rPr>
        <w:t xml:space="preserve">During the acclimatization period, all rats appeared healthy, with smooth, well-aligned fur, pink eyes, normal skin tone, and increased body size. However, after 14 days of Lead acetate administration, the rats exhibited raised fur and a reduction in body weight. Following the </w:t>
      </w:r>
      <w:r w:rsidRPr="007615F4">
        <w:rPr>
          <w:rFonts w:ascii="Times New Roman" w:hAnsi="Times New Roman" w:cs="Times New Roman"/>
          <w:sz w:val="24"/>
          <w:szCs w:val="24"/>
        </w:rPr>
        <w:lastRenderedPageBreak/>
        <w:t xml:space="preserve">administration of </w:t>
      </w:r>
      <w:r w:rsidRPr="007615F4">
        <w:rPr>
          <w:rFonts w:ascii="Times New Roman" w:hAnsi="Times New Roman" w:cs="Times New Roman"/>
          <w:i/>
          <w:iCs/>
          <w:sz w:val="24"/>
          <w:szCs w:val="24"/>
        </w:rPr>
        <w:t>Garcinia kola</w:t>
      </w:r>
      <w:r w:rsidRPr="007615F4">
        <w:rPr>
          <w:rFonts w:ascii="Times New Roman" w:hAnsi="Times New Roman" w:cs="Times New Roman"/>
          <w:sz w:val="24"/>
          <w:szCs w:val="24"/>
        </w:rPr>
        <w:t>, their fur returned to a smooth appearance, and the animals began to regain weight.</w:t>
      </w:r>
    </w:p>
    <w:p w14:paraId="4E8F7C9D" w14:textId="77777777" w:rsidR="007615F4" w:rsidRPr="007615F4" w:rsidRDefault="007615F4" w:rsidP="007615F4">
      <w:pPr>
        <w:pStyle w:val="NoSpacing"/>
        <w:spacing w:line="480" w:lineRule="auto"/>
        <w:jc w:val="both"/>
        <w:rPr>
          <w:rFonts w:ascii="Times New Roman" w:hAnsi="Times New Roman" w:cs="Times New Roman"/>
          <w:sz w:val="24"/>
          <w:szCs w:val="24"/>
        </w:rPr>
      </w:pPr>
      <w:r w:rsidRPr="007615F4">
        <w:rPr>
          <w:rFonts w:ascii="Times New Roman" w:hAnsi="Times New Roman" w:cs="Times New Roman"/>
          <w:sz w:val="24"/>
          <w:szCs w:val="24"/>
        </w:rPr>
        <w:t>At the end of the experiment, dissection of the kidneys in all groups revealed normal morphology, characterized by a typical brownish-red coloration and bean-like shape, with no observable discoloration.</w:t>
      </w:r>
    </w:p>
    <w:p w14:paraId="66A2941E" w14:textId="77777777" w:rsidR="006D4BDF" w:rsidRDefault="006D4BDF" w:rsidP="006D4BDF">
      <w:pPr>
        <w:pStyle w:val="NoSpacing"/>
        <w:spacing w:line="480" w:lineRule="auto"/>
        <w:jc w:val="both"/>
        <w:rPr>
          <w:rFonts w:ascii="Times New Roman" w:hAnsi="Times New Roman" w:cs="Times New Roman"/>
          <w:sz w:val="24"/>
          <w:szCs w:val="24"/>
        </w:rPr>
      </w:pPr>
    </w:p>
    <w:p w14:paraId="4EA83C2F" w14:textId="77777777" w:rsidR="002225F8" w:rsidRPr="002225F8" w:rsidRDefault="002225F8" w:rsidP="002225F8">
      <w:pPr>
        <w:pStyle w:val="NoSpacing"/>
        <w:spacing w:line="480" w:lineRule="auto"/>
        <w:jc w:val="both"/>
        <w:rPr>
          <w:rFonts w:ascii="Times New Roman" w:hAnsi="Times New Roman" w:cs="Times New Roman"/>
          <w:sz w:val="24"/>
          <w:szCs w:val="24"/>
        </w:rPr>
      </w:pPr>
      <w:r w:rsidRPr="002225F8">
        <w:rPr>
          <w:rFonts w:ascii="Times New Roman" w:hAnsi="Times New Roman" w:cs="Times New Roman"/>
          <w:sz w:val="24"/>
          <w:szCs w:val="24"/>
        </w:rPr>
        <w:t>The analysis of body weight changes (difference between final and initial body weights) in Wistar rats revealed no significant differences in Groups A, D, and E, while Groups B and C exhibited statistically significant changes (Table 1).</w:t>
      </w:r>
    </w:p>
    <w:p w14:paraId="71DED117" w14:textId="77777777" w:rsidR="002225F8" w:rsidRDefault="002225F8" w:rsidP="002225F8">
      <w:pPr>
        <w:pStyle w:val="NoSpacing"/>
        <w:spacing w:line="480" w:lineRule="auto"/>
        <w:jc w:val="both"/>
        <w:rPr>
          <w:rFonts w:ascii="Times New Roman" w:hAnsi="Times New Roman" w:cs="Times New Roman"/>
          <w:sz w:val="24"/>
          <w:szCs w:val="24"/>
        </w:rPr>
      </w:pPr>
    </w:p>
    <w:p w14:paraId="2719C4FF" w14:textId="5B875543" w:rsidR="002225F8" w:rsidRPr="002225F8" w:rsidRDefault="002225F8" w:rsidP="002225F8">
      <w:pPr>
        <w:pStyle w:val="NoSpacing"/>
        <w:spacing w:line="480" w:lineRule="auto"/>
        <w:jc w:val="both"/>
        <w:rPr>
          <w:rFonts w:ascii="Times New Roman" w:hAnsi="Times New Roman" w:cs="Times New Roman"/>
          <w:sz w:val="24"/>
          <w:szCs w:val="24"/>
        </w:rPr>
      </w:pPr>
      <w:r w:rsidRPr="002225F8">
        <w:rPr>
          <w:rFonts w:ascii="Times New Roman" w:hAnsi="Times New Roman" w:cs="Times New Roman"/>
          <w:sz w:val="24"/>
          <w:szCs w:val="24"/>
        </w:rPr>
        <w:t>The assessment of relative kidney weight indicated a statistically significant difference between the control group and Group B, whereas no significant differences were observed between the control group and Groups C through E (Table 2).</w:t>
      </w:r>
    </w:p>
    <w:p w14:paraId="199E4047" w14:textId="77777777" w:rsidR="007F3A20" w:rsidRDefault="007F3A20" w:rsidP="006D4BDF">
      <w:pPr>
        <w:pStyle w:val="NoSpacing"/>
        <w:spacing w:line="480" w:lineRule="auto"/>
        <w:jc w:val="both"/>
        <w:rPr>
          <w:rFonts w:ascii="Times New Roman" w:hAnsi="Times New Roman" w:cs="Times New Roman"/>
          <w:b/>
          <w:bCs/>
          <w:sz w:val="24"/>
          <w:szCs w:val="24"/>
        </w:rPr>
      </w:pPr>
    </w:p>
    <w:p w14:paraId="01989BEF" w14:textId="1FBFBC0F" w:rsidR="002E3A29" w:rsidRPr="002E3A29" w:rsidRDefault="002E3A29" w:rsidP="006D4BDF">
      <w:pPr>
        <w:pStyle w:val="NoSpacing"/>
        <w:spacing w:line="480" w:lineRule="auto"/>
        <w:jc w:val="both"/>
        <w:rPr>
          <w:rFonts w:ascii="Times New Roman" w:hAnsi="Times New Roman" w:cs="Times New Roman"/>
          <w:b/>
          <w:bCs/>
          <w:sz w:val="24"/>
          <w:szCs w:val="24"/>
        </w:rPr>
      </w:pPr>
      <w:r w:rsidRPr="002E3A29">
        <w:rPr>
          <w:rFonts w:ascii="Times New Roman" w:hAnsi="Times New Roman" w:cs="Times New Roman"/>
          <w:b/>
          <w:bCs/>
          <w:sz w:val="24"/>
          <w:szCs w:val="24"/>
        </w:rPr>
        <w:t xml:space="preserve">3.2 </w:t>
      </w:r>
      <w:r w:rsidRPr="002E3A29">
        <w:rPr>
          <w:rFonts w:ascii="Times New Roman" w:hAnsi="Times New Roman" w:cs="Times New Roman"/>
          <w:b/>
          <w:bCs/>
          <w:sz w:val="24"/>
          <w:szCs w:val="24"/>
        </w:rPr>
        <w:tab/>
        <w:t>Result of kidney function test</w:t>
      </w:r>
    </w:p>
    <w:p w14:paraId="77936653" w14:textId="47BDCA32" w:rsidR="002225F8" w:rsidRPr="002225F8" w:rsidRDefault="002225F8" w:rsidP="002225F8">
      <w:pPr>
        <w:pStyle w:val="NoSpacing"/>
        <w:spacing w:line="480" w:lineRule="auto"/>
        <w:jc w:val="both"/>
        <w:rPr>
          <w:rFonts w:ascii="Times New Roman" w:hAnsi="Times New Roman" w:cs="Times New Roman"/>
          <w:sz w:val="24"/>
          <w:szCs w:val="24"/>
        </w:rPr>
      </w:pPr>
      <w:r w:rsidRPr="002225F8">
        <w:rPr>
          <w:rFonts w:ascii="Times New Roman" w:hAnsi="Times New Roman" w:cs="Times New Roman"/>
          <w:sz w:val="24"/>
          <w:szCs w:val="24"/>
        </w:rPr>
        <w:t>The analysis revealed a statistically significant increase in creatinine levels in group B compared to group A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.001), while groups C, D, and E demonstrated a significant reduction in creatinine levels relative to group B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.001,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.001, and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.011, respectively)</w:t>
      </w:r>
      <w:r w:rsidR="00CE01CE">
        <w:rPr>
          <w:rFonts w:ascii="Times New Roman" w:hAnsi="Times New Roman" w:cs="Times New Roman"/>
          <w:sz w:val="24"/>
          <w:szCs w:val="24"/>
        </w:rPr>
        <w:t xml:space="preserve"> (Table 3)</w:t>
      </w:r>
      <w:r w:rsidRPr="002225F8">
        <w:rPr>
          <w:rFonts w:ascii="Times New Roman" w:hAnsi="Times New Roman" w:cs="Times New Roman"/>
          <w:sz w:val="24"/>
          <w:szCs w:val="24"/>
        </w:rPr>
        <w:t>.</w:t>
      </w:r>
    </w:p>
    <w:p w14:paraId="14EC015F" w14:textId="77777777" w:rsidR="002225F8" w:rsidRDefault="002225F8" w:rsidP="002225F8">
      <w:pPr>
        <w:pStyle w:val="NoSpacing"/>
        <w:spacing w:line="480" w:lineRule="auto"/>
        <w:jc w:val="both"/>
        <w:rPr>
          <w:rFonts w:ascii="Times New Roman" w:hAnsi="Times New Roman" w:cs="Times New Roman"/>
          <w:sz w:val="24"/>
          <w:szCs w:val="24"/>
        </w:rPr>
      </w:pPr>
    </w:p>
    <w:p w14:paraId="6CC97CEE" w14:textId="58A43BB8" w:rsidR="002225F8" w:rsidRPr="002225F8" w:rsidRDefault="002225F8" w:rsidP="002225F8">
      <w:pPr>
        <w:pStyle w:val="NoSpacing"/>
        <w:spacing w:line="480" w:lineRule="auto"/>
        <w:jc w:val="both"/>
        <w:rPr>
          <w:rFonts w:ascii="Times New Roman" w:hAnsi="Times New Roman" w:cs="Times New Roman"/>
          <w:sz w:val="24"/>
          <w:szCs w:val="24"/>
        </w:rPr>
      </w:pPr>
      <w:r w:rsidRPr="002225F8">
        <w:rPr>
          <w:rFonts w:ascii="Times New Roman" w:hAnsi="Times New Roman" w:cs="Times New Roman"/>
          <w:sz w:val="24"/>
          <w:szCs w:val="24"/>
        </w:rPr>
        <w:t>In terms of urea levels, group B exhibited a non-significant increase compared to group A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.101). Group C showed a non-significant decrease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.067), whereas groups D and E demonstrated a statistically significant reduction in urea levels compared to group B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.035 and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.047, respectively)</w:t>
      </w:r>
      <w:r w:rsidR="00CE01CE">
        <w:rPr>
          <w:rFonts w:ascii="Times New Roman" w:hAnsi="Times New Roman" w:cs="Times New Roman"/>
          <w:sz w:val="24"/>
          <w:szCs w:val="24"/>
        </w:rPr>
        <w:t xml:space="preserve"> (Table 3)</w:t>
      </w:r>
      <w:r w:rsidRPr="002225F8">
        <w:rPr>
          <w:rFonts w:ascii="Times New Roman" w:hAnsi="Times New Roman" w:cs="Times New Roman"/>
          <w:sz w:val="24"/>
          <w:szCs w:val="24"/>
        </w:rPr>
        <w:t>.</w:t>
      </w:r>
    </w:p>
    <w:p w14:paraId="5B8542D5" w14:textId="77777777" w:rsidR="002225F8" w:rsidRDefault="002225F8" w:rsidP="002225F8">
      <w:pPr>
        <w:pStyle w:val="NoSpacing"/>
        <w:spacing w:line="480" w:lineRule="auto"/>
        <w:jc w:val="both"/>
        <w:rPr>
          <w:rFonts w:ascii="Times New Roman" w:hAnsi="Times New Roman" w:cs="Times New Roman"/>
          <w:sz w:val="24"/>
          <w:szCs w:val="24"/>
        </w:rPr>
      </w:pPr>
    </w:p>
    <w:p w14:paraId="08CA9D31" w14:textId="6209048A" w:rsidR="002225F8" w:rsidRPr="002225F8" w:rsidRDefault="002225F8" w:rsidP="002225F8">
      <w:pPr>
        <w:pStyle w:val="NoSpacing"/>
        <w:spacing w:line="480" w:lineRule="auto"/>
        <w:jc w:val="both"/>
        <w:rPr>
          <w:rFonts w:ascii="Times New Roman" w:hAnsi="Times New Roman" w:cs="Times New Roman"/>
          <w:sz w:val="24"/>
          <w:szCs w:val="24"/>
        </w:rPr>
      </w:pPr>
      <w:r w:rsidRPr="002225F8">
        <w:rPr>
          <w:rFonts w:ascii="Times New Roman" w:hAnsi="Times New Roman" w:cs="Times New Roman"/>
          <w:sz w:val="24"/>
          <w:szCs w:val="24"/>
        </w:rPr>
        <w:t>For uric acid, group B showed a statistically significant decrease relative to group A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.001). In contrast, groups C, D, and </w:t>
      </w:r>
      <w:proofErr w:type="spellStart"/>
      <w:r w:rsidRPr="002225F8">
        <w:rPr>
          <w:rFonts w:ascii="Times New Roman" w:hAnsi="Times New Roman" w:cs="Times New Roman"/>
          <w:sz w:val="24"/>
          <w:szCs w:val="24"/>
        </w:rPr>
        <w:t>E</w:t>
      </w:r>
      <w:proofErr w:type="spellEnd"/>
      <w:r w:rsidRPr="002225F8">
        <w:rPr>
          <w:rFonts w:ascii="Times New Roman" w:hAnsi="Times New Roman" w:cs="Times New Roman"/>
          <w:sz w:val="24"/>
          <w:szCs w:val="24"/>
        </w:rPr>
        <w:t xml:space="preserve"> had a significant increase in uric acid levels compared to group B, each with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.001</w:t>
      </w:r>
      <w:r w:rsidR="009A7896">
        <w:rPr>
          <w:rFonts w:ascii="Times New Roman" w:hAnsi="Times New Roman" w:cs="Times New Roman"/>
          <w:sz w:val="24"/>
          <w:szCs w:val="24"/>
        </w:rPr>
        <w:t xml:space="preserve"> </w:t>
      </w:r>
      <w:r w:rsidR="00CE01CE">
        <w:rPr>
          <w:rFonts w:ascii="Times New Roman" w:hAnsi="Times New Roman" w:cs="Times New Roman"/>
          <w:sz w:val="24"/>
          <w:szCs w:val="24"/>
        </w:rPr>
        <w:t>(Table 3)</w:t>
      </w:r>
      <w:r w:rsidRPr="002225F8">
        <w:rPr>
          <w:rFonts w:ascii="Times New Roman" w:hAnsi="Times New Roman" w:cs="Times New Roman"/>
          <w:sz w:val="24"/>
          <w:szCs w:val="24"/>
        </w:rPr>
        <w:t>.</w:t>
      </w:r>
    </w:p>
    <w:bookmarkEnd w:id="11"/>
    <w:p w14:paraId="0C48B85D" w14:textId="77777777" w:rsidR="006D4BDF" w:rsidRPr="00684B93" w:rsidRDefault="006D4BDF" w:rsidP="006D4BDF">
      <w:pPr>
        <w:pStyle w:val="NoSpacing"/>
        <w:spacing w:line="480" w:lineRule="auto"/>
        <w:jc w:val="both"/>
        <w:rPr>
          <w:rFonts w:ascii="Times New Roman" w:hAnsi="Times New Roman" w:cs="Times New Roman"/>
          <w:sz w:val="24"/>
          <w:szCs w:val="24"/>
        </w:rPr>
      </w:pPr>
    </w:p>
    <w:p w14:paraId="311620F9" w14:textId="3144FAA8" w:rsidR="006D4BDF" w:rsidRPr="00684B93" w:rsidRDefault="006D4BDF" w:rsidP="00386E0A">
      <w:pPr>
        <w:pStyle w:val="NoSpacing"/>
        <w:numPr>
          <w:ilvl w:val="0"/>
          <w:numId w:val="23"/>
        </w:numPr>
        <w:spacing w:line="480" w:lineRule="auto"/>
        <w:jc w:val="both"/>
        <w:rPr>
          <w:rFonts w:ascii="Times New Roman" w:hAnsi="Times New Roman" w:cs="Times New Roman"/>
          <w:b/>
          <w:sz w:val="24"/>
          <w:szCs w:val="24"/>
        </w:rPr>
      </w:pPr>
      <w:r w:rsidRPr="00684B93">
        <w:rPr>
          <w:rFonts w:ascii="Times New Roman" w:hAnsi="Times New Roman" w:cs="Times New Roman"/>
          <w:b/>
          <w:bCs/>
          <w:sz w:val="24"/>
          <w:szCs w:val="24"/>
        </w:rPr>
        <w:t>DISCUSSION, CONCLUSIONS AND RECOMMENDATIONS</w:t>
      </w:r>
    </w:p>
    <w:p w14:paraId="7927676B" w14:textId="77777777" w:rsidR="00FF2E1C" w:rsidRPr="00E204EA" w:rsidRDefault="00FF2E1C" w:rsidP="00E204EA">
      <w:pPr>
        <w:pStyle w:val="NoSpacing"/>
        <w:spacing w:line="480" w:lineRule="auto"/>
        <w:jc w:val="both"/>
        <w:rPr>
          <w:rFonts w:ascii="Times New Roman" w:hAnsi="Times New Roman" w:cs="Times New Roman"/>
          <w:b/>
          <w:bCs/>
          <w:sz w:val="24"/>
          <w:szCs w:val="24"/>
        </w:rPr>
      </w:pPr>
      <w:r w:rsidRPr="00E204EA">
        <w:rPr>
          <w:rFonts w:ascii="Times New Roman" w:hAnsi="Times New Roman" w:cs="Times New Roman"/>
          <w:b/>
          <w:bCs/>
          <w:sz w:val="24"/>
          <w:szCs w:val="24"/>
        </w:rPr>
        <w:t xml:space="preserve">4.1 </w:t>
      </w:r>
      <w:r w:rsidRPr="00E204EA">
        <w:rPr>
          <w:rFonts w:ascii="Times New Roman" w:hAnsi="Times New Roman" w:cs="Times New Roman"/>
          <w:b/>
          <w:bCs/>
          <w:sz w:val="24"/>
          <w:szCs w:val="24"/>
        </w:rPr>
        <w:tab/>
      </w:r>
      <w:commentRangeStart w:id="12"/>
      <w:r w:rsidRPr="00E204EA">
        <w:rPr>
          <w:rFonts w:ascii="Times New Roman" w:hAnsi="Times New Roman" w:cs="Times New Roman"/>
          <w:b/>
          <w:bCs/>
          <w:sz w:val="24"/>
          <w:szCs w:val="24"/>
        </w:rPr>
        <w:t>Discussion</w:t>
      </w:r>
      <w:commentRangeEnd w:id="12"/>
      <w:r w:rsidR="005B7B3F">
        <w:rPr>
          <w:rStyle w:val="CommentReference"/>
        </w:rPr>
        <w:commentReference w:id="12"/>
      </w:r>
    </w:p>
    <w:p w14:paraId="639E204F" w14:textId="38F7F9B5" w:rsidR="00E204EA" w:rsidRPr="00E204EA" w:rsidRDefault="00E204EA" w:rsidP="00E204EA">
      <w:pPr>
        <w:pStyle w:val="NoSpacing"/>
        <w:spacing w:line="480" w:lineRule="auto"/>
        <w:jc w:val="both"/>
        <w:rPr>
          <w:rFonts w:ascii="Times New Roman" w:hAnsi="Times New Roman" w:cs="Times New Roman"/>
          <w:sz w:val="24"/>
          <w:szCs w:val="24"/>
        </w:rPr>
      </w:pPr>
      <w:bookmarkStart w:id="13" w:name="_Hlk181955431"/>
      <w:r w:rsidRPr="00E204EA">
        <w:rPr>
          <w:rFonts w:ascii="Times New Roman" w:hAnsi="Times New Roman" w:cs="Times New Roman"/>
          <w:sz w:val="24"/>
          <w:szCs w:val="24"/>
        </w:rPr>
        <w:t xml:space="preserve">The results of this study indicate that exposure to lead acetate has significant detrimental effects on Wistar rats, which were partially mitigated by treatment with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extract. Notably, rats in group B (exposed only to lead acetate) exhibited signs of lead toxicity, as evidenced by their reduced body weight, altered fur appearance, and biochemical disturbances such as elevated creatinine and altered urea and uric acid levels. These findings align with prior research indicating that lead exposure can cause oxidative stress and impair renal function, leading to increased creatinine and urea levels, and disturbances in other metabolic processes [1</w:t>
      </w:r>
      <w:r w:rsidR="00F8360C">
        <w:rPr>
          <w:rFonts w:ascii="Times New Roman" w:hAnsi="Times New Roman" w:cs="Times New Roman"/>
          <w:sz w:val="24"/>
          <w:szCs w:val="24"/>
        </w:rPr>
        <w:t>5</w:t>
      </w:r>
      <w:r w:rsidRPr="00E204EA">
        <w:rPr>
          <w:rFonts w:ascii="Times New Roman" w:hAnsi="Times New Roman" w:cs="Times New Roman"/>
          <w:sz w:val="24"/>
          <w:szCs w:val="24"/>
        </w:rPr>
        <w:t>,1</w:t>
      </w:r>
      <w:r w:rsidR="00F8360C">
        <w:rPr>
          <w:rFonts w:ascii="Times New Roman" w:hAnsi="Times New Roman" w:cs="Times New Roman"/>
          <w:sz w:val="24"/>
          <w:szCs w:val="24"/>
        </w:rPr>
        <w:t>6</w:t>
      </w:r>
      <w:r w:rsidRPr="00E204EA">
        <w:rPr>
          <w:rFonts w:ascii="Times New Roman" w:hAnsi="Times New Roman" w:cs="Times New Roman"/>
          <w:sz w:val="24"/>
          <w:szCs w:val="24"/>
        </w:rPr>
        <w:t>]. The reduction in body weight and changes in fur observed here are also consistent with typical lead toxicity symptoms in animal models [1</w:t>
      </w:r>
      <w:r w:rsidR="00F8360C">
        <w:rPr>
          <w:rFonts w:ascii="Times New Roman" w:hAnsi="Times New Roman" w:cs="Times New Roman"/>
          <w:sz w:val="24"/>
          <w:szCs w:val="24"/>
        </w:rPr>
        <w:t>7</w:t>
      </w:r>
      <w:r w:rsidRPr="00E204EA">
        <w:rPr>
          <w:rFonts w:ascii="Times New Roman" w:hAnsi="Times New Roman" w:cs="Times New Roman"/>
          <w:sz w:val="24"/>
          <w:szCs w:val="24"/>
        </w:rPr>
        <w:t>].</w:t>
      </w:r>
    </w:p>
    <w:p w14:paraId="444A6D29" w14:textId="77777777" w:rsidR="00E204EA" w:rsidRPr="00E204EA" w:rsidRDefault="00E204EA" w:rsidP="00E204EA">
      <w:pPr>
        <w:pStyle w:val="NoSpacing"/>
        <w:spacing w:line="480" w:lineRule="auto"/>
        <w:jc w:val="both"/>
        <w:rPr>
          <w:rFonts w:ascii="Times New Roman" w:hAnsi="Times New Roman" w:cs="Times New Roman"/>
          <w:sz w:val="24"/>
          <w:szCs w:val="24"/>
        </w:rPr>
      </w:pPr>
    </w:p>
    <w:p w14:paraId="764A9E66" w14:textId="78A2D75E" w:rsidR="00E204EA" w:rsidRPr="00E204EA" w:rsidRDefault="00E204EA" w:rsidP="00E204EA">
      <w:pPr>
        <w:pStyle w:val="NoSpacing"/>
        <w:spacing w:line="480" w:lineRule="auto"/>
        <w:jc w:val="both"/>
        <w:rPr>
          <w:rFonts w:ascii="Times New Roman" w:hAnsi="Times New Roman" w:cs="Times New Roman"/>
          <w:sz w:val="24"/>
          <w:szCs w:val="24"/>
        </w:rPr>
      </w:pPr>
      <w:r w:rsidRPr="00E204EA">
        <w:rPr>
          <w:rFonts w:ascii="Times New Roman" w:hAnsi="Times New Roman" w:cs="Times New Roman"/>
          <w:sz w:val="24"/>
          <w:szCs w:val="24"/>
        </w:rPr>
        <w:t xml:space="preserve">The administration of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extract in groups C, D, and E appeared to mitigate many of these adverse effects. Group C, which received the lowest dose of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(150 mg/kg), demonstrated some improvements but still showed statistically significant changes in body weight and less pronounced reductions in urea levels compared to the higher-dose groups (D and E). This suggests a dose-dependent effect, where higher doses of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(300 mg/kg and 600 mg/kg) more effectively reversed the biochemical alterations induced by lead exposure. The </w:t>
      </w:r>
      <w:r w:rsidRPr="00E204EA">
        <w:rPr>
          <w:rFonts w:ascii="Times New Roman" w:hAnsi="Times New Roman" w:cs="Times New Roman"/>
          <w:sz w:val="24"/>
          <w:szCs w:val="24"/>
        </w:rPr>
        <w:lastRenderedPageBreak/>
        <w:t>extract's antioxidant properties, as shown in previous studies, contributed to these protective effects by counteracting lead-induced oxidative stress and restoring renal function [5,1</w:t>
      </w:r>
      <w:r w:rsidR="00F8360C">
        <w:rPr>
          <w:rFonts w:ascii="Times New Roman" w:hAnsi="Times New Roman" w:cs="Times New Roman"/>
          <w:sz w:val="24"/>
          <w:szCs w:val="24"/>
        </w:rPr>
        <w:t>8</w:t>
      </w:r>
      <w:r w:rsidRPr="00E204EA">
        <w:rPr>
          <w:rFonts w:ascii="Times New Roman" w:hAnsi="Times New Roman" w:cs="Times New Roman"/>
          <w:sz w:val="24"/>
          <w:szCs w:val="24"/>
        </w:rPr>
        <w:t>].</w:t>
      </w:r>
    </w:p>
    <w:p w14:paraId="27ABAD76" w14:textId="77777777" w:rsidR="00E204EA" w:rsidRPr="00E204EA" w:rsidRDefault="00E204EA" w:rsidP="00E204EA">
      <w:pPr>
        <w:pStyle w:val="NoSpacing"/>
        <w:spacing w:line="480" w:lineRule="auto"/>
        <w:jc w:val="both"/>
        <w:rPr>
          <w:rFonts w:ascii="Times New Roman" w:hAnsi="Times New Roman" w:cs="Times New Roman"/>
          <w:sz w:val="24"/>
          <w:szCs w:val="24"/>
        </w:rPr>
      </w:pPr>
    </w:p>
    <w:p w14:paraId="002A4BD5" w14:textId="302462B2" w:rsidR="00E204EA" w:rsidRPr="00E204EA" w:rsidRDefault="00E204EA" w:rsidP="00E204EA">
      <w:pPr>
        <w:pStyle w:val="NoSpacing"/>
        <w:spacing w:line="480" w:lineRule="auto"/>
        <w:jc w:val="both"/>
        <w:rPr>
          <w:rFonts w:ascii="Times New Roman" w:hAnsi="Times New Roman" w:cs="Times New Roman"/>
          <w:sz w:val="24"/>
          <w:szCs w:val="24"/>
        </w:rPr>
      </w:pPr>
      <w:r w:rsidRPr="00E204EA">
        <w:rPr>
          <w:rFonts w:ascii="Times New Roman" w:hAnsi="Times New Roman" w:cs="Times New Roman"/>
          <w:sz w:val="24"/>
          <w:szCs w:val="24"/>
        </w:rPr>
        <w:t xml:space="preserve">The significant reduction in creatinine levels in groups C, D, and E compared to group B suggests that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extract helped to restore kidney function. This outcome supports prior findings that antioxidant-rich natural extracts can lower creatinine and support kidney health after exposure to toxins [</w:t>
      </w:r>
      <w:r w:rsidR="00F8360C">
        <w:rPr>
          <w:rFonts w:ascii="Times New Roman" w:hAnsi="Times New Roman" w:cs="Times New Roman"/>
          <w:sz w:val="24"/>
          <w:szCs w:val="24"/>
        </w:rPr>
        <w:t>19</w:t>
      </w:r>
      <w:r w:rsidRPr="00E204EA">
        <w:rPr>
          <w:rFonts w:ascii="Times New Roman" w:hAnsi="Times New Roman" w:cs="Times New Roman"/>
          <w:sz w:val="24"/>
          <w:szCs w:val="24"/>
        </w:rPr>
        <w:t>]. Similarly, while urea levels were not significantly different in group C compared to group B, groups D and E showed significant decreases, further supporting a dose-dependent protective effect.</w:t>
      </w:r>
    </w:p>
    <w:p w14:paraId="71ABD430" w14:textId="77777777" w:rsidR="00E204EA" w:rsidRPr="00E204EA" w:rsidRDefault="00E204EA" w:rsidP="00E204EA">
      <w:pPr>
        <w:pStyle w:val="NoSpacing"/>
        <w:spacing w:line="480" w:lineRule="auto"/>
        <w:jc w:val="both"/>
        <w:rPr>
          <w:rFonts w:ascii="Times New Roman" w:hAnsi="Times New Roman" w:cs="Times New Roman"/>
          <w:sz w:val="24"/>
          <w:szCs w:val="24"/>
        </w:rPr>
      </w:pPr>
    </w:p>
    <w:p w14:paraId="67F81CEA" w14:textId="3234C4F2" w:rsidR="00E204EA" w:rsidRPr="00E204EA" w:rsidRDefault="00E204EA" w:rsidP="00E204EA">
      <w:pPr>
        <w:pStyle w:val="NoSpacing"/>
        <w:spacing w:line="480" w:lineRule="auto"/>
        <w:jc w:val="both"/>
        <w:rPr>
          <w:rFonts w:ascii="Times New Roman" w:hAnsi="Times New Roman" w:cs="Times New Roman"/>
          <w:sz w:val="24"/>
          <w:szCs w:val="24"/>
        </w:rPr>
      </w:pPr>
      <w:r w:rsidRPr="00E204EA">
        <w:rPr>
          <w:rFonts w:ascii="Times New Roman" w:hAnsi="Times New Roman" w:cs="Times New Roman"/>
          <w:sz w:val="24"/>
          <w:szCs w:val="24"/>
        </w:rPr>
        <w:t xml:space="preserve">The observed changes in uric acid levels reveal another dimension of the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extract’s protective effects. While group B experienced a significant decline in uric acid compared to the control, groups C, D, and E demonstrated significantly higher uric acid levels post-treatment, aligning them closer to the control group. These changes might reflect </w:t>
      </w:r>
      <w:r w:rsidRPr="00E204EA">
        <w:rPr>
          <w:rFonts w:ascii="Times New Roman" w:hAnsi="Times New Roman" w:cs="Times New Roman"/>
          <w:i/>
          <w:iCs/>
          <w:sz w:val="24"/>
          <w:szCs w:val="24"/>
        </w:rPr>
        <w:t>Garcinia kola's</w:t>
      </w:r>
      <w:r w:rsidRPr="00E204EA">
        <w:rPr>
          <w:rFonts w:ascii="Times New Roman" w:hAnsi="Times New Roman" w:cs="Times New Roman"/>
          <w:sz w:val="24"/>
          <w:szCs w:val="24"/>
        </w:rPr>
        <w:t xml:space="preserve"> role in normalizing purine metabolism, an effect noted in studies of plant-based antioxidants in toxin-induced metabolic dysregulation [2</w:t>
      </w:r>
      <w:r w:rsidR="00F8360C">
        <w:rPr>
          <w:rFonts w:ascii="Times New Roman" w:hAnsi="Times New Roman" w:cs="Times New Roman"/>
          <w:sz w:val="24"/>
          <w:szCs w:val="24"/>
        </w:rPr>
        <w:t>0</w:t>
      </w:r>
      <w:r w:rsidRPr="00E204EA">
        <w:rPr>
          <w:rFonts w:ascii="Times New Roman" w:hAnsi="Times New Roman" w:cs="Times New Roman"/>
          <w:sz w:val="24"/>
          <w:szCs w:val="24"/>
        </w:rPr>
        <w:t>,2</w:t>
      </w:r>
      <w:r w:rsidR="00F8360C">
        <w:rPr>
          <w:rFonts w:ascii="Times New Roman" w:hAnsi="Times New Roman" w:cs="Times New Roman"/>
          <w:sz w:val="24"/>
          <w:szCs w:val="24"/>
        </w:rPr>
        <w:t>1</w:t>
      </w:r>
      <w:r w:rsidRPr="00E204EA">
        <w:rPr>
          <w:rFonts w:ascii="Times New Roman" w:hAnsi="Times New Roman" w:cs="Times New Roman"/>
          <w:sz w:val="24"/>
          <w:szCs w:val="24"/>
        </w:rPr>
        <w:t>].</w:t>
      </w:r>
    </w:p>
    <w:p w14:paraId="6B85E006" w14:textId="77777777" w:rsidR="005A798D" w:rsidRPr="00BC3E4C" w:rsidRDefault="005A798D" w:rsidP="00BC3E4C">
      <w:pPr>
        <w:pStyle w:val="NoSpacing"/>
        <w:spacing w:line="480" w:lineRule="auto"/>
        <w:jc w:val="both"/>
        <w:rPr>
          <w:rFonts w:ascii="Times New Roman" w:hAnsi="Times New Roman" w:cs="Times New Roman"/>
          <w:sz w:val="24"/>
          <w:szCs w:val="24"/>
        </w:rPr>
      </w:pPr>
    </w:p>
    <w:p w14:paraId="6940DAE8" w14:textId="61A16BA4" w:rsidR="00525A1F" w:rsidRPr="003350C9" w:rsidRDefault="003350C9" w:rsidP="006160AE">
      <w:pPr>
        <w:pStyle w:val="NoSpacing"/>
        <w:spacing w:line="480" w:lineRule="auto"/>
        <w:jc w:val="both"/>
        <w:rPr>
          <w:rFonts w:ascii="Times New Roman" w:hAnsi="Times New Roman" w:cs="Times New Roman"/>
          <w:b/>
          <w:bCs/>
          <w:sz w:val="24"/>
          <w:szCs w:val="24"/>
        </w:rPr>
      </w:pPr>
      <w:r w:rsidRPr="003350C9">
        <w:rPr>
          <w:rFonts w:ascii="Times New Roman" w:hAnsi="Times New Roman" w:cs="Times New Roman"/>
          <w:b/>
          <w:bCs/>
          <w:sz w:val="24"/>
          <w:szCs w:val="24"/>
        </w:rPr>
        <w:t xml:space="preserve">4.2 </w:t>
      </w:r>
      <w:r w:rsidRPr="003350C9">
        <w:rPr>
          <w:rFonts w:ascii="Times New Roman" w:hAnsi="Times New Roman" w:cs="Times New Roman"/>
          <w:b/>
          <w:bCs/>
          <w:sz w:val="24"/>
          <w:szCs w:val="24"/>
        </w:rPr>
        <w:tab/>
      </w:r>
      <w:r w:rsidR="00525A1F" w:rsidRPr="003350C9">
        <w:rPr>
          <w:rFonts w:ascii="Times New Roman" w:hAnsi="Times New Roman" w:cs="Times New Roman"/>
          <w:b/>
          <w:bCs/>
          <w:sz w:val="24"/>
          <w:szCs w:val="24"/>
        </w:rPr>
        <w:t>Conclusion</w:t>
      </w:r>
      <w:r w:rsidRPr="003350C9">
        <w:rPr>
          <w:rFonts w:ascii="Times New Roman" w:hAnsi="Times New Roman" w:cs="Times New Roman"/>
          <w:b/>
          <w:bCs/>
          <w:sz w:val="24"/>
          <w:szCs w:val="24"/>
        </w:rPr>
        <w:t>s</w:t>
      </w:r>
    </w:p>
    <w:p w14:paraId="668AC41A" w14:textId="244817EE" w:rsidR="003350C9" w:rsidRDefault="00BC3E4C" w:rsidP="006160AE">
      <w:pPr>
        <w:pStyle w:val="NoSpacing"/>
        <w:spacing w:line="480" w:lineRule="auto"/>
        <w:jc w:val="both"/>
        <w:rPr>
          <w:rFonts w:ascii="Times New Roman" w:hAnsi="Times New Roman" w:cs="Times New Roman"/>
          <w:sz w:val="24"/>
          <w:szCs w:val="24"/>
        </w:rPr>
      </w:pPr>
      <w:r w:rsidRPr="00BC3E4C">
        <w:rPr>
          <w:rFonts w:ascii="Times New Roman" w:hAnsi="Times New Roman" w:cs="Times New Roman"/>
          <w:sz w:val="24"/>
          <w:szCs w:val="24"/>
        </w:rPr>
        <w:t xml:space="preserve">This study underscores the potential of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seed extract to mitigate the toxic effects of lead acetate on renal function and general health in Wistar rats. The findings demonstrate that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particularly at higher doses, can significantly reverse lead-induced alterations in body weight, kidney weight, creatinine, urea, and uric acid levels. The improvement in body weight and fur condition further supports its restorative impact on health following lead </w:t>
      </w:r>
      <w:r w:rsidRPr="00BC3E4C">
        <w:rPr>
          <w:rFonts w:ascii="Times New Roman" w:hAnsi="Times New Roman" w:cs="Times New Roman"/>
          <w:sz w:val="24"/>
          <w:szCs w:val="24"/>
        </w:rPr>
        <w:lastRenderedPageBreak/>
        <w:t xml:space="preserve">exposure. Thus,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seed extract may serve as a therapeutic option for managing lead toxicity, possibly due to its antioxidant properties, which protect renal and metabolic functions.</w:t>
      </w:r>
    </w:p>
    <w:p w14:paraId="57EBBC74" w14:textId="77777777" w:rsidR="005A798D" w:rsidRDefault="005A798D" w:rsidP="006160AE">
      <w:pPr>
        <w:pStyle w:val="NoSpacing"/>
        <w:spacing w:line="480" w:lineRule="auto"/>
        <w:jc w:val="both"/>
        <w:rPr>
          <w:rFonts w:ascii="Times New Roman" w:hAnsi="Times New Roman" w:cs="Times New Roman"/>
          <w:b/>
          <w:bCs/>
          <w:sz w:val="24"/>
          <w:szCs w:val="24"/>
        </w:rPr>
      </w:pPr>
    </w:p>
    <w:p w14:paraId="3C18B41C" w14:textId="7D0585D2" w:rsidR="00525A1F" w:rsidRDefault="003350C9" w:rsidP="006160AE">
      <w:pPr>
        <w:pStyle w:val="NoSpacing"/>
        <w:spacing w:line="480" w:lineRule="auto"/>
        <w:jc w:val="both"/>
        <w:rPr>
          <w:rFonts w:ascii="Times New Roman" w:hAnsi="Times New Roman" w:cs="Times New Roman"/>
          <w:b/>
          <w:bCs/>
          <w:sz w:val="24"/>
          <w:szCs w:val="24"/>
        </w:rPr>
      </w:pPr>
      <w:r w:rsidRPr="003350C9">
        <w:rPr>
          <w:rFonts w:ascii="Times New Roman" w:hAnsi="Times New Roman" w:cs="Times New Roman"/>
          <w:b/>
          <w:bCs/>
          <w:sz w:val="24"/>
          <w:szCs w:val="24"/>
        </w:rPr>
        <w:t xml:space="preserve">4.3 </w:t>
      </w:r>
      <w:r w:rsidRPr="003350C9">
        <w:rPr>
          <w:rFonts w:ascii="Times New Roman" w:hAnsi="Times New Roman" w:cs="Times New Roman"/>
          <w:b/>
          <w:bCs/>
          <w:sz w:val="24"/>
          <w:szCs w:val="24"/>
        </w:rPr>
        <w:tab/>
      </w:r>
      <w:commentRangeStart w:id="14"/>
      <w:r w:rsidR="00525A1F" w:rsidRPr="003350C9">
        <w:rPr>
          <w:rFonts w:ascii="Times New Roman" w:hAnsi="Times New Roman" w:cs="Times New Roman"/>
          <w:b/>
          <w:bCs/>
          <w:sz w:val="24"/>
          <w:szCs w:val="24"/>
        </w:rPr>
        <w:t>Recommendations</w:t>
      </w:r>
      <w:commentRangeEnd w:id="14"/>
      <w:r w:rsidR="005B7B3F">
        <w:rPr>
          <w:rStyle w:val="CommentReference"/>
        </w:rPr>
        <w:commentReference w:id="14"/>
      </w:r>
    </w:p>
    <w:p w14:paraId="28DC9E6A" w14:textId="720B00D2" w:rsidR="00BC3E4C" w:rsidRPr="00BC3E4C" w:rsidRDefault="00BC3E4C" w:rsidP="006160AE">
      <w:pPr>
        <w:pStyle w:val="NoSpacing"/>
        <w:spacing w:line="480" w:lineRule="auto"/>
        <w:jc w:val="both"/>
        <w:rPr>
          <w:rFonts w:ascii="Times New Roman" w:hAnsi="Times New Roman" w:cs="Times New Roman"/>
          <w:sz w:val="24"/>
          <w:szCs w:val="24"/>
        </w:rPr>
      </w:pPr>
      <w:r w:rsidRPr="00BC3E4C">
        <w:rPr>
          <w:rFonts w:ascii="Times New Roman" w:hAnsi="Times New Roman" w:cs="Times New Roman"/>
          <w:sz w:val="24"/>
          <w:szCs w:val="24"/>
        </w:rPr>
        <w:t xml:space="preserve">Based on these findings, further studies are recommended to explore the specific mechanisms through which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exerts its protective effects, particularly in modulating oxidative stress pathways. Additionally, it would be beneficial to conduct long-term studies to evaluate the efficacy and safety of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in chronic lead exposure models. Clinical trials may also be considered to assess the potential applicability of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as a supplement for individuals at risk of lead exposure. Standardized dosing guidelines should be developed to optimize therapeutic outcomes, ensuring effective doses while minimizing potential side effects.</w:t>
      </w:r>
    </w:p>
    <w:bookmarkEnd w:id="13"/>
    <w:p w14:paraId="2B348EA2" w14:textId="77777777" w:rsidR="00FF2E1C" w:rsidRDefault="00FF2E1C" w:rsidP="00FF2E1C">
      <w:pPr>
        <w:pStyle w:val="NoSpacing"/>
        <w:spacing w:line="360" w:lineRule="auto"/>
        <w:jc w:val="both"/>
        <w:rPr>
          <w:rFonts w:ascii="Times New Roman" w:hAnsi="Times New Roman" w:cs="Times New Roman"/>
          <w:b/>
          <w:sz w:val="24"/>
          <w:szCs w:val="24"/>
        </w:rPr>
      </w:pPr>
    </w:p>
    <w:p w14:paraId="4BB56133" w14:textId="77777777" w:rsidR="00893367" w:rsidRPr="00026776" w:rsidRDefault="00893367" w:rsidP="00893367">
      <w:pPr>
        <w:pStyle w:val="NoSpacing"/>
        <w:spacing w:line="480" w:lineRule="auto"/>
        <w:rPr>
          <w:rFonts w:ascii="Times New Roman" w:hAnsi="Times New Roman" w:cs="Times New Roman"/>
          <w:b/>
          <w:bCs/>
        </w:rPr>
      </w:pPr>
      <w:commentRangeStart w:id="15"/>
      <w:r w:rsidRPr="00026776">
        <w:rPr>
          <w:rFonts w:ascii="Times New Roman" w:hAnsi="Times New Roman" w:cs="Times New Roman"/>
          <w:b/>
          <w:bCs/>
        </w:rPr>
        <w:t>REFERENCES</w:t>
      </w:r>
      <w:commentRangeEnd w:id="15"/>
      <w:r w:rsidR="005B7B3F">
        <w:rPr>
          <w:rStyle w:val="CommentReference"/>
        </w:rPr>
        <w:commentReference w:id="15"/>
      </w:r>
    </w:p>
    <w:p w14:paraId="085EAE1C"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Flora G, Gupta D, Tiwari A. Toxicity of lead: A review with recent updates. </w:t>
      </w:r>
      <w:proofErr w:type="spellStart"/>
      <w:r w:rsidRPr="007928AB">
        <w:rPr>
          <w:rFonts w:ascii="Times New Roman" w:hAnsi="Times New Roman" w:cs="Times New Roman"/>
          <w:sz w:val="24"/>
          <w:szCs w:val="24"/>
        </w:rPr>
        <w:t>Interdiscip</w:t>
      </w:r>
      <w:proofErr w:type="spellEnd"/>
      <w:r w:rsidRPr="007928AB">
        <w:rPr>
          <w:rFonts w:ascii="Times New Roman" w:hAnsi="Times New Roman" w:cs="Times New Roman"/>
          <w:sz w:val="24"/>
          <w:szCs w:val="24"/>
        </w:rPr>
        <w:t xml:space="preserve"> </w:t>
      </w:r>
      <w:proofErr w:type="spellStart"/>
      <w:r w:rsidRPr="007928AB">
        <w:rPr>
          <w:rFonts w:ascii="Times New Roman" w:hAnsi="Times New Roman" w:cs="Times New Roman"/>
          <w:sz w:val="24"/>
          <w:szCs w:val="24"/>
        </w:rPr>
        <w:t>Toxicol</w:t>
      </w:r>
      <w:proofErr w:type="spellEnd"/>
      <w:r w:rsidRPr="007928AB">
        <w:rPr>
          <w:rFonts w:ascii="Times New Roman" w:hAnsi="Times New Roman" w:cs="Times New Roman"/>
          <w:sz w:val="24"/>
          <w:szCs w:val="24"/>
        </w:rPr>
        <w:t>. 2012;5(2):47-58.</w:t>
      </w:r>
    </w:p>
    <w:p w14:paraId="334A24B7"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Patrick L. Lead toxicity, a review of the literature. Part 1: Exposure, evaluation, and treatment. Altern Med Rev. 2006;11(1):2-22.</w:t>
      </w:r>
    </w:p>
    <w:p w14:paraId="3E6F5154"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Gidlow DA. Lead toxicity. </w:t>
      </w:r>
      <w:proofErr w:type="spellStart"/>
      <w:r w:rsidRPr="007928AB">
        <w:rPr>
          <w:rFonts w:ascii="Times New Roman" w:hAnsi="Times New Roman" w:cs="Times New Roman"/>
          <w:sz w:val="24"/>
          <w:szCs w:val="24"/>
        </w:rPr>
        <w:t>Occup</w:t>
      </w:r>
      <w:proofErr w:type="spellEnd"/>
      <w:r w:rsidRPr="007928AB">
        <w:rPr>
          <w:rFonts w:ascii="Times New Roman" w:hAnsi="Times New Roman" w:cs="Times New Roman"/>
          <w:sz w:val="24"/>
          <w:szCs w:val="24"/>
        </w:rPr>
        <w:t xml:space="preserve"> Med (Lond). 2004;54(2):76-81.</w:t>
      </w:r>
    </w:p>
    <w:p w14:paraId="4F8FDCFB"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Adaramoye</w:t>
      </w:r>
      <w:proofErr w:type="spellEnd"/>
      <w:r w:rsidRPr="007928AB">
        <w:rPr>
          <w:rFonts w:ascii="Times New Roman" w:hAnsi="Times New Roman" w:cs="Times New Roman"/>
          <w:sz w:val="24"/>
          <w:szCs w:val="24"/>
        </w:rPr>
        <w:t xml:space="preserve"> OA, </w:t>
      </w:r>
      <w:proofErr w:type="spellStart"/>
      <w:r w:rsidRPr="007928AB">
        <w:rPr>
          <w:rFonts w:ascii="Times New Roman" w:hAnsi="Times New Roman" w:cs="Times New Roman"/>
          <w:sz w:val="24"/>
          <w:szCs w:val="24"/>
        </w:rPr>
        <w:t>Achem</w:t>
      </w:r>
      <w:proofErr w:type="spellEnd"/>
      <w:r w:rsidRPr="007928AB">
        <w:rPr>
          <w:rFonts w:ascii="Times New Roman" w:hAnsi="Times New Roman" w:cs="Times New Roman"/>
          <w:sz w:val="24"/>
          <w:szCs w:val="24"/>
        </w:rPr>
        <w:t xml:space="preserve"> J, Akintayo OO, </w:t>
      </w:r>
      <w:proofErr w:type="spellStart"/>
      <w:r w:rsidRPr="007928AB">
        <w:rPr>
          <w:rFonts w:ascii="Times New Roman" w:hAnsi="Times New Roman" w:cs="Times New Roman"/>
          <w:sz w:val="24"/>
          <w:szCs w:val="24"/>
        </w:rPr>
        <w:t>Fafunso</w:t>
      </w:r>
      <w:proofErr w:type="spellEnd"/>
      <w:r w:rsidRPr="007928AB">
        <w:rPr>
          <w:rFonts w:ascii="Times New Roman" w:hAnsi="Times New Roman" w:cs="Times New Roman"/>
          <w:sz w:val="24"/>
          <w:szCs w:val="24"/>
        </w:rPr>
        <w:t xml:space="preserve"> MA. Hypolipidemic effect of methanolic extract of </w:t>
      </w:r>
      <w:r w:rsidRPr="007928AB">
        <w:rPr>
          <w:rFonts w:ascii="Times New Roman" w:hAnsi="Times New Roman" w:cs="Times New Roman"/>
          <w:i/>
          <w:iCs/>
          <w:sz w:val="24"/>
          <w:szCs w:val="24"/>
        </w:rPr>
        <w:t>Garcinia kola</w:t>
      </w:r>
      <w:r w:rsidRPr="007928AB">
        <w:rPr>
          <w:rFonts w:ascii="Times New Roman" w:hAnsi="Times New Roman" w:cs="Times New Roman"/>
          <w:sz w:val="24"/>
          <w:szCs w:val="24"/>
        </w:rPr>
        <w:t xml:space="preserve"> (bitter kola) in Wistar rats fed a cholesterol-rich diet. J Med Food. 2007;10(2):356-360.</w:t>
      </w:r>
    </w:p>
    <w:p w14:paraId="5D1D5E60"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Farombi</w:t>
      </w:r>
      <w:proofErr w:type="spellEnd"/>
      <w:r w:rsidRPr="007928AB">
        <w:rPr>
          <w:rFonts w:ascii="Times New Roman" w:hAnsi="Times New Roman" w:cs="Times New Roman"/>
          <w:sz w:val="24"/>
          <w:szCs w:val="24"/>
        </w:rPr>
        <w:t xml:space="preserve"> EO, Owoeye O. Antioxidative and </w:t>
      </w:r>
      <w:proofErr w:type="spellStart"/>
      <w:r w:rsidRPr="007928AB">
        <w:rPr>
          <w:rFonts w:ascii="Times New Roman" w:hAnsi="Times New Roman" w:cs="Times New Roman"/>
          <w:sz w:val="24"/>
          <w:szCs w:val="24"/>
        </w:rPr>
        <w:t>chemopreventive</w:t>
      </w:r>
      <w:proofErr w:type="spellEnd"/>
      <w:r w:rsidRPr="007928AB">
        <w:rPr>
          <w:rFonts w:ascii="Times New Roman" w:hAnsi="Times New Roman" w:cs="Times New Roman"/>
          <w:sz w:val="24"/>
          <w:szCs w:val="24"/>
        </w:rPr>
        <w:t xml:space="preserve"> properties of </w:t>
      </w:r>
      <w:r w:rsidRPr="007928AB">
        <w:rPr>
          <w:rFonts w:ascii="Times New Roman" w:hAnsi="Times New Roman" w:cs="Times New Roman"/>
          <w:i/>
          <w:iCs/>
          <w:sz w:val="24"/>
          <w:szCs w:val="24"/>
        </w:rPr>
        <w:t>Vernonia amygdalina</w:t>
      </w:r>
      <w:r w:rsidRPr="007928AB">
        <w:rPr>
          <w:rFonts w:ascii="Times New Roman" w:hAnsi="Times New Roman" w:cs="Times New Roman"/>
          <w:sz w:val="24"/>
          <w:szCs w:val="24"/>
        </w:rPr>
        <w:t xml:space="preserve"> and </w:t>
      </w:r>
      <w:r w:rsidRPr="007928AB">
        <w:rPr>
          <w:rFonts w:ascii="Times New Roman" w:hAnsi="Times New Roman" w:cs="Times New Roman"/>
          <w:i/>
          <w:iCs/>
          <w:sz w:val="24"/>
          <w:szCs w:val="24"/>
        </w:rPr>
        <w:t xml:space="preserve">Garcinia </w:t>
      </w:r>
      <w:proofErr w:type="spellStart"/>
      <w:r w:rsidRPr="007928AB">
        <w:rPr>
          <w:rFonts w:ascii="Times New Roman" w:hAnsi="Times New Roman" w:cs="Times New Roman"/>
          <w:i/>
          <w:iCs/>
          <w:sz w:val="24"/>
          <w:szCs w:val="24"/>
        </w:rPr>
        <w:t>biflavonoid</w:t>
      </w:r>
      <w:proofErr w:type="spellEnd"/>
      <w:r w:rsidRPr="007928AB">
        <w:rPr>
          <w:rFonts w:ascii="Times New Roman" w:hAnsi="Times New Roman" w:cs="Times New Roman"/>
          <w:sz w:val="24"/>
          <w:szCs w:val="24"/>
        </w:rPr>
        <w:t>. Int J Environ Res Public Health. 2011;8(6):2533-2555.</w:t>
      </w:r>
    </w:p>
    <w:p w14:paraId="4ABA76DF"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lastRenderedPageBreak/>
        <w:t xml:space="preserve">Iwu MM, </w:t>
      </w:r>
      <w:proofErr w:type="spellStart"/>
      <w:r w:rsidRPr="007928AB">
        <w:rPr>
          <w:rFonts w:ascii="Times New Roman" w:hAnsi="Times New Roman" w:cs="Times New Roman"/>
          <w:sz w:val="24"/>
          <w:szCs w:val="24"/>
        </w:rPr>
        <w:t>Igboko</w:t>
      </w:r>
      <w:proofErr w:type="spellEnd"/>
      <w:r w:rsidRPr="007928AB">
        <w:rPr>
          <w:rFonts w:ascii="Times New Roman" w:hAnsi="Times New Roman" w:cs="Times New Roman"/>
          <w:sz w:val="24"/>
          <w:szCs w:val="24"/>
        </w:rPr>
        <w:t xml:space="preserve"> AO, </w:t>
      </w:r>
      <w:proofErr w:type="spellStart"/>
      <w:r w:rsidRPr="007928AB">
        <w:rPr>
          <w:rFonts w:ascii="Times New Roman" w:hAnsi="Times New Roman" w:cs="Times New Roman"/>
          <w:sz w:val="24"/>
          <w:szCs w:val="24"/>
        </w:rPr>
        <w:t>Okunji</w:t>
      </w:r>
      <w:proofErr w:type="spellEnd"/>
      <w:r w:rsidRPr="007928AB">
        <w:rPr>
          <w:rFonts w:ascii="Times New Roman" w:hAnsi="Times New Roman" w:cs="Times New Roman"/>
          <w:sz w:val="24"/>
          <w:szCs w:val="24"/>
        </w:rPr>
        <w:t xml:space="preserve"> CO, Tempesta MS. Anti-diabetic and aldose reductase activities of </w:t>
      </w:r>
      <w:proofErr w:type="spellStart"/>
      <w:r w:rsidRPr="007928AB">
        <w:rPr>
          <w:rFonts w:ascii="Times New Roman" w:hAnsi="Times New Roman" w:cs="Times New Roman"/>
          <w:sz w:val="24"/>
          <w:szCs w:val="24"/>
        </w:rPr>
        <w:t>biflavanones</w:t>
      </w:r>
      <w:proofErr w:type="spellEnd"/>
      <w:r w:rsidRPr="007928AB">
        <w:rPr>
          <w:rFonts w:ascii="Times New Roman" w:hAnsi="Times New Roman" w:cs="Times New Roman"/>
          <w:sz w:val="24"/>
          <w:szCs w:val="24"/>
        </w:rPr>
        <w:t xml:space="preserve"> of </w:t>
      </w:r>
      <w:r w:rsidRPr="007928AB">
        <w:rPr>
          <w:rFonts w:ascii="Times New Roman" w:hAnsi="Times New Roman" w:cs="Times New Roman"/>
          <w:i/>
          <w:iCs/>
          <w:sz w:val="24"/>
          <w:szCs w:val="24"/>
        </w:rPr>
        <w:t>Garcinia kola</w:t>
      </w:r>
      <w:r w:rsidRPr="007928AB">
        <w:rPr>
          <w:rFonts w:ascii="Times New Roman" w:hAnsi="Times New Roman" w:cs="Times New Roman"/>
          <w:sz w:val="24"/>
          <w:szCs w:val="24"/>
        </w:rPr>
        <w:t xml:space="preserve">. J Pharm </w:t>
      </w:r>
      <w:proofErr w:type="spellStart"/>
      <w:r w:rsidRPr="007928AB">
        <w:rPr>
          <w:rFonts w:ascii="Times New Roman" w:hAnsi="Times New Roman" w:cs="Times New Roman"/>
          <w:sz w:val="24"/>
          <w:szCs w:val="24"/>
        </w:rPr>
        <w:t>Pharmacol</w:t>
      </w:r>
      <w:proofErr w:type="spellEnd"/>
      <w:r w:rsidRPr="007928AB">
        <w:rPr>
          <w:rFonts w:ascii="Times New Roman" w:hAnsi="Times New Roman" w:cs="Times New Roman"/>
          <w:sz w:val="24"/>
          <w:szCs w:val="24"/>
        </w:rPr>
        <w:t>. 1990;42(4):290-292.</w:t>
      </w:r>
    </w:p>
    <w:p w14:paraId="6E6F155C"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Olaleye SB, </w:t>
      </w:r>
      <w:proofErr w:type="spellStart"/>
      <w:r w:rsidRPr="007928AB">
        <w:rPr>
          <w:rFonts w:ascii="Times New Roman" w:hAnsi="Times New Roman" w:cs="Times New Roman"/>
          <w:sz w:val="24"/>
          <w:szCs w:val="24"/>
        </w:rPr>
        <w:t>Adaramoye</w:t>
      </w:r>
      <w:proofErr w:type="spellEnd"/>
      <w:r w:rsidRPr="007928AB">
        <w:rPr>
          <w:rFonts w:ascii="Times New Roman" w:hAnsi="Times New Roman" w:cs="Times New Roman"/>
          <w:sz w:val="24"/>
          <w:szCs w:val="24"/>
        </w:rPr>
        <w:t xml:space="preserve"> OA, </w:t>
      </w:r>
      <w:proofErr w:type="spellStart"/>
      <w:r w:rsidRPr="007928AB">
        <w:rPr>
          <w:rFonts w:ascii="Times New Roman" w:hAnsi="Times New Roman" w:cs="Times New Roman"/>
          <w:sz w:val="24"/>
          <w:szCs w:val="24"/>
        </w:rPr>
        <w:t>Erigbali</w:t>
      </w:r>
      <w:proofErr w:type="spellEnd"/>
      <w:r w:rsidRPr="007928AB">
        <w:rPr>
          <w:rFonts w:ascii="Times New Roman" w:hAnsi="Times New Roman" w:cs="Times New Roman"/>
          <w:sz w:val="24"/>
          <w:szCs w:val="24"/>
        </w:rPr>
        <w:t xml:space="preserve"> PP, Adeniyi OS. Lead exposure, oxidative stress, and mitochondrial dysfunction: Insights from rat models of nephropathy. Ren Fail. 2006;28(7):629-637.</w:t>
      </w:r>
    </w:p>
    <w:p w14:paraId="36936E26"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OECD. Test No. 425: Acute Oral Toxicity – Up-and-Down Procedure. OECD Guidelines for the Testing of Chemicals, Section 4. Paris: OECD Publishing; 2008. Available from: </w:t>
      </w:r>
      <w:hyperlink r:id="rId11" w:history="1">
        <w:r w:rsidRPr="007928AB">
          <w:rPr>
            <w:rStyle w:val="Hyperlink"/>
            <w:rFonts w:ascii="Times New Roman" w:hAnsi="Times New Roman" w:cs="Times New Roman"/>
            <w:sz w:val="24"/>
            <w:szCs w:val="24"/>
          </w:rPr>
          <w:t>https://doi.org/10.1787/9789264071049-en</w:t>
        </w:r>
      </w:hyperlink>
      <w:r w:rsidRPr="007928AB">
        <w:rPr>
          <w:rFonts w:ascii="Times New Roman" w:hAnsi="Times New Roman" w:cs="Times New Roman"/>
          <w:sz w:val="24"/>
          <w:szCs w:val="24"/>
        </w:rPr>
        <w:t>.</w:t>
      </w:r>
    </w:p>
    <w:p w14:paraId="50F567DE"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Adegboye MF, Akinpelu DA, Okoh AI. The bioactive and phytochemical properties of </w:t>
      </w:r>
      <w:r w:rsidRPr="007928AB">
        <w:rPr>
          <w:rFonts w:ascii="Times New Roman" w:hAnsi="Times New Roman" w:cs="Times New Roman"/>
          <w:i/>
          <w:iCs/>
          <w:sz w:val="24"/>
          <w:szCs w:val="24"/>
        </w:rPr>
        <w:t>Garcinia kola</w:t>
      </w:r>
      <w:r w:rsidRPr="007928AB">
        <w:rPr>
          <w:rFonts w:ascii="Times New Roman" w:hAnsi="Times New Roman" w:cs="Times New Roman"/>
          <w:sz w:val="24"/>
          <w:szCs w:val="24"/>
        </w:rPr>
        <w:t xml:space="preserve"> (Heckel) seed extract on some pathogens. </w:t>
      </w:r>
      <w:proofErr w:type="spellStart"/>
      <w:r w:rsidRPr="007928AB">
        <w:rPr>
          <w:rFonts w:ascii="Times New Roman" w:hAnsi="Times New Roman" w:cs="Times New Roman"/>
          <w:sz w:val="24"/>
          <w:szCs w:val="24"/>
        </w:rPr>
        <w:t>Afr</w:t>
      </w:r>
      <w:proofErr w:type="spellEnd"/>
      <w:r w:rsidRPr="007928AB">
        <w:rPr>
          <w:rFonts w:ascii="Times New Roman" w:hAnsi="Times New Roman" w:cs="Times New Roman"/>
          <w:sz w:val="24"/>
          <w:szCs w:val="24"/>
        </w:rPr>
        <w:t xml:space="preserve"> J </w:t>
      </w:r>
      <w:proofErr w:type="spellStart"/>
      <w:r w:rsidRPr="007928AB">
        <w:rPr>
          <w:rFonts w:ascii="Times New Roman" w:hAnsi="Times New Roman" w:cs="Times New Roman"/>
          <w:sz w:val="24"/>
          <w:szCs w:val="24"/>
        </w:rPr>
        <w:t>Biotechnol</w:t>
      </w:r>
      <w:proofErr w:type="spellEnd"/>
      <w:r w:rsidRPr="007928AB">
        <w:rPr>
          <w:rFonts w:ascii="Times New Roman" w:hAnsi="Times New Roman" w:cs="Times New Roman"/>
          <w:sz w:val="24"/>
          <w:szCs w:val="24"/>
        </w:rPr>
        <w:t>. 2008;7(21):3934-8.</w:t>
      </w:r>
    </w:p>
    <w:p w14:paraId="719E9519"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Iwu MM. Handbook of African medicinal plants. 2nd ed. Boca Raton: CRC Press; 2014. p. 234-5.</w:t>
      </w:r>
    </w:p>
    <w:p w14:paraId="6BCADE09"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Akpantah</w:t>
      </w:r>
      <w:proofErr w:type="spellEnd"/>
      <w:r w:rsidRPr="007928AB">
        <w:rPr>
          <w:rFonts w:ascii="Times New Roman" w:hAnsi="Times New Roman" w:cs="Times New Roman"/>
          <w:sz w:val="24"/>
          <w:szCs w:val="24"/>
        </w:rPr>
        <w:t xml:space="preserve"> AO, </w:t>
      </w:r>
      <w:proofErr w:type="spellStart"/>
      <w:r w:rsidRPr="007928AB">
        <w:rPr>
          <w:rFonts w:ascii="Times New Roman" w:hAnsi="Times New Roman" w:cs="Times New Roman"/>
          <w:sz w:val="24"/>
          <w:szCs w:val="24"/>
        </w:rPr>
        <w:t>Oremosu</w:t>
      </w:r>
      <w:proofErr w:type="spellEnd"/>
      <w:r w:rsidRPr="007928AB">
        <w:rPr>
          <w:rFonts w:ascii="Times New Roman" w:hAnsi="Times New Roman" w:cs="Times New Roman"/>
          <w:sz w:val="24"/>
          <w:szCs w:val="24"/>
        </w:rPr>
        <w:t xml:space="preserve"> AA, Ajala MO, Noronha CC, Okanlawon AO. Effects of </w:t>
      </w:r>
      <w:r w:rsidRPr="007928AB">
        <w:rPr>
          <w:rFonts w:ascii="Times New Roman" w:hAnsi="Times New Roman" w:cs="Times New Roman"/>
          <w:i/>
          <w:iCs/>
          <w:sz w:val="24"/>
          <w:szCs w:val="24"/>
        </w:rPr>
        <w:t>Garcinia kola</w:t>
      </w:r>
      <w:r w:rsidRPr="007928AB">
        <w:rPr>
          <w:rFonts w:ascii="Times New Roman" w:hAnsi="Times New Roman" w:cs="Times New Roman"/>
          <w:sz w:val="24"/>
          <w:szCs w:val="24"/>
        </w:rPr>
        <w:t xml:space="preserve"> seed extract on ovulation, </w:t>
      </w:r>
      <w:proofErr w:type="spellStart"/>
      <w:r w:rsidRPr="007928AB">
        <w:rPr>
          <w:rFonts w:ascii="Times New Roman" w:hAnsi="Times New Roman" w:cs="Times New Roman"/>
          <w:sz w:val="24"/>
          <w:szCs w:val="24"/>
        </w:rPr>
        <w:t>oestrous</w:t>
      </w:r>
      <w:proofErr w:type="spellEnd"/>
      <w:r w:rsidRPr="007928AB">
        <w:rPr>
          <w:rFonts w:ascii="Times New Roman" w:hAnsi="Times New Roman" w:cs="Times New Roman"/>
          <w:sz w:val="24"/>
          <w:szCs w:val="24"/>
        </w:rPr>
        <w:t xml:space="preserve"> cycle and </w:t>
      </w:r>
      <w:proofErr w:type="spellStart"/>
      <w:r w:rsidRPr="007928AB">
        <w:rPr>
          <w:rFonts w:ascii="Times New Roman" w:hAnsi="Times New Roman" w:cs="Times New Roman"/>
          <w:sz w:val="24"/>
          <w:szCs w:val="24"/>
        </w:rPr>
        <w:t>foetal</w:t>
      </w:r>
      <w:proofErr w:type="spellEnd"/>
      <w:r w:rsidRPr="007928AB">
        <w:rPr>
          <w:rFonts w:ascii="Times New Roman" w:hAnsi="Times New Roman" w:cs="Times New Roman"/>
          <w:sz w:val="24"/>
          <w:szCs w:val="24"/>
        </w:rPr>
        <w:t xml:space="preserve"> development in cyclic female Sprague–Dawley rats. Niger J </w:t>
      </w:r>
      <w:proofErr w:type="spellStart"/>
      <w:r w:rsidRPr="007928AB">
        <w:rPr>
          <w:rFonts w:ascii="Times New Roman" w:hAnsi="Times New Roman" w:cs="Times New Roman"/>
          <w:sz w:val="24"/>
          <w:szCs w:val="24"/>
        </w:rPr>
        <w:t>Physiol</w:t>
      </w:r>
      <w:proofErr w:type="spellEnd"/>
      <w:r w:rsidRPr="007928AB">
        <w:rPr>
          <w:rFonts w:ascii="Times New Roman" w:hAnsi="Times New Roman" w:cs="Times New Roman"/>
          <w:sz w:val="24"/>
          <w:szCs w:val="24"/>
        </w:rPr>
        <w:t xml:space="preserve"> Sci. 2005;20(1-2):58-62.</w:t>
      </w:r>
    </w:p>
    <w:p w14:paraId="60B4E625"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Olaleye SB, </w:t>
      </w:r>
      <w:proofErr w:type="spellStart"/>
      <w:r w:rsidRPr="007928AB">
        <w:rPr>
          <w:rFonts w:ascii="Times New Roman" w:hAnsi="Times New Roman" w:cs="Times New Roman"/>
          <w:sz w:val="24"/>
          <w:szCs w:val="24"/>
        </w:rPr>
        <w:t>Farombi</w:t>
      </w:r>
      <w:proofErr w:type="spellEnd"/>
      <w:r w:rsidRPr="007928AB">
        <w:rPr>
          <w:rFonts w:ascii="Times New Roman" w:hAnsi="Times New Roman" w:cs="Times New Roman"/>
          <w:sz w:val="24"/>
          <w:szCs w:val="24"/>
        </w:rPr>
        <w:t xml:space="preserve"> EO. Attenuation of indomethacin- and ethanol-induced oxidative gastric mucosa damage in rats by </w:t>
      </w:r>
      <w:r w:rsidRPr="007928AB">
        <w:rPr>
          <w:rFonts w:ascii="Times New Roman" w:hAnsi="Times New Roman" w:cs="Times New Roman"/>
          <w:i/>
          <w:iCs/>
          <w:sz w:val="24"/>
          <w:szCs w:val="24"/>
        </w:rPr>
        <w:t>Garcinia kola</w:t>
      </w:r>
      <w:r w:rsidRPr="007928AB">
        <w:rPr>
          <w:rFonts w:ascii="Times New Roman" w:hAnsi="Times New Roman" w:cs="Times New Roman"/>
          <w:sz w:val="24"/>
          <w:szCs w:val="24"/>
        </w:rPr>
        <w:t xml:space="preserve"> seed extract. Am J </w:t>
      </w:r>
      <w:proofErr w:type="spellStart"/>
      <w:r w:rsidRPr="007928AB">
        <w:rPr>
          <w:rFonts w:ascii="Times New Roman" w:hAnsi="Times New Roman" w:cs="Times New Roman"/>
          <w:sz w:val="24"/>
          <w:szCs w:val="24"/>
        </w:rPr>
        <w:t>Biochem</w:t>
      </w:r>
      <w:proofErr w:type="spellEnd"/>
      <w:r w:rsidRPr="007928AB">
        <w:rPr>
          <w:rFonts w:ascii="Times New Roman" w:hAnsi="Times New Roman" w:cs="Times New Roman"/>
          <w:sz w:val="24"/>
          <w:szCs w:val="24"/>
        </w:rPr>
        <w:t xml:space="preserve"> </w:t>
      </w:r>
      <w:proofErr w:type="spellStart"/>
      <w:r w:rsidRPr="007928AB">
        <w:rPr>
          <w:rFonts w:ascii="Times New Roman" w:hAnsi="Times New Roman" w:cs="Times New Roman"/>
          <w:sz w:val="24"/>
          <w:szCs w:val="24"/>
        </w:rPr>
        <w:t>Biotechnol</w:t>
      </w:r>
      <w:proofErr w:type="spellEnd"/>
      <w:r w:rsidRPr="007928AB">
        <w:rPr>
          <w:rFonts w:ascii="Times New Roman" w:hAnsi="Times New Roman" w:cs="Times New Roman"/>
          <w:sz w:val="24"/>
          <w:szCs w:val="24"/>
        </w:rPr>
        <w:t>. 2006;2(2):57-62.</w:t>
      </w:r>
    </w:p>
    <w:p w14:paraId="16EE026B"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National Research Council (US) Institute for Laboratory Animal Research. </w:t>
      </w:r>
      <w:r w:rsidRPr="007928AB">
        <w:rPr>
          <w:rFonts w:ascii="Times New Roman" w:hAnsi="Times New Roman" w:cs="Times New Roman"/>
          <w:i/>
          <w:iCs/>
          <w:sz w:val="24"/>
          <w:szCs w:val="24"/>
        </w:rPr>
        <w:t>Guidelines for the Care and Use of Mammals in Neuroscience and Behavioral Research</w:t>
      </w:r>
      <w:r w:rsidRPr="007928AB">
        <w:rPr>
          <w:rFonts w:ascii="Times New Roman" w:hAnsi="Times New Roman" w:cs="Times New Roman"/>
          <w:sz w:val="24"/>
          <w:szCs w:val="24"/>
        </w:rPr>
        <w:t>. Washington, DC: National Academies Press; 2003.</w:t>
      </w:r>
    </w:p>
    <w:p w14:paraId="718C4651" w14:textId="77777777" w:rsidR="00893367" w:rsidRPr="007928AB" w:rsidRDefault="00893367" w:rsidP="00893367">
      <w:pPr>
        <w:pStyle w:val="NoSpacing"/>
        <w:numPr>
          <w:ilvl w:val="0"/>
          <w:numId w:val="25"/>
        </w:numPr>
        <w:autoSpaceDE w:val="0"/>
        <w:autoSpaceDN w:val="0"/>
        <w:adjustRightInd w:val="0"/>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lastRenderedPageBreak/>
        <w:t>Onyejike</w:t>
      </w:r>
      <w:proofErr w:type="spellEnd"/>
      <w:r w:rsidRPr="007928AB">
        <w:rPr>
          <w:rFonts w:ascii="Times New Roman" w:hAnsi="Times New Roman" w:cs="Times New Roman"/>
          <w:sz w:val="24"/>
          <w:szCs w:val="24"/>
        </w:rPr>
        <w:t xml:space="preserve"> DN, </w:t>
      </w:r>
      <w:proofErr w:type="spellStart"/>
      <w:r w:rsidRPr="007928AB">
        <w:rPr>
          <w:rFonts w:ascii="Times New Roman" w:hAnsi="Times New Roman" w:cs="Times New Roman"/>
          <w:sz w:val="24"/>
          <w:szCs w:val="24"/>
        </w:rPr>
        <w:t>Aladeyelu</w:t>
      </w:r>
      <w:proofErr w:type="spellEnd"/>
      <w:r w:rsidRPr="007928AB">
        <w:rPr>
          <w:rFonts w:ascii="Times New Roman" w:hAnsi="Times New Roman" w:cs="Times New Roman"/>
          <w:sz w:val="24"/>
          <w:szCs w:val="24"/>
        </w:rPr>
        <w:t xml:space="preserve"> OS, </w:t>
      </w:r>
      <w:proofErr w:type="spellStart"/>
      <w:r w:rsidRPr="007928AB">
        <w:rPr>
          <w:rFonts w:ascii="Times New Roman" w:hAnsi="Times New Roman" w:cs="Times New Roman"/>
          <w:sz w:val="24"/>
          <w:szCs w:val="24"/>
        </w:rPr>
        <w:t>Onyejike</w:t>
      </w:r>
      <w:proofErr w:type="spellEnd"/>
      <w:r w:rsidRPr="007928AB">
        <w:rPr>
          <w:rFonts w:ascii="Times New Roman" w:hAnsi="Times New Roman" w:cs="Times New Roman"/>
          <w:sz w:val="24"/>
          <w:szCs w:val="24"/>
        </w:rPr>
        <w:t xml:space="preserve"> IM, Nwankwo OK. Biochemical Effects of </w:t>
      </w:r>
      <w:proofErr w:type="spellStart"/>
      <w:r w:rsidRPr="007928AB">
        <w:rPr>
          <w:rFonts w:ascii="Times New Roman" w:hAnsi="Times New Roman" w:cs="Times New Roman"/>
          <w:sz w:val="24"/>
          <w:szCs w:val="24"/>
        </w:rPr>
        <w:t>Goko</w:t>
      </w:r>
      <w:proofErr w:type="spellEnd"/>
      <w:r w:rsidRPr="007928AB">
        <w:rPr>
          <w:rFonts w:ascii="Times New Roman" w:hAnsi="Times New Roman" w:cs="Times New Roman"/>
          <w:sz w:val="24"/>
          <w:szCs w:val="24"/>
        </w:rPr>
        <w:t xml:space="preserve"> Cleanser Herbal Mixture on the Kidney of Adult Female Wistar Rats. </w:t>
      </w:r>
      <w:r w:rsidRPr="007928AB">
        <w:rPr>
          <w:rFonts w:ascii="Times New Roman" w:eastAsia="Calibri" w:hAnsi="Times New Roman" w:cs="Times New Roman"/>
          <w:sz w:val="24"/>
          <w:szCs w:val="24"/>
        </w:rPr>
        <w:t xml:space="preserve">Int </w:t>
      </w:r>
      <w:proofErr w:type="spellStart"/>
      <w:r w:rsidRPr="007928AB">
        <w:rPr>
          <w:rFonts w:ascii="Times New Roman" w:eastAsia="Calibri" w:hAnsi="Times New Roman" w:cs="Times New Roman"/>
          <w:sz w:val="24"/>
          <w:szCs w:val="24"/>
        </w:rPr>
        <w:t>Inven</w:t>
      </w:r>
      <w:proofErr w:type="spellEnd"/>
      <w:r w:rsidRPr="007928AB">
        <w:rPr>
          <w:rFonts w:ascii="Times New Roman" w:eastAsia="Calibri" w:hAnsi="Times New Roman" w:cs="Times New Roman"/>
          <w:sz w:val="24"/>
          <w:szCs w:val="24"/>
        </w:rPr>
        <w:t xml:space="preserve"> Sci J. </w:t>
      </w:r>
      <w:r w:rsidRPr="007928AB">
        <w:rPr>
          <w:rFonts w:ascii="Times New Roman" w:eastAsia="Calibri" w:hAnsi="Times New Roman" w:cs="Times New Roman"/>
          <w:sz w:val="24"/>
          <w:szCs w:val="24"/>
          <w:lang w:val="en-GB"/>
        </w:rPr>
        <w:t>2018;</w:t>
      </w:r>
      <w:r w:rsidRPr="007928AB">
        <w:rPr>
          <w:rFonts w:ascii="Times New Roman" w:hAnsi="Times New Roman" w:cs="Times New Roman"/>
          <w:sz w:val="24"/>
          <w:szCs w:val="24"/>
        </w:rPr>
        <w:t>2(4):117-129.</w:t>
      </w:r>
    </w:p>
    <w:p w14:paraId="2D7284F7"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Adegbesan</w:t>
      </w:r>
      <w:proofErr w:type="spellEnd"/>
      <w:r w:rsidRPr="007928AB">
        <w:rPr>
          <w:rFonts w:ascii="Times New Roman" w:hAnsi="Times New Roman" w:cs="Times New Roman"/>
          <w:sz w:val="24"/>
          <w:szCs w:val="24"/>
        </w:rPr>
        <w:t xml:space="preserve"> BO, Adenuga GA. Effect of lead exposure on liver lipid peroxidative and antioxidant defense systems of protein-undernourished rats. Biol Trace Elem Res. 2007;116(2):219-25.</w:t>
      </w:r>
    </w:p>
    <w:p w14:paraId="1D63D52B"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Flora SJ, Gupta R. Beneficial effects of Spirulina on lead-induced oxidative stress in rat brain, liver, and kidney. Environ </w:t>
      </w:r>
      <w:proofErr w:type="spellStart"/>
      <w:r w:rsidRPr="007928AB">
        <w:rPr>
          <w:rFonts w:ascii="Times New Roman" w:hAnsi="Times New Roman" w:cs="Times New Roman"/>
          <w:sz w:val="24"/>
          <w:szCs w:val="24"/>
        </w:rPr>
        <w:t>Toxicol</w:t>
      </w:r>
      <w:proofErr w:type="spellEnd"/>
      <w:r w:rsidRPr="007928AB">
        <w:rPr>
          <w:rFonts w:ascii="Times New Roman" w:hAnsi="Times New Roman" w:cs="Times New Roman"/>
          <w:sz w:val="24"/>
          <w:szCs w:val="24"/>
        </w:rPr>
        <w:t xml:space="preserve"> </w:t>
      </w:r>
      <w:proofErr w:type="spellStart"/>
      <w:r w:rsidRPr="007928AB">
        <w:rPr>
          <w:rFonts w:ascii="Times New Roman" w:hAnsi="Times New Roman" w:cs="Times New Roman"/>
          <w:sz w:val="24"/>
          <w:szCs w:val="24"/>
        </w:rPr>
        <w:t>Pharmacol</w:t>
      </w:r>
      <w:proofErr w:type="spellEnd"/>
      <w:r w:rsidRPr="007928AB">
        <w:rPr>
          <w:rFonts w:ascii="Times New Roman" w:hAnsi="Times New Roman" w:cs="Times New Roman"/>
          <w:sz w:val="24"/>
          <w:szCs w:val="24"/>
        </w:rPr>
        <w:t>. 2007;20(3):397-403.</w:t>
      </w:r>
    </w:p>
    <w:p w14:paraId="19F59982"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Patrick L. Lead toxicity, a review of the literature. Part 1: exposure, evaluation, and treatment. Altern Med Rev. 2006;11(1):2-22.</w:t>
      </w:r>
    </w:p>
    <w:p w14:paraId="7E0EBD41"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Adaramoye</w:t>
      </w:r>
      <w:proofErr w:type="spellEnd"/>
      <w:r w:rsidRPr="007928AB">
        <w:rPr>
          <w:rFonts w:ascii="Times New Roman" w:hAnsi="Times New Roman" w:cs="Times New Roman"/>
          <w:sz w:val="24"/>
          <w:szCs w:val="24"/>
        </w:rPr>
        <w:t xml:space="preserve"> OA, Nwaneri VO, Anyanwu KC, et al. Possible anti-atherogenic effect of </w:t>
      </w:r>
      <w:proofErr w:type="spellStart"/>
      <w:r w:rsidRPr="007928AB">
        <w:rPr>
          <w:rFonts w:ascii="Times New Roman" w:hAnsi="Times New Roman" w:cs="Times New Roman"/>
          <w:sz w:val="24"/>
          <w:szCs w:val="24"/>
        </w:rPr>
        <w:t>kolaviron</w:t>
      </w:r>
      <w:proofErr w:type="spellEnd"/>
      <w:r w:rsidRPr="007928AB">
        <w:rPr>
          <w:rFonts w:ascii="Times New Roman" w:hAnsi="Times New Roman" w:cs="Times New Roman"/>
          <w:sz w:val="24"/>
          <w:szCs w:val="24"/>
        </w:rPr>
        <w:t xml:space="preserve"> (a Garcinia kola seed extract) in hypercholesterolemic rats. Clin Exp </w:t>
      </w:r>
      <w:proofErr w:type="spellStart"/>
      <w:r w:rsidRPr="007928AB">
        <w:rPr>
          <w:rFonts w:ascii="Times New Roman" w:hAnsi="Times New Roman" w:cs="Times New Roman"/>
          <w:sz w:val="24"/>
          <w:szCs w:val="24"/>
        </w:rPr>
        <w:t>Pharmacol</w:t>
      </w:r>
      <w:proofErr w:type="spellEnd"/>
      <w:r w:rsidRPr="007928AB">
        <w:rPr>
          <w:rFonts w:ascii="Times New Roman" w:hAnsi="Times New Roman" w:cs="Times New Roman"/>
          <w:sz w:val="24"/>
          <w:szCs w:val="24"/>
        </w:rPr>
        <w:t xml:space="preserve"> Physiol. 2005;32(1-2):40-6.</w:t>
      </w:r>
    </w:p>
    <w:p w14:paraId="167F6D30"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El-</w:t>
      </w:r>
      <w:proofErr w:type="spellStart"/>
      <w:r w:rsidRPr="007928AB">
        <w:rPr>
          <w:rFonts w:ascii="Times New Roman" w:hAnsi="Times New Roman" w:cs="Times New Roman"/>
          <w:sz w:val="24"/>
          <w:szCs w:val="24"/>
        </w:rPr>
        <w:t>Sokkary</w:t>
      </w:r>
      <w:proofErr w:type="spellEnd"/>
      <w:r w:rsidRPr="007928AB">
        <w:rPr>
          <w:rFonts w:ascii="Times New Roman" w:hAnsi="Times New Roman" w:cs="Times New Roman"/>
          <w:sz w:val="24"/>
          <w:szCs w:val="24"/>
        </w:rPr>
        <w:t xml:space="preserve"> GH, </w:t>
      </w:r>
      <w:proofErr w:type="spellStart"/>
      <w:r w:rsidRPr="007928AB">
        <w:rPr>
          <w:rFonts w:ascii="Times New Roman" w:hAnsi="Times New Roman" w:cs="Times New Roman"/>
          <w:sz w:val="24"/>
          <w:szCs w:val="24"/>
        </w:rPr>
        <w:t>Nafady</w:t>
      </w:r>
      <w:proofErr w:type="spellEnd"/>
      <w:r w:rsidRPr="007928AB">
        <w:rPr>
          <w:rFonts w:ascii="Times New Roman" w:hAnsi="Times New Roman" w:cs="Times New Roman"/>
          <w:sz w:val="24"/>
          <w:szCs w:val="24"/>
        </w:rPr>
        <w:t xml:space="preserve"> AA, Shabash EH. Melatonin ameliorates lead acetate-induced hepatic and renal toxicity in male rats. </w:t>
      </w:r>
      <w:proofErr w:type="spellStart"/>
      <w:r w:rsidRPr="007928AB">
        <w:rPr>
          <w:rFonts w:ascii="Times New Roman" w:hAnsi="Times New Roman" w:cs="Times New Roman"/>
          <w:sz w:val="24"/>
          <w:szCs w:val="24"/>
        </w:rPr>
        <w:t>Ecotoxicol</w:t>
      </w:r>
      <w:proofErr w:type="spellEnd"/>
      <w:r w:rsidRPr="007928AB">
        <w:rPr>
          <w:rFonts w:ascii="Times New Roman" w:hAnsi="Times New Roman" w:cs="Times New Roman"/>
          <w:sz w:val="24"/>
          <w:szCs w:val="24"/>
        </w:rPr>
        <w:t xml:space="preserve"> Environ Saf. 2010;73(3):643-50.</w:t>
      </w:r>
    </w:p>
    <w:p w14:paraId="318C869B"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Ejaz S, Akram MR, Lim CW, et al. Lead toxicity in the liver of male rats: oxidative stress, lipid peroxidation, and iron homeostasis. J Toxicol Environ Health A. 2009;72(15):1125-32.</w:t>
      </w:r>
    </w:p>
    <w:p w14:paraId="02DBF793" w14:textId="6DCDE83E" w:rsidR="00893367"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Farombi</w:t>
      </w:r>
      <w:proofErr w:type="spellEnd"/>
      <w:r w:rsidRPr="007928AB">
        <w:rPr>
          <w:rFonts w:ascii="Times New Roman" w:hAnsi="Times New Roman" w:cs="Times New Roman"/>
          <w:sz w:val="24"/>
          <w:szCs w:val="24"/>
        </w:rPr>
        <w:t xml:space="preserve"> EO, Akanni OO, </w:t>
      </w:r>
      <w:proofErr w:type="spellStart"/>
      <w:r w:rsidRPr="007928AB">
        <w:rPr>
          <w:rFonts w:ascii="Times New Roman" w:hAnsi="Times New Roman" w:cs="Times New Roman"/>
          <w:sz w:val="24"/>
          <w:szCs w:val="24"/>
        </w:rPr>
        <w:t>Emerole</w:t>
      </w:r>
      <w:proofErr w:type="spellEnd"/>
      <w:r w:rsidRPr="007928AB">
        <w:rPr>
          <w:rFonts w:ascii="Times New Roman" w:hAnsi="Times New Roman" w:cs="Times New Roman"/>
          <w:sz w:val="24"/>
          <w:szCs w:val="24"/>
        </w:rPr>
        <w:t xml:space="preserve"> GO. Antioxidant and scavenging activities of flavonoid extract (</w:t>
      </w:r>
      <w:proofErr w:type="spellStart"/>
      <w:r w:rsidRPr="007928AB">
        <w:rPr>
          <w:rFonts w:ascii="Times New Roman" w:hAnsi="Times New Roman" w:cs="Times New Roman"/>
          <w:sz w:val="24"/>
          <w:szCs w:val="24"/>
        </w:rPr>
        <w:t>kolaviron</w:t>
      </w:r>
      <w:proofErr w:type="spellEnd"/>
      <w:r w:rsidRPr="007928AB">
        <w:rPr>
          <w:rFonts w:ascii="Times New Roman" w:hAnsi="Times New Roman" w:cs="Times New Roman"/>
          <w:sz w:val="24"/>
          <w:szCs w:val="24"/>
        </w:rPr>
        <w:t>) of Garcinia kola seeds. Pharm Biol. 2002;40(2):107-16.</w:t>
      </w:r>
    </w:p>
    <w:p w14:paraId="64E31F03" w14:textId="77777777" w:rsidR="000B04D8" w:rsidRDefault="000B04D8" w:rsidP="000B04D8">
      <w:pPr>
        <w:pStyle w:val="NoSpacing"/>
        <w:spacing w:line="480" w:lineRule="auto"/>
        <w:rPr>
          <w:rFonts w:ascii="Times New Roman" w:hAnsi="Times New Roman" w:cs="Times New Roman"/>
          <w:sz w:val="24"/>
          <w:szCs w:val="24"/>
        </w:rPr>
      </w:pPr>
    </w:p>
    <w:p w14:paraId="0B565182" w14:textId="77777777" w:rsidR="000B04D8" w:rsidRPr="000B04D8" w:rsidRDefault="000B04D8" w:rsidP="000B04D8">
      <w:pPr>
        <w:spacing w:after="0" w:line="480" w:lineRule="auto"/>
        <w:rPr>
          <w:rFonts w:ascii="Times New Roman" w:eastAsia="Aptos" w:hAnsi="Times New Roman" w:cs="Times New Roman"/>
          <w:b/>
          <w:bCs/>
          <w:sz w:val="24"/>
          <w:szCs w:val="24"/>
        </w:rPr>
      </w:pPr>
      <w:r w:rsidRPr="000B04D8">
        <w:rPr>
          <w:rFonts w:ascii="Times New Roman" w:eastAsia="Aptos" w:hAnsi="Times New Roman" w:cs="Times New Roman"/>
          <w:b/>
          <w:bCs/>
          <w:sz w:val="24"/>
          <w:szCs w:val="24"/>
        </w:rPr>
        <w:t>TABLES</w:t>
      </w:r>
    </w:p>
    <w:p w14:paraId="0981927D" w14:textId="77777777" w:rsidR="000B04D8" w:rsidRPr="000B04D8" w:rsidRDefault="000B04D8" w:rsidP="000B04D8">
      <w:pPr>
        <w:spacing w:after="0" w:line="480" w:lineRule="auto"/>
        <w:rPr>
          <w:rFonts w:ascii="Times New Roman" w:eastAsia="Aptos" w:hAnsi="Times New Roman" w:cs="Times New Roman"/>
          <w:sz w:val="24"/>
          <w:szCs w:val="24"/>
        </w:rPr>
      </w:pPr>
      <w:r w:rsidRPr="000B04D8">
        <w:rPr>
          <w:rFonts w:ascii="Times New Roman" w:eastAsia="Aptos" w:hAnsi="Times New Roman" w:cs="Times New Roman"/>
          <w:b/>
          <w:bCs/>
          <w:sz w:val="24"/>
          <w:szCs w:val="24"/>
        </w:rPr>
        <w:t>Table 1: Result of body Weight Analysis</w:t>
      </w:r>
    </w:p>
    <w:tbl>
      <w:tblPr>
        <w:tblStyle w:val="TableGrid1"/>
        <w:tblW w:w="801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890"/>
        <w:gridCol w:w="1795"/>
        <w:gridCol w:w="1175"/>
        <w:gridCol w:w="990"/>
        <w:gridCol w:w="1080"/>
      </w:tblGrid>
      <w:tr w:rsidR="000B04D8" w:rsidRPr="000B04D8" w14:paraId="17FAFD18" w14:textId="77777777" w:rsidTr="004C4808">
        <w:trPr>
          <w:trHeight w:val="492"/>
          <w:jc w:val="center"/>
        </w:trPr>
        <w:tc>
          <w:tcPr>
            <w:tcW w:w="1080" w:type="dxa"/>
            <w:tcBorders>
              <w:top w:val="single" w:sz="4" w:space="0" w:color="auto"/>
              <w:bottom w:val="single" w:sz="4" w:space="0" w:color="auto"/>
            </w:tcBorders>
          </w:tcPr>
          <w:p w14:paraId="4ADD89F8"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lastRenderedPageBreak/>
              <w:t>Groups</w:t>
            </w:r>
          </w:p>
        </w:tc>
        <w:tc>
          <w:tcPr>
            <w:tcW w:w="1890" w:type="dxa"/>
            <w:tcBorders>
              <w:top w:val="single" w:sz="4" w:space="0" w:color="auto"/>
              <w:bottom w:val="single" w:sz="4" w:space="0" w:color="auto"/>
            </w:tcBorders>
          </w:tcPr>
          <w:p w14:paraId="3002D0A7"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Initial weight (g)</w:t>
            </w:r>
          </w:p>
          <w:p w14:paraId="770B5D2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795" w:type="dxa"/>
            <w:tcBorders>
              <w:top w:val="single" w:sz="4" w:space="0" w:color="auto"/>
              <w:bottom w:val="single" w:sz="4" w:space="0" w:color="auto"/>
            </w:tcBorders>
          </w:tcPr>
          <w:p w14:paraId="0A025E45"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Final weight (g)</w:t>
            </w:r>
          </w:p>
          <w:p w14:paraId="17E72528"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175" w:type="dxa"/>
            <w:tcBorders>
              <w:top w:val="single" w:sz="4" w:space="0" w:color="auto"/>
              <w:bottom w:val="single" w:sz="4" w:space="0" w:color="auto"/>
            </w:tcBorders>
          </w:tcPr>
          <w:p w14:paraId="198929D4"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BWC (g)</w:t>
            </w:r>
          </w:p>
        </w:tc>
        <w:tc>
          <w:tcPr>
            <w:tcW w:w="990" w:type="dxa"/>
            <w:tcBorders>
              <w:top w:val="single" w:sz="4" w:space="0" w:color="auto"/>
              <w:bottom w:val="single" w:sz="4" w:space="0" w:color="auto"/>
            </w:tcBorders>
          </w:tcPr>
          <w:p w14:paraId="3E1669A1"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i/>
                <w:iCs/>
                <w:sz w:val="24"/>
                <w:szCs w:val="24"/>
              </w:rPr>
              <w:t>P</w:t>
            </w:r>
            <w:r w:rsidRPr="000B04D8">
              <w:rPr>
                <w:rFonts w:ascii="Times New Roman" w:eastAsia="Aptos" w:hAnsi="Times New Roman" w:cs="Times New Roman"/>
                <w:sz w:val="24"/>
                <w:szCs w:val="24"/>
              </w:rPr>
              <w:t>-value</w:t>
            </w:r>
          </w:p>
        </w:tc>
        <w:tc>
          <w:tcPr>
            <w:tcW w:w="1080" w:type="dxa"/>
            <w:tcBorders>
              <w:top w:val="single" w:sz="4" w:space="0" w:color="auto"/>
              <w:bottom w:val="single" w:sz="4" w:space="0" w:color="auto"/>
            </w:tcBorders>
          </w:tcPr>
          <w:p w14:paraId="7CDF277E"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T-value</w:t>
            </w:r>
          </w:p>
        </w:tc>
      </w:tr>
      <w:tr w:rsidR="000B04D8" w:rsidRPr="000B04D8" w14:paraId="23A2F05F" w14:textId="77777777" w:rsidTr="004C4808">
        <w:trPr>
          <w:trHeight w:val="197"/>
          <w:jc w:val="center"/>
        </w:trPr>
        <w:tc>
          <w:tcPr>
            <w:tcW w:w="1080" w:type="dxa"/>
            <w:tcBorders>
              <w:top w:val="single" w:sz="4" w:space="0" w:color="auto"/>
            </w:tcBorders>
          </w:tcPr>
          <w:p w14:paraId="12CC3FFD"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 A</w:t>
            </w:r>
          </w:p>
        </w:tc>
        <w:tc>
          <w:tcPr>
            <w:tcW w:w="1890" w:type="dxa"/>
            <w:tcBorders>
              <w:top w:val="single" w:sz="4" w:space="0" w:color="auto"/>
            </w:tcBorders>
          </w:tcPr>
          <w:p w14:paraId="40BF7E37"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134.67±11.89</w:t>
            </w:r>
          </w:p>
        </w:tc>
        <w:tc>
          <w:tcPr>
            <w:tcW w:w="1795" w:type="dxa"/>
            <w:tcBorders>
              <w:top w:val="single" w:sz="4" w:space="0" w:color="auto"/>
            </w:tcBorders>
          </w:tcPr>
          <w:p w14:paraId="0D59CB64"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212.67±7.45</w:t>
            </w:r>
          </w:p>
        </w:tc>
        <w:tc>
          <w:tcPr>
            <w:tcW w:w="1175" w:type="dxa"/>
            <w:tcBorders>
              <w:top w:val="single" w:sz="4" w:space="0" w:color="auto"/>
            </w:tcBorders>
          </w:tcPr>
          <w:p w14:paraId="48DC72C6"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78.00</w:t>
            </w:r>
          </w:p>
        </w:tc>
        <w:tc>
          <w:tcPr>
            <w:tcW w:w="990" w:type="dxa"/>
            <w:tcBorders>
              <w:top w:val="single" w:sz="4" w:space="0" w:color="auto"/>
            </w:tcBorders>
          </w:tcPr>
          <w:p w14:paraId="4C2BFFA7"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0.056</w:t>
            </w:r>
            <w:r w:rsidRPr="000B04D8">
              <w:rPr>
                <w:rFonts w:ascii="Times New Roman" w:eastAsia="Aptos" w:hAnsi="Times New Roman" w:cs="Times New Roman"/>
                <w:sz w:val="24"/>
                <w:szCs w:val="24"/>
                <w:vertAlign w:val="superscript"/>
              </w:rPr>
              <w:t xml:space="preserve"> a</w:t>
            </w:r>
          </w:p>
        </w:tc>
        <w:tc>
          <w:tcPr>
            <w:tcW w:w="1080" w:type="dxa"/>
            <w:tcBorders>
              <w:top w:val="single" w:sz="4" w:space="0" w:color="auto"/>
            </w:tcBorders>
          </w:tcPr>
          <w:p w14:paraId="4EFB8ED2"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-4.044</w:t>
            </w:r>
          </w:p>
        </w:tc>
      </w:tr>
      <w:tr w:rsidR="000B04D8" w:rsidRPr="000B04D8" w14:paraId="262BB4A8" w14:textId="77777777" w:rsidTr="004C4808">
        <w:trPr>
          <w:trHeight w:val="492"/>
          <w:jc w:val="center"/>
        </w:trPr>
        <w:tc>
          <w:tcPr>
            <w:tcW w:w="1080" w:type="dxa"/>
          </w:tcPr>
          <w:p w14:paraId="3CEC3D6F"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 B</w:t>
            </w:r>
          </w:p>
        </w:tc>
        <w:tc>
          <w:tcPr>
            <w:tcW w:w="1890" w:type="dxa"/>
          </w:tcPr>
          <w:p w14:paraId="4DFDABC2"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183.00±6.63</w:t>
            </w:r>
          </w:p>
        </w:tc>
        <w:tc>
          <w:tcPr>
            <w:tcW w:w="1795" w:type="dxa"/>
          </w:tcPr>
          <w:p w14:paraId="17B3028D"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167.00±7.04</w:t>
            </w:r>
          </w:p>
        </w:tc>
        <w:tc>
          <w:tcPr>
            <w:tcW w:w="1175" w:type="dxa"/>
          </w:tcPr>
          <w:p w14:paraId="4975A33A"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-16.00</w:t>
            </w:r>
          </w:p>
        </w:tc>
        <w:tc>
          <w:tcPr>
            <w:tcW w:w="990" w:type="dxa"/>
          </w:tcPr>
          <w:p w14:paraId="4103D744"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0.020</w:t>
            </w:r>
            <w:r w:rsidRPr="000B04D8">
              <w:rPr>
                <w:rFonts w:ascii="Times New Roman" w:eastAsia="Aptos" w:hAnsi="Times New Roman" w:cs="Times New Roman"/>
                <w:sz w:val="24"/>
                <w:szCs w:val="24"/>
                <w:vertAlign w:val="superscript"/>
              </w:rPr>
              <w:t>*</w:t>
            </w:r>
          </w:p>
        </w:tc>
        <w:tc>
          <w:tcPr>
            <w:tcW w:w="1080" w:type="dxa"/>
          </w:tcPr>
          <w:p w14:paraId="4B661475"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3.761</w:t>
            </w:r>
          </w:p>
        </w:tc>
      </w:tr>
      <w:tr w:rsidR="000B04D8" w:rsidRPr="000B04D8" w14:paraId="388C15F1" w14:textId="77777777" w:rsidTr="004C4808">
        <w:trPr>
          <w:trHeight w:val="483"/>
          <w:jc w:val="center"/>
        </w:trPr>
        <w:tc>
          <w:tcPr>
            <w:tcW w:w="1080" w:type="dxa"/>
          </w:tcPr>
          <w:p w14:paraId="75BE56F0"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C </w:t>
            </w:r>
          </w:p>
        </w:tc>
        <w:tc>
          <w:tcPr>
            <w:tcW w:w="1890" w:type="dxa"/>
          </w:tcPr>
          <w:p w14:paraId="221A2116"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189.20±3.30</w:t>
            </w:r>
          </w:p>
        </w:tc>
        <w:tc>
          <w:tcPr>
            <w:tcW w:w="1795" w:type="dxa"/>
          </w:tcPr>
          <w:p w14:paraId="5F74120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219.20±5.99</w:t>
            </w:r>
          </w:p>
        </w:tc>
        <w:tc>
          <w:tcPr>
            <w:tcW w:w="1175" w:type="dxa"/>
          </w:tcPr>
          <w:p w14:paraId="02E53406"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30.00</w:t>
            </w:r>
          </w:p>
        </w:tc>
        <w:tc>
          <w:tcPr>
            <w:tcW w:w="990" w:type="dxa"/>
          </w:tcPr>
          <w:p w14:paraId="2E097F9B"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0.011</w:t>
            </w:r>
            <w:r w:rsidRPr="000B04D8">
              <w:rPr>
                <w:rFonts w:ascii="Times New Roman" w:eastAsia="Aptos" w:hAnsi="Times New Roman" w:cs="Times New Roman"/>
                <w:sz w:val="24"/>
                <w:szCs w:val="24"/>
                <w:vertAlign w:val="superscript"/>
              </w:rPr>
              <w:t>*</w:t>
            </w:r>
          </w:p>
        </w:tc>
        <w:tc>
          <w:tcPr>
            <w:tcW w:w="1080" w:type="dxa"/>
          </w:tcPr>
          <w:p w14:paraId="3D712458"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-4.497</w:t>
            </w:r>
          </w:p>
        </w:tc>
      </w:tr>
      <w:tr w:rsidR="000B04D8" w:rsidRPr="000B04D8" w14:paraId="7FB67354" w14:textId="77777777" w:rsidTr="004C4808">
        <w:trPr>
          <w:trHeight w:val="483"/>
          <w:jc w:val="center"/>
        </w:trPr>
        <w:tc>
          <w:tcPr>
            <w:tcW w:w="1080" w:type="dxa"/>
          </w:tcPr>
          <w:p w14:paraId="71328D73"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D </w:t>
            </w:r>
          </w:p>
        </w:tc>
        <w:tc>
          <w:tcPr>
            <w:tcW w:w="1890" w:type="dxa"/>
          </w:tcPr>
          <w:p w14:paraId="3B6958E2"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185.00±10.11</w:t>
            </w:r>
          </w:p>
        </w:tc>
        <w:tc>
          <w:tcPr>
            <w:tcW w:w="1795" w:type="dxa"/>
          </w:tcPr>
          <w:p w14:paraId="5383A35A"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194.40±39.37</w:t>
            </w:r>
          </w:p>
        </w:tc>
        <w:tc>
          <w:tcPr>
            <w:tcW w:w="1175" w:type="dxa"/>
          </w:tcPr>
          <w:p w14:paraId="7C1E97F2"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9.40</w:t>
            </w:r>
          </w:p>
        </w:tc>
        <w:tc>
          <w:tcPr>
            <w:tcW w:w="990" w:type="dxa"/>
          </w:tcPr>
          <w:p w14:paraId="3CB82077"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0.665</w:t>
            </w:r>
            <w:r w:rsidRPr="000B04D8">
              <w:rPr>
                <w:rFonts w:ascii="Times New Roman" w:eastAsia="Aptos" w:hAnsi="Times New Roman" w:cs="Times New Roman"/>
                <w:sz w:val="24"/>
                <w:szCs w:val="24"/>
                <w:vertAlign w:val="superscript"/>
              </w:rPr>
              <w:t xml:space="preserve"> a</w:t>
            </w:r>
          </w:p>
        </w:tc>
        <w:tc>
          <w:tcPr>
            <w:tcW w:w="1080" w:type="dxa"/>
          </w:tcPr>
          <w:p w14:paraId="7EC25150"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0.466</w:t>
            </w:r>
          </w:p>
        </w:tc>
      </w:tr>
      <w:tr w:rsidR="000B04D8" w:rsidRPr="000B04D8" w14:paraId="6780DF95" w14:textId="77777777" w:rsidTr="004C4808">
        <w:trPr>
          <w:trHeight w:val="483"/>
          <w:jc w:val="center"/>
        </w:trPr>
        <w:tc>
          <w:tcPr>
            <w:tcW w:w="1080" w:type="dxa"/>
            <w:tcBorders>
              <w:bottom w:val="single" w:sz="4" w:space="0" w:color="auto"/>
            </w:tcBorders>
          </w:tcPr>
          <w:p w14:paraId="157354BB"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E </w:t>
            </w:r>
          </w:p>
        </w:tc>
        <w:tc>
          <w:tcPr>
            <w:tcW w:w="1890" w:type="dxa"/>
            <w:tcBorders>
              <w:bottom w:val="single" w:sz="4" w:space="0" w:color="auto"/>
            </w:tcBorders>
          </w:tcPr>
          <w:p w14:paraId="04863D1D"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189.80±6.65</w:t>
            </w:r>
          </w:p>
        </w:tc>
        <w:tc>
          <w:tcPr>
            <w:tcW w:w="1795" w:type="dxa"/>
            <w:tcBorders>
              <w:bottom w:val="single" w:sz="4" w:space="0" w:color="auto"/>
            </w:tcBorders>
          </w:tcPr>
          <w:p w14:paraId="2CE33756"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191.20±6.65</w:t>
            </w:r>
          </w:p>
        </w:tc>
        <w:tc>
          <w:tcPr>
            <w:tcW w:w="1175" w:type="dxa"/>
            <w:tcBorders>
              <w:bottom w:val="single" w:sz="4" w:space="0" w:color="auto"/>
            </w:tcBorders>
          </w:tcPr>
          <w:p w14:paraId="23CEA1C1"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1.40</w:t>
            </w:r>
          </w:p>
        </w:tc>
        <w:tc>
          <w:tcPr>
            <w:tcW w:w="990" w:type="dxa"/>
            <w:tcBorders>
              <w:bottom w:val="single" w:sz="4" w:space="0" w:color="auto"/>
            </w:tcBorders>
          </w:tcPr>
          <w:p w14:paraId="492035D7"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0.910</w:t>
            </w:r>
            <w:r w:rsidRPr="000B04D8">
              <w:rPr>
                <w:rFonts w:ascii="Times New Roman" w:eastAsia="Aptos" w:hAnsi="Times New Roman" w:cs="Times New Roman"/>
                <w:sz w:val="24"/>
                <w:szCs w:val="24"/>
                <w:vertAlign w:val="superscript"/>
              </w:rPr>
              <w:t xml:space="preserve"> a</w:t>
            </w:r>
          </w:p>
        </w:tc>
        <w:tc>
          <w:tcPr>
            <w:tcW w:w="1080" w:type="dxa"/>
            <w:tcBorders>
              <w:bottom w:val="single" w:sz="4" w:space="0" w:color="auto"/>
            </w:tcBorders>
          </w:tcPr>
          <w:p w14:paraId="73BE52F1"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-0.121</w:t>
            </w:r>
          </w:p>
        </w:tc>
      </w:tr>
    </w:tbl>
    <w:p w14:paraId="560E5708"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Data was analyzed using paired t-test and values were considered significant at </w:t>
      </w:r>
      <w:r w:rsidRPr="000B04D8">
        <w:rPr>
          <w:rFonts w:ascii="Times New Roman" w:eastAsia="Aptos" w:hAnsi="Times New Roman" w:cs="Times New Roman"/>
          <w:i/>
          <w:sz w:val="24"/>
          <w:szCs w:val="24"/>
        </w:rPr>
        <w:t>P ≤ .05</w:t>
      </w:r>
      <w:r w:rsidRPr="000B04D8">
        <w:rPr>
          <w:rFonts w:ascii="Times New Roman" w:eastAsia="Aptos" w:hAnsi="Times New Roman" w:cs="Times New Roman"/>
          <w:sz w:val="24"/>
          <w:szCs w:val="24"/>
        </w:rPr>
        <w:t xml:space="preserve">. </w:t>
      </w:r>
    </w:p>
    <w:p w14:paraId="7F2DAA11" w14:textId="77777777" w:rsidR="000B04D8" w:rsidRPr="000B04D8" w:rsidRDefault="000B04D8" w:rsidP="000B04D8">
      <w:pPr>
        <w:spacing w:after="0" w:line="480" w:lineRule="auto"/>
        <w:jc w:val="both"/>
        <w:rPr>
          <w:rFonts w:ascii="Times New Roman" w:eastAsia="Aptos" w:hAnsi="Times New Roman" w:cs="Times New Roman"/>
          <w:iCs/>
          <w:sz w:val="24"/>
          <w:szCs w:val="24"/>
        </w:rPr>
      </w:pPr>
      <w:r w:rsidRPr="000B04D8">
        <w:rPr>
          <w:rFonts w:ascii="Times New Roman" w:eastAsia="Aptos" w:hAnsi="Times New Roman" w:cs="Times New Roman"/>
          <w:sz w:val="24"/>
          <w:szCs w:val="24"/>
        </w:rPr>
        <w:t xml:space="preserve">SEM: Standard error of mean, BWC: Body weight change, *: significant, </w:t>
      </w:r>
      <w:r w:rsidRPr="000B04D8">
        <w:rPr>
          <w:rFonts w:ascii="Times New Roman" w:eastAsia="Aptos" w:hAnsi="Times New Roman" w:cs="Times New Roman"/>
          <w:sz w:val="24"/>
          <w:szCs w:val="24"/>
          <w:vertAlign w:val="superscript"/>
        </w:rPr>
        <w:t>a</w:t>
      </w:r>
      <w:r w:rsidRPr="000B04D8">
        <w:rPr>
          <w:rFonts w:ascii="Times New Roman" w:eastAsia="Aptos" w:hAnsi="Times New Roman" w:cs="Times New Roman"/>
          <w:sz w:val="24"/>
          <w:szCs w:val="24"/>
        </w:rPr>
        <w:t>: non-significant.</w:t>
      </w:r>
    </w:p>
    <w:p w14:paraId="049773EA" w14:textId="77777777" w:rsidR="000B04D8" w:rsidRPr="000B04D8" w:rsidRDefault="000B04D8" w:rsidP="000B04D8">
      <w:pPr>
        <w:spacing w:after="0" w:line="480" w:lineRule="auto"/>
        <w:jc w:val="both"/>
        <w:rPr>
          <w:rFonts w:ascii="Times New Roman" w:eastAsia="Aptos" w:hAnsi="Times New Roman" w:cs="Times New Roman"/>
          <w:b/>
          <w:bCs/>
          <w:sz w:val="24"/>
          <w:szCs w:val="24"/>
        </w:rPr>
      </w:pPr>
      <w:r w:rsidRPr="000B04D8">
        <w:rPr>
          <w:rFonts w:ascii="Times New Roman" w:eastAsia="Aptos" w:hAnsi="Times New Roman" w:cs="Times New Roman"/>
          <w:b/>
          <w:bCs/>
          <w:sz w:val="24"/>
          <w:szCs w:val="24"/>
        </w:rPr>
        <w:t>Table 2: Result of Relative Weight of the Kidney</w:t>
      </w:r>
    </w:p>
    <w:tbl>
      <w:tblPr>
        <w:tblStyle w:val="TableGrid1"/>
        <w:tblW w:w="666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060"/>
        <w:gridCol w:w="1800"/>
      </w:tblGrid>
      <w:tr w:rsidR="000B04D8" w:rsidRPr="000B04D8" w14:paraId="4F4221FB" w14:textId="77777777" w:rsidTr="004C4808">
        <w:trPr>
          <w:trHeight w:val="263"/>
          <w:jc w:val="center"/>
        </w:trPr>
        <w:tc>
          <w:tcPr>
            <w:tcW w:w="1800" w:type="dxa"/>
            <w:tcBorders>
              <w:top w:val="single" w:sz="4" w:space="0" w:color="auto"/>
              <w:bottom w:val="nil"/>
            </w:tcBorders>
          </w:tcPr>
          <w:p w14:paraId="41468A5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Groups</w:t>
            </w:r>
          </w:p>
        </w:tc>
        <w:tc>
          <w:tcPr>
            <w:tcW w:w="3060" w:type="dxa"/>
            <w:tcBorders>
              <w:top w:val="single" w:sz="4" w:space="0" w:color="auto"/>
              <w:bottom w:val="nil"/>
            </w:tcBorders>
          </w:tcPr>
          <w:p w14:paraId="4A36C7A9"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Relative kidney weight (g)</w:t>
            </w:r>
          </w:p>
        </w:tc>
        <w:tc>
          <w:tcPr>
            <w:tcW w:w="1800" w:type="dxa"/>
            <w:tcBorders>
              <w:top w:val="single" w:sz="4" w:space="0" w:color="auto"/>
              <w:bottom w:val="nil"/>
            </w:tcBorders>
          </w:tcPr>
          <w:p w14:paraId="329668E0"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i/>
                <w:iCs/>
                <w:sz w:val="24"/>
                <w:szCs w:val="24"/>
              </w:rPr>
              <w:t>P</w:t>
            </w:r>
            <w:r w:rsidRPr="000B04D8">
              <w:rPr>
                <w:rFonts w:ascii="Times New Roman" w:eastAsia="Aptos" w:hAnsi="Times New Roman" w:cs="Times New Roman"/>
                <w:sz w:val="24"/>
                <w:szCs w:val="24"/>
              </w:rPr>
              <w:t>-value</w:t>
            </w:r>
          </w:p>
        </w:tc>
      </w:tr>
      <w:tr w:rsidR="000B04D8" w:rsidRPr="000B04D8" w14:paraId="2DD9C0BC" w14:textId="77777777" w:rsidTr="004C4808">
        <w:trPr>
          <w:trHeight w:val="308"/>
          <w:jc w:val="center"/>
        </w:trPr>
        <w:tc>
          <w:tcPr>
            <w:tcW w:w="1800" w:type="dxa"/>
            <w:tcBorders>
              <w:top w:val="nil"/>
              <w:bottom w:val="single" w:sz="4" w:space="0" w:color="auto"/>
            </w:tcBorders>
          </w:tcPr>
          <w:p w14:paraId="371E7466" w14:textId="77777777" w:rsidR="000B04D8" w:rsidRPr="000B04D8" w:rsidRDefault="000B04D8" w:rsidP="000B04D8">
            <w:pPr>
              <w:spacing w:after="0" w:line="480" w:lineRule="auto"/>
              <w:jc w:val="both"/>
              <w:rPr>
                <w:rFonts w:ascii="Times New Roman" w:eastAsia="Aptos" w:hAnsi="Times New Roman" w:cs="Times New Roman"/>
                <w:sz w:val="24"/>
                <w:szCs w:val="24"/>
              </w:rPr>
            </w:pPr>
          </w:p>
        </w:tc>
        <w:tc>
          <w:tcPr>
            <w:tcW w:w="3060" w:type="dxa"/>
            <w:tcBorders>
              <w:top w:val="nil"/>
              <w:bottom w:val="single" w:sz="4" w:space="0" w:color="auto"/>
            </w:tcBorders>
          </w:tcPr>
          <w:p w14:paraId="26643B35"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800" w:type="dxa"/>
            <w:tcBorders>
              <w:top w:val="nil"/>
              <w:bottom w:val="single" w:sz="4" w:space="0" w:color="auto"/>
            </w:tcBorders>
          </w:tcPr>
          <w:p w14:paraId="6E402509" w14:textId="77777777" w:rsidR="000B04D8" w:rsidRPr="000B04D8" w:rsidRDefault="000B04D8" w:rsidP="000B04D8">
            <w:pPr>
              <w:spacing w:after="0" w:line="480" w:lineRule="auto"/>
              <w:jc w:val="both"/>
              <w:rPr>
                <w:rFonts w:ascii="Times New Roman" w:eastAsia="Aptos" w:hAnsi="Times New Roman" w:cs="Times New Roman"/>
                <w:sz w:val="24"/>
                <w:szCs w:val="24"/>
              </w:rPr>
            </w:pPr>
          </w:p>
        </w:tc>
      </w:tr>
      <w:tr w:rsidR="000B04D8" w:rsidRPr="000B04D8" w14:paraId="38D83CB8" w14:textId="77777777" w:rsidTr="004C4808">
        <w:trPr>
          <w:trHeight w:val="302"/>
          <w:jc w:val="center"/>
        </w:trPr>
        <w:tc>
          <w:tcPr>
            <w:tcW w:w="1800" w:type="dxa"/>
            <w:tcBorders>
              <w:top w:val="single" w:sz="4" w:space="0" w:color="auto"/>
            </w:tcBorders>
          </w:tcPr>
          <w:p w14:paraId="15C3A685"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A </w:t>
            </w:r>
          </w:p>
        </w:tc>
        <w:tc>
          <w:tcPr>
            <w:tcW w:w="3060" w:type="dxa"/>
            <w:tcBorders>
              <w:top w:val="single" w:sz="4" w:space="0" w:color="auto"/>
            </w:tcBorders>
          </w:tcPr>
          <w:p w14:paraId="0DD7F4F7"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0.27±0.04</w:t>
            </w:r>
          </w:p>
        </w:tc>
        <w:tc>
          <w:tcPr>
            <w:tcW w:w="1800" w:type="dxa"/>
            <w:tcBorders>
              <w:top w:val="single" w:sz="4" w:space="0" w:color="auto"/>
            </w:tcBorders>
          </w:tcPr>
          <w:p w14:paraId="30DD677F" w14:textId="77777777" w:rsidR="000B04D8" w:rsidRPr="000B04D8" w:rsidRDefault="000B04D8" w:rsidP="000B04D8">
            <w:pPr>
              <w:spacing w:after="0" w:line="480" w:lineRule="auto"/>
              <w:jc w:val="both"/>
              <w:rPr>
                <w:rFonts w:ascii="Times New Roman" w:eastAsia="Aptos" w:hAnsi="Times New Roman" w:cs="Times New Roman"/>
                <w:sz w:val="24"/>
                <w:szCs w:val="24"/>
              </w:rPr>
            </w:pPr>
          </w:p>
        </w:tc>
      </w:tr>
      <w:tr w:rsidR="000B04D8" w:rsidRPr="000B04D8" w14:paraId="7DCD2DCC" w14:textId="77777777" w:rsidTr="004C4808">
        <w:trPr>
          <w:trHeight w:val="308"/>
          <w:jc w:val="center"/>
        </w:trPr>
        <w:tc>
          <w:tcPr>
            <w:tcW w:w="1800" w:type="dxa"/>
          </w:tcPr>
          <w:p w14:paraId="5A9E208E"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B </w:t>
            </w:r>
          </w:p>
        </w:tc>
        <w:tc>
          <w:tcPr>
            <w:tcW w:w="3060" w:type="dxa"/>
          </w:tcPr>
          <w:p w14:paraId="7F53CCE3" w14:textId="77777777" w:rsidR="000B04D8" w:rsidRPr="000B04D8" w:rsidRDefault="000B04D8" w:rsidP="000B04D8">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0.40±0.04</w:t>
            </w:r>
            <w:r w:rsidRPr="000B04D8">
              <w:rPr>
                <w:rFonts w:ascii="Times New Roman" w:eastAsia="Aptos" w:hAnsi="Times New Roman" w:cs="Times New Roman"/>
                <w:sz w:val="24"/>
                <w:szCs w:val="24"/>
                <w:vertAlign w:val="superscript"/>
              </w:rPr>
              <w:t>*</w:t>
            </w:r>
          </w:p>
        </w:tc>
        <w:tc>
          <w:tcPr>
            <w:tcW w:w="1800" w:type="dxa"/>
          </w:tcPr>
          <w:p w14:paraId="4CE8107B"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0.023</w:t>
            </w:r>
          </w:p>
        </w:tc>
      </w:tr>
      <w:tr w:rsidR="000B04D8" w:rsidRPr="000B04D8" w14:paraId="745EFEAB" w14:textId="77777777" w:rsidTr="004C4808">
        <w:trPr>
          <w:trHeight w:val="302"/>
          <w:jc w:val="center"/>
        </w:trPr>
        <w:tc>
          <w:tcPr>
            <w:tcW w:w="1800" w:type="dxa"/>
          </w:tcPr>
          <w:p w14:paraId="4362F9A0"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C </w:t>
            </w:r>
          </w:p>
        </w:tc>
        <w:tc>
          <w:tcPr>
            <w:tcW w:w="3060" w:type="dxa"/>
          </w:tcPr>
          <w:p w14:paraId="470F352F" w14:textId="77777777" w:rsidR="000B04D8" w:rsidRPr="000B04D8" w:rsidRDefault="000B04D8" w:rsidP="000B04D8">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0.28±0.02</w:t>
            </w:r>
            <w:r w:rsidRPr="000B04D8">
              <w:rPr>
                <w:rFonts w:ascii="Times New Roman" w:eastAsia="Aptos" w:hAnsi="Times New Roman" w:cs="Times New Roman"/>
                <w:sz w:val="24"/>
                <w:szCs w:val="24"/>
                <w:vertAlign w:val="superscript"/>
              </w:rPr>
              <w:t xml:space="preserve"> *</w:t>
            </w:r>
          </w:p>
        </w:tc>
        <w:tc>
          <w:tcPr>
            <w:tcW w:w="1800" w:type="dxa"/>
          </w:tcPr>
          <w:p w14:paraId="2D781F8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0.018</w:t>
            </w:r>
          </w:p>
        </w:tc>
      </w:tr>
      <w:tr w:rsidR="000B04D8" w:rsidRPr="000B04D8" w14:paraId="56898F76" w14:textId="77777777" w:rsidTr="004C4808">
        <w:trPr>
          <w:trHeight w:val="302"/>
          <w:jc w:val="center"/>
        </w:trPr>
        <w:tc>
          <w:tcPr>
            <w:tcW w:w="1800" w:type="dxa"/>
          </w:tcPr>
          <w:p w14:paraId="7B5CEAE4"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D </w:t>
            </w:r>
          </w:p>
        </w:tc>
        <w:tc>
          <w:tcPr>
            <w:tcW w:w="3060" w:type="dxa"/>
          </w:tcPr>
          <w:p w14:paraId="36AC27F0" w14:textId="77777777" w:rsidR="000B04D8" w:rsidRPr="000B04D8" w:rsidRDefault="000B04D8" w:rsidP="000B04D8">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0.37±0.03</w:t>
            </w:r>
            <w:r w:rsidRPr="000B04D8">
              <w:rPr>
                <w:rFonts w:ascii="Times New Roman" w:eastAsia="Aptos" w:hAnsi="Times New Roman" w:cs="Times New Roman"/>
                <w:sz w:val="24"/>
                <w:szCs w:val="24"/>
                <w:vertAlign w:val="superscript"/>
              </w:rPr>
              <w:t>a</w:t>
            </w:r>
          </w:p>
        </w:tc>
        <w:tc>
          <w:tcPr>
            <w:tcW w:w="1800" w:type="dxa"/>
          </w:tcPr>
          <w:p w14:paraId="0584E673"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0.484</w:t>
            </w:r>
          </w:p>
        </w:tc>
      </w:tr>
      <w:tr w:rsidR="000B04D8" w:rsidRPr="000B04D8" w14:paraId="4345266E" w14:textId="77777777" w:rsidTr="004C4808">
        <w:trPr>
          <w:trHeight w:val="302"/>
          <w:jc w:val="center"/>
        </w:trPr>
        <w:tc>
          <w:tcPr>
            <w:tcW w:w="1800" w:type="dxa"/>
          </w:tcPr>
          <w:p w14:paraId="765178DB"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E </w:t>
            </w:r>
          </w:p>
        </w:tc>
        <w:tc>
          <w:tcPr>
            <w:tcW w:w="3060" w:type="dxa"/>
          </w:tcPr>
          <w:p w14:paraId="2E966557" w14:textId="77777777" w:rsidR="000B04D8" w:rsidRPr="000B04D8" w:rsidRDefault="000B04D8" w:rsidP="000B04D8">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0.32±0.02</w:t>
            </w:r>
            <w:r w:rsidRPr="000B04D8">
              <w:rPr>
                <w:rFonts w:ascii="Times New Roman" w:eastAsia="Aptos" w:hAnsi="Times New Roman" w:cs="Times New Roman"/>
                <w:sz w:val="24"/>
                <w:szCs w:val="24"/>
                <w:vertAlign w:val="superscript"/>
              </w:rPr>
              <w:t>a</w:t>
            </w:r>
          </w:p>
        </w:tc>
        <w:tc>
          <w:tcPr>
            <w:tcW w:w="1800" w:type="dxa"/>
          </w:tcPr>
          <w:p w14:paraId="5ABA9724"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0.099</w:t>
            </w:r>
          </w:p>
        </w:tc>
      </w:tr>
      <w:tr w:rsidR="000B04D8" w:rsidRPr="000B04D8" w14:paraId="66F8832C" w14:textId="77777777" w:rsidTr="004C4808">
        <w:trPr>
          <w:trHeight w:val="302"/>
          <w:jc w:val="center"/>
        </w:trPr>
        <w:tc>
          <w:tcPr>
            <w:tcW w:w="1800" w:type="dxa"/>
          </w:tcPr>
          <w:p w14:paraId="4EE02872"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F-value </w:t>
            </w:r>
          </w:p>
        </w:tc>
        <w:tc>
          <w:tcPr>
            <w:tcW w:w="3060" w:type="dxa"/>
          </w:tcPr>
          <w:p w14:paraId="087C7921"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3.03</w:t>
            </w:r>
          </w:p>
        </w:tc>
        <w:tc>
          <w:tcPr>
            <w:tcW w:w="1800" w:type="dxa"/>
          </w:tcPr>
          <w:p w14:paraId="2A3FA70E" w14:textId="77777777" w:rsidR="000B04D8" w:rsidRPr="000B04D8" w:rsidRDefault="000B04D8" w:rsidP="000B04D8">
            <w:pPr>
              <w:spacing w:after="0" w:line="480" w:lineRule="auto"/>
              <w:jc w:val="both"/>
              <w:rPr>
                <w:rFonts w:ascii="Times New Roman" w:eastAsia="Aptos" w:hAnsi="Times New Roman" w:cs="Times New Roman"/>
                <w:sz w:val="24"/>
                <w:szCs w:val="24"/>
              </w:rPr>
            </w:pPr>
          </w:p>
        </w:tc>
      </w:tr>
    </w:tbl>
    <w:p w14:paraId="66CD2CF0"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Data was analyzed using ANOVA followed by post Hoc LSD comparison and values were considered significant at </w:t>
      </w:r>
      <w:r w:rsidRPr="000B04D8">
        <w:rPr>
          <w:rFonts w:ascii="Times New Roman" w:eastAsia="Aptos" w:hAnsi="Times New Roman" w:cs="Times New Roman"/>
          <w:i/>
          <w:sz w:val="24"/>
          <w:szCs w:val="24"/>
        </w:rPr>
        <w:t>P ≤ .05</w:t>
      </w:r>
      <w:r w:rsidRPr="000B04D8">
        <w:rPr>
          <w:rFonts w:ascii="Times New Roman" w:eastAsia="Aptos" w:hAnsi="Times New Roman" w:cs="Times New Roman"/>
          <w:sz w:val="24"/>
          <w:szCs w:val="24"/>
        </w:rPr>
        <w:t xml:space="preserve">. </w:t>
      </w:r>
    </w:p>
    <w:p w14:paraId="6841D9FD" w14:textId="77777777" w:rsidR="000B04D8" w:rsidRPr="000B04D8" w:rsidRDefault="000B04D8" w:rsidP="000B04D8">
      <w:pPr>
        <w:spacing w:after="0" w:line="480" w:lineRule="auto"/>
        <w:jc w:val="both"/>
        <w:rPr>
          <w:rFonts w:ascii="Times New Roman" w:eastAsia="Aptos" w:hAnsi="Times New Roman" w:cs="Times New Roman"/>
          <w:iCs/>
          <w:sz w:val="24"/>
          <w:szCs w:val="24"/>
        </w:rPr>
      </w:pPr>
      <w:r w:rsidRPr="000B04D8">
        <w:rPr>
          <w:rFonts w:ascii="Times New Roman" w:eastAsia="Aptos" w:hAnsi="Times New Roman" w:cs="Times New Roman"/>
          <w:sz w:val="24"/>
          <w:szCs w:val="24"/>
        </w:rPr>
        <w:t xml:space="preserve">SEM: Standard error of mean, *: significant, </w:t>
      </w:r>
      <w:r w:rsidRPr="000B04D8">
        <w:rPr>
          <w:rFonts w:ascii="Times New Roman" w:eastAsia="Aptos" w:hAnsi="Times New Roman" w:cs="Times New Roman"/>
          <w:sz w:val="24"/>
          <w:szCs w:val="24"/>
          <w:vertAlign w:val="superscript"/>
        </w:rPr>
        <w:t>a</w:t>
      </w:r>
      <w:r w:rsidRPr="000B04D8">
        <w:rPr>
          <w:rFonts w:ascii="Times New Roman" w:eastAsia="Aptos" w:hAnsi="Times New Roman" w:cs="Times New Roman"/>
          <w:sz w:val="24"/>
          <w:szCs w:val="24"/>
        </w:rPr>
        <w:t>: non-significant.</w:t>
      </w:r>
    </w:p>
    <w:p w14:paraId="4154A0D7"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66AB4174"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52FAE7D1"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7E9C0D3F"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43B51F4D"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167E98BA"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11B5E38D"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09E752BF"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0A5E178C"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56BA0523"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39640128"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4C8D3585" w14:textId="77777777" w:rsidR="000B04D8" w:rsidRPr="000B04D8" w:rsidRDefault="000B04D8" w:rsidP="000B04D8">
      <w:pPr>
        <w:spacing w:after="0" w:line="480" w:lineRule="auto"/>
        <w:jc w:val="both"/>
        <w:rPr>
          <w:rFonts w:ascii="Times New Roman" w:eastAsia="Aptos" w:hAnsi="Times New Roman" w:cs="Times New Roman"/>
          <w:b/>
          <w:bCs/>
          <w:sz w:val="24"/>
          <w:szCs w:val="24"/>
        </w:rPr>
      </w:pPr>
      <w:r w:rsidRPr="000B04D8">
        <w:rPr>
          <w:rFonts w:ascii="Times New Roman" w:eastAsia="Aptos" w:hAnsi="Times New Roman" w:cs="Times New Roman"/>
          <w:b/>
          <w:bCs/>
          <w:sz w:val="24"/>
          <w:szCs w:val="24"/>
        </w:rPr>
        <w:t xml:space="preserve">Table 3: Result of kidney function test </w:t>
      </w:r>
    </w:p>
    <w:tbl>
      <w:tblPr>
        <w:tblStyle w:val="TableGrid1"/>
        <w:tblW w:w="781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610"/>
        <w:gridCol w:w="2160"/>
        <w:gridCol w:w="1961"/>
      </w:tblGrid>
      <w:tr w:rsidR="000B04D8" w:rsidRPr="000B04D8" w14:paraId="65A6A7C4" w14:textId="77777777" w:rsidTr="004C4808">
        <w:trPr>
          <w:trHeight w:val="379"/>
          <w:jc w:val="center"/>
        </w:trPr>
        <w:tc>
          <w:tcPr>
            <w:tcW w:w="1080" w:type="dxa"/>
            <w:tcBorders>
              <w:top w:val="single" w:sz="4" w:space="0" w:color="auto"/>
              <w:bottom w:val="nil"/>
            </w:tcBorders>
          </w:tcPr>
          <w:p w14:paraId="604B0EE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Groups</w:t>
            </w:r>
          </w:p>
        </w:tc>
        <w:tc>
          <w:tcPr>
            <w:tcW w:w="2610" w:type="dxa"/>
            <w:tcBorders>
              <w:top w:val="single" w:sz="4" w:space="0" w:color="auto"/>
              <w:bottom w:val="nil"/>
            </w:tcBorders>
          </w:tcPr>
          <w:p w14:paraId="3A886B3F"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Creatinine level (mg/dl)</w:t>
            </w:r>
          </w:p>
        </w:tc>
        <w:tc>
          <w:tcPr>
            <w:tcW w:w="2160" w:type="dxa"/>
            <w:tcBorders>
              <w:top w:val="single" w:sz="4" w:space="0" w:color="auto"/>
              <w:bottom w:val="nil"/>
            </w:tcBorders>
          </w:tcPr>
          <w:p w14:paraId="1E871EDD"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Urea level (mg/dl)</w:t>
            </w:r>
          </w:p>
        </w:tc>
        <w:tc>
          <w:tcPr>
            <w:tcW w:w="1961" w:type="dxa"/>
            <w:tcBorders>
              <w:top w:val="single" w:sz="4" w:space="0" w:color="auto"/>
              <w:bottom w:val="nil"/>
            </w:tcBorders>
          </w:tcPr>
          <w:p w14:paraId="40B7C8FF"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Uric acid (mg/dl)</w:t>
            </w:r>
          </w:p>
        </w:tc>
      </w:tr>
      <w:tr w:rsidR="000B04D8" w:rsidRPr="000B04D8" w14:paraId="34060DD1" w14:textId="77777777" w:rsidTr="004C4808">
        <w:trPr>
          <w:trHeight w:val="443"/>
          <w:jc w:val="center"/>
        </w:trPr>
        <w:tc>
          <w:tcPr>
            <w:tcW w:w="1080" w:type="dxa"/>
            <w:tcBorders>
              <w:top w:val="nil"/>
              <w:bottom w:val="single" w:sz="4" w:space="0" w:color="auto"/>
            </w:tcBorders>
          </w:tcPr>
          <w:p w14:paraId="457EEED5" w14:textId="77777777" w:rsidR="000B04D8" w:rsidRPr="000B04D8" w:rsidRDefault="000B04D8" w:rsidP="000B04D8">
            <w:pPr>
              <w:spacing w:after="0" w:line="480" w:lineRule="auto"/>
              <w:jc w:val="both"/>
              <w:rPr>
                <w:rFonts w:ascii="Times New Roman" w:eastAsia="Aptos" w:hAnsi="Times New Roman" w:cs="Times New Roman"/>
                <w:sz w:val="24"/>
                <w:szCs w:val="24"/>
              </w:rPr>
            </w:pPr>
          </w:p>
        </w:tc>
        <w:tc>
          <w:tcPr>
            <w:tcW w:w="2610" w:type="dxa"/>
            <w:tcBorders>
              <w:top w:val="nil"/>
              <w:bottom w:val="single" w:sz="4" w:space="0" w:color="auto"/>
            </w:tcBorders>
          </w:tcPr>
          <w:p w14:paraId="319D390C"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2160" w:type="dxa"/>
            <w:tcBorders>
              <w:top w:val="nil"/>
              <w:bottom w:val="single" w:sz="4" w:space="0" w:color="auto"/>
            </w:tcBorders>
          </w:tcPr>
          <w:p w14:paraId="77A248C3"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961" w:type="dxa"/>
            <w:tcBorders>
              <w:top w:val="nil"/>
              <w:bottom w:val="single" w:sz="4" w:space="0" w:color="auto"/>
            </w:tcBorders>
          </w:tcPr>
          <w:p w14:paraId="27CE6504"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r>
      <w:tr w:rsidR="000B04D8" w:rsidRPr="000B04D8" w14:paraId="67D63A81" w14:textId="77777777" w:rsidTr="004C4808">
        <w:trPr>
          <w:trHeight w:val="435"/>
          <w:jc w:val="center"/>
        </w:trPr>
        <w:tc>
          <w:tcPr>
            <w:tcW w:w="1080" w:type="dxa"/>
            <w:tcBorders>
              <w:top w:val="single" w:sz="4" w:space="0" w:color="auto"/>
            </w:tcBorders>
          </w:tcPr>
          <w:p w14:paraId="674CC9B7"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A </w:t>
            </w:r>
          </w:p>
        </w:tc>
        <w:tc>
          <w:tcPr>
            <w:tcW w:w="2610" w:type="dxa"/>
            <w:tcBorders>
              <w:top w:val="single" w:sz="4" w:space="0" w:color="auto"/>
            </w:tcBorders>
          </w:tcPr>
          <w:p w14:paraId="07E35391"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0.69±0.02</w:t>
            </w:r>
          </w:p>
        </w:tc>
        <w:tc>
          <w:tcPr>
            <w:tcW w:w="2160" w:type="dxa"/>
            <w:tcBorders>
              <w:top w:val="single" w:sz="4" w:space="0" w:color="auto"/>
            </w:tcBorders>
          </w:tcPr>
          <w:p w14:paraId="37098C3C"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111.64±5.66</w:t>
            </w:r>
          </w:p>
        </w:tc>
        <w:tc>
          <w:tcPr>
            <w:tcW w:w="1961" w:type="dxa"/>
            <w:tcBorders>
              <w:top w:val="single" w:sz="4" w:space="0" w:color="auto"/>
            </w:tcBorders>
          </w:tcPr>
          <w:p w14:paraId="0455BA3C"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8.43</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6.26</w:t>
            </w:r>
          </w:p>
        </w:tc>
      </w:tr>
      <w:tr w:rsidR="000B04D8" w:rsidRPr="000B04D8" w14:paraId="40F710E8" w14:textId="77777777" w:rsidTr="004C4808">
        <w:trPr>
          <w:trHeight w:val="443"/>
          <w:jc w:val="center"/>
        </w:trPr>
        <w:tc>
          <w:tcPr>
            <w:tcW w:w="1080" w:type="dxa"/>
          </w:tcPr>
          <w:p w14:paraId="208F553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B </w:t>
            </w:r>
          </w:p>
        </w:tc>
        <w:tc>
          <w:tcPr>
            <w:tcW w:w="2610" w:type="dxa"/>
          </w:tcPr>
          <w:p w14:paraId="35C5A7A1"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3.18±0.49</w:t>
            </w:r>
            <w:r w:rsidRPr="000B04D8">
              <w:rPr>
                <w:rFonts w:ascii="Times New Roman" w:eastAsia="Aptos" w:hAnsi="Times New Roman" w:cs="Times New Roman"/>
                <w:sz w:val="24"/>
                <w:szCs w:val="24"/>
                <w:vertAlign w:val="superscript"/>
              </w:rPr>
              <w:t>*</w:t>
            </w:r>
          </w:p>
        </w:tc>
        <w:tc>
          <w:tcPr>
            <w:tcW w:w="2160" w:type="dxa"/>
          </w:tcPr>
          <w:p w14:paraId="7ABC943E"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129.78±2.34</w:t>
            </w:r>
            <w:r w:rsidRPr="000B04D8">
              <w:rPr>
                <w:rFonts w:ascii="Times New Roman" w:eastAsia="Aptos" w:hAnsi="Times New Roman" w:cs="Times New Roman"/>
                <w:sz w:val="24"/>
                <w:szCs w:val="24"/>
                <w:vertAlign w:val="superscript"/>
              </w:rPr>
              <w:t xml:space="preserve"> a</w:t>
            </w:r>
          </w:p>
        </w:tc>
        <w:tc>
          <w:tcPr>
            <w:tcW w:w="1961" w:type="dxa"/>
          </w:tcPr>
          <w:p w14:paraId="2F8FF6AD"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4.95</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1.03*</w:t>
            </w:r>
          </w:p>
        </w:tc>
      </w:tr>
      <w:tr w:rsidR="000B04D8" w:rsidRPr="000B04D8" w14:paraId="77452CA4" w14:textId="77777777" w:rsidTr="004C4808">
        <w:trPr>
          <w:trHeight w:val="435"/>
          <w:jc w:val="center"/>
        </w:trPr>
        <w:tc>
          <w:tcPr>
            <w:tcW w:w="1080" w:type="dxa"/>
          </w:tcPr>
          <w:p w14:paraId="615067C0"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C </w:t>
            </w:r>
          </w:p>
        </w:tc>
        <w:tc>
          <w:tcPr>
            <w:tcW w:w="2610" w:type="dxa"/>
          </w:tcPr>
          <w:p w14:paraId="64A917ED"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1.09±0.29</w:t>
            </w:r>
            <w:r w:rsidRPr="000B04D8">
              <w:rPr>
                <w:rFonts w:ascii="Times New Roman" w:eastAsia="Aptos" w:hAnsi="Times New Roman" w:cs="Times New Roman"/>
                <w:sz w:val="24"/>
                <w:szCs w:val="24"/>
                <w:vertAlign w:val="superscript"/>
              </w:rPr>
              <w:t>*</w:t>
            </w:r>
          </w:p>
        </w:tc>
        <w:tc>
          <w:tcPr>
            <w:tcW w:w="2160" w:type="dxa"/>
          </w:tcPr>
          <w:p w14:paraId="4607BD82"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109.16±8.71</w:t>
            </w:r>
            <w:r w:rsidRPr="000B04D8">
              <w:rPr>
                <w:rFonts w:ascii="Times New Roman" w:eastAsia="Aptos" w:hAnsi="Times New Roman" w:cs="Times New Roman"/>
                <w:sz w:val="24"/>
                <w:szCs w:val="24"/>
                <w:vertAlign w:val="superscript"/>
              </w:rPr>
              <w:t xml:space="preserve"> a</w:t>
            </w:r>
          </w:p>
        </w:tc>
        <w:tc>
          <w:tcPr>
            <w:tcW w:w="1961" w:type="dxa"/>
          </w:tcPr>
          <w:p w14:paraId="31FDF8F9"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6.46</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0.94</w:t>
            </w:r>
            <w:r w:rsidRPr="000B04D8">
              <w:rPr>
                <w:rFonts w:ascii="Times New Roman" w:eastAsia="Aptos" w:hAnsi="Times New Roman" w:cs="Times New Roman"/>
                <w:sz w:val="24"/>
                <w:szCs w:val="24"/>
                <w:vertAlign w:val="superscript"/>
              </w:rPr>
              <w:t xml:space="preserve"> *</w:t>
            </w:r>
          </w:p>
        </w:tc>
      </w:tr>
      <w:tr w:rsidR="000B04D8" w:rsidRPr="000B04D8" w14:paraId="48ACED9B" w14:textId="77777777" w:rsidTr="004C4808">
        <w:trPr>
          <w:trHeight w:val="435"/>
          <w:jc w:val="center"/>
        </w:trPr>
        <w:tc>
          <w:tcPr>
            <w:tcW w:w="1080" w:type="dxa"/>
          </w:tcPr>
          <w:p w14:paraId="33CE74A8"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D </w:t>
            </w:r>
          </w:p>
        </w:tc>
        <w:tc>
          <w:tcPr>
            <w:tcW w:w="2610" w:type="dxa"/>
          </w:tcPr>
          <w:p w14:paraId="125E2C39"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0.77±0.10</w:t>
            </w:r>
            <w:r w:rsidRPr="000B04D8">
              <w:rPr>
                <w:rFonts w:ascii="Times New Roman" w:eastAsia="Aptos" w:hAnsi="Times New Roman" w:cs="Times New Roman"/>
                <w:sz w:val="24"/>
                <w:szCs w:val="24"/>
                <w:vertAlign w:val="superscript"/>
              </w:rPr>
              <w:t>*</w:t>
            </w:r>
          </w:p>
        </w:tc>
        <w:tc>
          <w:tcPr>
            <w:tcW w:w="2160" w:type="dxa"/>
          </w:tcPr>
          <w:p w14:paraId="41D33C5B"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105.23±8.76</w:t>
            </w:r>
            <w:r w:rsidRPr="000B04D8">
              <w:rPr>
                <w:rFonts w:ascii="Times New Roman" w:eastAsia="Aptos" w:hAnsi="Times New Roman" w:cs="Times New Roman"/>
                <w:sz w:val="24"/>
                <w:szCs w:val="24"/>
                <w:vertAlign w:val="superscript"/>
              </w:rPr>
              <w:t>*</w:t>
            </w:r>
          </w:p>
        </w:tc>
        <w:tc>
          <w:tcPr>
            <w:tcW w:w="1961" w:type="dxa"/>
          </w:tcPr>
          <w:p w14:paraId="5FBF4AFE"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9.53</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0.05</w:t>
            </w:r>
            <w:r w:rsidRPr="000B04D8">
              <w:rPr>
                <w:rFonts w:ascii="Times New Roman" w:eastAsia="Aptos" w:hAnsi="Times New Roman" w:cs="Times New Roman"/>
                <w:sz w:val="24"/>
                <w:szCs w:val="24"/>
                <w:vertAlign w:val="superscript"/>
              </w:rPr>
              <w:t xml:space="preserve"> *</w:t>
            </w:r>
          </w:p>
        </w:tc>
      </w:tr>
      <w:tr w:rsidR="000B04D8" w:rsidRPr="000B04D8" w14:paraId="0E7F0B09" w14:textId="77777777" w:rsidTr="004C4808">
        <w:trPr>
          <w:trHeight w:val="435"/>
          <w:jc w:val="center"/>
        </w:trPr>
        <w:tc>
          <w:tcPr>
            <w:tcW w:w="1080" w:type="dxa"/>
          </w:tcPr>
          <w:p w14:paraId="2D242C66"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E </w:t>
            </w:r>
          </w:p>
        </w:tc>
        <w:tc>
          <w:tcPr>
            <w:tcW w:w="2610" w:type="dxa"/>
          </w:tcPr>
          <w:p w14:paraId="5FC81DC5"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0.82±0.15</w:t>
            </w:r>
            <w:r w:rsidRPr="000B04D8">
              <w:rPr>
                <w:rFonts w:ascii="Times New Roman" w:eastAsia="Aptos" w:hAnsi="Times New Roman" w:cs="Times New Roman"/>
                <w:sz w:val="24"/>
                <w:szCs w:val="24"/>
                <w:vertAlign w:val="superscript"/>
              </w:rPr>
              <w:t>*</w:t>
            </w:r>
          </w:p>
        </w:tc>
        <w:tc>
          <w:tcPr>
            <w:tcW w:w="2160" w:type="dxa"/>
          </w:tcPr>
          <w:p w14:paraId="1B2AEACE"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107.04±7.85</w:t>
            </w:r>
            <w:r w:rsidRPr="000B04D8">
              <w:rPr>
                <w:rFonts w:ascii="Times New Roman" w:eastAsia="Aptos" w:hAnsi="Times New Roman" w:cs="Times New Roman"/>
                <w:sz w:val="24"/>
                <w:szCs w:val="24"/>
                <w:vertAlign w:val="superscript"/>
              </w:rPr>
              <w:t>*</w:t>
            </w:r>
          </w:p>
        </w:tc>
        <w:tc>
          <w:tcPr>
            <w:tcW w:w="1961" w:type="dxa"/>
          </w:tcPr>
          <w:p w14:paraId="587EAB50"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9.82</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0.04</w:t>
            </w:r>
            <w:r w:rsidRPr="000B04D8">
              <w:rPr>
                <w:rFonts w:ascii="Times New Roman" w:eastAsia="Aptos" w:hAnsi="Times New Roman" w:cs="Times New Roman"/>
                <w:sz w:val="24"/>
                <w:szCs w:val="24"/>
                <w:vertAlign w:val="superscript"/>
              </w:rPr>
              <w:t xml:space="preserve"> *</w:t>
            </w:r>
          </w:p>
        </w:tc>
      </w:tr>
      <w:tr w:rsidR="000B04D8" w:rsidRPr="000B04D8" w14:paraId="1022F38E" w14:textId="77777777" w:rsidTr="004C4808">
        <w:trPr>
          <w:trHeight w:val="435"/>
          <w:jc w:val="center"/>
        </w:trPr>
        <w:tc>
          <w:tcPr>
            <w:tcW w:w="1080" w:type="dxa"/>
          </w:tcPr>
          <w:p w14:paraId="3AD70C1F"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F-value </w:t>
            </w:r>
          </w:p>
        </w:tc>
        <w:tc>
          <w:tcPr>
            <w:tcW w:w="2610" w:type="dxa"/>
          </w:tcPr>
          <w:p w14:paraId="66F8CF69"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14.94</w:t>
            </w:r>
          </w:p>
        </w:tc>
        <w:tc>
          <w:tcPr>
            <w:tcW w:w="2160" w:type="dxa"/>
          </w:tcPr>
          <w:p w14:paraId="7239DA4A"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1.95</w:t>
            </w:r>
          </w:p>
        </w:tc>
        <w:tc>
          <w:tcPr>
            <w:tcW w:w="1961" w:type="dxa"/>
          </w:tcPr>
          <w:p w14:paraId="30783F59"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10.25</w:t>
            </w:r>
          </w:p>
        </w:tc>
      </w:tr>
    </w:tbl>
    <w:p w14:paraId="27E6473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Data was analyzed using ANOVA followed by post Hoc LSD comparison and values were considered significant at </w:t>
      </w:r>
      <w:r w:rsidRPr="000B04D8">
        <w:rPr>
          <w:rFonts w:ascii="Times New Roman" w:eastAsia="Aptos" w:hAnsi="Times New Roman" w:cs="Times New Roman"/>
          <w:i/>
          <w:sz w:val="24"/>
          <w:szCs w:val="24"/>
        </w:rPr>
        <w:t>P ≤ .05</w:t>
      </w:r>
      <w:r w:rsidRPr="000B04D8">
        <w:rPr>
          <w:rFonts w:ascii="Times New Roman" w:eastAsia="Aptos" w:hAnsi="Times New Roman" w:cs="Times New Roman"/>
          <w:sz w:val="24"/>
          <w:szCs w:val="24"/>
        </w:rPr>
        <w:t xml:space="preserve">. </w:t>
      </w:r>
    </w:p>
    <w:p w14:paraId="48478890" w14:textId="77777777" w:rsidR="000B04D8" w:rsidRPr="000B04D8" w:rsidRDefault="000B04D8" w:rsidP="000B04D8">
      <w:pPr>
        <w:spacing w:after="0" w:line="480" w:lineRule="auto"/>
        <w:jc w:val="both"/>
        <w:rPr>
          <w:rFonts w:ascii="Times New Roman" w:eastAsia="Aptos" w:hAnsi="Times New Roman" w:cs="Times New Roman"/>
          <w:iCs/>
          <w:sz w:val="24"/>
          <w:szCs w:val="24"/>
        </w:rPr>
      </w:pPr>
      <w:r w:rsidRPr="000B04D8">
        <w:rPr>
          <w:rFonts w:ascii="Times New Roman" w:eastAsia="Aptos" w:hAnsi="Times New Roman" w:cs="Times New Roman"/>
          <w:sz w:val="24"/>
          <w:szCs w:val="24"/>
        </w:rPr>
        <w:t xml:space="preserve">SEM: Standard error of mean, *: significant, </w:t>
      </w:r>
      <w:r w:rsidRPr="000B04D8">
        <w:rPr>
          <w:rFonts w:ascii="Times New Roman" w:eastAsia="Aptos" w:hAnsi="Times New Roman" w:cs="Times New Roman"/>
          <w:sz w:val="24"/>
          <w:szCs w:val="24"/>
          <w:vertAlign w:val="superscript"/>
        </w:rPr>
        <w:t>a</w:t>
      </w:r>
      <w:r w:rsidRPr="000B04D8">
        <w:rPr>
          <w:rFonts w:ascii="Times New Roman" w:eastAsia="Aptos" w:hAnsi="Times New Roman" w:cs="Times New Roman"/>
          <w:sz w:val="24"/>
          <w:szCs w:val="24"/>
        </w:rPr>
        <w:t>: non-significant.</w:t>
      </w:r>
    </w:p>
    <w:p w14:paraId="7B4EC5E4"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180AA3E8"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6B3EBA4B" w14:textId="77777777" w:rsidR="000B04D8" w:rsidRPr="000B04D8" w:rsidRDefault="000B04D8" w:rsidP="000B04D8">
      <w:pPr>
        <w:spacing w:after="0" w:line="360" w:lineRule="auto"/>
        <w:jc w:val="both"/>
        <w:rPr>
          <w:rFonts w:ascii="Times New Roman" w:eastAsia="Aptos" w:hAnsi="Times New Roman" w:cs="Times New Roman"/>
          <w:sz w:val="24"/>
          <w:szCs w:val="24"/>
        </w:rPr>
      </w:pPr>
    </w:p>
    <w:p w14:paraId="72FE3005" w14:textId="77777777" w:rsidR="000B04D8" w:rsidRPr="007928AB" w:rsidRDefault="000B04D8" w:rsidP="000B04D8">
      <w:pPr>
        <w:pStyle w:val="NoSpacing"/>
        <w:spacing w:line="480" w:lineRule="auto"/>
        <w:rPr>
          <w:rFonts w:ascii="Times New Roman" w:hAnsi="Times New Roman" w:cs="Times New Roman"/>
          <w:sz w:val="24"/>
          <w:szCs w:val="24"/>
        </w:rPr>
      </w:pPr>
    </w:p>
    <w:sectPr w:rsidR="000B04D8" w:rsidRPr="007928AB" w:rsidSect="004B4B8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skandar Hasan" w:date="2025-07-23T11:11:00Z" w:initials="IH">
    <w:p w14:paraId="5B7FADF6" w14:textId="210B09C6" w:rsidR="005B7B3F" w:rsidRDefault="005B7B3F">
      <w:pPr>
        <w:pStyle w:val="CommentText"/>
      </w:pPr>
      <w:r>
        <w:rPr>
          <w:rStyle w:val="CommentReference"/>
        </w:rPr>
        <w:annotationRef/>
      </w:r>
      <w:r w:rsidR="00000000">
        <w:rPr>
          <w:noProof/>
          <w:lang w:val="en-GB"/>
        </w:rPr>
        <w:t>A</w:t>
      </w:r>
      <w:r w:rsidRPr="00CD25AE">
        <w:rPr>
          <w:lang w:val="en-GB"/>
        </w:rPr>
        <w:t>dd 1 sentence explaining the use of Garcinia kola extract in preventing or treating the effects of kidney damage due to Pb exposure.</w:t>
      </w:r>
    </w:p>
  </w:comment>
  <w:comment w:id="5" w:author="Iskandar Hasan" w:date="2025-07-23T11:12:00Z" w:initials="IH">
    <w:p w14:paraId="2BBD7CBB" w14:textId="7873BC84" w:rsidR="005B7B3F" w:rsidRDefault="005B7B3F">
      <w:pPr>
        <w:pStyle w:val="CommentText"/>
      </w:pPr>
      <w:r>
        <w:rPr>
          <w:rStyle w:val="CommentReference"/>
        </w:rPr>
        <w:annotationRef/>
      </w:r>
      <w:r w:rsidR="00000000">
        <w:rPr>
          <w:bCs/>
          <w:noProof/>
          <w:lang w:val="en-GB"/>
        </w:rPr>
        <w:t>M</w:t>
      </w:r>
      <w:proofErr w:type="spellStart"/>
      <w:r w:rsidRPr="00947B72">
        <w:rPr>
          <w:bCs/>
          <w:lang w:val="en-GB"/>
        </w:rPr>
        <w:t>ention</w:t>
      </w:r>
      <w:proofErr w:type="spellEnd"/>
      <w:r w:rsidRPr="00947B72">
        <w:rPr>
          <w:bCs/>
          <w:lang w:val="en-GB"/>
        </w:rPr>
        <w:t xml:space="preserve"> ethical approval</w:t>
      </w:r>
      <w:r w:rsidR="00000000">
        <w:rPr>
          <w:bCs/>
          <w:noProof/>
          <w:lang w:val="en-GB"/>
        </w:rPr>
        <w:t xml:space="preserve"> in thi</w:t>
      </w:r>
      <w:r w:rsidR="00000000">
        <w:rPr>
          <w:bCs/>
          <w:noProof/>
          <w:lang w:val="en-GB"/>
        </w:rPr>
        <w:t>s section</w:t>
      </w:r>
    </w:p>
  </w:comment>
  <w:comment w:id="10" w:author="Iskandar Hasan" w:date="2025-07-23T11:13:00Z" w:initials="IH">
    <w:p w14:paraId="4DC8BDFF" w14:textId="7F41214D" w:rsidR="005B7B3F" w:rsidRDefault="005B7B3F">
      <w:pPr>
        <w:pStyle w:val="CommentText"/>
      </w:pPr>
      <w:r>
        <w:rPr>
          <w:rStyle w:val="CommentReference"/>
        </w:rPr>
        <w:annotationRef/>
      </w:r>
      <w:r w:rsidRPr="005B7B3F">
        <w:t>This section may not need to be written or included in sub-chapter 2.1.1.</w:t>
      </w:r>
    </w:p>
  </w:comment>
  <w:comment w:id="12" w:author="Iskandar Hasan" w:date="2025-07-23T11:17:00Z" w:initials="IH">
    <w:p w14:paraId="33FCF4C5" w14:textId="78E16F8B" w:rsidR="005B7B3F" w:rsidRDefault="005B7B3F">
      <w:pPr>
        <w:pStyle w:val="CommentText"/>
      </w:pPr>
      <w:r>
        <w:rPr>
          <w:rStyle w:val="CommentReference"/>
        </w:rPr>
        <w:annotationRef/>
      </w:r>
      <w:r w:rsidRPr="005B7B3F">
        <w:t>Add theory about the detailed mechanism of Garcinia kola extract in preventing or repairing kidney damage due to Pb exposure.</w:t>
      </w:r>
    </w:p>
  </w:comment>
  <w:comment w:id="14" w:author="Iskandar Hasan" w:date="2025-07-23T11:19:00Z" w:initials="IH">
    <w:p w14:paraId="5C0AF40D" w14:textId="0475421A" w:rsidR="005B7B3F" w:rsidRDefault="005B7B3F">
      <w:pPr>
        <w:pStyle w:val="CommentText"/>
      </w:pPr>
      <w:r>
        <w:rPr>
          <w:rStyle w:val="CommentReference"/>
        </w:rPr>
        <w:annotationRef/>
      </w:r>
      <w:r w:rsidRPr="005B7B3F">
        <w:t>Recommendations can be combined with conclusions</w:t>
      </w:r>
    </w:p>
  </w:comment>
  <w:comment w:id="15" w:author="Iskandar Hasan" w:date="2025-07-23T11:20:00Z" w:initials="IH">
    <w:p w14:paraId="36BA843F" w14:textId="484F3ECE" w:rsidR="005B7B3F" w:rsidRDefault="005B7B3F">
      <w:pPr>
        <w:pStyle w:val="CommentText"/>
      </w:pPr>
      <w:r>
        <w:rPr>
          <w:rStyle w:val="CommentReference"/>
        </w:rPr>
        <w:annotationRef/>
      </w:r>
      <w:r w:rsidRPr="00947B72">
        <w:rPr>
          <w:bCs/>
          <w:lang w:val="en-GB"/>
        </w:rPr>
        <w:t>Almost all references are from more than 10 years ago, with only one reference from the last 10 years.</w:t>
      </w:r>
      <w:r w:rsidR="00000000">
        <w:rPr>
          <w:bCs/>
          <w:noProof/>
          <w:lang w:val="en-GB"/>
        </w:rPr>
        <w:t xml:space="preserve"> </w:t>
      </w:r>
      <w:r w:rsidR="00AF439B" w:rsidRPr="00AF439B">
        <w:rPr>
          <w:bCs/>
          <w:noProof/>
          <w:lang w:val="en-GB"/>
        </w:rPr>
        <w:t>References changed using references from the last 10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7FADF6" w15:done="0"/>
  <w15:commentEx w15:paraId="2BBD7CBB" w15:done="0"/>
  <w15:commentEx w15:paraId="4DC8BDFF" w15:done="0"/>
  <w15:commentEx w15:paraId="33FCF4C5" w15:done="0"/>
  <w15:commentEx w15:paraId="5C0AF40D" w15:done="0"/>
  <w15:commentEx w15:paraId="36BA84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799BB5" w16cex:dateUtc="2025-07-23T03:11:00Z"/>
  <w16cex:commentExtensible w16cex:durableId="6D3EA916" w16cex:dateUtc="2025-07-23T03:12:00Z"/>
  <w16cex:commentExtensible w16cex:durableId="578DD6A5" w16cex:dateUtc="2025-07-23T03:13:00Z"/>
  <w16cex:commentExtensible w16cex:durableId="46DA1E7E" w16cex:dateUtc="2025-07-23T03:17:00Z"/>
  <w16cex:commentExtensible w16cex:durableId="6E4185B1" w16cex:dateUtc="2025-07-23T03:19:00Z"/>
  <w16cex:commentExtensible w16cex:durableId="5DE72830" w16cex:dateUtc="2025-07-23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7FADF6" w16cid:durableId="23799BB5"/>
  <w16cid:commentId w16cid:paraId="2BBD7CBB" w16cid:durableId="6D3EA916"/>
  <w16cid:commentId w16cid:paraId="4DC8BDFF" w16cid:durableId="578DD6A5"/>
  <w16cid:commentId w16cid:paraId="33FCF4C5" w16cid:durableId="46DA1E7E"/>
  <w16cid:commentId w16cid:paraId="5C0AF40D" w16cid:durableId="6E4185B1"/>
  <w16cid:commentId w16cid:paraId="36BA843F" w16cid:durableId="5DE72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4627E" w14:textId="77777777" w:rsidR="00307221" w:rsidRDefault="00307221" w:rsidP="00BE3DA9">
      <w:pPr>
        <w:spacing w:after="0" w:line="240" w:lineRule="auto"/>
      </w:pPr>
      <w:r>
        <w:separator/>
      </w:r>
    </w:p>
  </w:endnote>
  <w:endnote w:type="continuationSeparator" w:id="0">
    <w:p w14:paraId="1DF7BD55" w14:textId="77777777" w:rsidR="00307221" w:rsidRDefault="00307221" w:rsidP="00BE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80"/>
    <w:family w:val="auto"/>
    <w:pitch w:val="default"/>
    <w:sig w:usb0="00000000" w:usb1="00000000" w:usb2="00000010" w:usb3="00000000" w:csb0="0002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5E5F" w14:textId="77777777" w:rsidR="00FF27A8" w:rsidRDefault="00FF2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273363"/>
      <w:docPartObj>
        <w:docPartGallery w:val="Page Numbers (Bottom of Page)"/>
        <w:docPartUnique/>
      </w:docPartObj>
    </w:sdtPr>
    <w:sdtContent>
      <w:p w14:paraId="061A7802" w14:textId="77777777" w:rsidR="00914311" w:rsidRDefault="00E9643F">
        <w:pPr>
          <w:pStyle w:val="Footer"/>
          <w:jc w:val="right"/>
        </w:pPr>
        <w:r>
          <w:fldChar w:fldCharType="begin"/>
        </w:r>
        <w:r w:rsidR="00914311">
          <w:instrText xml:space="preserve"> PAGE   \* MERGEFORMAT </w:instrText>
        </w:r>
        <w:r>
          <w:fldChar w:fldCharType="separate"/>
        </w:r>
        <w:r w:rsidR="005911B6">
          <w:rPr>
            <w:noProof/>
          </w:rPr>
          <w:t>12</w:t>
        </w:r>
        <w:r>
          <w:rPr>
            <w:noProof/>
          </w:rPr>
          <w:fldChar w:fldCharType="end"/>
        </w:r>
      </w:p>
    </w:sdtContent>
  </w:sdt>
  <w:p w14:paraId="407A865F" w14:textId="77777777" w:rsidR="00914311" w:rsidRDefault="00914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26B0" w14:textId="77777777" w:rsidR="00FF27A8" w:rsidRDefault="00FF2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78941" w14:textId="77777777" w:rsidR="00307221" w:rsidRDefault="00307221" w:rsidP="00BE3DA9">
      <w:pPr>
        <w:spacing w:after="0" w:line="240" w:lineRule="auto"/>
      </w:pPr>
      <w:r>
        <w:separator/>
      </w:r>
    </w:p>
  </w:footnote>
  <w:footnote w:type="continuationSeparator" w:id="0">
    <w:p w14:paraId="3F08CD56" w14:textId="77777777" w:rsidR="00307221" w:rsidRDefault="00307221" w:rsidP="00BE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8324" w14:textId="0D9D2BA6" w:rsidR="00FF27A8" w:rsidRDefault="00000000">
    <w:pPr>
      <w:pStyle w:val="Header"/>
    </w:pPr>
    <w:r>
      <w:rPr>
        <w:noProof/>
      </w:rPr>
      <w:pict w14:anchorId="368B0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3234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41A3" w14:textId="28B0955B" w:rsidR="00FF27A8" w:rsidRDefault="00000000">
    <w:pPr>
      <w:pStyle w:val="Header"/>
    </w:pPr>
    <w:r>
      <w:rPr>
        <w:noProof/>
      </w:rPr>
      <w:pict w14:anchorId="427F4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3234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907C" w14:textId="53029CC0" w:rsidR="00FF27A8" w:rsidRDefault="00000000">
    <w:pPr>
      <w:pStyle w:val="Header"/>
    </w:pPr>
    <w:r>
      <w:rPr>
        <w:noProof/>
      </w:rPr>
      <w:pict w14:anchorId="3DE69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3234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FFB"/>
    <w:multiLevelType w:val="hybridMultilevel"/>
    <w:tmpl w:val="873C7150"/>
    <w:lvl w:ilvl="0" w:tplc="04090005">
      <w:start w:val="1"/>
      <w:numFmt w:val="bullet"/>
      <w:lvlText w:val=""/>
      <w:lvlJc w:val="left"/>
      <w:pPr>
        <w:ind w:left="2239" w:hanging="360"/>
      </w:pPr>
      <w:rPr>
        <w:rFonts w:ascii="Wingdings" w:hAnsi="Wingdings" w:hint="default"/>
      </w:rPr>
    </w:lvl>
    <w:lvl w:ilvl="1" w:tplc="04090003" w:tentative="1">
      <w:start w:val="1"/>
      <w:numFmt w:val="bullet"/>
      <w:lvlText w:val="o"/>
      <w:lvlJc w:val="left"/>
      <w:pPr>
        <w:ind w:left="2959" w:hanging="360"/>
      </w:pPr>
      <w:rPr>
        <w:rFonts w:ascii="Courier New" w:hAnsi="Courier New" w:cs="Courier New" w:hint="default"/>
      </w:rPr>
    </w:lvl>
    <w:lvl w:ilvl="2" w:tplc="04090005" w:tentative="1">
      <w:start w:val="1"/>
      <w:numFmt w:val="bullet"/>
      <w:lvlText w:val=""/>
      <w:lvlJc w:val="left"/>
      <w:pPr>
        <w:ind w:left="3679" w:hanging="360"/>
      </w:pPr>
      <w:rPr>
        <w:rFonts w:ascii="Wingdings" w:hAnsi="Wingdings" w:hint="default"/>
      </w:rPr>
    </w:lvl>
    <w:lvl w:ilvl="3" w:tplc="04090001" w:tentative="1">
      <w:start w:val="1"/>
      <w:numFmt w:val="bullet"/>
      <w:lvlText w:val=""/>
      <w:lvlJc w:val="left"/>
      <w:pPr>
        <w:ind w:left="4399" w:hanging="360"/>
      </w:pPr>
      <w:rPr>
        <w:rFonts w:ascii="Symbol" w:hAnsi="Symbol" w:hint="default"/>
      </w:rPr>
    </w:lvl>
    <w:lvl w:ilvl="4" w:tplc="04090003" w:tentative="1">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1" w15:restartNumberingAfterBreak="0">
    <w:nsid w:val="0C9445F1"/>
    <w:multiLevelType w:val="hybridMultilevel"/>
    <w:tmpl w:val="A0822EF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85B26"/>
    <w:multiLevelType w:val="hybridMultilevel"/>
    <w:tmpl w:val="5886A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41DC5"/>
    <w:multiLevelType w:val="hybridMultilevel"/>
    <w:tmpl w:val="454A85C8"/>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14570B01"/>
    <w:multiLevelType w:val="hybridMultilevel"/>
    <w:tmpl w:val="1108C49A"/>
    <w:lvl w:ilvl="0" w:tplc="EA487C62">
      <w:start w:val="1"/>
      <w:numFmt w:val="decimal"/>
      <w:lvlText w:val="%1."/>
      <w:lvlJc w:val="left"/>
      <w:pPr>
        <w:ind w:left="171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85D4F2F"/>
    <w:multiLevelType w:val="hybridMultilevel"/>
    <w:tmpl w:val="B7A4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36941"/>
    <w:multiLevelType w:val="hybridMultilevel"/>
    <w:tmpl w:val="FDC03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12832"/>
    <w:multiLevelType w:val="hybridMultilevel"/>
    <w:tmpl w:val="D8D04A38"/>
    <w:lvl w:ilvl="0" w:tplc="B32C45AA">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366B53DC"/>
    <w:multiLevelType w:val="hybridMultilevel"/>
    <w:tmpl w:val="0CB25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52058"/>
    <w:multiLevelType w:val="hybridMultilevel"/>
    <w:tmpl w:val="B2A6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959A2"/>
    <w:multiLevelType w:val="multilevel"/>
    <w:tmpl w:val="BB68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857621"/>
    <w:multiLevelType w:val="multilevel"/>
    <w:tmpl w:val="2ACA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947D4E"/>
    <w:multiLevelType w:val="multilevel"/>
    <w:tmpl w:val="2B7CA4E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BD7BE5"/>
    <w:multiLevelType w:val="hybridMultilevel"/>
    <w:tmpl w:val="E1922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F27CD"/>
    <w:multiLevelType w:val="hybridMultilevel"/>
    <w:tmpl w:val="97E81AD2"/>
    <w:lvl w:ilvl="0" w:tplc="A2C623BE">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D2671A1"/>
    <w:multiLevelType w:val="hybridMultilevel"/>
    <w:tmpl w:val="0E24DB0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001B84"/>
    <w:multiLevelType w:val="multilevel"/>
    <w:tmpl w:val="890882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9D4D4A"/>
    <w:multiLevelType w:val="hybridMultilevel"/>
    <w:tmpl w:val="8B826518"/>
    <w:lvl w:ilvl="0" w:tplc="F068856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597B1480"/>
    <w:multiLevelType w:val="multilevel"/>
    <w:tmpl w:val="372E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50D88"/>
    <w:multiLevelType w:val="multilevel"/>
    <w:tmpl w:val="9AC64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E005FA"/>
    <w:multiLevelType w:val="multilevel"/>
    <w:tmpl w:val="E4508AB8"/>
    <w:lvl w:ilvl="0">
      <w:start w:val="3"/>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612A46B6"/>
    <w:multiLevelType w:val="hybridMultilevel"/>
    <w:tmpl w:val="D08E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81BAC"/>
    <w:multiLevelType w:val="hybridMultilevel"/>
    <w:tmpl w:val="40AA1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05798"/>
    <w:multiLevelType w:val="hybridMultilevel"/>
    <w:tmpl w:val="76EE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E669B"/>
    <w:multiLevelType w:val="hybridMultilevel"/>
    <w:tmpl w:val="4CA830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0A3DF7"/>
    <w:multiLevelType w:val="hybridMultilevel"/>
    <w:tmpl w:val="D378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4655D"/>
    <w:multiLevelType w:val="multilevel"/>
    <w:tmpl w:val="49EC54EA"/>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76F97587"/>
    <w:multiLevelType w:val="hybridMultilevel"/>
    <w:tmpl w:val="9EC6B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E2ACA"/>
    <w:multiLevelType w:val="hybridMultilevel"/>
    <w:tmpl w:val="8DEE4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263725"/>
    <w:multiLevelType w:val="hybridMultilevel"/>
    <w:tmpl w:val="521455F6"/>
    <w:lvl w:ilvl="0" w:tplc="37C8776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34CC4"/>
    <w:multiLevelType w:val="hybridMultilevel"/>
    <w:tmpl w:val="9848A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B2CA9"/>
    <w:multiLevelType w:val="hybridMultilevel"/>
    <w:tmpl w:val="866A3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8664A"/>
    <w:multiLevelType w:val="hybridMultilevel"/>
    <w:tmpl w:val="05ACD3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586698">
    <w:abstractNumId w:val="12"/>
  </w:num>
  <w:num w:numId="2" w16cid:durableId="442506129">
    <w:abstractNumId w:val="7"/>
  </w:num>
  <w:num w:numId="3" w16cid:durableId="2055156692">
    <w:abstractNumId w:val="29"/>
  </w:num>
  <w:num w:numId="4" w16cid:durableId="1224677869">
    <w:abstractNumId w:val="4"/>
  </w:num>
  <w:num w:numId="5" w16cid:durableId="1246842497">
    <w:abstractNumId w:val="14"/>
  </w:num>
  <w:num w:numId="6" w16cid:durableId="216090864">
    <w:abstractNumId w:val="21"/>
  </w:num>
  <w:num w:numId="7" w16cid:durableId="1127553534">
    <w:abstractNumId w:val="6"/>
  </w:num>
  <w:num w:numId="8" w16cid:durableId="441346680">
    <w:abstractNumId w:val="26"/>
  </w:num>
  <w:num w:numId="9" w16cid:durableId="1773891686">
    <w:abstractNumId w:val="17"/>
  </w:num>
  <w:num w:numId="10" w16cid:durableId="1558662391">
    <w:abstractNumId w:val="32"/>
  </w:num>
  <w:num w:numId="11" w16cid:durableId="303169689">
    <w:abstractNumId w:val="30"/>
  </w:num>
  <w:num w:numId="12" w16cid:durableId="1676417125">
    <w:abstractNumId w:val="3"/>
  </w:num>
  <w:num w:numId="13" w16cid:durableId="413673148">
    <w:abstractNumId w:val="0"/>
  </w:num>
  <w:num w:numId="14" w16cid:durableId="744379483">
    <w:abstractNumId w:val="20"/>
  </w:num>
  <w:num w:numId="15" w16cid:durableId="534392051">
    <w:abstractNumId w:val="25"/>
  </w:num>
  <w:num w:numId="16" w16cid:durableId="193738694">
    <w:abstractNumId w:val="8"/>
  </w:num>
  <w:num w:numId="17" w16cid:durableId="401215386">
    <w:abstractNumId w:val="31"/>
  </w:num>
  <w:num w:numId="18" w16cid:durableId="2031683355">
    <w:abstractNumId w:val="28"/>
  </w:num>
  <w:num w:numId="19" w16cid:durableId="817460039">
    <w:abstractNumId w:val="16"/>
  </w:num>
  <w:num w:numId="20" w16cid:durableId="400519546">
    <w:abstractNumId w:val="27"/>
  </w:num>
  <w:num w:numId="21" w16cid:durableId="802771588">
    <w:abstractNumId w:val="2"/>
  </w:num>
  <w:num w:numId="22" w16cid:durableId="2008753663">
    <w:abstractNumId w:val="5"/>
  </w:num>
  <w:num w:numId="23" w16cid:durableId="1890611234">
    <w:abstractNumId w:val="9"/>
  </w:num>
  <w:num w:numId="24" w16cid:durableId="226233825">
    <w:abstractNumId w:val="10"/>
  </w:num>
  <w:num w:numId="25" w16cid:durableId="1481387819">
    <w:abstractNumId w:val="22"/>
  </w:num>
  <w:num w:numId="26" w16cid:durableId="1889562303">
    <w:abstractNumId w:val="1"/>
  </w:num>
  <w:num w:numId="27" w16cid:durableId="1515611577">
    <w:abstractNumId w:val="18"/>
  </w:num>
  <w:num w:numId="28" w16cid:durableId="133331925">
    <w:abstractNumId w:val="19"/>
  </w:num>
  <w:num w:numId="29" w16cid:durableId="362483915">
    <w:abstractNumId w:val="11"/>
  </w:num>
  <w:num w:numId="30" w16cid:durableId="1705786365">
    <w:abstractNumId w:val="24"/>
  </w:num>
  <w:num w:numId="31" w16cid:durableId="2038851377">
    <w:abstractNumId w:val="15"/>
  </w:num>
  <w:num w:numId="32" w16cid:durableId="1768962945">
    <w:abstractNumId w:val="23"/>
  </w:num>
  <w:num w:numId="33" w16cid:durableId="107297207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kandar Hasan">
    <w15:presenceInfo w15:providerId="Windows Live" w15:userId="0862b45856ed6d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4B5"/>
    <w:rsid w:val="00013C0C"/>
    <w:rsid w:val="00021F59"/>
    <w:rsid w:val="000231D6"/>
    <w:rsid w:val="0002453E"/>
    <w:rsid w:val="00041793"/>
    <w:rsid w:val="000466FA"/>
    <w:rsid w:val="00054268"/>
    <w:rsid w:val="00056915"/>
    <w:rsid w:val="00060FC0"/>
    <w:rsid w:val="00061934"/>
    <w:rsid w:val="00064D86"/>
    <w:rsid w:val="00064E3A"/>
    <w:rsid w:val="00081698"/>
    <w:rsid w:val="00083E9F"/>
    <w:rsid w:val="0008687C"/>
    <w:rsid w:val="000909E8"/>
    <w:rsid w:val="000A518D"/>
    <w:rsid w:val="000A6D2C"/>
    <w:rsid w:val="000B04D8"/>
    <w:rsid w:val="000B111C"/>
    <w:rsid w:val="000B45D4"/>
    <w:rsid w:val="000D203B"/>
    <w:rsid w:val="000D3B02"/>
    <w:rsid w:val="000D4665"/>
    <w:rsid w:val="000F3D6E"/>
    <w:rsid w:val="000F4DFE"/>
    <w:rsid w:val="00130257"/>
    <w:rsid w:val="00134B23"/>
    <w:rsid w:val="00135DFC"/>
    <w:rsid w:val="00180349"/>
    <w:rsid w:val="0019236F"/>
    <w:rsid w:val="0019373E"/>
    <w:rsid w:val="00194A34"/>
    <w:rsid w:val="001A18D0"/>
    <w:rsid w:val="001B0303"/>
    <w:rsid w:val="001B4654"/>
    <w:rsid w:val="001C21C1"/>
    <w:rsid w:val="001C5590"/>
    <w:rsid w:val="001D4FA5"/>
    <w:rsid w:val="001D5258"/>
    <w:rsid w:val="001E1C8D"/>
    <w:rsid w:val="002142CA"/>
    <w:rsid w:val="00215D50"/>
    <w:rsid w:val="002225F8"/>
    <w:rsid w:val="00223116"/>
    <w:rsid w:val="002319FC"/>
    <w:rsid w:val="00252FBD"/>
    <w:rsid w:val="00256A80"/>
    <w:rsid w:val="00256D4B"/>
    <w:rsid w:val="00264FBA"/>
    <w:rsid w:val="002755C8"/>
    <w:rsid w:val="00282694"/>
    <w:rsid w:val="0028381E"/>
    <w:rsid w:val="00286E8E"/>
    <w:rsid w:val="00292318"/>
    <w:rsid w:val="00292597"/>
    <w:rsid w:val="00293751"/>
    <w:rsid w:val="002A4BAD"/>
    <w:rsid w:val="002A5103"/>
    <w:rsid w:val="002B0281"/>
    <w:rsid w:val="002C7B7D"/>
    <w:rsid w:val="002D3074"/>
    <w:rsid w:val="002D65BB"/>
    <w:rsid w:val="002E2CF9"/>
    <w:rsid w:val="002E327D"/>
    <w:rsid w:val="002E3A29"/>
    <w:rsid w:val="00305D7A"/>
    <w:rsid w:val="00307221"/>
    <w:rsid w:val="0033249D"/>
    <w:rsid w:val="003350C9"/>
    <w:rsid w:val="00335701"/>
    <w:rsid w:val="003437C5"/>
    <w:rsid w:val="003479F2"/>
    <w:rsid w:val="0035790A"/>
    <w:rsid w:val="00367E56"/>
    <w:rsid w:val="00372430"/>
    <w:rsid w:val="00373CBE"/>
    <w:rsid w:val="0037400C"/>
    <w:rsid w:val="0038065D"/>
    <w:rsid w:val="00383BF4"/>
    <w:rsid w:val="00386E0A"/>
    <w:rsid w:val="00394931"/>
    <w:rsid w:val="003A4F67"/>
    <w:rsid w:val="003B5655"/>
    <w:rsid w:val="003C5A6A"/>
    <w:rsid w:val="003E3DA7"/>
    <w:rsid w:val="003E7F26"/>
    <w:rsid w:val="003F06B9"/>
    <w:rsid w:val="003F6E40"/>
    <w:rsid w:val="00403074"/>
    <w:rsid w:val="00421B17"/>
    <w:rsid w:val="0042448B"/>
    <w:rsid w:val="00430947"/>
    <w:rsid w:val="00434B20"/>
    <w:rsid w:val="0044205A"/>
    <w:rsid w:val="00454E33"/>
    <w:rsid w:val="00456058"/>
    <w:rsid w:val="00462E53"/>
    <w:rsid w:val="004666CA"/>
    <w:rsid w:val="00480030"/>
    <w:rsid w:val="004906F6"/>
    <w:rsid w:val="00495E51"/>
    <w:rsid w:val="004A2E00"/>
    <w:rsid w:val="004B4B82"/>
    <w:rsid w:val="004C378F"/>
    <w:rsid w:val="004C60C7"/>
    <w:rsid w:val="004D7797"/>
    <w:rsid w:val="004E3399"/>
    <w:rsid w:val="004E73F9"/>
    <w:rsid w:val="004F1865"/>
    <w:rsid w:val="00501158"/>
    <w:rsid w:val="005020C1"/>
    <w:rsid w:val="00516459"/>
    <w:rsid w:val="00525A1F"/>
    <w:rsid w:val="00527FDE"/>
    <w:rsid w:val="005305ED"/>
    <w:rsid w:val="00543C1F"/>
    <w:rsid w:val="00564006"/>
    <w:rsid w:val="00572638"/>
    <w:rsid w:val="005911B6"/>
    <w:rsid w:val="00597713"/>
    <w:rsid w:val="005A798D"/>
    <w:rsid w:val="005B53B8"/>
    <w:rsid w:val="005B69A7"/>
    <w:rsid w:val="005B7B3F"/>
    <w:rsid w:val="005C1674"/>
    <w:rsid w:val="005D034A"/>
    <w:rsid w:val="005F72D3"/>
    <w:rsid w:val="00610544"/>
    <w:rsid w:val="00612D86"/>
    <w:rsid w:val="006160AE"/>
    <w:rsid w:val="0061639F"/>
    <w:rsid w:val="00624C89"/>
    <w:rsid w:val="00625ED7"/>
    <w:rsid w:val="006351BD"/>
    <w:rsid w:val="00645C8F"/>
    <w:rsid w:val="00677741"/>
    <w:rsid w:val="00680E78"/>
    <w:rsid w:val="00684B93"/>
    <w:rsid w:val="006852E9"/>
    <w:rsid w:val="006A4015"/>
    <w:rsid w:val="006C25AB"/>
    <w:rsid w:val="006C4AA9"/>
    <w:rsid w:val="006D4BDF"/>
    <w:rsid w:val="006E6F94"/>
    <w:rsid w:val="006F3A8F"/>
    <w:rsid w:val="00705A35"/>
    <w:rsid w:val="0070635E"/>
    <w:rsid w:val="00720C47"/>
    <w:rsid w:val="00735534"/>
    <w:rsid w:val="00741A04"/>
    <w:rsid w:val="007615F4"/>
    <w:rsid w:val="00761CD3"/>
    <w:rsid w:val="00771D29"/>
    <w:rsid w:val="007760C6"/>
    <w:rsid w:val="007928AB"/>
    <w:rsid w:val="007C7CD0"/>
    <w:rsid w:val="007D070A"/>
    <w:rsid w:val="007E20CB"/>
    <w:rsid w:val="007E34B4"/>
    <w:rsid w:val="007F06FC"/>
    <w:rsid w:val="007F3A20"/>
    <w:rsid w:val="00803FC1"/>
    <w:rsid w:val="0080605D"/>
    <w:rsid w:val="00821A71"/>
    <w:rsid w:val="00823EC4"/>
    <w:rsid w:val="00842D80"/>
    <w:rsid w:val="00845FF5"/>
    <w:rsid w:val="00846920"/>
    <w:rsid w:val="00850A00"/>
    <w:rsid w:val="00850F17"/>
    <w:rsid w:val="008539C9"/>
    <w:rsid w:val="00861A53"/>
    <w:rsid w:val="008674B5"/>
    <w:rsid w:val="00873B49"/>
    <w:rsid w:val="00885E2B"/>
    <w:rsid w:val="00891408"/>
    <w:rsid w:val="00893367"/>
    <w:rsid w:val="00893911"/>
    <w:rsid w:val="00894A0D"/>
    <w:rsid w:val="008A0C74"/>
    <w:rsid w:val="008C3FBB"/>
    <w:rsid w:val="008C443C"/>
    <w:rsid w:val="008D2F11"/>
    <w:rsid w:val="008D4FB0"/>
    <w:rsid w:val="008D7919"/>
    <w:rsid w:val="008E1314"/>
    <w:rsid w:val="008F100F"/>
    <w:rsid w:val="008F43E8"/>
    <w:rsid w:val="008F586B"/>
    <w:rsid w:val="008F7A78"/>
    <w:rsid w:val="008F7ED5"/>
    <w:rsid w:val="00904DBF"/>
    <w:rsid w:val="00907E72"/>
    <w:rsid w:val="00914311"/>
    <w:rsid w:val="00914F5D"/>
    <w:rsid w:val="00940270"/>
    <w:rsid w:val="00941540"/>
    <w:rsid w:val="00941723"/>
    <w:rsid w:val="0094502B"/>
    <w:rsid w:val="00951CEC"/>
    <w:rsid w:val="00955416"/>
    <w:rsid w:val="00961018"/>
    <w:rsid w:val="009629E3"/>
    <w:rsid w:val="009647C9"/>
    <w:rsid w:val="009657AD"/>
    <w:rsid w:val="009761AB"/>
    <w:rsid w:val="009A0C37"/>
    <w:rsid w:val="009A3995"/>
    <w:rsid w:val="009A57EC"/>
    <w:rsid w:val="009A7896"/>
    <w:rsid w:val="009B14E9"/>
    <w:rsid w:val="009C6836"/>
    <w:rsid w:val="009C6A65"/>
    <w:rsid w:val="009D2789"/>
    <w:rsid w:val="009D4DF1"/>
    <w:rsid w:val="009D6BEC"/>
    <w:rsid w:val="009E5837"/>
    <w:rsid w:val="009F00C1"/>
    <w:rsid w:val="00A04108"/>
    <w:rsid w:val="00A06E8B"/>
    <w:rsid w:val="00A16244"/>
    <w:rsid w:val="00A23D6E"/>
    <w:rsid w:val="00A31E40"/>
    <w:rsid w:val="00A346E3"/>
    <w:rsid w:val="00A76F09"/>
    <w:rsid w:val="00A80C66"/>
    <w:rsid w:val="00A9035E"/>
    <w:rsid w:val="00A935B2"/>
    <w:rsid w:val="00A97A89"/>
    <w:rsid w:val="00AA2B49"/>
    <w:rsid w:val="00AC0A1F"/>
    <w:rsid w:val="00AD00C2"/>
    <w:rsid w:val="00AF439B"/>
    <w:rsid w:val="00AF4BF5"/>
    <w:rsid w:val="00AF5840"/>
    <w:rsid w:val="00B34C3B"/>
    <w:rsid w:val="00B35D63"/>
    <w:rsid w:val="00B36813"/>
    <w:rsid w:val="00B51784"/>
    <w:rsid w:val="00B528FF"/>
    <w:rsid w:val="00B63C42"/>
    <w:rsid w:val="00B66C50"/>
    <w:rsid w:val="00B71DB9"/>
    <w:rsid w:val="00B76494"/>
    <w:rsid w:val="00B815C0"/>
    <w:rsid w:val="00B90D36"/>
    <w:rsid w:val="00B91DA8"/>
    <w:rsid w:val="00BA2093"/>
    <w:rsid w:val="00BA45DC"/>
    <w:rsid w:val="00BB7F7B"/>
    <w:rsid w:val="00BC283F"/>
    <w:rsid w:val="00BC3E4C"/>
    <w:rsid w:val="00BC513C"/>
    <w:rsid w:val="00BC633D"/>
    <w:rsid w:val="00BD4301"/>
    <w:rsid w:val="00BD6E32"/>
    <w:rsid w:val="00BE12D6"/>
    <w:rsid w:val="00BE3DA9"/>
    <w:rsid w:val="00BE6653"/>
    <w:rsid w:val="00BE732F"/>
    <w:rsid w:val="00BE752F"/>
    <w:rsid w:val="00BF622B"/>
    <w:rsid w:val="00C0111E"/>
    <w:rsid w:val="00C06AB2"/>
    <w:rsid w:val="00C12227"/>
    <w:rsid w:val="00C126A6"/>
    <w:rsid w:val="00C23CE5"/>
    <w:rsid w:val="00C503F1"/>
    <w:rsid w:val="00C527A7"/>
    <w:rsid w:val="00C56481"/>
    <w:rsid w:val="00C619AE"/>
    <w:rsid w:val="00C65CEC"/>
    <w:rsid w:val="00C97A7C"/>
    <w:rsid w:val="00CA2585"/>
    <w:rsid w:val="00CA481D"/>
    <w:rsid w:val="00CA5105"/>
    <w:rsid w:val="00CA614C"/>
    <w:rsid w:val="00CB0765"/>
    <w:rsid w:val="00CB62C6"/>
    <w:rsid w:val="00CD0588"/>
    <w:rsid w:val="00CE01CE"/>
    <w:rsid w:val="00CE3ED5"/>
    <w:rsid w:val="00D04005"/>
    <w:rsid w:val="00D0409B"/>
    <w:rsid w:val="00D11502"/>
    <w:rsid w:val="00D200A6"/>
    <w:rsid w:val="00D31CB0"/>
    <w:rsid w:val="00D42A77"/>
    <w:rsid w:val="00D42BBB"/>
    <w:rsid w:val="00D5581C"/>
    <w:rsid w:val="00D6586F"/>
    <w:rsid w:val="00D70271"/>
    <w:rsid w:val="00D837D3"/>
    <w:rsid w:val="00D905B0"/>
    <w:rsid w:val="00D96F17"/>
    <w:rsid w:val="00D971EC"/>
    <w:rsid w:val="00DA3A79"/>
    <w:rsid w:val="00DA66F4"/>
    <w:rsid w:val="00DB7CFE"/>
    <w:rsid w:val="00DC53E3"/>
    <w:rsid w:val="00DD143F"/>
    <w:rsid w:val="00DD164F"/>
    <w:rsid w:val="00DF3491"/>
    <w:rsid w:val="00E204EA"/>
    <w:rsid w:val="00E20967"/>
    <w:rsid w:val="00E24C0A"/>
    <w:rsid w:val="00E31714"/>
    <w:rsid w:val="00E3398D"/>
    <w:rsid w:val="00E359E9"/>
    <w:rsid w:val="00E36463"/>
    <w:rsid w:val="00E37807"/>
    <w:rsid w:val="00E422B5"/>
    <w:rsid w:val="00E44D41"/>
    <w:rsid w:val="00E53536"/>
    <w:rsid w:val="00E5527F"/>
    <w:rsid w:val="00E5702B"/>
    <w:rsid w:val="00E660CA"/>
    <w:rsid w:val="00E73F4F"/>
    <w:rsid w:val="00E750BC"/>
    <w:rsid w:val="00E753F9"/>
    <w:rsid w:val="00E81D40"/>
    <w:rsid w:val="00E9643F"/>
    <w:rsid w:val="00E96F9A"/>
    <w:rsid w:val="00EA0164"/>
    <w:rsid w:val="00EA0FBA"/>
    <w:rsid w:val="00EC1196"/>
    <w:rsid w:val="00EC4B68"/>
    <w:rsid w:val="00EC6137"/>
    <w:rsid w:val="00EC7800"/>
    <w:rsid w:val="00EE047B"/>
    <w:rsid w:val="00EF0E6F"/>
    <w:rsid w:val="00EF533B"/>
    <w:rsid w:val="00F34CE3"/>
    <w:rsid w:val="00F35569"/>
    <w:rsid w:val="00F406D9"/>
    <w:rsid w:val="00F446B8"/>
    <w:rsid w:val="00F52DC1"/>
    <w:rsid w:val="00F57078"/>
    <w:rsid w:val="00F60FBC"/>
    <w:rsid w:val="00F61B3E"/>
    <w:rsid w:val="00F718F3"/>
    <w:rsid w:val="00F7723A"/>
    <w:rsid w:val="00F77E4F"/>
    <w:rsid w:val="00F8360C"/>
    <w:rsid w:val="00FA2727"/>
    <w:rsid w:val="00FA2D38"/>
    <w:rsid w:val="00FB54FF"/>
    <w:rsid w:val="00FD3E2E"/>
    <w:rsid w:val="00FF27A8"/>
    <w:rsid w:val="00FF2E1C"/>
    <w:rsid w:val="00FF6F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F4354"/>
  <w15:docId w15:val="{A2AF019D-5C69-4204-A2A6-5F22CCFE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35"/>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4F"/>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90D3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90D36"/>
    <w:rPr>
      <w:rFonts w:ascii="Tahoma" w:hAnsi="Tahoma" w:cs="Tahoma"/>
      <w:sz w:val="16"/>
      <w:szCs w:val="16"/>
    </w:rPr>
  </w:style>
  <w:style w:type="paragraph" w:styleId="NoSpacing">
    <w:name w:val="No Spacing"/>
    <w:uiPriority w:val="1"/>
    <w:qFormat/>
    <w:rsid w:val="00CA481D"/>
    <w:pPr>
      <w:spacing w:after="0" w:line="240" w:lineRule="auto"/>
    </w:pPr>
  </w:style>
  <w:style w:type="character" w:styleId="CommentReference">
    <w:name w:val="annotation reference"/>
    <w:basedOn w:val="DefaultParagraphFont"/>
    <w:uiPriority w:val="99"/>
    <w:semiHidden/>
    <w:unhideWhenUsed/>
    <w:rsid w:val="00480030"/>
    <w:rPr>
      <w:sz w:val="16"/>
      <w:szCs w:val="16"/>
    </w:rPr>
  </w:style>
  <w:style w:type="paragraph" w:styleId="CommentText">
    <w:name w:val="annotation text"/>
    <w:basedOn w:val="Normal"/>
    <w:link w:val="CommentTextChar"/>
    <w:uiPriority w:val="99"/>
    <w:semiHidden/>
    <w:unhideWhenUsed/>
    <w:rsid w:val="0048003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80030"/>
    <w:rPr>
      <w:sz w:val="20"/>
      <w:szCs w:val="20"/>
    </w:rPr>
  </w:style>
  <w:style w:type="paragraph" w:styleId="CommentSubject">
    <w:name w:val="annotation subject"/>
    <w:basedOn w:val="CommentText"/>
    <w:next w:val="CommentText"/>
    <w:link w:val="CommentSubjectChar"/>
    <w:uiPriority w:val="99"/>
    <w:semiHidden/>
    <w:unhideWhenUsed/>
    <w:rsid w:val="00480030"/>
    <w:rPr>
      <w:b/>
      <w:bCs/>
    </w:rPr>
  </w:style>
  <w:style w:type="character" w:customStyle="1" w:styleId="CommentSubjectChar">
    <w:name w:val="Comment Subject Char"/>
    <w:basedOn w:val="CommentTextChar"/>
    <w:link w:val="CommentSubject"/>
    <w:uiPriority w:val="99"/>
    <w:semiHidden/>
    <w:rsid w:val="00480030"/>
    <w:rPr>
      <w:b/>
      <w:bCs/>
      <w:sz w:val="20"/>
      <w:szCs w:val="20"/>
    </w:rPr>
  </w:style>
  <w:style w:type="table" w:styleId="TableGrid">
    <w:name w:val="Table Grid"/>
    <w:basedOn w:val="TableNormal"/>
    <w:uiPriority w:val="39"/>
    <w:qFormat/>
    <w:rsid w:val="008F43E8"/>
    <w:pPr>
      <w:widowControl w:val="0"/>
      <w:spacing w:after="0" w:line="240" w:lineRule="auto"/>
      <w:jc w:val="both"/>
    </w:pPr>
    <w:rPr>
      <w:rFonts w:ascii="Calibri" w:eastAsia="Calibri" w:hAnsi="Calibri" w:cs="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A9"/>
    <w:rPr>
      <w:rFonts w:ascii="Calibri" w:eastAsia="Calibri" w:hAnsi="Calibri" w:cs="SimSun"/>
    </w:rPr>
  </w:style>
  <w:style w:type="paragraph" w:styleId="Footer">
    <w:name w:val="footer"/>
    <w:basedOn w:val="Normal"/>
    <w:link w:val="FooterChar"/>
    <w:uiPriority w:val="99"/>
    <w:unhideWhenUsed/>
    <w:rsid w:val="00BE3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A9"/>
    <w:rPr>
      <w:rFonts w:ascii="Calibri" w:eastAsia="Calibri" w:hAnsi="Calibri" w:cs="SimSun"/>
    </w:rPr>
  </w:style>
  <w:style w:type="paragraph" w:styleId="NormalWeb">
    <w:name w:val="Normal (Web)"/>
    <w:basedOn w:val="Normal"/>
    <w:uiPriority w:val="99"/>
    <w:semiHidden/>
    <w:unhideWhenUsed/>
    <w:rsid w:val="00A903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1F59"/>
    <w:rPr>
      <w:i/>
      <w:iCs/>
    </w:rPr>
  </w:style>
  <w:style w:type="character" w:styleId="Hyperlink">
    <w:name w:val="Hyperlink"/>
    <w:basedOn w:val="DefaultParagraphFont"/>
    <w:uiPriority w:val="99"/>
    <w:unhideWhenUsed/>
    <w:rsid w:val="00BC3E4C"/>
    <w:rPr>
      <w:color w:val="0000FF" w:themeColor="hyperlink"/>
      <w:u w:val="single"/>
    </w:rPr>
  </w:style>
  <w:style w:type="table" w:customStyle="1" w:styleId="TableGrid1">
    <w:name w:val="Table Grid1"/>
    <w:basedOn w:val="TableNormal"/>
    <w:next w:val="TableGrid"/>
    <w:uiPriority w:val="39"/>
    <w:rsid w:val="000B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7B3F"/>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4782">
      <w:bodyDiv w:val="1"/>
      <w:marLeft w:val="0"/>
      <w:marRight w:val="0"/>
      <w:marTop w:val="0"/>
      <w:marBottom w:val="0"/>
      <w:divBdr>
        <w:top w:val="none" w:sz="0" w:space="0" w:color="auto"/>
        <w:left w:val="none" w:sz="0" w:space="0" w:color="auto"/>
        <w:bottom w:val="none" w:sz="0" w:space="0" w:color="auto"/>
        <w:right w:val="none" w:sz="0" w:space="0" w:color="auto"/>
      </w:divBdr>
      <w:divsChild>
        <w:div w:id="1259101119">
          <w:marLeft w:val="0"/>
          <w:marRight w:val="0"/>
          <w:marTop w:val="0"/>
          <w:marBottom w:val="0"/>
          <w:divBdr>
            <w:top w:val="none" w:sz="0" w:space="0" w:color="auto"/>
            <w:left w:val="none" w:sz="0" w:space="0" w:color="auto"/>
            <w:bottom w:val="none" w:sz="0" w:space="0" w:color="auto"/>
            <w:right w:val="none" w:sz="0" w:space="0" w:color="auto"/>
          </w:divBdr>
          <w:divsChild>
            <w:div w:id="948701824">
              <w:marLeft w:val="0"/>
              <w:marRight w:val="0"/>
              <w:marTop w:val="0"/>
              <w:marBottom w:val="0"/>
              <w:divBdr>
                <w:top w:val="none" w:sz="0" w:space="0" w:color="auto"/>
                <w:left w:val="none" w:sz="0" w:space="0" w:color="auto"/>
                <w:bottom w:val="none" w:sz="0" w:space="0" w:color="auto"/>
                <w:right w:val="none" w:sz="0" w:space="0" w:color="auto"/>
              </w:divBdr>
              <w:divsChild>
                <w:div w:id="611210988">
                  <w:marLeft w:val="0"/>
                  <w:marRight w:val="0"/>
                  <w:marTop w:val="0"/>
                  <w:marBottom w:val="0"/>
                  <w:divBdr>
                    <w:top w:val="none" w:sz="0" w:space="0" w:color="auto"/>
                    <w:left w:val="none" w:sz="0" w:space="0" w:color="auto"/>
                    <w:bottom w:val="none" w:sz="0" w:space="0" w:color="auto"/>
                    <w:right w:val="none" w:sz="0" w:space="0" w:color="auto"/>
                  </w:divBdr>
                  <w:divsChild>
                    <w:div w:id="18963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1248">
          <w:marLeft w:val="0"/>
          <w:marRight w:val="0"/>
          <w:marTop w:val="0"/>
          <w:marBottom w:val="0"/>
          <w:divBdr>
            <w:top w:val="none" w:sz="0" w:space="0" w:color="auto"/>
            <w:left w:val="none" w:sz="0" w:space="0" w:color="auto"/>
            <w:bottom w:val="none" w:sz="0" w:space="0" w:color="auto"/>
            <w:right w:val="none" w:sz="0" w:space="0" w:color="auto"/>
          </w:divBdr>
          <w:divsChild>
            <w:div w:id="986401113">
              <w:marLeft w:val="0"/>
              <w:marRight w:val="0"/>
              <w:marTop w:val="0"/>
              <w:marBottom w:val="0"/>
              <w:divBdr>
                <w:top w:val="none" w:sz="0" w:space="0" w:color="auto"/>
                <w:left w:val="none" w:sz="0" w:space="0" w:color="auto"/>
                <w:bottom w:val="none" w:sz="0" w:space="0" w:color="auto"/>
                <w:right w:val="none" w:sz="0" w:space="0" w:color="auto"/>
              </w:divBdr>
              <w:divsChild>
                <w:div w:id="1954626389">
                  <w:marLeft w:val="0"/>
                  <w:marRight w:val="0"/>
                  <w:marTop w:val="0"/>
                  <w:marBottom w:val="0"/>
                  <w:divBdr>
                    <w:top w:val="none" w:sz="0" w:space="0" w:color="auto"/>
                    <w:left w:val="none" w:sz="0" w:space="0" w:color="auto"/>
                    <w:bottom w:val="none" w:sz="0" w:space="0" w:color="auto"/>
                    <w:right w:val="none" w:sz="0" w:space="0" w:color="auto"/>
                  </w:divBdr>
                  <w:divsChild>
                    <w:div w:id="1373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00980">
      <w:bodyDiv w:val="1"/>
      <w:marLeft w:val="0"/>
      <w:marRight w:val="0"/>
      <w:marTop w:val="0"/>
      <w:marBottom w:val="0"/>
      <w:divBdr>
        <w:top w:val="none" w:sz="0" w:space="0" w:color="auto"/>
        <w:left w:val="none" w:sz="0" w:space="0" w:color="auto"/>
        <w:bottom w:val="none" w:sz="0" w:space="0" w:color="auto"/>
        <w:right w:val="none" w:sz="0" w:space="0" w:color="auto"/>
      </w:divBdr>
    </w:div>
    <w:div w:id="438649066">
      <w:bodyDiv w:val="1"/>
      <w:marLeft w:val="0"/>
      <w:marRight w:val="0"/>
      <w:marTop w:val="0"/>
      <w:marBottom w:val="0"/>
      <w:divBdr>
        <w:top w:val="none" w:sz="0" w:space="0" w:color="auto"/>
        <w:left w:val="none" w:sz="0" w:space="0" w:color="auto"/>
        <w:bottom w:val="none" w:sz="0" w:space="0" w:color="auto"/>
        <w:right w:val="none" w:sz="0" w:space="0" w:color="auto"/>
      </w:divBdr>
    </w:div>
    <w:div w:id="463275164">
      <w:bodyDiv w:val="1"/>
      <w:marLeft w:val="0"/>
      <w:marRight w:val="0"/>
      <w:marTop w:val="0"/>
      <w:marBottom w:val="0"/>
      <w:divBdr>
        <w:top w:val="none" w:sz="0" w:space="0" w:color="auto"/>
        <w:left w:val="none" w:sz="0" w:space="0" w:color="auto"/>
        <w:bottom w:val="none" w:sz="0" w:space="0" w:color="auto"/>
        <w:right w:val="none" w:sz="0" w:space="0" w:color="auto"/>
      </w:divBdr>
    </w:div>
    <w:div w:id="550924761">
      <w:bodyDiv w:val="1"/>
      <w:marLeft w:val="0"/>
      <w:marRight w:val="0"/>
      <w:marTop w:val="0"/>
      <w:marBottom w:val="0"/>
      <w:divBdr>
        <w:top w:val="none" w:sz="0" w:space="0" w:color="auto"/>
        <w:left w:val="none" w:sz="0" w:space="0" w:color="auto"/>
        <w:bottom w:val="none" w:sz="0" w:space="0" w:color="auto"/>
        <w:right w:val="none" w:sz="0" w:space="0" w:color="auto"/>
      </w:divBdr>
    </w:div>
    <w:div w:id="628391399">
      <w:bodyDiv w:val="1"/>
      <w:marLeft w:val="0"/>
      <w:marRight w:val="0"/>
      <w:marTop w:val="0"/>
      <w:marBottom w:val="0"/>
      <w:divBdr>
        <w:top w:val="none" w:sz="0" w:space="0" w:color="auto"/>
        <w:left w:val="none" w:sz="0" w:space="0" w:color="auto"/>
        <w:bottom w:val="none" w:sz="0" w:space="0" w:color="auto"/>
        <w:right w:val="none" w:sz="0" w:space="0" w:color="auto"/>
      </w:divBdr>
    </w:div>
    <w:div w:id="669911250">
      <w:bodyDiv w:val="1"/>
      <w:marLeft w:val="0"/>
      <w:marRight w:val="0"/>
      <w:marTop w:val="0"/>
      <w:marBottom w:val="0"/>
      <w:divBdr>
        <w:top w:val="none" w:sz="0" w:space="0" w:color="auto"/>
        <w:left w:val="none" w:sz="0" w:space="0" w:color="auto"/>
        <w:bottom w:val="none" w:sz="0" w:space="0" w:color="auto"/>
        <w:right w:val="none" w:sz="0" w:space="0" w:color="auto"/>
      </w:divBdr>
    </w:div>
    <w:div w:id="694963492">
      <w:bodyDiv w:val="1"/>
      <w:marLeft w:val="0"/>
      <w:marRight w:val="0"/>
      <w:marTop w:val="0"/>
      <w:marBottom w:val="0"/>
      <w:divBdr>
        <w:top w:val="none" w:sz="0" w:space="0" w:color="auto"/>
        <w:left w:val="none" w:sz="0" w:space="0" w:color="auto"/>
        <w:bottom w:val="none" w:sz="0" w:space="0" w:color="auto"/>
        <w:right w:val="none" w:sz="0" w:space="0" w:color="auto"/>
      </w:divBdr>
    </w:div>
    <w:div w:id="733313777">
      <w:bodyDiv w:val="1"/>
      <w:marLeft w:val="0"/>
      <w:marRight w:val="0"/>
      <w:marTop w:val="0"/>
      <w:marBottom w:val="0"/>
      <w:divBdr>
        <w:top w:val="none" w:sz="0" w:space="0" w:color="auto"/>
        <w:left w:val="none" w:sz="0" w:space="0" w:color="auto"/>
        <w:bottom w:val="none" w:sz="0" w:space="0" w:color="auto"/>
        <w:right w:val="none" w:sz="0" w:space="0" w:color="auto"/>
      </w:divBdr>
    </w:div>
    <w:div w:id="806168817">
      <w:bodyDiv w:val="1"/>
      <w:marLeft w:val="0"/>
      <w:marRight w:val="0"/>
      <w:marTop w:val="0"/>
      <w:marBottom w:val="0"/>
      <w:divBdr>
        <w:top w:val="none" w:sz="0" w:space="0" w:color="auto"/>
        <w:left w:val="none" w:sz="0" w:space="0" w:color="auto"/>
        <w:bottom w:val="none" w:sz="0" w:space="0" w:color="auto"/>
        <w:right w:val="none" w:sz="0" w:space="0" w:color="auto"/>
      </w:divBdr>
    </w:div>
    <w:div w:id="809445011">
      <w:bodyDiv w:val="1"/>
      <w:marLeft w:val="0"/>
      <w:marRight w:val="0"/>
      <w:marTop w:val="0"/>
      <w:marBottom w:val="0"/>
      <w:divBdr>
        <w:top w:val="none" w:sz="0" w:space="0" w:color="auto"/>
        <w:left w:val="none" w:sz="0" w:space="0" w:color="auto"/>
        <w:bottom w:val="none" w:sz="0" w:space="0" w:color="auto"/>
        <w:right w:val="none" w:sz="0" w:space="0" w:color="auto"/>
      </w:divBdr>
    </w:div>
    <w:div w:id="894123947">
      <w:bodyDiv w:val="1"/>
      <w:marLeft w:val="0"/>
      <w:marRight w:val="0"/>
      <w:marTop w:val="0"/>
      <w:marBottom w:val="0"/>
      <w:divBdr>
        <w:top w:val="none" w:sz="0" w:space="0" w:color="auto"/>
        <w:left w:val="none" w:sz="0" w:space="0" w:color="auto"/>
        <w:bottom w:val="none" w:sz="0" w:space="0" w:color="auto"/>
        <w:right w:val="none" w:sz="0" w:space="0" w:color="auto"/>
      </w:divBdr>
    </w:div>
    <w:div w:id="897059675">
      <w:bodyDiv w:val="1"/>
      <w:marLeft w:val="0"/>
      <w:marRight w:val="0"/>
      <w:marTop w:val="0"/>
      <w:marBottom w:val="0"/>
      <w:divBdr>
        <w:top w:val="none" w:sz="0" w:space="0" w:color="auto"/>
        <w:left w:val="none" w:sz="0" w:space="0" w:color="auto"/>
        <w:bottom w:val="none" w:sz="0" w:space="0" w:color="auto"/>
        <w:right w:val="none" w:sz="0" w:space="0" w:color="auto"/>
      </w:divBdr>
    </w:div>
    <w:div w:id="913664873">
      <w:bodyDiv w:val="1"/>
      <w:marLeft w:val="0"/>
      <w:marRight w:val="0"/>
      <w:marTop w:val="0"/>
      <w:marBottom w:val="0"/>
      <w:divBdr>
        <w:top w:val="none" w:sz="0" w:space="0" w:color="auto"/>
        <w:left w:val="none" w:sz="0" w:space="0" w:color="auto"/>
        <w:bottom w:val="none" w:sz="0" w:space="0" w:color="auto"/>
        <w:right w:val="none" w:sz="0" w:space="0" w:color="auto"/>
      </w:divBdr>
    </w:div>
    <w:div w:id="1129856764">
      <w:bodyDiv w:val="1"/>
      <w:marLeft w:val="0"/>
      <w:marRight w:val="0"/>
      <w:marTop w:val="0"/>
      <w:marBottom w:val="0"/>
      <w:divBdr>
        <w:top w:val="none" w:sz="0" w:space="0" w:color="auto"/>
        <w:left w:val="none" w:sz="0" w:space="0" w:color="auto"/>
        <w:bottom w:val="none" w:sz="0" w:space="0" w:color="auto"/>
        <w:right w:val="none" w:sz="0" w:space="0" w:color="auto"/>
      </w:divBdr>
    </w:div>
    <w:div w:id="1186292205">
      <w:bodyDiv w:val="1"/>
      <w:marLeft w:val="0"/>
      <w:marRight w:val="0"/>
      <w:marTop w:val="0"/>
      <w:marBottom w:val="0"/>
      <w:divBdr>
        <w:top w:val="none" w:sz="0" w:space="0" w:color="auto"/>
        <w:left w:val="none" w:sz="0" w:space="0" w:color="auto"/>
        <w:bottom w:val="none" w:sz="0" w:space="0" w:color="auto"/>
        <w:right w:val="none" w:sz="0" w:space="0" w:color="auto"/>
      </w:divBdr>
    </w:div>
    <w:div w:id="1379209706">
      <w:bodyDiv w:val="1"/>
      <w:marLeft w:val="0"/>
      <w:marRight w:val="0"/>
      <w:marTop w:val="0"/>
      <w:marBottom w:val="0"/>
      <w:divBdr>
        <w:top w:val="none" w:sz="0" w:space="0" w:color="auto"/>
        <w:left w:val="none" w:sz="0" w:space="0" w:color="auto"/>
        <w:bottom w:val="none" w:sz="0" w:space="0" w:color="auto"/>
        <w:right w:val="none" w:sz="0" w:space="0" w:color="auto"/>
      </w:divBdr>
    </w:div>
    <w:div w:id="1436317441">
      <w:bodyDiv w:val="1"/>
      <w:marLeft w:val="0"/>
      <w:marRight w:val="0"/>
      <w:marTop w:val="0"/>
      <w:marBottom w:val="0"/>
      <w:divBdr>
        <w:top w:val="none" w:sz="0" w:space="0" w:color="auto"/>
        <w:left w:val="none" w:sz="0" w:space="0" w:color="auto"/>
        <w:bottom w:val="none" w:sz="0" w:space="0" w:color="auto"/>
        <w:right w:val="none" w:sz="0" w:space="0" w:color="auto"/>
      </w:divBdr>
    </w:div>
    <w:div w:id="1483766631">
      <w:bodyDiv w:val="1"/>
      <w:marLeft w:val="0"/>
      <w:marRight w:val="0"/>
      <w:marTop w:val="0"/>
      <w:marBottom w:val="0"/>
      <w:divBdr>
        <w:top w:val="none" w:sz="0" w:space="0" w:color="auto"/>
        <w:left w:val="none" w:sz="0" w:space="0" w:color="auto"/>
        <w:bottom w:val="none" w:sz="0" w:space="0" w:color="auto"/>
        <w:right w:val="none" w:sz="0" w:space="0" w:color="auto"/>
      </w:divBdr>
      <w:divsChild>
        <w:div w:id="1890532661">
          <w:marLeft w:val="0"/>
          <w:marRight w:val="0"/>
          <w:marTop w:val="0"/>
          <w:marBottom w:val="0"/>
          <w:divBdr>
            <w:top w:val="none" w:sz="0" w:space="0" w:color="auto"/>
            <w:left w:val="none" w:sz="0" w:space="0" w:color="auto"/>
            <w:bottom w:val="none" w:sz="0" w:space="0" w:color="auto"/>
            <w:right w:val="none" w:sz="0" w:space="0" w:color="auto"/>
          </w:divBdr>
          <w:divsChild>
            <w:div w:id="974599248">
              <w:marLeft w:val="0"/>
              <w:marRight w:val="0"/>
              <w:marTop w:val="0"/>
              <w:marBottom w:val="0"/>
              <w:divBdr>
                <w:top w:val="none" w:sz="0" w:space="0" w:color="auto"/>
                <w:left w:val="none" w:sz="0" w:space="0" w:color="auto"/>
                <w:bottom w:val="none" w:sz="0" w:space="0" w:color="auto"/>
                <w:right w:val="none" w:sz="0" w:space="0" w:color="auto"/>
              </w:divBdr>
              <w:divsChild>
                <w:div w:id="629558822">
                  <w:marLeft w:val="0"/>
                  <w:marRight w:val="0"/>
                  <w:marTop w:val="0"/>
                  <w:marBottom w:val="0"/>
                  <w:divBdr>
                    <w:top w:val="none" w:sz="0" w:space="0" w:color="auto"/>
                    <w:left w:val="none" w:sz="0" w:space="0" w:color="auto"/>
                    <w:bottom w:val="none" w:sz="0" w:space="0" w:color="auto"/>
                    <w:right w:val="none" w:sz="0" w:space="0" w:color="auto"/>
                  </w:divBdr>
                  <w:divsChild>
                    <w:div w:id="19888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1507">
          <w:marLeft w:val="0"/>
          <w:marRight w:val="0"/>
          <w:marTop w:val="0"/>
          <w:marBottom w:val="0"/>
          <w:divBdr>
            <w:top w:val="none" w:sz="0" w:space="0" w:color="auto"/>
            <w:left w:val="none" w:sz="0" w:space="0" w:color="auto"/>
            <w:bottom w:val="none" w:sz="0" w:space="0" w:color="auto"/>
            <w:right w:val="none" w:sz="0" w:space="0" w:color="auto"/>
          </w:divBdr>
          <w:divsChild>
            <w:div w:id="911045314">
              <w:marLeft w:val="0"/>
              <w:marRight w:val="0"/>
              <w:marTop w:val="0"/>
              <w:marBottom w:val="0"/>
              <w:divBdr>
                <w:top w:val="none" w:sz="0" w:space="0" w:color="auto"/>
                <w:left w:val="none" w:sz="0" w:space="0" w:color="auto"/>
                <w:bottom w:val="none" w:sz="0" w:space="0" w:color="auto"/>
                <w:right w:val="none" w:sz="0" w:space="0" w:color="auto"/>
              </w:divBdr>
              <w:divsChild>
                <w:div w:id="1475292011">
                  <w:marLeft w:val="0"/>
                  <w:marRight w:val="0"/>
                  <w:marTop w:val="0"/>
                  <w:marBottom w:val="0"/>
                  <w:divBdr>
                    <w:top w:val="none" w:sz="0" w:space="0" w:color="auto"/>
                    <w:left w:val="none" w:sz="0" w:space="0" w:color="auto"/>
                    <w:bottom w:val="none" w:sz="0" w:space="0" w:color="auto"/>
                    <w:right w:val="none" w:sz="0" w:space="0" w:color="auto"/>
                  </w:divBdr>
                  <w:divsChild>
                    <w:div w:id="11063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1264">
      <w:bodyDiv w:val="1"/>
      <w:marLeft w:val="0"/>
      <w:marRight w:val="0"/>
      <w:marTop w:val="0"/>
      <w:marBottom w:val="0"/>
      <w:divBdr>
        <w:top w:val="none" w:sz="0" w:space="0" w:color="auto"/>
        <w:left w:val="none" w:sz="0" w:space="0" w:color="auto"/>
        <w:bottom w:val="none" w:sz="0" w:space="0" w:color="auto"/>
        <w:right w:val="none" w:sz="0" w:space="0" w:color="auto"/>
      </w:divBdr>
    </w:div>
    <w:div w:id="1574971463">
      <w:bodyDiv w:val="1"/>
      <w:marLeft w:val="0"/>
      <w:marRight w:val="0"/>
      <w:marTop w:val="0"/>
      <w:marBottom w:val="0"/>
      <w:divBdr>
        <w:top w:val="none" w:sz="0" w:space="0" w:color="auto"/>
        <w:left w:val="none" w:sz="0" w:space="0" w:color="auto"/>
        <w:bottom w:val="none" w:sz="0" w:space="0" w:color="auto"/>
        <w:right w:val="none" w:sz="0" w:space="0" w:color="auto"/>
      </w:divBdr>
    </w:div>
    <w:div w:id="1651251708">
      <w:bodyDiv w:val="1"/>
      <w:marLeft w:val="0"/>
      <w:marRight w:val="0"/>
      <w:marTop w:val="0"/>
      <w:marBottom w:val="0"/>
      <w:divBdr>
        <w:top w:val="none" w:sz="0" w:space="0" w:color="auto"/>
        <w:left w:val="none" w:sz="0" w:space="0" w:color="auto"/>
        <w:bottom w:val="none" w:sz="0" w:space="0" w:color="auto"/>
        <w:right w:val="none" w:sz="0" w:space="0" w:color="auto"/>
      </w:divBdr>
    </w:div>
    <w:div w:id="1664577121">
      <w:bodyDiv w:val="1"/>
      <w:marLeft w:val="0"/>
      <w:marRight w:val="0"/>
      <w:marTop w:val="0"/>
      <w:marBottom w:val="0"/>
      <w:divBdr>
        <w:top w:val="none" w:sz="0" w:space="0" w:color="auto"/>
        <w:left w:val="none" w:sz="0" w:space="0" w:color="auto"/>
        <w:bottom w:val="none" w:sz="0" w:space="0" w:color="auto"/>
        <w:right w:val="none" w:sz="0" w:space="0" w:color="auto"/>
      </w:divBdr>
    </w:div>
    <w:div w:id="1741099119">
      <w:bodyDiv w:val="1"/>
      <w:marLeft w:val="0"/>
      <w:marRight w:val="0"/>
      <w:marTop w:val="0"/>
      <w:marBottom w:val="0"/>
      <w:divBdr>
        <w:top w:val="none" w:sz="0" w:space="0" w:color="auto"/>
        <w:left w:val="none" w:sz="0" w:space="0" w:color="auto"/>
        <w:bottom w:val="none" w:sz="0" w:space="0" w:color="auto"/>
        <w:right w:val="none" w:sz="0" w:space="0" w:color="auto"/>
      </w:divBdr>
      <w:divsChild>
        <w:div w:id="867839860">
          <w:marLeft w:val="0"/>
          <w:marRight w:val="0"/>
          <w:marTop w:val="0"/>
          <w:marBottom w:val="0"/>
          <w:divBdr>
            <w:top w:val="none" w:sz="0" w:space="0" w:color="auto"/>
            <w:left w:val="none" w:sz="0" w:space="0" w:color="auto"/>
            <w:bottom w:val="none" w:sz="0" w:space="0" w:color="auto"/>
            <w:right w:val="none" w:sz="0" w:space="0" w:color="auto"/>
          </w:divBdr>
          <w:divsChild>
            <w:div w:id="2034182982">
              <w:marLeft w:val="0"/>
              <w:marRight w:val="0"/>
              <w:marTop w:val="0"/>
              <w:marBottom w:val="0"/>
              <w:divBdr>
                <w:top w:val="none" w:sz="0" w:space="0" w:color="auto"/>
                <w:left w:val="none" w:sz="0" w:space="0" w:color="auto"/>
                <w:bottom w:val="none" w:sz="0" w:space="0" w:color="auto"/>
                <w:right w:val="none" w:sz="0" w:space="0" w:color="auto"/>
              </w:divBdr>
              <w:divsChild>
                <w:div w:id="248195538">
                  <w:marLeft w:val="0"/>
                  <w:marRight w:val="0"/>
                  <w:marTop w:val="0"/>
                  <w:marBottom w:val="0"/>
                  <w:divBdr>
                    <w:top w:val="none" w:sz="0" w:space="0" w:color="auto"/>
                    <w:left w:val="none" w:sz="0" w:space="0" w:color="auto"/>
                    <w:bottom w:val="none" w:sz="0" w:space="0" w:color="auto"/>
                    <w:right w:val="none" w:sz="0" w:space="0" w:color="auto"/>
                  </w:divBdr>
                  <w:divsChild>
                    <w:div w:id="12373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2586">
          <w:marLeft w:val="0"/>
          <w:marRight w:val="0"/>
          <w:marTop w:val="0"/>
          <w:marBottom w:val="0"/>
          <w:divBdr>
            <w:top w:val="none" w:sz="0" w:space="0" w:color="auto"/>
            <w:left w:val="none" w:sz="0" w:space="0" w:color="auto"/>
            <w:bottom w:val="none" w:sz="0" w:space="0" w:color="auto"/>
            <w:right w:val="none" w:sz="0" w:space="0" w:color="auto"/>
          </w:divBdr>
          <w:divsChild>
            <w:div w:id="1884169483">
              <w:marLeft w:val="0"/>
              <w:marRight w:val="0"/>
              <w:marTop w:val="0"/>
              <w:marBottom w:val="0"/>
              <w:divBdr>
                <w:top w:val="none" w:sz="0" w:space="0" w:color="auto"/>
                <w:left w:val="none" w:sz="0" w:space="0" w:color="auto"/>
                <w:bottom w:val="none" w:sz="0" w:space="0" w:color="auto"/>
                <w:right w:val="none" w:sz="0" w:space="0" w:color="auto"/>
              </w:divBdr>
              <w:divsChild>
                <w:div w:id="1249847338">
                  <w:marLeft w:val="0"/>
                  <w:marRight w:val="0"/>
                  <w:marTop w:val="0"/>
                  <w:marBottom w:val="0"/>
                  <w:divBdr>
                    <w:top w:val="none" w:sz="0" w:space="0" w:color="auto"/>
                    <w:left w:val="none" w:sz="0" w:space="0" w:color="auto"/>
                    <w:bottom w:val="none" w:sz="0" w:space="0" w:color="auto"/>
                    <w:right w:val="none" w:sz="0" w:space="0" w:color="auto"/>
                  </w:divBdr>
                  <w:divsChild>
                    <w:div w:id="20859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9364">
      <w:bodyDiv w:val="1"/>
      <w:marLeft w:val="0"/>
      <w:marRight w:val="0"/>
      <w:marTop w:val="0"/>
      <w:marBottom w:val="0"/>
      <w:divBdr>
        <w:top w:val="none" w:sz="0" w:space="0" w:color="auto"/>
        <w:left w:val="none" w:sz="0" w:space="0" w:color="auto"/>
        <w:bottom w:val="none" w:sz="0" w:space="0" w:color="auto"/>
        <w:right w:val="none" w:sz="0" w:space="0" w:color="auto"/>
      </w:divBdr>
    </w:div>
    <w:div w:id="1894345903">
      <w:bodyDiv w:val="1"/>
      <w:marLeft w:val="0"/>
      <w:marRight w:val="0"/>
      <w:marTop w:val="0"/>
      <w:marBottom w:val="0"/>
      <w:divBdr>
        <w:top w:val="none" w:sz="0" w:space="0" w:color="auto"/>
        <w:left w:val="none" w:sz="0" w:space="0" w:color="auto"/>
        <w:bottom w:val="none" w:sz="0" w:space="0" w:color="auto"/>
        <w:right w:val="none" w:sz="0" w:space="0" w:color="auto"/>
      </w:divBdr>
    </w:div>
    <w:div w:id="1940723249">
      <w:bodyDiv w:val="1"/>
      <w:marLeft w:val="0"/>
      <w:marRight w:val="0"/>
      <w:marTop w:val="0"/>
      <w:marBottom w:val="0"/>
      <w:divBdr>
        <w:top w:val="none" w:sz="0" w:space="0" w:color="auto"/>
        <w:left w:val="none" w:sz="0" w:space="0" w:color="auto"/>
        <w:bottom w:val="none" w:sz="0" w:space="0" w:color="auto"/>
        <w:right w:val="none" w:sz="0" w:space="0" w:color="auto"/>
      </w:divBdr>
      <w:divsChild>
        <w:div w:id="400443633">
          <w:marLeft w:val="0"/>
          <w:marRight w:val="0"/>
          <w:marTop w:val="0"/>
          <w:marBottom w:val="0"/>
          <w:divBdr>
            <w:top w:val="none" w:sz="0" w:space="0" w:color="auto"/>
            <w:left w:val="none" w:sz="0" w:space="0" w:color="auto"/>
            <w:bottom w:val="none" w:sz="0" w:space="0" w:color="auto"/>
            <w:right w:val="none" w:sz="0" w:space="0" w:color="auto"/>
          </w:divBdr>
          <w:divsChild>
            <w:div w:id="921187355">
              <w:marLeft w:val="0"/>
              <w:marRight w:val="0"/>
              <w:marTop w:val="0"/>
              <w:marBottom w:val="0"/>
              <w:divBdr>
                <w:top w:val="none" w:sz="0" w:space="0" w:color="auto"/>
                <w:left w:val="none" w:sz="0" w:space="0" w:color="auto"/>
                <w:bottom w:val="none" w:sz="0" w:space="0" w:color="auto"/>
                <w:right w:val="none" w:sz="0" w:space="0" w:color="auto"/>
              </w:divBdr>
              <w:divsChild>
                <w:div w:id="1414811588">
                  <w:marLeft w:val="0"/>
                  <w:marRight w:val="0"/>
                  <w:marTop w:val="0"/>
                  <w:marBottom w:val="0"/>
                  <w:divBdr>
                    <w:top w:val="none" w:sz="0" w:space="0" w:color="auto"/>
                    <w:left w:val="none" w:sz="0" w:space="0" w:color="auto"/>
                    <w:bottom w:val="none" w:sz="0" w:space="0" w:color="auto"/>
                    <w:right w:val="none" w:sz="0" w:space="0" w:color="auto"/>
                  </w:divBdr>
                  <w:divsChild>
                    <w:div w:id="17879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4130">
          <w:marLeft w:val="0"/>
          <w:marRight w:val="0"/>
          <w:marTop w:val="0"/>
          <w:marBottom w:val="0"/>
          <w:divBdr>
            <w:top w:val="none" w:sz="0" w:space="0" w:color="auto"/>
            <w:left w:val="none" w:sz="0" w:space="0" w:color="auto"/>
            <w:bottom w:val="none" w:sz="0" w:space="0" w:color="auto"/>
            <w:right w:val="none" w:sz="0" w:space="0" w:color="auto"/>
          </w:divBdr>
          <w:divsChild>
            <w:div w:id="117263709">
              <w:marLeft w:val="0"/>
              <w:marRight w:val="0"/>
              <w:marTop w:val="0"/>
              <w:marBottom w:val="0"/>
              <w:divBdr>
                <w:top w:val="none" w:sz="0" w:space="0" w:color="auto"/>
                <w:left w:val="none" w:sz="0" w:space="0" w:color="auto"/>
                <w:bottom w:val="none" w:sz="0" w:space="0" w:color="auto"/>
                <w:right w:val="none" w:sz="0" w:space="0" w:color="auto"/>
              </w:divBdr>
              <w:divsChild>
                <w:div w:id="1612513804">
                  <w:marLeft w:val="0"/>
                  <w:marRight w:val="0"/>
                  <w:marTop w:val="0"/>
                  <w:marBottom w:val="0"/>
                  <w:divBdr>
                    <w:top w:val="none" w:sz="0" w:space="0" w:color="auto"/>
                    <w:left w:val="none" w:sz="0" w:space="0" w:color="auto"/>
                    <w:bottom w:val="none" w:sz="0" w:space="0" w:color="auto"/>
                    <w:right w:val="none" w:sz="0" w:space="0" w:color="auto"/>
                  </w:divBdr>
                  <w:divsChild>
                    <w:div w:id="18025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29709">
      <w:bodyDiv w:val="1"/>
      <w:marLeft w:val="0"/>
      <w:marRight w:val="0"/>
      <w:marTop w:val="0"/>
      <w:marBottom w:val="0"/>
      <w:divBdr>
        <w:top w:val="none" w:sz="0" w:space="0" w:color="auto"/>
        <w:left w:val="none" w:sz="0" w:space="0" w:color="auto"/>
        <w:bottom w:val="none" w:sz="0" w:space="0" w:color="auto"/>
        <w:right w:val="none" w:sz="0" w:space="0" w:color="auto"/>
      </w:divBdr>
    </w:div>
    <w:div w:id="2052807369">
      <w:bodyDiv w:val="1"/>
      <w:marLeft w:val="0"/>
      <w:marRight w:val="0"/>
      <w:marTop w:val="0"/>
      <w:marBottom w:val="0"/>
      <w:divBdr>
        <w:top w:val="none" w:sz="0" w:space="0" w:color="auto"/>
        <w:left w:val="none" w:sz="0" w:space="0" w:color="auto"/>
        <w:bottom w:val="none" w:sz="0" w:space="0" w:color="auto"/>
        <w:right w:val="none" w:sz="0" w:space="0" w:color="auto"/>
      </w:divBdr>
      <w:divsChild>
        <w:div w:id="1193348452">
          <w:marLeft w:val="0"/>
          <w:marRight w:val="0"/>
          <w:marTop w:val="0"/>
          <w:marBottom w:val="0"/>
          <w:divBdr>
            <w:top w:val="none" w:sz="0" w:space="0" w:color="auto"/>
            <w:left w:val="none" w:sz="0" w:space="0" w:color="auto"/>
            <w:bottom w:val="none" w:sz="0" w:space="0" w:color="auto"/>
            <w:right w:val="none" w:sz="0" w:space="0" w:color="auto"/>
          </w:divBdr>
          <w:divsChild>
            <w:div w:id="303245213">
              <w:marLeft w:val="0"/>
              <w:marRight w:val="0"/>
              <w:marTop w:val="0"/>
              <w:marBottom w:val="0"/>
              <w:divBdr>
                <w:top w:val="none" w:sz="0" w:space="0" w:color="auto"/>
                <w:left w:val="none" w:sz="0" w:space="0" w:color="auto"/>
                <w:bottom w:val="none" w:sz="0" w:space="0" w:color="auto"/>
                <w:right w:val="none" w:sz="0" w:space="0" w:color="auto"/>
              </w:divBdr>
              <w:divsChild>
                <w:div w:id="810295228">
                  <w:marLeft w:val="0"/>
                  <w:marRight w:val="0"/>
                  <w:marTop w:val="0"/>
                  <w:marBottom w:val="0"/>
                  <w:divBdr>
                    <w:top w:val="none" w:sz="0" w:space="0" w:color="auto"/>
                    <w:left w:val="none" w:sz="0" w:space="0" w:color="auto"/>
                    <w:bottom w:val="none" w:sz="0" w:space="0" w:color="auto"/>
                    <w:right w:val="none" w:sz="0" w:space="0" w:color="auto"/>
                  </w:divBdr>
                  <w:divsChild>
                    <w:div w:id="1769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1285">
          <w:marLeft w:val="0"/>
          <w:marRight w:val="0"/>
          <w:marTop w:val="0"/>
          <w:marBottom w:val="0"/>
          <w:divBdr>
            <w:top w:val="none" w:sz="0" w:space="0" w:color="auto"/>
            <w:left w:val="none" w:sz="0" w:space="0" w:color="auto"/>
            <w:bottom w:val="none" w:sz="0" w:space="0" w:color="auto"/>
            <w:right w:val="none" w:sz="0" w:space="0" w:color="auto"/>
          </w:divBdr>
          <w:divsChild>
            <w:div w:id="491213496">
              <w:marLeft w:val="0"/>
              <w:marRight w:val="0"/>
              <w:marTop w:val="0"/>
              <w:marBottom w:val="0"/>
              <w:divBdr>
                <w:top w:val="none" w:sz="0" w:space="0" w:color="auto"/>
                <w:left w:val="none" w:sz="0" w:space="0" w:color="auto"/>
                <w:bottom w:val="none" w:sz="0" w:space="0" w:color="auto"/>
                <w:right w:val="none" w:sz="0" w:space="0" w:color="auto"/>
              </w:divBdr>
              <w:divsChild>
                <w:div w:id="899175090">
                  <w:marLeft w:val="0"/>
                  <w:marRight w:val="0"/>
                  <w:marTop w:val="0"/>
                  <w:marBottom w:val="0"/>
                  <w:divBdr>
                    <w:top w:val="none" w:sz="0" w:space="0" w:color="auto"/>
                    <w:left w:val="none" w:sz="0" w:space="0" w:color="auto"/>
                    <w:bottom w:val="none" w:sz="0" w:space="0" w:color="auto"/>
                    <w:right w:val="none" w:sz="0" w:space="0" w:color="auto"/>
                  </w:divBdr>
                  <w:divsChild>
                    <w:div w:id="8532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76897">
      <w:bodyDiv w:val="1"/>
      <w:marLeft w:val="0"/>
      <w:marRight w:val="0"/>
      <w:marTop w:val="0"/>
      <w:marBottom w:val="0"/>
      <w:divBdr>
        <w:top w:val="none" w:sz="0" w:space="0" w:color="auto"/>
        <w:left w:val="none" w:sz="0" w:space="0" w:color="auto"/>
        <w:bottom w:val="none" w:sz="0" w:space="0" w:color="auto"/>
        <w:right w:val="none" w:sz="0" w:space="0" w:color="auto"/>
      </w:divBdr>
      <w:divsChild>
        <w:div w:id="274138435">
          <w:marLeft w:val="0"/>
          <w:marRight w:val="0"/>
          <w:marTop w:val="0"/>
          <w:marBottom w:val="0"/>
          <w:divBdr>
            <w:top w:val="none" w:sz="0" w:space="0" w:color="auto"/>
            <w:left w:val="none" w:sz="0" w:space="0" w:color="auto"/>
            <w:bottom w:val="none" w:sz="0" w:space="0" w:color="auto"/>
            <w:right w:val="none" w:sz="0" w:space="0" w:color="auto"/>
          </w:divBdr>
          <w:divsChild>
            <w:div w:id="1410689429">
              <w:marLeft w:val="0"/>
              <w:marRight w:val="0"/>
              <w:marTop w:val="0"/>
              <w:marBottom w:val="0"/>
              <w:divBdr>
                <w:top w:val="none" w:sz="0" w:space="0" w:color="auto"/>
                <w:left w:val="none" w:sz="0" w:space="0" w:color="auto"/>
                <w:bottom w:val="none" w:sz="0" w:space="0" w:color="auto"/>
                <w:right w:val="none" w:sz="0" w:space="0" w:color="auto"/>
              </w:divBdr>
              <w:divsChild>
                <w:div w:id="856041303">
                  <w:marLeft w:val="0"/>
                  <w:marRight w:val="0"/>
                  <w:marTop w:val="0"/>
                  <w:marBottom w:val="0"/>
                  <w:divBdr>
                    <w:top w:val="none" w:sz="0" w:space="0" w:color="auto"/>
                    <w:left w:val="none" w:sz="0" w:space="0" w:color="auto"/>
                    <w:bottom w:val="none" w:sz="0" w:space="0" w:color="auto"/>
                    <w:right w:val="none" w:sz="0" w:space="0" w:color="auto"/>
                  </w:divBdr>
                  <w:divsChild>
                    <w:div w:id="17903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3134">
          <w:marLeft w:val="0"/>
          <w:marRight w:val="0"/>
          <w:marTop w:val="0"/>
          <w:marBottom w:val="0"/>
          <w:divBdr>
            <w:top w:val="none" w:sz="0" w:space="0" w:color="auto"/>
            <w:left w:val="none" w:sz="0" w:space="0" w:color="auto"/>
            <w:bottom w:val="none" w:sz="0" w:space="0" w:color="auto"/>
            <w:right w:val="none" w:sz="0" w:space="0" w:color="auto"/>
          </w:divBdr>
          <w:divsChild>
            <w:div w:id="908348117">
              <w:marLeft w:val="0"/>
              <w:marRight w:val="0"/>
              <w:marTop w:val="0"/>
              <w:marBottom w:val="0"/>
              <w:divBdr>
                <w:top w:val="none" w:sz="0" w:space="0" w:color="auto"/>
                <w:left w:val="none" w:sz="0" w:space="0" w:color="auto"/>
                <w:bottom w:val="none" w:sz="0" w:space="0" w:color="auto"/>
                <w:right w:val="none" w:sz="0" w:space="0" w:color="auto"/>
              </w:divBdr>
              <w:divsChild>
                <w:div w:id="1896895692">
                  <w:marLeft w:val="0"/>
                  <w:marRight w:val="0"/>
                  <w:marTop w:val="0"/>
                  <w:marBottom w:val="0"/>
                  <w:divBdr>
                    <w:top w:val="none" w:sz="0" w:space="0" w:color="auto"/>
                    <w:left w:val="none" w:sz="0" w:space="0" w:color="auto"/>
                    <w:bottom w:val="none" w:sz="0" w:space="0" w:color="auto"/>
                    <w:right w:val="none" w:sz="0" w:space="0" w:color="auto"/>
                  </w:divBdr>
                  <w:divsChild>
                    <w:div w:id="18376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87/9789264071049-en"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4351</TotalTime>
  <Pages>17</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ariwason</dc:creator>
  <cp:lastModifiedBy>Iskandar Hasan</cp:lastModifiedBy>
  <cp:revision>146</cp:revision>
  <dcterms:created xsi:type="dcterms:W3CDTF">2023-06-21T16:06:00Z</dcterms:created>
  <dcterms:modified xsi:type="dcterms:W3CDTF">2025-07-23T03:27:00Z</dcterms:modified>
</cp:coreProperties>
</file>