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176" w:type="dxa"/>
        <w:tblInd w:w="-108" w:type="dxa"/>
        <w:shd w:val="clear" w:color="auto" w:fill="EBFFFF"/>
        <w:tblCellMar>
          <w:left w:w="0" w:type="dxa"/>
          <w:right w:w="0" w:type="dxa"/>
        </w:tblCellMar>
        <w:tblLook w:val="0000" w:firstRow="0" w:lastRow="0" w:firstColumn="0" w:lastColumn="0" w:noHBand="0" w:noVBand="0"/>
      </w:tblPr>
      <w:tblGrid>
        <w:gridCol w:w="108"/>
        <w:gridCol w:w="2160"/>
        <w:gridCol w:w="1066"/>
        <w:gridCol w:w="5829"/>
        <w:gridCol w:w="3730"/>
        <w:gridCol w:w="283"/>
      </w:tblGrid>
      <w:tr w:rsidR="0000007A" w:rsidRPr="00717BD8" w14:paraId="5C97C266" w14:textId="77777777" w:rsidTr="00CB08A3">
        <w:trPr>
          <w:gridBefore w:val="1"/>
          <w:gridAfter w:val="1"/>
          <w:wBefore w:w="108" w:type="dxa"/>
          <w:wAfter w:w="283" w:type="dxa"/>
          <w:trHeight w:val="290"/>
        </w:trPr>
        <w:tc>
          <w:tcPr>
            <w:tcW w:w="2160" w:type="dxa"/>
            <w:tcBorders>
              <w:right w:val="single" w:sz="4" w:space="0" w:color="auto"/>
            </w:tcBorders>
          </w:tcPr>
          <w:p w14:paraId="512833CB" w14:textId="77777777" w:rsidR="0000007A" w:rsidRPr="00717BD8" w:rsidRDefault="0000007A" w:rsidP="00696CAD">
            <w:pPr>
              <w:pStyle w:val="BodyText"/>
              <w:ind w:left="90"/>
              <w:jc w:val="left"/>
              <w:rPr>
                <w:rFonts w:ascii="Arial" w:hAnsi="Arial" w:cs="Arial"/>
                <w:bCs/>
                <w:sz w:val="20"/>
                <w:szCs w:val="20"/>
                <w:lang w:val="en-GB" w:eastAsia="en-US"/>
              </w:rPr>
            </w:pPr>
            <w:r w:rsidRPr="00717BD8">
              <w:rPr>
                <w:rFonts w:ascii="Arial" w:hAnsi="Arial" w:cs="Arial"/>
                <w:bCs/>
                <w:sz w:val="20"/>
                <w:szCs w:val="20"/>
                <w:lang w:val="en-GB" w:eastAsia="en-US"/>
              </w:rPr>
              <w:t>Journal Name:</w:t>
            </w:r>
          </w:p>
        </w:tc>
        <w:tc>
          <w:tcPr>
            <w:tcW w:w="10625" w:type="dxa"/>
            <w:gridSpan w:val="3"/>
            <w:tcBorders>
              <w:left w:val="single" w:sz="4" w:space="0" w:color="auto"/>
            </w:tcBorders>
            <w:tcMar>
              <w:top w:w="0" w:type="dxa"/>
              <w:left w:w="108" w:type="dxa"/>
              <w:bottom w:w="0" w:type="dxa"/>
              <w:right w:w="108" w:type="dxa"/>
            </w:tcMar>
            <w:vAlign w:val="center"/>
          </w:tcPr>
          <w:p w14:paraId="0E57E278" w14:textId="77777777" w:rsidR="0000007A" w:rsidRPr="00717BD8" w:rsidRDefault="001D704C" w:rsidP="00F3669D">
            <w:pPr>
              <w:pStyle w:val="NormalWeb"/>
              <w:spacing w:before="0" w:beforeAutospacing="0" w:after="0" w:afterAutospacing="0"/>
              <w:rPr>
                <w:rFonts w:ascii="Arial" w:hAnsi="Arial" w:cs="Arial"/>
                <w:b/>
                <w:bCs/>
                <w:sz w:val="20"/>
                <w:szCs w:val="20"/>
                <w:lang w:val="en-GB"/>
              </w:rPr>
            </w:pPr>
            <w:hyperlink r:id="rId8" w:history="1">
              <w:r w:rsidR="004B7727" w:rsidRPr="00717BD8">
                <w:rPr>
                  <w:rFonts w:ascii="Arial" w:eastAsia="Times New Roman" w:hAnsi="Arial" w:cs="Arial"/>
                  <w:color w:val="0000FF"/>
                  <w:sz w:val="20"/>
                  <w:szCs w:val="20"/>
                  <w:u w:val="single"/>
                </w:rPr>
                <w:t xml:space="preserve">Asian Journal of Arts, Humanities and Social Studies </w:t>
              </w:r>
            </w:hyperlink>
          </w:p>
        </w:tc>
      </w:tr>
      <w:tr w:rsidR="0000007A" w:rsidRPr="00717BD8" w14:paraId="268856E8" w14:textId="77777777" w:rsidTr="00CB08A3">
        <w:trPr>
          <w:gridBefore w:val="1"/>
          <w:gridAfter w:val="1"/>
          <w:wBefore w:w="108" w:type="dxa"/>
          <w:wAfter w:w="283" w:type="dxa"/>
          <w:trHeight w:val="290"/>
        </w:trPr>
        <w:tc>
          <w:tcPr>
            <w:tcW w:w="2160" w:type="dxa"/>
            <w:tcBorders>
              <w:right w:val="single" w:sz="4" w:space="0" w:color="auto"/>
            </w:tcBorders>
          </w:tcPr>
          <w:p w14:paraId="4509B4B9" w14:textId="77777777" w:rsidR="0000007A" w:rsidRPr="00717BD8" w:rsidRDefault="0000007A" w:rsidP="00696CAD">
            <w:pPr>
              <w:pStyle w:val="BodyText"/>
              <w:ind w:left="90"/>
              <w:jc w:val="left"/>
              <w:rPr>
                <w:rFonts w:ascii="Arial" w:hAnsi="Arial" w:cs="Arial"/>
                <w:bCs/>
                <w:sz w:val="20"/>
                <w:szCs w:val="20"/>
                <w:lang w:val="en-GB" w:eastAsia="en-US"/>
              </w:rPr>
            </w:pPr>
            <w:r w:rsidRPr="00717BD8">
              <w:rPr>
                <w:rFonts w:ascii="Arial" w:hAnsi="Arial" w:cs="Arial"/>
                <w:bCs/>
                <w:sz w:val="20"/>
                <w:szCs w:val="20"/>
                <w:lang w:val="en-GB" w:eastAsia="en-US"/>
              </w:rPr>
              <w:t>Manuscript Number:</w:t>
            </w:r>
          </w:p>
        </w:tc>
        <w:tc>
          <w:tcPr>
            <w:tcW w:w="10625" w:type="dxa"/>
            <w:gridSpan w:val="3"/>
            <w:tcBorders>
              <w:left w:val="single" w:sz="4" w:space="0" w:color="auto"/>
            </w:tcBorders>
            <w:tcMar>
              <w:top w:w="0" w:type="dxa"/>
              <w:left w:w="108" w:type="dxa"/>
              <w:bottom w:w="0" w:type="dxa"/>
              <w:right w:w="108" w:type="dxa"/>
            </w:tcMar>
            <w:vAlign w:val="center"/>
          </w:tcPr>
          <w:p w14:paraId="2066E5BD" w14:textId="77777777" w:rsidR="0000007A" w:rsidRPr="00717BD8" w:rsidRDefault="0069421B" w:rsidP="00F3669D">
            <w:pPr>
              <w:pStyle w:val="NormalWeb"/>
              <w:spacing w:before="0" w:beforeAutospacing="0" w:after="0" w:afterAutospacing="0"/>
              <w:rPr>
                <w:rFonts w:ascii="Arial" w:hAnsi="Arial" w:cs="Arial"/>
                <w:b/>
                <w:bCs/>
                <w:sz w:val="20"/>
                <w:szCs w:val="20"/>
                <w:lang w:val="en-GB"/>
              </w:rPr>
            </w:pPr>
            <w:r w:rsidRPr="00717BD8">
              <w:rPr>
                <w:rFonts w:ascii="Arial" w:hAnsi="Arial" w:cs="Arial"/>
                <w:b/>
                <w:bCs/>
                <w:sz w:val="20"/>
                <w:szCs w:val="20"/>
                <w:lang w:val="en-GB"/>
              </w:rPr>
              <w:t>Ms_AJAHSS_13349</w:t>
            </w:r>
          </w:p>
        </w:tc>
      </w:tr>
      <w:tr w:rsidR="0000007A" w:rsidRPr="00717BD8" w14:paraId="0E277D43" w14:textId="77777777" w:rsidTr="00CB08A3">
        <w:trPr>
          <w:gridBefore w:val="1"/>
          <w:gridAfter w:val="1"/>
          <w:wBefore w:w="108" w:type="dxa"/>
          <w:wAfter w:w="283" w:type="dxa"/>
          <w:trHeight w:val="650"/>
        </w:trPr>
        <w:tc>
          <w:tcPr>
            <w:tcW w:w="2160" w:type="dxa"/>
            <w:tcBorders>
              <w:right w:val="single" w:sz="4" w:space="0" w:color="auto"/>
            </w:tcBorders>
          </w:tcPr>
          <w:p w14:paraId="577AD48D" w14:textId="77777777" w:rsidR="0000007A" w:rsidRPr="00717BD8" w:rsidRDefault="0000007A" w:rsidP="00696CAD">
            <w:pPr>
              <w:pStyle w:val="BodyText"/>
              <w:ind w:left="90"/>
              <w:jc w:val="left"/>
              <w:rPr>
                <w:rFonts w:ascii="Arial" w:hAnsi="Arial" w:cs="Arial"/>
                <w:bCs/>
                <w:sz w:val="20"/>
                <w:szCs w:val="20"/>
                <w:lang w:val="en-GB" w:eastAsia="en-US"/>
              </w:rPr>
            </w:pPr>
            <w:r w:rsidRPr="00717BD8">
              <w:rPr>
                <w:rFonts w:ascii="Arial" w:hAnsi="Arial" w:cs="Arial"/>
                <w:bCs/>
                <w:sz w:val="20"/>
                <w:szCs w:val="20"/>
                <w:lang w:val="en-GB" w:eastAsia="en-US"/>
              </w:rPr>
              <w:t xml:space="preserve">Title of the Manuscript: </w:t>
            </w:r>
          </w:p>
        </w:tc>
        <w:tc>
          <w:tcPr>
            <w:tcW w:w="10625" w:type="dxa"/>
            <w:gridSpan w:val="3"/>
            <w:tcBorders>
              <w:left w:val="single" w:sz="4" w:space="0" w:color="auto"/>
            </w:tcBorders>
            <w:tcMar>
              <w:top w:w="0" w:type="dxa"/>
              <w:left w:w="108" w:type="dxa"/>
              <w:bottom w:w="0" w:type="dxa"/>
              <w:right w:w="108" w:type="dxa"/>
            </w:tcMar>
            <w:vAlign w:val="center"/>
          </w:tcPr>
          <w:p w14:paraId="1E390FFF" w14:textId="77777777" w:rsidR="0000007A" w:rsidRPr="00717BD8" w:rsidRDefault="0069421B" w:rsidP="00BF75D4">
            <w:pPr>
              <w:pStyle w:val="NormalWeb"/>
              <w:spacing w:before="0" w:beforeAutospacing="0" w:after="0" w:afterAutospacing="0"/>
              <w:rPr>
                <w:rFonts w:ascii="Arial" w:hAnsi="Arial" w:cs="Arial"/>
                <w:b/>
                <w:sz w:val="20"/>
                <w:szCs w:val="20"/>
                <w:lang w:val="en-GB"/>
              </w:rPr>
            </w:pPr>
            <w:r w:rsidRPr="00717BD8">
              <w:rPr>
                <w:rFonts w:ascii="Arial" w:hAnsi="Arial" w:cs="Arial"/>
                <w:b/>
                <w:sz w:val="20"/>
                <w:szCs w:val="20"/>
                <w:lang w:val="en-GB"/>
              </w:rPr>
              <w:t>Reading as Resistance: Hannah Arendt’s Introduction, Reception, and Localization in China</w:t>
            </w:r>
          </w:p>
        </w:tc>
      </w:tr>
      <w:tr w:rsidR="00CF0BBB" w:rsidRPr="00717BD8" w14:paraId="7F7A1C26" w14:textId="77777777" w:rsidTr="00CB08A3">
        <w:trPr>
          <w:gridBefore w:val="1"/>
          <w:gridAfter w:val="1"/>
          <w:wBefore w:w="108" w:type="dxa"/>
          <w:wAfter w:w="283" w:type="dxa"/>
          <w:trHeight w:val="332"/>
        </w:trPr>
        <w:tc>
          <w:tcPr>
            <w:tcW w:w="2160" w:type="dxa"/>
            <w:tcBorders>
              <w:right w:val="single" w:sz="4" w:space="0" w:color="auto"/>
            </w:tcBorders>
          </w:tcPr>
          <w:p w14:paraId="1BFD1BBB" w14:textId="77777777" w:rsidR="00CF0BBB" w:rsidRPr="00717BD8" w:rsidRDefault="00CF0BBB" w:rsidP="00696CAD">
            <w:pPr>
              <w:pStyle w:val="BodyText"/>
              <w:ind w:left="90"/>
              <w:jc w:val="left"/>
              <w:rPr>
                <w:rFonts w:ascii="Arial" w:hAnsi="Arial" w:cs="Arial"/>
                <w:bCs/>
                <w:sz w:val="20"/>
                <w:szCs w:val="20"/>
                <w:lang w:val="en-GB" w:eastAsia="en-US"/>
              </w:rPr>
            </w:pPr>
            <w:r w:rsidRPr="00717BD8">
              <w:rPr>
                <w:rFonts w:ascii="Arial" w:hAnsi="Arial" w:cs="Arial"/>
                <w:bCs/>
                <w:sz w:val="20"/>
                <w:szCs w:val="20"/>
                <w:lang w:val="en-GB" w:eastAsia="en-US"/>
              </w:rPr>
              <w:t>Type of the Article</w:t>
            </w:r>
          </w:p>
        </w:tc>
        <w:tc>
          <w:tcPr>
            <w:tcW w:w="10625" w:type="dxa"/>
            <w:gridSpan w:val="3"/>
            <w:tcBorders>
              <w:left w:val="single" w:sz="4" w:space="0" w:color="auto"/>
            </w:tcBorders>
            <w:tcMar>
              <w:top w:w="0" w:type="dxa"/>
              <w:left w:w="108" w:type="dxa"/>
              <w:bottom w:w="0" w:type="dxa"/>
              <w:right w:w="108" w:type="dxa"/>
            </w:tcMar>
            <w:vAlign w:val="center"/>
          </w:tcPr>
          <w:p w14:paraId="581D84BD" w14:textId="77777777" w:rsidR="00CF0BBB" w:rsidRPr="00717BD8" w:rsidRDefault="00CF0BBB" w:rsidP="000450FC">
            <w:pPr>
              <w:pStyle w:val="NormalWeb"/>
              <w:spacing w:before="0" w:beforeAutospacing="0" w:after="0" w:afterAutospacing="0"/>
              <w:rPr>
                <w:rFonts w:ascii="Arial" w:hAnsi="Arial" w:cs="Arial"/>
                <w:b/>
                <w:sz w:val="20"/>
                <w:szCs w:val="20"/>
                <w:lang w:val="en-GB"/>
              </w:rPr>
            </w:pPr>
          </w:p>
        </w:tc>
      </w:tr>
      <w:tr w:rsidR="006B6E30" w:rsidRPr="00717BD8" w14:paraId="7942A5D0" w14:textId="77777777" w:rsidTr="00CB0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13176" w:type="dxa"/>
            <w:gridSpan w:val="6"/>
            <w:tcBorders>
              <w:top w:val="nil"/>
              <w:left w:val="nil"/>
              <w:right w:val="nil"/>
            </w:tcBorders>
            <w:noWrap/>
          </w:tcPr>
          <w:p w14:paraId="7AB5D0AB" w14:textId="5AD57B39" w:rsidR="0093503A" w:rsidRPr="00717BD8" w:rsidRDefault="006B6E30" w:rsidP="006B6E30">
            <w:pPr>
              <w:keepNext/>
              <w:outlineLvl w:val="1"/>
              <w:rPr>
                <w:rFonts w:ascii="Arial" w:eastAsia="MS Mincho" w:hAnsi="Arial" w:cs="Arial"/>
                <w:b/>
                <w:bCs/>
                <w:sz w:val="20"/>
                <w:szCs w:val="20"/>
                <w:highlight w:val="yellow"/>
                <w:lang w:val="en-GB"/>
              </w:rPr>
            </w:pPr>
            <w:bookmarkStart w:id="0" w:name="_Hlk171324449"/>
            <w:bookmarkStart w:id="1" w:name="_Hlk170903434"/>
            <w:r w:rsidRPr="00717BD8">
              <w:rPr>
                <w:rFonts w:ascii="Arial" w:hAnsi="Arial" w:cs="Arial"/>
                <w:b/>
                <w:bCs/>
                <w:sz w:val="20"/>
                <w:szCs w:val="20"/>
              </w:rPr>
              <w:br w:type="page"/>
            </w:r>
          </w:p>
          <w:p w14:paraId="06C87371" w14:textId="1F9A3A28" w:rsidR="006B6E30" w:rsidRPr="00717BD8" w:rsidRDefault="006B6E30" w:rsidP="006B6E30">
            <w:pPr>
              <w:keepNext/>
              <w:outlineLvl w:val="1"/>
              <w:rPr>
                <w:rFonts w:ascii="Arial" w:eastAsia="MS Mincho" w:hAnsi="Arial" w:cs="Arial"/>
                <w:b/>
                <w:bCs/>
                <w:sz w:val="20"/>
                <w:szCs w:val="20"/>
                <w:lang w:val="en-GB"/>
              </w:rPr>
            </w:pPr>
            <w:r w:rsidRPr="00717BD8">
              <w:rPr>
                <w:rFonts w:ascii="Arial" w:eastAsia="MS Mincho" w:hAnsi="Arial" w:cs="Arial"/>
                <w:b/>
                <w:bCs/>
                <w:sz w:val="20"/>
                <w:szCs w:val="20"/>
                <w:highlight w:val="yellow"/>
                <w:lang w:val="en-GB"/>
              </w:rPr>
              <w:t>PART  1:</w:t>
            </w:r>
            <w:r w:rsidRPr="00717BD8">
              <w:rPr>
                <w:rFonts w:ascii="Arial" w:eastAsia="MS Mincho" w:hAnsi="Arial" w:cs="Arial"/>
                <w:b/>
                <w:bCs/>
                <w:sz w:val="20"/>
                <w:szCs w:val="20"/>
                <w:lang w:val="en-GB"/>
              </w:rPr>
              <w:t xml:space="preserve"> Comments</w:t>
            </w:r>
          </w:p>
          <w:p w14:paraId="5301706B" w14:textId="77777777" w:rsidR="006B6E30" w:rsidRPr="00717BD8" w:rsidRDefault="006B6E30" w:rsidP="006B6E30">
            <w:pPr>
              <w:rPr>
                <w:rFonts w:ascii="Arial" w:hAnsi="Arial" w:cs="Arial"/>
                <w:sz w:val="20"/>
                <w:szCs w:val="20"/>
                <w:lang w:val="en-GB"/>
              </w:rPr>
            </w:pPr>
          </w:p>
        </w:tc>
      </w:tr>
      <w:tr w:rsidR="006B6E30" w:rsidRPr="00717BD8" w14:paraId="7B645AA4" w14:textId="77777777" w:rsidTr="00CB0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334" w:type="dxa"/>
            <w:gridSpan w:val="3"/>
            <w:noWrap/>
          </w:tcPr>
          <w:p w14:paraId="0CE020D0" w14:textId="77777777" w:rsidR="006B6E30" w:rsidRPr="00717BD8" w:rsidRDefault="006B6E30" w:rsidP="006B6E30">
            <w:pPr>
              <w:keepNext/>
              <w:outlineLvl w:val="1"/>
              <w:rPr>
                <w:rFonts w:ascii="Arial" w:eastAsia="MS Mincho" w:hAnsi="Arial" w:cs="Arial"/>
                <w:b/>
                <w:bCs/>
                <w:sz w:val="20"/>
                <w:szCs w:val="20"/>
                <w:lang w:val="en-GB"/>
              </w:rPr>
            </w:pPr>
          </w:p>
        </w:tc>
        <w:tc>
          <w:tcPr>
            <w:tcW w:w="5829" w:type="dxa"/>
          </w:tcPr>
          <w:p w14:paraId="0D5795F8" w14:textId="77777777" w:rsidR="006B6E30" w:rsidRPr="00717BD8" w:rsidRDefault="006B6E30" w:rsidP="006B6E30">
            <w:pPr>
              <w:keepNext/>
              <w:outlineLvl w:val="1"/>
              <w:rPr>
                <w:rFonts w:ascii="Arial" w:eastAsia="MS Mincho" w:hAnsi="Arial" w:cs="Arial"/>
                <w:b/>
                <w:bCs/>
                <w:sz w:val="20"/>
                <w:szCs w:val="20"/>
                <w:lang w:val="en-GB"/>
              </w:rPr>
            </w:pPr>
            <w:r w:rsidRPr="00717BD8">
              <w:rPr>
                <w:rFonts w:ascii="Arial" w:eastAsia="MS Mincho" w:hAnsi="Arial" w:cs="Arial"/>
                <w:b/>
                <w:bCs/>
                <w:sz w:val="20"/>
                <w:szCs w:val="20"/>
                <w:lang w:val="en-GB"/>
              </w:rPr>
              <w:t>Reviewer’s comment</w:t>
            </w:r>
          </w:p>
          <w:p w14:paraId="74210CBA" w14:textId="77777777" w:rsidR="005B7E6E" w:rsidRPr="00717BD8" w:rsidRDefault="005B7E6E" w:rsidP="006B6E30">
            <w:pPr>
              <w:keepNext/>
              <w:outlineLvl w:val="1"/>
              <w:rPr>
                <w:rFonts w:ascii="Arial" w:eastAsia="MS Mincho" w:hAnsi="Arial" w:cs="Arial"/>
                <w:b/>
                <w:bCs/>
                <w:sz w:val="20"/>
                <w:szCs w:val="20"/>
                <w:lang w:val="en-GB"/>
              </w:rPr>
            </w:pPr>
            <w:r w:rsidRPr="00717BD8">
              <w:rPr>
                <w:rFonts w:ascii="Arial" w:hAnsi="Arial" w:cs="Arial"/>
                <w:b/>
                <w:bCs/>
                <w:sz w:val="20"/>
                <w:szCs w:val="20"/>
                <w:highlight w:val="yellow"/>
              </w:rPr>
              <w:t>Artificial Intelligence (AI) generated or assisted review comments are strictly prohibited during peer review.</w:t>
            </w:r>
          </w:p>
        </w:tc>
        <w:tc>
          <w:tcPr>
            <w:tcW w:w="4013" w:type="dxa"/>
            <w:gridSpan w:val="2"/>
          </w:tcPr>
          <w:p w14:paraId="32F24045" w14:textId="77777777" w:rsidR="00D053D3" w:rsidRPr="00717BD8" w:rsidRDefault="00D053D3" w:rsidP="00D053D3">
            <w:pPr>
              <w:keepNext/>
              <w:outlineLvl w:val="1"/>
              <w:rPr>
                <w:rFonts w:ascii="Arial" w:eastAsia="MS Mincho" w:hAnsi="Arial" w:cs="Arial"/>
                <w:bCs/>
                <w:sz w:val="20"/>
                <w:szCs w:val="20"/>
                <w:lang w:val="en-GB"/>
              </w:rPr>
            </w:pPr>
            <w:r w:rsidRPr="00717BD8">
              <w:rPr>
                <w:rFonts w:ascii="Arial" w:eastAsia="MS Mincho" w:hAnsi="Arial" w:cs="Arial"/>
                <w:b/>
                <w:bCs/>
                <w:sz w:val="20"/>
                <w:szCs w:val="20"/>
                <w:lang w:val="en-GB"/>
              </w:rPr>
              <w:t xml:space="preserve">Author’s Feedback </w:t>
            </w:r>
            <w:r w:rsidRPr="00717BD8">
              <w:rPr>
                <w:rFonts w:ascii="Arial" w:eastAsia="MS Mincho" w:hAnsi="Arial" w:cs="Arial"/>
                <w:sz w:val="20"/>
                <w:szCs w:val="20"/>
                <w:lang w:val="en-GB"/>
              </w:rPr>
              <w:t>(It is mandatory that authors should write his/her feedback here)</w:t>
            </w:r>
          </w:p>
          <w:p w14:paraId="129864EC" w14:textId="77777777" w:rsidR="006B6E30" w:rsidRPr="00717BD8" w:rsidRDefault="006B6E30" w:rsidP="006B6E30">
            <w:pPr>
              <w:keepNext/>
              <w:outlineLvl w:val="1"/>
              <w:rPr>
                <w:rFonts w:ascii="Arial" w:eastAsia="MS Mincho" w:hAnsi="Arial" w:cs="Arial"/>
                <w:bCs/>
                <w:sz w:val="20"/>
                <w:szCs w:val="20"/>
                <w:lang w:val="en-GB"/>
              </w:rPr>
            </w:pPr>
          </w:p>
        </w:tc>
      </w:tr>
      <w:tr w:rsidR="006B6E30" w:rsidRPr="00717BD8" w14:paraId="774EC663" w14:textId="77777777" w:rsidTr="00CB0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264"/>
        </w:trPr>
        <w:tc>
          <w:tcPr>
            <w:tcW w:w="3334" w:type="dxa"/>
            <w:gridSpan w:val="3"/>
            <w:noWrap/>
          </w:tcPr>
          <w:p w14:paraId="53F64C86" w14:textId="77777777" w:rsidR="006B6E30" w:rsidRPr="00717BD8" w:rsidRDefault="006B6E30" w:rsidP="006B6E30">
            <w:pPr>
              <w:ind w:left="360"/>
              <w:rPr>
                <w:rFonts w:ascii="Arial" w:hAnsi="Arial" w:cs="Arial"/>
                <w:b/>
                <w:bCs/>
                <w:sz w:val="20"/>
                <w:szCs w:val="20"/>
                <w:lang w:val="en-GB"/>
              </w:rPr>
            </w:pPr>
            <w:r w:rsidRPr="00717BD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C6FC0B8" w14:textId="77777777" w:rsidR="006B6E30" w:rsidRPr="00717BD8" w:rsidRDefault="006B6E30" w:rsidP="006B6E30">
            <w:pPr>
              <w:ind w:left="360"/>
              <w:rPr>
                <w:rFonts w:ascii="Arial" w:eastAsia="MS Mincho" w:hAnsi="Arial" w:cs="Arial"/>
                <w:b/>
                <w:bCs/>
                <w:sz w:val="20"/>
                <w:szCs w:val="20"/>
                <w:lang w:val="en-GB"/>
              </w:rPr>
            </w:pPr>
          </w:p>
          <w:p w14:paraId="2AE28FC4" w14:textId="46C05787" w:rsidR="00B15BE7" w:rsidRPr="00717BD8" w:rsidRDefault="00B15BE7" w:rsidP="006B6E30">
            <w:pPr>
              <w:ind w:left="360"/>
              <w:rPr>
                <w:rFonts w:ascii="Arial" w:eastAsia="MS Mincho" w:hAnsi="Arial" w:cs="Arial"/>
                <w:b/>
                <w:bCs/>
                <w:sz w:val="20"/>
                <w:szCs w:val="20"/>
              </w:rPr>
            </w:pPr>
          </w:p>
        </w:tc>
        <w:tc>
          <w:tcPr>
            <w:tcW w:w="5829" w:type="dxa"/>
          </w:tcPr>
          <w:p w14:paraId="7D79F42A" w14:textId="77777777" w:rsidR="008150D0" w:rsidRPr="00717BD8" w:rsidRDefault="008150D0" w:rsidP="008150D0">
            <w:pPr>
              <w:contextualSpacing/>
              <w:rPr>
                <w:rFonts w:ascii="Arial" w:hAnsi="Arial" w:cs="Arial"/>
                <w:sz w:val="20"/>
                <w:szCs w:val="20"/>
              </w:rPr>
            </w:pPr>
            <w:r w:rsidRPr="00717BD8">
              <w:rPr>
                <w:rFonts w:ascii="Arial" w:hAnsi="Arial" w:cs="Arial"/>
                <w:sz w:val="20"/>
                <w:szCs w:val="20"/>
              </w:rPr>
              <w:t>The text holds significant philosophical, sociological, and cultural importance, as it vindicates thought as a form of resistance that transcends literal interpretation and becomes ethically and politically framed. The way in which Arendt is introduced into China—through sensitive topics such as totalitarianism, the mechanisms of censorship, and the new meanings derived from a contextualized reading—highlights the theoretical and political relevance of her work in relation to power. This makes the article a valuable contribution to the field of social sciences.</w:t>
            </w:r>
          </w:p>
          <w:p w14:paraId="2C3B7D14" w14:textId="77777777" w:rsidR="008150D0" w:rsidRPr="00717BD8" w:rsidRDefault="008150D0" w:rsidP="008150D0">
            <w:pPr>
              <w:contextualSpacing/>
              <w:rPr>
                <w:rFonts w:ascii="Arial" w:hAnsi="Arial" w:cs="Arial"/>
                <w:sz w:val="20"/>
                <w:szCs w:val="20"/>
              </w:rPr>
            </w:pPr>
          </w:p>
          <w:p w14:paraId="4A98F7B4" w14:textId="77777777" w:rsidR="008150D0" w:rsidRPr="00717BD8" w:rsidRDefault="008150D0" w:rsidP="008150D0">
            <w:pPr>
              <w:contextualSpacing/>
              <w:rPr>
                <w:rFonts w:ascii="Arial" w:hAnsi="Arial" w:cs="Arial"/>
                <w:sz w:val="20"/>
                <w:szCs w:val="20"/>
              </w:rPr>
            </w:pPr>
            <w:r w:rsidRPr="00717BD8">
              <w:rPr>
                <w:rFonts w:ascii="Arial" w:hAnsi="Arial" w:cs="Arial"/>
                <w:sz w:val="20"/>
                <w:szCs w:val="20"/>
              </w:rPr>
              <w:t xml:space="preserve">The structure of inquiries and references within the text is particularly noteworthy: from illuminating statistical data and interviews with specialists to accurate proportional relationships and, more broadly, quantitative elements that strengthen the central argument of </w:t>
            </w:r>
            <w:r w:rsidRPr="00717BD8">
              <w:rPr>
                <w:rFonts w:ascii="Arial" w:hAnsi="Arial" w:cs="Arial"/>
                <w:i/>
                <w:iCs/>
                <w:sz w:val="20"/>
                <w:szCs w:val="20"/>
              </w:rPr>
              <w:t>reading as an act of resistance</w:t>
            </w:r>
            <w:r w:rsidRPr="00717BD8">
              <w:rPr>
                <w:rFonts w:ascii="Arial" w:hAnsi="Arial" w:cs="Arial"/>
                <w:sz w:val="20"/>
                <w:szCs w:val="20"/>
              </w:rPr>
              <w:t>. This framing elevates the notion of resistance to a discursive position that involves the autonomy of thought—the refusal to remain a “cog in the machine”—through the power of metaphor constructed by critical reflection.</w:t>
            </w:r>
          </w:p>
          <w:p w14:paraId="2EDF4755" w14:textId="77777777" w:rsidR="008150D0" w:rsidRPr="00717BD8" w:rsidRDefault="008150D0" w:rsidP="008150D0">
            <w:pPr>
              <w:contextualSpacing/>
              <w:rPr>
                <w:rFonts w:ascii="Arial" w:hAnsi="Arial" w:cs="Arial"/>
                <w:sz w:val="20"/>
                <w:szCs w:val="20"/>
              </w:rPr>
            </w:pPr>
          </w:p>
          <w:p w14:paraId="69638563" w14:textId="77777777" w:rsidR="008150D0" w:rsidRPr="00717BD8" w:rsidRDefault="008150D0" w:rsidP="008150D0">
            <w:pPr>
              <w:contextualSpacing/>
              <w:rPr>
                <w:rFonts w:ascii="Arial" w:hAnsi="Arial" w:cs="Arial"/>
                <w:sz w:val="20"/>
                <w:szCs w:val="20"/>
              </w:rPr>
            </w:pPr>
            <w:r w:rsidRPr="00717BD8">
              <w:rPr>
                <w:rFonts w:ascii="Arial" w:hAnsi="Arial" w:cs="Arial"/>
                <w:sz w:val="20"/>
                <w:szCs w:val="20"/>
              </w:rPr>
              <w:t xml:space="preserve">The control mechanisms described in the article are fascinating from the perspectives of political philosophy, sociology, psychology, anthropology, and communication studies. A particularly important example is the explanation of why the </w:t>
            </w:r>
            <w:r w:rsidRPr="00717BD8">
              <w:rPr>
                <w:rFonts w:ascii="Arial" w:hAnsi="Arial" w:cs="Arial"/>
                <w:sz w:val="20"/>
                <w:szCs w:val="20"/>
              </w:rPr>
              <w:lastRenderedPageBreak/>
              <w:t xml:space="preserve">word </w:t>
            </w:r>
            <w:r w:rsidRPr="00717BD8">
              <w:rPr>
                <w:rFonts w:ascii="Arial" w:hAnsi="Arial" w:cs="Arial"/>
                <w:i/>
                <w:iCs/>
                <w:sz w:val="20"/>
                <w:szCs w:val="20"/>
              </w:rPr>
              <w:t>totalitarianism</w:t>
            </w:r>
            <w:r w:rsidRPr="00717BD8">
              <w:rPr>
                <w:rFonts w:ascii="Arial" w:hAnsi="Arial" w:cs="Arial"/>
                <w:sz w:val="20"/>
                <w:szCs w:val="20"/>
              </w:rPr>
              <w:t xml:space="preserve"> carries a much more potent symbolic weight than </w:t>
            </w:r>
            <w:r w:rsidRPr="00717BD8">
              <w:rPr>
                <w:rFonts w:ascii="Arial" w:hAnsi="Arial" w:cs="Arial"/>
                <w:i/>
                <w:iCs/>
                <w:sz w:val="20"/>
                <w:szCs w:val="20"/>
              </w:rPr>
              <w:t>banality</w:t>
            </w:r>
            <w:r w:rsidRPr="00717BD8">
              <w:rPr>
                <w:rFonts w:ascii="Arial" w:hAnsi="Arial" w:cs="Arial"/>
                <w:sz w:val="20"/>
                <w:szCs w:val="20"/>
              </w:rPr>
              <w:t>. The construction of meaning and collective imaginaries through history, context, and culture holds substantial value for the scientific community.</w:t>
            </w:r>
          </w:p>
          <w:p w14:paraId="65503E53" w14:textId="77777777" w:rsidR="00A3226A" w:rsidRPr="00717BD8" w:rsidRDefault="00A3226A" w:rsidP="006B6E30">
            <w:pPr>
              <w:contextualSpacing/>
              <w:rPr>
                <w:rFonts w:ascii="Arial" w:hAnsi="Arial" w:cs="Arial"/>
                <w:sz w:val="20"/>
                <w:szCs w:val="20"/>
              </w:rPr>
            </w:pPr>
          </w:p>
          <w:p w14:paraId="50B218EF" w14:textId="1FBB729A" w:rsidR="00103261" w:rsidRPr="00717BD8" w:rsidRDefault="00103261" w:rsidP="006B6E30">
            <w:pPr>
              <w:contextualSpacing/>
              <w:rPr>
                <w:rFonts w:ascii="Arial" w:hAnsi="Arial" w:cs="Arial"/>
                <w:sz w:val="20"/>
                <w:szCs w:val="20"/>
              </w:rPr>
            </w:pPr>
          </w:p>
        </w:tc>
        <w:tc>
          <w:tcPr>
            <w:tcW w:w="4013" w:type="dxa"/>
            <w:gridSpan w:val="2"/>
          </w:tcPr>
          <w:p w14:paraId="5B7374A5" w14:textId="77777777" w:rsidR="006B6E30" w:rsidRPr="00717BD8" w:rsidRDefault="006B6E30" w:rsidP="006B6E30">
            <w:pPr>
              <w:keepNext/>
              <w:outlineLvl w:val="1"/>
              <w:rPr>
                <w:rFonts w:ascii="Arial" w:eastAsia="MS Mincho" w:hAnsi="Arial" w:cs="Arial"/>
                <w:bCs/>
                <w:sz w:val="20"/>
                <w:szCs w:val="20"/>
              </w:rPr>
            </w:pPr>
          </w:p>
        </w:tc>
      </w:tr>
      <w:tr w:rsidR="006B6E30" w:rsidRPr="00717BD8" w14:paraId="6A2CB043" w14:textId="77777777" w:rsidTr="00CB0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262"/>
        </w:trPr>
        <w:tc>
          <w:tcPr>
            <w:tcW w:w="3334" w:type="dxa"/>
            <w:gridSpan w:val="3"/>
            <w:noWrap/>
          </w:tcPr>
          <w:p w14:paraId="241DCC1D" w14:textId="77777777" w:rsidR="006B6E30" w:rsidRPr="00717BD8" w:rsidRDefault="006B6E30" w:rsidP="006B6E30">
            <w:pPr>
              <w:ind w:left="360"/>
              <w:rPr>
                <w:rFonts w:ascii="Arial" w:hAnsi="Arial" w:cs="Arial"/>
                <w:b/>
                <w:bCs/>
                <w:sz w:val="20"/>
                <w:szCs w:val="20"/>
                <w:lang w:val="en-GB"/>
              </w:rPr>
            </w:pPr>
            <w:r w:rsidRPr="00717BD8">
              <w:rPr>
                <w:rFonts w:ascii="Arial" w:hAnsi="Arial" w:cs="Arial"/>
                <w:b/>
                <w:bCs/>
                <w:sz w:val="20"/>
                <w:szCs w:val="20"/>
                <w:lang w:val="en-GB"/>
              </w:rPr>
              <w:t>Is the title of the article suitable?</w:t>
            </w:r>
          </w:p>
          <w:p w14:paraId="262C29A9" w14:textId="77777777" w:rsidR="006B6E30" w:rsidRPr="00717BD8" w:rsidRDefault="006B6E30" w:rsidP="006B6E30">
            <w:pPr>
              <w:ind w:left="360"/>
              <w:rPr>
                <w:rFonts w:ascii="Arial" w:hAnsi="Arial" w:cs="Arial"/>
                <w:b/>
                <w:bCs/>
                <w:sz w:val="20"/>
                <w:szCs w:val="20"/>
                <w:lang w:val="en-GB"/>
              </w:rPr>
            </w:pPr>
            <w:r w:rsidRPr="00717BD8">
              <w:rPr>
                <w:rFonts w:ascii="Arial" w:hAnsi="Arial" w:cs="Arial"/>
                <w:b/>
                <w:bCs/>
                <w:sz w:val="20"/>
                <w:szCs w:val="20"/>
                <w:lang w:val="en-GB"/>
              </w:rPr>
              <w:t>(If not please suggest an alternative title)</w:t>
            </w:r>
          </w:p>
          <w:p w14:paraId="074709EC" w14:textId="77777777" w:rsidR="006B6E30" w:rsidRPr="00717BD8" w:rsidRDefault="006B6E30" w:rsidP="006A79E8">
            <w:pPr>
              <w:rPr>
                <w:rFonts w:ascii="Arial" w:eastAsia="MS Mincho" w:hAnsi="Arial" w:cs="Arial"/>
                <w:b/>
                <w:bCs/>
                <w:sz w:val="20"/>
                <w:szCs w:val="20"/>
                <w:u w:val="single"/>
                <w:lang w:val="es-CO"/>
              </w:rPr>
            </w:pPr>
          </w:p>
        </w:tc>
        <w:tc>
          <w:tcPr>
            <w:tcW w:w="5829" w:type="dxa"/>
          </w:tcPr>
          <w:p w14:paraId="4B5447D3" w14:textId="7E82425F" w:rsidR="006B6E30" w:rsidRPr="00717BD8" w:rsidRDefault="006A79E8" w:rsidP="00794BD8">
            <w:pPr>
              <w:rPr>
                <w:rFonts w:ascii="Arial" w:hAnsi="Arial" w:cs="Arial"/>
                <w:sz w:val="20"/>
                <w:szCs w:val="20"/>
              </w:rPr>
            </w:pPr>
            <w:r w:rsidRPr="00717BD8">
              <w:rPr>
                <w:rFonts w:ascii="Arial" w:hAnsi="Arial" w:cs="Arial"/>
                <w:sz w:val="20"/>
                <w:szCs w:val="20"/>
              </w:rPr>
              <w:t>The title is appropriate: its length, suggestiveness, the clarity of conceptual categories, and the contextualization of the actors and sectors involved effectively encompass the article’s objective. The category of reading as resistance carries a far-reaching narrative dimension that is consistently developed throughout the text.</w:t>
            </w:r>
          </w:p>
        </w:tc>
        <w:tc>
          <w:tcPr>
            <w:tcW w:w="4013" w:type="dxa"/>
            <w:gridSpan w:val="2"/>
          </w:tcPr>
          <w:p w14:paraId="7B54401E" w14:textId="77777777" w:rsidR="006B6E30" w:rsidRPr="00717BD8" w:rsidRDefault="006B6E30" w:rsidP="006B6E30">
            <w:pPr>
              <w:keepNext/>
              <w:outlineLvl w:val="1"/>
              <w:rPr>
                <w:rFonts w:ascii="Arial" w:eastAsia="MS Mincho" w:hAnsi="Arial" w:cs="Arial"/>
                <w:bCs/>
                <w:sz w:val="20"/>
                <w:szCs w:val="20"/>
              </w:rPr>
            </w:pPr>
          </w:p>
        </w:tc>
      </w:tr>
      <w:tr w:rsidR="006B6E30" w:rsidRPr="00717BD8" w14:paraId="0A55101F" w14:textId="77777777" w:rsidTr="00CB0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262"/>
        </w:trPr>
        <w:tc>
          <w:tcPr>
            <w:tcW w:w="3334" w:type="dxa"/>
            <w:gridSpan w:val="3"/>
            <w:noWrap/>
          </w:tcPr>
          <w:p w14:paraId="4F72F3CC" w14:textId="77777777" w:rsidR="006B6E30" w:rsidRPr="00717BD8" w:rsidRDefault="006B6E30" w:rsidP="006B6E30">
            <w:pPr>
              <w:keepNext/>
              <w:ind w:left="360"/>
              <w:outlineLvl w:val="1"/>
              <w:rPr>
                <w:rFonts w:ascii="Arial" w:eastAsia="MS Mincho" w:hAnsi="Arial" w:cs="Arial"/>
                <w:b/>
                <w:bCs/>
                <w:sz w:val="20"/>
                <w:szCs w:val="20"/>
                <w:lang w:val="en-GB"/>
              </w:rPr>
            </w:pPr>
            <w:r w:rsidRPr="00717BD8">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516096D4" w14:textId="77777777" w:rsidR="00B15BE7" w:rsidRPr="00717BD8" w:rsidRDefault="00B15BE7" w:rsidP="006B6E30">
            <w:pPr>
              <w:keepNext/>
              <w:ind w:left="360"/>
              <w:outlineLvl w:val="1"/>
              <w:rPr>
                <w:rFonts w:ascii="Arial" w:eastAsia="MS Mincho" w:hAnsi="Arial" w:cs="Arial"/>
                <w:b/>
                <w:bCs/>
                <w:sz w:val="20"/>
                <w:szCs w:val="20"/>
                <w:lang w:val="en-GB"/>
              </w:rPr>
            </w:pPr>
          </w:p>
          <w:p w14:paraId="07FFC3D0" w14:textId="77777777" w:rsidR="006B6E30" w:rsidRPr="00717BD8" w:rsidRDefault="006B6E30" w:rsidP="006A79E8">
            <w:pPr>
              <w:keepNext/>
              <w:ind w:left="360"/>
              <w:outlineLvl w:val="1"/>
              <w:rPr>
                <w:rFonts w:ascii="Arial" w:eastAsia="MS Mincho" w:hAnsi="Arial" w:cs="Arial"/>
                <w:b/>
                <w:bCs/>
                <w:sz w:val="20"/>
                <w:szCs w:val="20"/>
                <w:u w:val="single"/>
                <w:lang w:val="es-CO"/>
              </w:rPr>
            </w:pPr>
          </w:p>
        </w:tc>
        <w:tc>
          <w:tcPr>
            <w:tcW w:w="5829" w:type="dxa"/>
          </w:tcPr>
          <w:p w14:paraId="7A07A8D9" w14:textId="237D6DD4" w:rsidR="006B6E30" w:rsidRPr="00717BD8" w:rsidRDefault="006A79E8" w:rsidP="00794BD8">
            <w:pPr>
              <w:rPr>
                <w:rFonts w:ascii="Arial" w:hAnsi="Arial" w:cs="Arial"/>
                <w:sz w:val="20"/>
                <w:szCs w:val="20"/>
              </w:rPr>
            </w:pPr>
            <w:r w:rsidRPr="00717BD8">
              <w:rPr>
                <w:rFonts w:ascii="Arial" w:hAnsi="Arial" w:cs="Arial"/>
                <w:sz w:val="20"/>
                <w:szCs w:val="20"/>
              </w:rPr>
              <w:t>I consider the abstract appropriate not only in conceptual terms but also in the intentionality of its style. Expressions such as “ritualized dissent” bring vitality to the text, in addition to stylistic authenticity. The referential elements and the notion of “reinterpretation” demonstrate how reading is not a homogeneous act nor a merely erudite exercise; it also embodies pluralities and alterities that transform one's own realities when confronted with a phenomenon as complex as censorship.</w:t>
            </w:r>
          </w:p>
        </w:tc>
        <w:tc>
          <w:tcPr>
            <w:tcW w:w="4013" w:type="dxa"/>
            <w:gridSpan w:val="2"/>
          </w:tcPr>
          <w:p w14:paraId="12E58612" w14:textId="77777777" w:rsidR="006B6E30" w:rsidRPr="00717BD8" w:rsidRDefault="006B6E30" w:rsidP="006B6E30">
            <w:pPr>
              <w:keepNext/>
              <w:outlineLvl w:val="1"/>
              <w:rPr>
                <w:rFonts w:ascii="Arial" w:eastAsia="MS Mincho" w:hAnsi="Arial" w:cs="Arial"/>
                <w:bCs/>
                <w:sz w:val="20"/>
                <w:szCs w:val="20"/>
              </w:rPr>
            </w:pPr>
          </w:p>
        </w:tc>
      </w:tr>
      <w:tr w:rsidR="006B6E30" w:rsidRPr="00717BD8" w14:paraId="54AE62A5" w14:textId="77777777" w:rsidTr="00CB0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704"/>
        </w:trPr>
        <w:tc>
          <w:tcPr>
            <w:tcW w:w="3334" w:type="dxa"/>
            <w:gridSpan w:val="3"/>
            <w:noWrap/>
          </w:tcPr>
          <w:p w14:paraId="73988B07" w14:textId="77777777" w:rsidR="006B6E30" w:rsidRPr="00717BD8" w:rsidRDefault="006B6E30" w:rsidP="006B6E30">
            <w:pPr>
              <w:keepNext/>
              <w:ind w:left="360"/>
              <w:outlineLvl w:val="1"/>
              <w:rPr>
                <w:rFonts w:ascii="Arial" w:eastAsia="MS Mincho" w:hAnsi="Arial" w:cs="Arial"/>
                <w:b/>
                <w:bCs/>
                <w:sz w:val="20"/>
                <w:szCs w:val="20"/>
                <w:lang w:val="es-CO"/>
              </w:rPr>
            </w:pPr>
            <w:r w:rsidRPr="00717BD8">
              <w:rPr>
                <w:rFonts w:ascii="Arial" w:eastAsia="MS Mincho" w:hAnsi="Arial" w:cs="Arial"/>
                <w:b/>
                <w:bCs/>
                <w:sz w:val="20"/>
                <w:szCs w:val="20"/>
                <w:lang w:val="en-GB"/>
              </w:rPr>
              <w:t xml:space="preserve">Is the manuscript scientifically, correct? </w:t>
            </w:r>
            <w:proofErr w:type="spellStart"/>
            <w:r w:rsidRPr="00717BD8">
              <w:rPr>
                <w:rFonts w:ascii="Arial" w:eastAsia="MS Mincho" w:hAnsi="Arial" w:cs="Arial"/>
                <w:b/>
                <w:bCs/>
                <w:sz w:val="20"/>
                <w:szCs w:val="20"/>
                <w:lang w:val="es-CO"/>
              </w:rPr>
              <w:t>Please</w:t>
            </w:r>
            <w:proofErr w:type="spellEnd"/>
            <w:r w:rsidRPr="00717BD8">
              <w:rPr>
                <w:rFonts w:ascii="Arial" w:eastAsia="MS Mincho" w:hAnsi="Arial" w:cs="Arial"/>
                <w:b/>
                <w:bCs/>
                <w:sz w:val="20"/>
                <w:szCs w:val="20"/>
                <w:lang w:val="es-CO"/>
              </w:rPr>
              <w:t xml:space="preserve"> </w:t>
            </w:r>
            <w:proofErr w:type="spellStart"/>
            <w:r w:rsidRPr="00717BD8">
              <w:rPr>
                <w:rFonts w:ascii="Arial" w:eastAsia="MS Mincho" w:hAnsi="Arial" w:cs="Arial"/>
                <w:b/>
                <w:bCs/>
                <w:sz w:val="20"/>
                <w:szCs w:val="20"/>
                <w:lang w:val="es-CO"/>
              </w:rPr>
              <w:t>write</w:t>
            </w:r>
            <w:proofErr w:type="spellEnd"/>
            <w:r w:rsidRPr="00717BD8">
              <w:rPr>
                <w:rFonts w:ascii="Arial" w:eastAsia="MS Mincho" w:hAnsi="Arial" w:cs="Arial"/>
                <w:b/>
                <w:bCs/>
                <w:sz w:val="20"/>
                <w:szCs w:val="20"/>
                <w:lang w:val="es-CO"/>
              </w:rPr>
              <w:t xml:space="preserve"> </w:t>
            </w:r>
            <w:proofErr w:type="spellStart"/>
            <w:r w:rsidRPr="00717BD8">
              <w:rPr>
                <w:rFonts w:ascii="Arial" w:eastAsia="MS Mincho" w:hAnsi="Arial" w:cs="Arial"/>
                <w:b/>
                <w:bCs/>
                <w:sz w:val="20"/>
                <w:szCs w:val="20"/>
                <w:lang w:val="es-CO"/>
              </w:rPr>
              <w:t>here</w:t>
            </w:r>
            <w:proofErr w:type="spellEnd"/>
            <w:r w:rsidRPr="00717BD8">
              <w:rPr>
                <w:rFonts w:ascii="Arial" w:eastAsia="MS Mincho" w:hAnsi="Arial" w:cs="Arial"/>
                <w:b/>
                <w:bCs/>
                <w:sz w:val="20"/>
                <w:szCs w:val="20"/>
                <w:lang w:val="es-CO"/>
              </w:rPr>
              <w:t>.</w:t>
            </w:r>
          </w:p>
          <w:p w14:paraId="1A397E1A" w14:textId="77777777" w:rsidR="00B15BE7" w:rsidRPr="00717BD8" w:rsidRDefault="00B15BE7" w:rsidP="006B6E30">
            <w:pPr>
              <w:keepNext/>
              <w:ind w:left="360"/>
              <w:outlineLvl w:val="1"/>
              <w:rPr>
                <w:rFonts w:ascii="Arial" w:eastAsia="MS Mincho" w:hAnsi="Arial" w:cs="Arial"/>
                <w:b/>
                <w:bCs/>
                <w:sz w:val="20"/>
                <w:szCs w:val="20"/>
                <w:u w:val="single"/>
                <w:lang w:val="es-CO"/>
              </w:rPr>
            </w:pPr>
          </w:p>
          <w:p w14:paraId="7C5835D9" w14:textId="3D43C128" w:rsidR="00B15BE7" w:rsidRPr="00717BD8" w:rsidRDefault="00B15BE7" w:rsidP="006B6E30">
            <w:pPr>
              <w:keepNext/>
              <w:ind w:left="360"/>
              <w:outlineLvl w:val="1"/>
              <w:rPr>
                <w:rFonts w:ascii="Arial" w:eastAsia="MS Mincho" w:hAnsi="Arial" w:cs="Arial"/>
                <w:sz w:val="20"/>
                <w:szCs w:val="20"/>
                <w:u w:val="single"/>
                <w:lang w:val="es-CO"/>
              </w:rPr>
            </w:pPr>
          </w:p>
        </w:tc>
        <w:tc>
          <w:tcPr>
            <w:tcW w:w="5829" w:type="dxa"/>
          </w:tcPr>
          <w:p w14:paraId="2D4DAD6E" w14:textId="77777777" w:rsidR="006A79E8" w:rsidRPr="00717BD8" w:rsidRDefault="006A79E8" w:rsidP="006A79E8">
            <w:pPr>
              <w:contextualSpacing/>
              <w:rPr>
                <w:rFonts w:ascii="Arial" w:hAnsi="Arial" w:cs="Arial"/>
                <w:sz w:val="20"/>
                <w:szCs w:val="20"/>
              </w:rPr>
            </w:pPr>
            <w:r w:rsidRPr="00717BD8">
              <w:rPr>
                <w:rFonts w:ascii="Arial" w:hAnsi="Arial" w:cs="Arial"/>
                <w:sz w:val="20"/>
                <w:szCs w:val="20"/>
              </w:rPr>
              <w:t>When discussing what is considered “scientifically correct” in the human and social sciences, it is essential to understand that there is no object without a subject. It is therefore necessary, from the perspective of complex thought, to integrate the observer into the observed object. That being said—and beyond the modern paradigm of the exact sciences—I consider this article not only scientifically correct but also scientifically valuable, for it presents the following characteristics:</w:t>
            </w:r>
          </w:p>
          <w:p w14:paraId="402CC153" w14:textId="77777777" w:rsidR="006A79E8" w:rsidRPr="00717BD8" w:rsidRDefault="006A79E8" w:rsidP="006A79E8">
            <w:pPr>
              <w:ind w:left="720"/>
              <w:contextualSpacing/>
              <w:rPr>
                <w:rFonts w:ascii="Arial" w:hAnsi="Arial" w:cs="Arial"/>
                <w:sz w:val="20"/>
                <w:szCs w:val="20"/>
              </w:rPr>
            </w:pPr>
          </w:p>
          <w:p w14:paraId="18032403" w14:textId="77777777" w:rsidR="006A79E8" w:rsidRPr="00717BD8" w:rsidRDefault="006A79E8" w:rsidP="006A79E8">
            <w:pPr>
              <w:numPr>
                <w:ilvl w:val="0"/>
                <w:numId w:val="13"/>
              </w:numPr>
              <w:contextualSpacing/>
              <w:rPr>
                <w:rFonts w:ascii="Arial" w:hAnsi="Arial" w:cs="Arial"/>
                <w:sz w:val="20"/>
                <w:szCs w:val="20"/>
                <w:lang w:val="es-CO"/>
              </w:rPr>
            </w:pPr>
            <w:r w:rsidRPr="00717BD8">
              <w:rPr>
                <w:rFonts w:ascii="Arial" w:hAnsi="Arial" w:cs="Arial"/>
                <w:sz w:val="20"/>
                <w:szCs w:val="20"/>
                <w:lang w:val="es-CO"/>
              </w:rPr>
              <w:t xml:space="preserve">A </w:t>
            </w:r>
            <w:proofErr w:type="spellStart"/>
            <w:r w:rsidRPr="00717BD8">
              <w:rPr>
                <w:rFonts w:ascii="Arial" w:hAnsi="Arial" w:cs="Arial"/>
                <w:sz w:val="20"/>
                <w:szCs w:val="20"/>
                <w:lang w:val="es-CO"/>
              </w:rPr>
              <w:t>solid</w:t>
            </w:r>
            <w:proofErr w:type="spellEnd"/>
            <w:r w:rsidRPr="00717BD8">
              <w:rPr>
                <w:rFonts w:ascii="Arial" w:hAnsi="Arial" w:cs="Arial"/>
                <w:sz w:val="20"/>
                <w:szCs w:val="20"/>
                <w:lang w:val="es-CO"/>
              </w:rPr>
              <w:t xml:space="preserve"> </w:t>
            </w:r>
            <w:proofErr w:type="spellStart"/>
            <w:r w:rsidRPr="00717BD8">
              <w:rPr>
                <w:rFonts w:ascii="Arial" w:hAnsi="Arial" w:cs="Arial"/>
                <w:sz w:val="20"/>
                <w:szCs w:val="20"/>
                <w:lang w:val="es-CO"/>
              </w:rPr>
              <w:t>theoretical</w:t>
            </w:r>
            <w:proofErr w:type="spellEnd"/>
            <w:r w:rsidRPr="00717BD8">
              <w:rPr>
                <w:rFonts w:ascii="Arial" w:hAnsi="Arial" w:cs="Arial"/>
                <w:sz w:val="20"/>
                <w:szCs w:val="20"/>
                <w:lang w:val="es-CO"/>
              </w:rPr>
              <w:t xml:space="preserve"> </w:t>
            </w:r>
            <w:proofErr w:type="spellStart"/>
            <w:r w:rsidRPr="00717BD8">
              <w:rPr>
                <w:rFonts w:ascii="Arial" w:hAnsi="Arial" w:cs="Arial"/>
                <w:sz w:val="20"/>
                <w:szCs w:val="20"/>
                <w:lang w:val="es-CO"/>
              </w:rPr>
              <w:t>foundation</w:t>
            </w:r>
            <w:proofErr w:type="spellEnd"/>
            <w:r w:rsidRPr="00717BD8">
              <w:rPr>
                <w:rFonts w:ascii="Arial" w:hAnsi="Arial" w:cs="Arial"/>
                <w:sz w:val="20"/>
                <w:szCs w:val="20"/>
                <w:lang w:val="es-CO"/>
              </w:rPr>
              <w:t>.</w:t>
            </w:r>
          </w:p>
          <w:p w14:paraId="4B8952C4" w14:textId="77777777" w:rsidR="006A79E8" w:rsidRPr="00717BD8" w:rsidRDefault="006A79E8" w:rsidP="006A79E8">
            <w:pPr>
              <w:numPr>
                <w:ilvl w:val="0"/>
                <w:numId w:val="13"/>
              </w:numPr>
              <w:contextualSpacing/>
              <w:rPr>
                <w:rFonts w:ascii="Arial" w:hAnsi="Arial" w:cs="Arial"/>
                <w:sz w:val="20"/>
                <w:szCs w:val="20"/>
              </w:rPr>
            </w:pPr>
            <w:r w:rsidRPr="00717BD8">
              <w:rPr>
                <w:rFonts w:ascii="Arial" w:hAnsi="Arial" w:cs="Arial"/>
                <w:sz w:val="20"/>
                <w:szCs w:val="20"/>
              </w:rPr>
              <w:t>Methodological clarity, explicitly stated from the abstract.</w:t>
            </w:r>
          </w:p>
          <w:p w14:paraId="6E391493" w14:textId="77777777" w:rsidR="006A79E8" w:rsidRPr="00717BD8" w:rsidRDefault="006A79E8" w:rsidP="006A79E8">
            <w:pPr>
              <w:numPr>
                <w:ilvl w:val="0"/>
                <w:numId w:val="13"/>
              </w:numPr>
              <w:contextualSpacing/>
              <w:rPr>
                <w:rFonts w:ascii="Arial" w:hAnsi="Arial" w:cs="Arial"/>
                <w:sz w:val="20"/>
                <w:szCs w:val="20"/>
              </w:rPr>
            </w:pPr>
            <w:r w:rsidRPr="00717BD8">
              <w:rPr>
                <w:rFonts w:ascii="Arial" w:hAnsi="Arial" w:cs="Arial"/>
                <w:sz w:val="20"/>
                <w:szCs w:val="20"/>
              </w:rPr>
              <w:t>Relevance to the objects of study: the relationship between reading and resistance within a context of censorship and conceptual reinterpretation.</w:t>
            </w:r>
          </w:p>
          <w:p w14:paraId="5F16B5B3" w14:textId="176A3742" w:rsidR="00331B94" w:rsidRPr="00717BD8" w:rsidRDefault="006A79E8" w:rsidP="006B6E30">
            <w:pPr>
              <w:numPr>
                <w:ilvl w:val="0"/>
                <w:numId w:val="13"/>
              </w:numPr>
              <w:contextualSpacing/>
              <w:rPr>
                <w:rFonts w:ascii="Arial" w:hAnsi="Arial" w:cs="Arial"/>
                <w:sz w:val="20"/>
                <w:szCs w:val="20"/>
              </w:rPr>
            </w:pPr>
            <w:r w:rsidRPr="00717BD8">
              <w:rPr>
                <w:rFonts w:ascii="Arial" w:hAnsi="Arial" w:cs="Arial"/>
                <w:sz w:val="20"/>
                <w:szCs w:val="20"/>
              </w:rPr>
              <w:t>Authorial reflexivity and a clearly defined universe of enunciation.</w:t>
            </w:r>
          </w:p>
        </w:tc>
        <w:tc>
          <w:tcPr>
            <w:tcW w:w="4013" w:type="dxa"/>
            <w:gridSpan w:val="2"/>
          </w:tcPr>
          <w:p w14:paraId="05457537" w14:textId="77777777" w:rsidR="006B6E30" w:rsidRPr="00717BD8" w:rsidRDefault="006B6E30" w:rsidP="006B6E30">
            <w:pPr>
              <w:keepNext/>
              <w:outlineLvl w:val="1"/>
              <w:rPr>
                <w:rFonts w:ascii="Arial" w:eastAsia="MS Mincho" w:hAnsi="Arial" w:cs="Arial"/>
                <w:bCs/>
                <w:sz w:val="20"/>
                <w:szCs w:val="20"/>
              </w:rPr>
            </w:pPr>
          </w:p>
        </w:tc>
      </w:tr>
      <w:tr w:rsidR="006B6E30" w:rsidRPr="00717BD8" w14:paraId="7D5B505B" w14:textId="77777777" w:rsidTr="00CB0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703"/>
        </w:trPr>
        <w:tc>
          <w:tcPr>
            <w:tcW w:w="3334" w:type="dxa"/>
            <w:gridSpan w:val="3"/>
            <w:noWrap/>
          </w:tcPr>
          <w:p w14:paraId="5A449E2C" w14:textId="77777777" w:rsidR="006B6E30" w:rsidRPr="00717BD8" w:rsidRDefault="006B6E30" w:rsidP="006B6E30">
            <w:pPr>
              <w:ind w:left="360"/>
              <w:rPr>
                <w:rFonts w:ascii="Arial" w:hAnsi="Arial" w:cs="Arial"/>
                <w:b/>
                <w:bCs/>
                <w:sz w:val="20"/>
                <w:szCs w:val="20"/>
                <w:lang w:val="en-GB"/>
              </w:rPr>
            </w:pPr>
            <w:r w:rsidRPr="00717BD8">
              <w:rPr>
                <w:rFonts w:ascii="Arial" w:hAnsi="Arial" w:cs="Arial"/>
                <w:b/>
                <w:bCs/>
                <w:sz w:val="20"/>
                <w:szCs w:val="20"/>
                <w:lang w:val="en-GB"/>
              </w:rPr>
              <w:t>Are the references sufficient and recent? If you have suggestions of additional references, please mention them in the review form.</w:t>
            </w:r>
          </w:p>
          <w:p w14:paraId="410B3F77" w14:textId="4E8475DE" w:rsidR="00B15BE7" w:rsidRPr="00717BD8" w:rsidRDefault="00B15BE7" w:rsidP="006A79E8">
            <w:pPr>
              <w:rPr>
                <w:rFonts w:ascii="Arial" w:hAnsi="Arial" w:cs="Arial"/>
                <w:b/>
                <w:bCs/>
                <w:sz w:val="20"/>
                <w:szCs w:val="20"/>
                <w:lang w:val="es-CO"/>
              </w:rPr>
            </w:pPr>
          </w:p>
        </w:tc>
        <w:tc>
          <w:tcPr>
            <w:tcW w:w="5829" w:type="dxa"/>
          </w:tcPr>
          <w:p w14:paraId="0E045251" w14:textId="77777777" w:rsidR="006B6E30" w:rsidRPr="00717BD8" w:rsidRDefault="006A79E8" w:rsidP="006B6E30">
            <w:pPr>
              <w:contextualSpacing/>
              <w:rPr>
                <w:rFonts w:ascii="Arial" w:hAnsi="Arial" w:cs="Arial"/>
                <w:bCs/>
                <w:sz w:val="20"/>
                <w:szCs w:val="20"/>
              </w:rPr>
            </w:pPr>
            <w:r w:rsidRPr="00717BD8">
              <w:rPr>
                <w:rFonts w:ascii="Arial" w:hAnsi="Arial" w:cs="Arial"/>
                <w:bCs/>
                <w:sz w:val="20"/>
                <w:szCs w:val="20"/>
              </w:rPr>
              <w:t>The article includes approximately 40 bibliographic references, which reflects a deep hermeneutic and investigative effort. While the relevance of the sources is clearly prioritized, it is also evident that the author has made a notable effort to incorporate the most up-to-date references possible. I consider that, in relation to the objective of the text, the references effectively fulfill their purpose.</w:t>
            </w:r>
          </w:p>
          <w:p w14:paraId="678E84CE" w14:textId="131E5735" w:rsidR="003329D9" w:rsidRPr="00717BD8" w:rsidRDefault="003329D9" w:rsidP="006B6E30">
            <w:pPr>
              <w:contextualSpacing/>
              <w:rPr>
                <w:rFonts w:ascii="Arial" w:hAnsi="Arial" w:cs="Arial"/>
                <w:bCs/>
                <w:sz w:val="20"/>
                <w:szCs w:val="20"/>
              </w:rPr>
            </w:pPr>
          </w:p>
        </w:tc>
        <w:tc>
          <w:tcPr>
            <w:tcW w:w="4013" w:type="dxa"/>
            <w:gridSpan w:val="2"/>
          </w:tcPr>
          <w:p w14:paraId="6189C51A" w14:textId="77777777" w:rsidR="006B6E30" w:rsidRPr="00717BD8" w:rsidRDefault="006B6E30" w:rsidP="006B6E30">
            <w:pPr>
              <w:keepNext/>
              <w:outlineLvl w:val="1"/>
              <w:rPr>
                <w:rFonts w:ascii="Arial" w:eastAsia="MS Mincho" w:hAnsi="Arial" w:cs="Arial"/>
                <w:bCs/>
                <w:sz w:val="20"/>
                <w:szCs w:val="20"/>
              </w:rPr>
            </w:pPr>
          </w:p>
        </w:tc>
      </w:tr>
      <w:tr w:rsidR="006B6E30" w:rsidRPr="00717BD8" w14:paraId="60313770" w14:textId="77777777" w:rsidTr="00CB0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386"/>
        </w:trPr>
        <w:tc>
          <w:tcPr>
            <w:tcW w:w="3334" w:type="dxa"/>
            <w:gridSpan w:val="3"/>
            <w:noWrap/>
          </w:tcPr>
          <w:p w14:paraId="3326B210" w14:textId="77777777" w:rsidR="006B6E30" w:rsidRPr="00717BD8" w:rsidRDefault="006B6E30" w:rsidP="006B6E30">
            <w:pPr>
              <w:keepNext/>
              <w:ind w:left="360"/>
              <w:outlineLvl w:val="1"/>
              <w:rPr>
                <w:rFonts w:ascii="Arial" w:eastAsia="MS Mincho" w:hAnsi="Arial" w:cs="Arial"/>
                <w:b/>
                <w:sz w:val="20"/>
                <w:szCs w:val="20"/>
                <w:lang w:val="en-GB"/>
              </w:rPr>
            </w:pPr>
            <w:r w:rsidRPr="00717BD8">
              <w:rPr>
                <w:rFonts w:ascii="Arial" w:eastAsia="MS Mincho" w:hAnsi="Arial" w:cs="Arial"/>
                <w:b/>
                <w:sz w:val="20"/>
                <w:szCs w:val="20"/>
                <w:lang w:val="en-GB"/>
              </w:rPr>
              <w:lastRenderedPageBreak/>
              <w:t>Is the language/English quality of the article suitable for scholarly communications?</w:t>
            </w:r>
          </w:p>
          <w:p w14:paraId="6E89E527" w14:textId="77777777" w:rsidR="006B6E30" w:rsidRPr="00717BD8" w:rsidRDefault="006B6E30" w:rsidP="006A79E8">
            <w:pPr>
              <w:keepNext/>
              <w:outlineLvl w:val="1"/>
              <w:rPr>
                <w:rFonts w:ascii="Arial" w:hAnsi="Arial" w:cs="Arial"/>
                <w:sz w:val="20"/>
                <w:szCs w:val="20"/>
                <w:lang w:val="es-CO"/>
              </w:rPr>
            </w:pPr>
          </w:p>
        </w:tc>
        <w:tc>
          <w:tcPr>
            <w:tcW w:w="5829" w:type="dxa"/>
          </w:tcPr>
          <w:p w14:paraId="3B29051A" w14:textId="13817118" w:rsidR="006B6E30" w:rsidRPr="00717BD8" w:rsidRDefault="006A79E8" w:rsidP="006B6E30">
            <w:pPr>
              <w:rPr>
                <w:rFonts w:ascii="Arial" w:hAnsi="Arial" w:cs="Arial"/>
                <w:sz w:val="20"/>
                <w:szCs w:val="20"/>
              </w:rPr>
            </w:pPr>
            <w:r w:rsidRPr="00717BD8">
              <w:rPr>
                <w:rFonts w:ascii="Arial" w:hAnsi="Arial" w:cs="Arial"/>
                <w:sz w:val="20"/>
                <w:szCs w:val="20"/>
              </w:rPr>
              <w:t>The text is readable, fluid, narrative, and rigorous; it maintains a balanced tone and is comprehensible even for those of us who do not have English as a first language.</w:t>
            </w:r>
          </w:p>
        </w:tc>
        <w:tc>
          <w:tcPr>
            <w:tcW w:w="4013" w:type="dxa"/>
            <w:gridSpan w:val="2"/>
          </w:tcPr>
          <w:p w14:paraId="2FB57AB5" w14:textId="77777777" w:rsidR="006B6E30" w:rsidRPr="00717BD8" w:rsidRDefault="006B6E30" w:rsidP="006B6E30">
            <w:pPr>
              <w:rPr>
                <w:rFonts w:ascii="Arial" w:hAnsi="Arial" w:cs="Arial"/>
                <w:sz w:val="20"/>
                <w:szCs w:val="20"/>
              </w:rPr>
            </w:pPr>
          </w:p>
        </w:tc>
      </w:tr>
      <w:tr w:rsidR="006B6E30" w:rsidRPr="00717BD8" w14:paraId="045E42E5" w14:textId="77777777" w:rsidTr="00CB0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178"/>
        </w:trPr>
        <w:tc>
          <w:tcPr>
            <w:tcW w:w="3334" w:type="dxa"/>
            <w:gridSpan w:val="3"/>
            <w:noWrap/>
          </w:tcPr>
          <w:p w14:paraId="5B289AAE" w14:textId="77777777" w:rsidR="006B6E30" w:rsidRPr="00717BD8" w:rsidRDefault="006B6E30" w:rsidP="006B6E30">
            <w:pPr>
              <w:keepNext/>
              <w:outlineLvl w:val="1"/>
              <w:rPr>
                <w:rFonts w:ascii="Arial" w:eastAsia="MS Mincho" w:hAnsi="Arial" w:cs="Arial"/>
                <w:sz w:val="20"/>
                <w:szCs w:val="20"/>
                <w:lang w:val="es-CO"/>
              </w:rPr>
            </w:pPr>
            <w:proofErr w:type="spellStart"/>
            <w:r w:rsidRPr="00717BD8">
              <w:rPr>
                <w:rFonts w:ascii="Arial" w:eastAsia="MS Mincho" w:hAnsi="Arial" w:cs="Arial"/>
                <w:b/>
                <w:sz w:val="20"/>
                <w:szCs w:val="20"/>
                <w:u w:val="single"/>
                <w:lang w:val="es-CO"/>
              </w:rPr>
              <w:t>Optional</w:t>
            </w:r>
            <w:proofErr w:type="spellEnd"/>
            <w:r w:rsidRPr="00717BD8">
              <w:rPr>
                <w:rFonts w:ascii="Arial" w:eastAsia="MS Mincho" w:hAnsi="Arial" w:cs="Arial"/>
                <w:b/>
                <w:sz w:val="20"/>
                <w:szCs w:val="20"/>
                <w:u w:val="single"/>
                <w:lang w:val="es-CO"/>
              </w:rPr>
              <w:t>/General</w:t>
            </w:r>
            <w:r w:rsidRPr="00717BD8">
              <w:rPr>
                <w:rFonts w:ascii="Arial" w:eastAsia="MS Mincho" w:hAnsi="Arial" w:cs="Arial"/>
                <w:b/>
                <w:sz w:val="20"/>
                <w:szCs w:val="20"/>
                <w:lang w:val="es-CO"/>
              </w:rPr>
              <w:t xml:space="preserve"> </w:t>
            </w:r>
            <w:proofErr w:type="spellStart"/>
            <w:r w:rsidRPr="00717BD8">
              <w:rPr>
                <w:rFonts w:ascii="Arial" w:eastAsia="MS Mincho" w:hAnsi="Arial" w:cs="Arial"/>
                <w:sz w:val="20"/>
                <w:szCs w:val="20"/>
                <w:lang w:val="es-CO"/>
              </w:rPr>
              <w:t>comments</w:t>
            </w:r>
            <w:proofErr w:type="spellEnd"/>
          </w:p>
          <w:p w14:paraId="7D663EC3" w14:textId="77777777" w:rsidR="00B15BE7" w:rsidRPr="00717BD8" w:rsidRDefault="00B15BE7" w:rsidP="006B6E30">
            <w:pPr>
              <w:keepNext/>
              <w:outlineLvl w:val="1"/>
              <w:rPr>
                <w:rFonts w:ascii="Arial" w:eastAsia="MS Mincho" w:hAnsi="Arial" w:cs="Arial"/>
                <w:sz w:val="20"/>
                <w:szCs w:val="20"/>
                <w:lang w:val="es-CO"/>
              </w:rPr>
            </w:pPr>
          </w:p>
          <w:p w14:paraId="3FC2DAA1" w14:textId="77777777" w:rsidR="006B6E30" w:rsidRPr="00717BD8" w:rsidRDefault="006B6E30" w:rsidP="006A79E8">
            <w:pPr>
              <w:keepNext/>
              <w:outlineLvl w:val="1"/>
              <w:rPr>
                <w:rFonts w:ascii="Arial" w:eastAsia="MS Mincho" w:hAnsi="Arial" w:cs="Arial"/>
                <w:bCs/>
                <w:sz w:val="20"/>
                <w:szCs w:val="20"/>
                <w:lang w:val="es-CO"/>
              </w:rPr>
            </w:pPr>
          </w:p>
        </w:tc>
        <w:tc>
          <w:tcPr>
            <w:tcW w:w="5829" w:type="dxa"/>
          </w:tcPr>
          <w:p w14:paraId="01F33A96" w14:textId="77777777" w:rsidR="006B6E30" w:rsidRPr="00717BD8" w:rsidRDefault="006A79E8" w:rsidP="006B6E30">
            <w:pPr>
              <w:rPr>
                <w:rFonts w:ascii="Arial" w:eastAsia="Arial Unicode MS" w:hAnsi="Arial" w:cs="Arial"/>
                <w:bCs/>
                <w:sz w:val="20"/>
                <w:szCs w:val="20"/>
              </w:rPr>
            </w:pPr>
            <w:r w:rsidRPr="00717BD8">
              <w:rPr>
                <w:rFonts w:ascii="Arial" w:eastAsia="Arial Unicode MS" w:hAnsi="Arial" w:cs="Arial"/>
                <w:bCs/>
                <w:sz w:val="20"/>
                <w:szCs w:val="20"/>
              </w:rPr>
              <w:t>Although Arendt has been the subject of several of my investigations in the fields of political and moral philosophy, I must admit that I was unaware of the depth of her reception within the political and cultural context of mainland China. This article proved to be highly meaningful in relation to my own research interests, and I therefore congratulate the author on the selection of a compelling and valuable object of study.</w:t>
            </w:r>
          </w:p>
          <w:p w14:paraId="102136E2" w14:textId="77777777" w:rsidR="003329D9" w:rsidRPr="00717BD8" w:rsidRDefault="003329D9" w:rsidP="006B6E30">
            <w:pPr>
              <w:rPr>
                <w:rFonts w:ascii="Arial" w:eastAsia="Arial Unicode MS" w:hAnsi="Arial" w:cs="Arial"/>
                <w:bCs/>
                <w:sz w:val="20"/>
                <w:szCs w:val="20"/>
              </w:rPr>
            </w:pPr>
          </w:p>
          <w:p w14:paraId="314A2F07" w14:textId="654330ED" w:rsidR="003329D9" w:rsidRPr="00717BD8" w:rsidRDefault="003329D9" w:rsidP="006B6E30">
            <w:pPr>
              <w:rPr>
                <w:rFonts w:ascii="Arial" w:eastAsia="Arial Unicode MS" w:hAnsi="Arial" w:cs="Arial"/>
                <w:bCs/>
                <w:sz w:val="20"/>
                <w:szCs w:val="20"/>
              </w:rPr>
            </w:pPr>
            <w:r w:rsidRPr="00717BD8">
              <w:rPr>
                <w:rFonts w:ascii="Arial" w:eastAsia="Arial Unicode MS" w:hAnsi="Arial" w:cs="Arial"/>
                <w:sz w:val="20"/>
                <w:szCs w:val="20"/>
              </w:rPr>
              <w:t>I learned a great deal through reading and reviewing it, and I reiterate my appreciation for its narrative and stylistic qualities, which make the reading experience both light and enjoyable.</w:t>
            </w:r>
          </w:p>
        </w:tc>
        <w:tc>
          <w:tcPr>
            <w:tcW w:w="4013" w:type="dxa"/>
            <w:gridSpan w:val="2"/>
          </w:tcPr>
          <w:p w14:paraId="05FADF89" w14:textId="77777777" w:rsidR="006B6E30" w:rsidRPr="00717BD8" w:rsidRDefault="006B6E30" w:rsidP="006B6E30">
            <w:pPr>
              <w:rPr>
                <w:rFonts w:ascii="Arial" w:hAnsi="Arial" w:cs="Arial"/>
                <w:sz w:val="20"/>
                <w:szCs w:val="20"/>
              </w:rPr>
            </w:pPr>
          </w:p>
        </w:tc>
      </w:tr>
    </w:tbl>
    <w:p w14:paraId="323EA2F7" w14:textId="7CE64FCC" w:rsidR="00CB08A3" w:rsidRPr="00717BD8" w:rsidRDefault="00CB08A3" w:rsidP="006B6E30">
      <w:pPr>
        <w:jc w:val="both"/>
        <w:rPr>
          <w:rFonts w:ascii="Arial" w:eastAsia="MS Mincho" w:hAnsi="Arial" w:cs="Arial"/>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411"/>
        <w:gridCol w:w="4403"/>
      </w:tblGrid>
      <w:tr w:rsidR="00CB08A3" w:rsidRPr="00717BD8" w14:paraId="5506E5E6" w14:textId="77777777" w:rsidTr="00CB08A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178F799" w14:textId="77777777" w:rsidR="00CB08A3" w:rsidRPr="00717BD8" w:rsidRDefault="00CB08A3">
            <w:pPr>
              <w:spacing w:line="276" w:lineRule="auto"/>
              <w:rPr>
                <w:rFonts w:ascii="Arial" w:eastAsia="Arial Unicode MS" w:hAnsi="Arial" w:cs="Arial"/>
                <w:b/>
                <w:sz w:val="20"/>
                <w:szCs w:val="20"/>
                <w:u w:val="single"/>
                <w:lang w:val="en-GB"/>
              </w:rPr>
            </w:pPr>
            <w:bookmarkStart w:id="2" w:name="_Hlk156057883"/>
            <w:bookmarkStart w:id="3" w:name="_Hlk156057704"/>
            <w:r w:rsidRPr="00717BD8">
              <w:rPr>
                <w:rFonts w:ascii="Arial" w:eastAsia="Arial Unicode MS" w:hAnsi="Arial" w:cs="Arial"/>
                <w:b/>
                <w:sz w:val="20"/>
                <w:szCs w:val="20"/>
                <w:highlight w:val="yellow"/>
                <w:u w:val="single"/>
                <w:lang w:val="en-GB"/>
              </w:rPr>
              <w:t>PART  2:</w:t>
            </w:r>
            <w:r w:rsidRPr="00717BD8">
              <w:rPr>
                <w:rFonts w:ascii="Arial" w:eastAsia="Arial Unicode MS" w:hAnsi="Arial" w:cs="Arial"/>
                <w:b/>
                <w:sz w:val="20"/>
                <w:szCs w:val="20"/>
                <w:u w:val="single"/>
                <w:lang w:val="en-GB"/>
              </w:rPr>
              <w:t xml:space="preserve"> </w:t>
            </w:r>
          </w:p>
          <w:p w14:paraId="28BF7C0E" w14:textId="77777777" w:rsidR="00CB08A3" w:rsidRPr="00717BD8" w:rsidRDefault="00CB08A3">
            <w:pPr>
              <w:spacing w:line="276" w:lineRule="auto"/>
              <w:rPr>
                <w:rFonts w:ascii="Arial" w:eastAsia="Arial Unicode MS" w:hAnsi="Arial" w:cs="Arial"/>
                <w:b/>
                <w:sz w:val="20"/>
                <w:szCs w:val="20"/>
                <w:u w:val="single"/>
                <w:lang w:val="en-GB"/>
              </w:rPr>
            </w:pPr>
          </w:p>
        </w:tc>
      </w:tr>
      <w:tr w:rsidR="00CB08A3" w:rsidRPr="00717BD8" w14:paraId="34B6B7AA" w14:textId="77777777" w:rsidTr="00CB08A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4AE86F8" w14:textId="77777777" w:rsidR="00CB08A3" w:rsidRPr="00717BD8" w:rsidRDefault="00CB08A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67C867A" w14:textId="77777777" w:rsidR="00CB08A3" w:rsidRPr="00717BD8" w:rsidRDefault="00CB08A3">
            <w:pPr>
              <w:keepNext/>
              <w:spacing w:line="276" w:lineRule="auto"/>
              <w:outlineLvl w:val="1"/>
              <w:rPr>
                <w:rFonts w:ascii="Arial" w:eastAsia="MS Mincho" w:hAnsi="Arial" w:cs="Arial"/>
                <w:b/>
                <w:bCs/>
                <w:sz w:val="20"/>
                <w:szCs w:val="20"/>
                <w:lang w:val="en-GB"/>
              </w:rPr>
            </w:pPr>
            <w:r w:rsidRPr="00717BD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23FBA81" w14:textId="77777777" w:rsidR="00CB08A3" w:rsidRPr="00717BD8" w:rsidRDefault="00CB08A3">
            <w:pPr>
              <w:spacing w:after="160" w:line="252" w:lineRule="auto"/>
              <w:rPr>
                <w:rFonts w:ascii="Arial" w:eastAsia="Calibri" w:hAnsi="Arial" w:cs="Arial"/>
                <w:kern w:val="2"/>
                <w:sz w:val="20"/>
                <w:szCs w:val="20"/>
                <w:lang w:val="en-IN"/>
              </w:rPr>
            </w:pPr>
            <w:r w:rsidRPr="00717BD8">
              <w:rPr>
                <w:rFonts w:ascii="Arial" w:eastAsia="Calibri" w:hAnsi="Arial" w:cs="Arial"/>
                <w:b/>
                <w:kern w:val="2"/>
                <w:sz w:val="20"/>
                <w:szCs w:val="20"/>
                <w:lang w:val="en-IN"/>
              </w:rPr>
              <w:t>Author’s Feedback</w:t>
            </w:r>
            <w:r w:rsidRPr="00717BD8">
              <w:rPr>
                <w:rFonts w:ascii="Arial" w:eastAsia="Calibri" w:hAnsi="Arial" w:cs="Arial"/>
                <w:kern w:val="2"/>
                <w:sz w:val="20"/>
                <w:szCs w:val="20"/>
                <w:lang w:val="en-IN"/>
              </w:rPr>
              <w:t xml:space="preserve"> (It is mandatory that authors should write his/her feedback here)</w:t>
            </w:r>
          </w:p>
          <w:p w14:paraId="41E2CBF1" w14:textId="77777777" w:rsidR="00CB08A3" w:rsidRPr="00717BD8" w:rsidRDefault="00CB08A3">
            <w:pPr>
              <w:keepNext/>
              <w:spacing w:line="276" w:lineRule="auto"/>
              <w:outlineLvl w:val="1"/>
              <w:rPr>
                <w:rFonts w:ascii="Arial" w:eastAsia="MS Mincho" w:hAnsi="Arial" w:cs="Arial"/>
                <w:bCs/>
                <w:sz w:val="20"/>
                <w:szCs w:val="20"/>
                <w:lang w:val="en-GB"/>
              </w:rPr>
            </w:pPr>
          </w:p>
        </w:tc>
      </w:tr>
      <w:tr w:rsidR="00CB08A3" w:rsidRPr="00717BD8" w14:paraId="68680A3F" w14:textId="77777777" w:rsidTr="00CB08A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0B0C9CD" w14:textId="77777777" w:rsidR="00CB08A3" w:rsidRPr="00717BD8" w:rsidRDefault="00CB08A3">
            <w:pPr>
              <w:spacing w:line="276" w:lineRule="auto"/>
              <w:rPr>
                <w:rFonts w:ascii="Arial" w:eastAsia="Arial Unicode MS" w:hAnsi="Arial" w:cs="Arial"/>
                <w:b/>
                <w:sz w:val="20"/>
                <w:szCs w:val="20"/>
                <w:lang w:val="en-GB"/>
              </w:rPr>
            </w:pPr>
            <w:r w:rsidRPr="00717BD8">
              <w:rPr>
                <w:rFonts w:ascii="Arial" w:eastAsia="Arial Unicode MS" w:hAnsi="Arial" w:cs="Arial"/>
                <w:b/>
                <w:sz w:val="20"/>
                <w:szCs w:val="20"/>
                <w:lang w:val="en-GB"/>
              </w:rPr>
              <w:t xml:space="preserve">Are there ethical issues in this manuscript? </w:t>
            </w:r>
          </w:p>
          <w:p w14:paraId="793A9D87" w14:textId="77777777" w:rsidR="00CB08A3" w:rsidRPr="00717BD8" w:rsidRDefault="00CB08A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BA3F00" w14:textId="77777777" w:rsidR="00CB08A3" w:rsidRPr="00717BD8" w:rsidRDefault="00CB08A3">
            <w:pPr>
              <w:spacing w:line="276" w:lineRule="auto"/>
              <w:rPr>
                <w:rFonts w:ascii="Arial" w:eastAsia="Arial Unicode MS" w:hAnsi="Arial" w:cs="Arial"/>
                <w:i/>
                <w:iCs/>
                <w:sz w:val="20"/>
                <w:szCs w:val="20"/>
                <w:u w:val="single"/>
                <w:lang w:val="en-GB"/>
              </w:rPr>
            </w:pPr>
            <w:r w:rsidRPr="00717BD8">
              <w:rPr>
                <w:rFonts w:ascii="Arial" w:eastAsia="Arial Unicode MS" w:hAnsi="Arial" w:cs="Arial"/>
                <w:i/>
                <w:iCs/>
                <w:sz w:val="20"/>
                <w:szCs w:val="20"/>
                <w:u w:val="single"/>
                <w:lang w:val="en-GB"/>
              </w:rPr>
              <w:t xml:space="preserve">(If yes, </w:t>
            </w:r>
            <w:proofErr w:type="gramStart"/>
            <w:r w:rsidRPr="00717BD8">
              <w:rPr>
                <w:rFonts w:ascii="Arial" w:eastAsia="Arial Unicode MS" w:hAnsi="Arial" w:cs="Arial"/>
                <w:i/>
                <w:iCs/>
                <w:sz w:val="20"/>
                <w:szCs w:val="20"/>
                <w:u w:val="single"/>
                <w:lang w:val="en-GB"/>
              </w:rPr>
              <w:t>Kindly</w:t>
            </w:r>
            <w:proofErr w:type="gramEnd"/>
            <w:r w:rsidRPr="00717BD8">
              <w:rPr>
                <w:rFonts w:ascii="Arial" w:eastAsia="Arial Unicode MS" w:hAnsi="Arial" w:cs="Arial"/>
                <w:i/>
                <w:iCs/>
                <w:sz w:val="20"/>
                <w:szCs w:val="20"/>
                <w:u w:val="single"/>
                <w:lang w:val="en-GB"/>
              </w:rPr>
              <w:t xml:space="preserve"> please write down the ethical issues here in details)</w:t>
            </w:r>
          </w:p>
          <w:p w14:paraId="7C0FBFAF" w14:textId="77777777" w:rsidR="00CB08A3" w:rsidRPr="00717BD8" w:rsidRDefault="00CB08A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33990DE" w14:textId="77777777" w:rsidR="00CB08A3" w:rsidRPr="00717BD8" w:rsidRDefault="00CB08A3">
            <w:pPr>
              <w:spacing w:line="276" w:lineRule="auto"/>
              <w:rPr>
                <w:rFonts w:ascii="Arial" w:eastAsia="Arial Unicode MS" w:hAnsi="Arial" w:cs="Arial"/>
                <w:sz w:val="20"/>
                <w:szCs w:val="20"/>
                <w:lang w:val="en-GB"/>
              </w:rPr>
            </w:pPr>
          </w:p>
          <w:p w14:paraId="52774487" w14:textId="77777777" w:rsidR="00CB08A3" w:rsidRPr="00717BD8" w:rsidRDefault="00CB08A3">
            <w:pPr>
              <w:spacing w:line="276" w:lineRule="auto"/>
              <w:rPr>
                <w:rFonts w:ascii="Arial" w:eastAsia="Arial Unicode MS" w:hAnsi="Arial" w:cs="Arial"/>
                <w:sz w:val="20"/>
                <w:szCs w:val="20"/>
                <w:lang w:val="en-GB"/>
              </w:rPr>
            </w:pPr>
          </w:p>
          <w:p w14:paraId="448CCB82" w14:textId="77777777" w:rsidR="00CB08A3" w:rsidRPr="00717BD8" w:rsidRDefault="00CB08A3">
            <w:pPr>
              <w:spacing w:line="276" w:lineRule="auto"/>
              <w:rPr>
                <w:rFonts w:ascii="Arial" w:eastAsia="Arial Unicode MS" w:hAnsi="Arial" w:cs="Arial"/>
                <w:sz w:val="20"/>
                <w:szCs w:val="20"/>
                <w:lang w:val="en-GB"/>
              </w:rPr>
            </w:pPr>
          </w:p>
        </w:tc>
      </w:tr>
      <w:bookmarkEnd w:id="2"/>
    </w:tbl>
    <w:p w14:paraId="7A5E12C9" w14:textId="67C9D702" w:rsidR="00CB08A3" w:rsidRPr="00717BD8" w:rsidRDefault="00CB08A3" w:rsidP="00CB08A3">
      <w:pPr>
        <w:rPr>
          <w:rFonts w:ascii="Arial" w:hAnsi="Arial" w:cs="Arial"/>
          <w:sz w:val="20"/>
          <w:szCs w:val="20"/>
        </w:rPr>
      </w:pPr>
    </w:p>
    <w:p w14:paraId="457BF1C3" w14:textId="77777777" w:rsidR="00717BD8" w:rsidRPr="00717BD8" w:rsidRDefault="00717BD8" w:rsidP="00717BD8">
      <w:pPr>
        <w:pStyle w:val="Affiliation"/>
        <w:spacing w:after="0" w:line="240" w:lineRule="auto"/>
        <w:jc w:val="left"/>
        <w:rPr>
          <w:rFonts w:ascii="Arial" w:hAnsi="Arial" w:cs="Arial"/>
          <w:b/>
          <w:u w:val="single"/>
        </w:rPr>
      </w:pPr>
      <w:r w:rsidRPr="00717BD8">
        <w:rPr>
          <w:rFonts w:ascii="Arial" w:hAnsi="Arial" w:cs="Arial"/>
          <w:b/>
          <w:u w:val="single"/>
        </w:rPr>
        <w:t>Reviewer details:</w:t>
      </w:r>
    </w:p>
    <w:p w14:paraId="454A514D" w14:textId="3EF69603" w:rsidR="00717BD8" w:rsidRPr="00717BD8" w:rsidRDefault="00717BD8" w:rsidP="00CB08A3">
      <w:pPr>
        <w:rPr>
          <w:rFonts w:ascii="Arial" w:hAnsi="Arial" w:cs="Arial"/>
          <w:sz w:val="20"/>
          <w:szCs w:val="20"/>
        </w:rPr>
      </w:pPr>
    </w:p>
    <w:p w14:paraId="14E5D892" w14:textId="6DB55E8B" w:rsidR="00717BD8" w:rsidRPr="00717BD8" w:rsidRDefault="00717BD8" w:rsidP="00CB08A3">
      <w:pPr>
        <w:rPr>
          <w:rFonts w:ascii="Arial" w:hAnsi="Arial" w:cs="Arial"/>
          <w:b/>
          <w:sz w:val="20"/>
          <w:szCs w:val="20"/>
        </w:rPr>
      </w:pPr>
      <w:bookmarkStart w:id="4" w:name="_Hlk204088415"/>
      <w:r w:rsidRPr="00717BD8">
        <w:rPr>
          <w:rFonts w:ascii="Arial" w:hAnsi="Arial" w:cs="Arial"/>
          <w:b/>
          <w:color w:val="000000"/>
          <w:sz w:val="20"/>
          <w:szCs w:val="20"/>
        </w:rPr>
        <w:t>Pavel Eduardo Rodríguez Durango</w:t>
      </w:r>
      <w:r w:rsidRPr="00717BD8">
        <w:rPr>
          <w:rFonts w:ascii="Arial" w:hAnsi="Arial" w:cs="Arial"/>
          <w:b/>
          <w:color w:val="000000"/>
          <w:sz w:val="20"/>
          <w:szCs w:val="20"/>
        </w:rPr>
        <w:t xml:space="preserve">, </w:t>
      </w:r>
      <w:r w:rsidRPr="00717BD8">
        <w:rPr>
          <w:rFonts w:ascii="Arial" w:hAnsi="Arial" w:cs="Arial"/>
          <w:b/>
          <w:color w:val="000000"/>
          <w:sz w:val="20"/>
          <w:szCs w:val="20"/>
        </w:rPr>
        <w:t>National Open and Distan</w:t>
      </w:r>
      <w:bookmarkStart w:id="5" w:name="_GoBack"/>
      <w:bookmarkEnd w:id="5"/>
      <w:r w:rsidRPr="00717BD8">
        <w:rPr>
          <w:rFonts w:ascii="Arial" w:hAnsi="Arial" w:cs="Arial"/>
          <w:b/>
          <w:color w:val="000000"/>
          <w:sz w:val="20"/>
          <w:szCs w:val="20"/>
        </w:rPr>
        <w:t>ce University UNAD,</w:t>
      </w:r>
      <w:r w:rsidRPr="00717BD8">
        <w:rPr>
          <w:rFonts w:ascii="Arial" w:hAnsi="Arial" w:cs="Arial"/>
          <w:b/>
          <w:color w:val="000000"/>
          <w:sz w:val="20"/>
          <w:szCs w:val="20"/>
        </w:rPr>
        <w:t xml:space="preserve"> </w:t>
      </w:r>
      <w:r w:rsidRPr="00717BD8">
        <w:rPr>
          <w:rFonts w:ascii="Arial" w:hAnsi="Arial" w:cs="Arial"/>
          <w:b/>
          <w:color w:val="000000"/>
          <w:sz w:val="20"/>
          <w:szCs w:val="20"/>
        </w:rPr>
        <w:t>Colombia</w:t>
      </w:r>
    </w:p>
    <w:bookmarkEnd w:id="4"/>
    <w:p w14:paraId="0603AB8C" w14:textId="77777777" w:rsidR="00CB08A3" w:rsidRPr="00717BD8" w:rsidRDefault="00CB08A3" w:rsidP="00CB08A3">
      <w:pPr>
        <w:rPr>
          <w:rFonts w:ascii="Arial" w:hAnsi="Arial" w:cs="Arial"/>
          <w:sz w:val="20"/>
          <w:szCs w:val="20"/>
        </w:rPr>
      </w:pPr>
    </w:p>
    <w:p w14:paraId="55D8DD85" w14:textId="77777777" w:rsidR="00CB08A3" w:rsidRPr="00717BD8" w:rsidRDefault="00CB08A3" w:rsidP="00CB08A3">
      <w:pPr>
        <w:rPr>
          <w:rFonts w:ascii="Arial" w:hAnsi="Arial" w:cs="Arial"/>
          <w:bCs/>
          <w:sz w:val="20"/>
          <w:szCs w:val="20"/>
          <w:u w:val="single"/>
          <w:lang w:val="en-GB"/>
        </w:rPr>
      </w:pPr>
    </w:p>
    <w:bookmarkEnd w:id="3"/>
    <w:p w14:paraId="7BB711FA" w14:textId="77777777" w:rsidR="00CB08A3" w:rsidRPr="00717BD8" w:rsidRDefault="00CB08A3" w:rsidP="00CB08A3">
      <w:pPr>
        <w:rPr>
          <w:rFonts w:ascii="Arial" w:hAnsi="Arial" w:cs="Arial"/>
          <w:sz w:val="20"/>
          <w:szCs w:val="20"/>
        </w:rPr>
      </w:pPr>
    </w:p>
    <w:bookmarkEnd w:id="0"/>
    <w:bookmarkEnd w:id="1"/>
    <w:p w14:paraId="2A904038" w14:textId="77777777" w:rsidR="00CB08A3" w:rsidRPr="00717BD8" w:rsidRDefault="00CB08A3" w:rsidP="006B6E30">
      <w:pPr>
        <w:jc w:val="both"/>
        <w:rPr>
          <w:rFonts w:ascii="Arial" w:eastAsia="MS Mincho" w:hAnsi="Arial" w:cs="Arial"/>
          <w:b/>
          <w:bCs/>
          <w:sz w:val="20"/>
          <w:szCs w:val="20"/>
          <w:u w:val="single"/>
        </w:rPr>
      </w:pPr>
    </w:p>
    <w:sectPr w:rsidR="00CB08A3" w:rsidRPr="00717BD8" w:rsidSect="00F566E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88413" w14:textId="77777777" w:rsidR="001D704C" w:rsidRPr="0000007A" w:rsidRDefault="001D704C" w:rsidP="0099583E">
      <w:r>
        <w:separator/>
      </w:r>
    </w:p>
  </w:endnote>
  <w:endnote w:type="continuationSeparator" w:id="0">
    <w:p w14:paraId="335893DF" w14:textId="77777777" w:rsidR="001D704C" w:rsidRPr="0000007A" w:rsidRDefault="001D704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336EC" w14:textId="77777777" w:rsidR="001D704C" w:rsidRPr="0000007A" w:rsidRDefault="001D704C" w:rsidP="0099583E">
      <w:r>
        <w:separator/>
      </w:r>
    </w:p>
  </w:footnote>
  <w:footnote w:type="continuationSeparator" w:id="0">
    <w:p w14:paraId="69B936F8" w14:textId="77777777" w:rsidR="001D704C" w:rsidRPr="0000007A" w:rsidRDefault="001D704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EEF6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A82910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6D5E27"/>
    <w:multiLevelType w:val="hybridMultilevel"/>
    <w:tmpl w:val="FFFABB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9E34FC"/>
    <w:multiLevelType w:val="multilevel"/>
    <w:tmpl w:val="AF46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8"/>
  </w:num>
  <w:num w:numId="4">
    <w:abstractNumId w:val="10"/>
  </w:num>
  <w:num w:numId="5">
    <w:abstractNumId w:val="7"/>
  </w:num>
  <w:num w:numId="6">
    <w:abstractNumId w:val="0"/>
  </w:num>
  <w:num w:numId="7">
    <w:abstractNumId w:val="2"/>
  </w:num>
  <w:num w:numId="8">
    <w:abstractNumId w:val="12"/>
  </w:num>
  <w:num w:numId="9">
    <w:abstractNumId w:val="11"/>
  </w:num>
  <w:num w:numId="10">
    <w:abstractNumId w:val="1"/>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672BF"/>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03261"/>
    <w:rsid w:val="00114CDC"/>
    <w:rsid w:val="00125E51"/>
    <w:rsid w:val="00135749"/>
    <w:rsid w:val="00136984"/>
    <w:rsid w:val="00150304"/>
    <w:rsid w:val="00150588"/>
    <w:rsid w:val="0015296D"/>
    <w:rsid w:val="00163622"/>
    <w:rsid w:val="001645A2"/>
    <w:rsid w:val="00164F4E"/>
    <w:rsid w:val="00165685"/>
    <w:rsid w:val="00167BF6"/>
    <w:rsid w:val="001766DF"/>
    <w:rsid w:val="0018753A"/>
    <w:rsid w:val="00197E68"/>
    <w:rsid w:val="001A0E44"/>
    <w:rsid w:val="001A1605"/>
    <w:rsid w:val="001B0C63"/>
    <w:rsid w:val="001B2CCC"/>
    <w:rsid w:val="001C09EF"/>
    <w:rsid w:val="001C24FA"/>
    <w:rsid w:val="001D3A1D"/>
    <w:rsid w:val="001D3D77"/>
    <w:rsid w:val="001D704C"/>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2F25"/>
    <w:rsid w:val="00275984"/>
    <w:rsid w:val="00280EC9"/>
    <w:rsid w:val="0028120E"/>
    <w:rsid w:val="00291D08"/>
    <w:rsid w:val="00293482"/>
    <w:rsid w:val="002A5799"/>
    <w:rsid w:val="002E2339"/>
    <w:rsid w:val="002E4E16"/>
    <w:rsid w:val="002E6D86"/>
    <w:rsid w:val="002F6935"/>
    <w:rsid w:val="00307519"/>
    <w:rsid w:val="003204B8"/>
    <w:rsid w:val="00331B94"/>
    <w:rsid w:val="003329D9"/>
    <w:rsid w:val="0033692F"/>
    <w:rsid w:val="00366375"/>
    <w:rsid w:val="003A04E7"/>
    <w:rsid w:val="003A68ED"/>
    <w:rsid w:val="003A6E1A"/>
    <w:rsid w:val="003B2172"/>
    <w:rsid w:val="003C02B9"/>
    <w:rsid w:val="003C26CB"/>
    <w:rsid w:val="003C3543"/>
    <w:rsid w:val="003C54D9"/>
    <w:rsid w:val="003C7127"/>
    <w:rsid w:val="003E746A"/>
    <w:rsid w:val="00405613"/>
    <w:rsid w:val="00407D92"/>
    <w:rsid w:val="00422010"/>
    <w:rsid w:val="004343E4"/>
    <w:rsid w:val="00436F5F"/>
    <w:rsid w:val="0044519B"/>
    <w:rsid w:val="00457AB1"/>
    <w:rsid w:val="00457BC0"/>
    <w:rsid w:val="00462996"/>
    <w:rsid w:val="004909B5"/>
    <w:rsid w:val="004B0818"/>
    <w:rsid w:val="004B4CAD"/>
    <w:rsid w:val="004B7727"/>
    <w:rsid w:val="004C3DF1"/>
    <w:rsid w:val="004D2E36"/>
    <w:rsid w:val="00503AB6"/>
    <w:rsid w:val="005047C5"/>
    <w:rsid w:val="00531C82"/>
    <w:rsid w:val="00533FC1"/>
    <w:rsid w:val="00535A4C"/>
    <w:rsid w:val="00543C8A"/>
    <w:rsid w:val="0054564B"/>
    <w:rsid w:val="00545A13"/>
    <w:rsid w:val="00546343"/>
    <w:rsid w:val="00557CD3"/>
    <w:rsid w:val="005600D3"/>
    <w:rsid w:val="00560D3C"/>
    <w:rsid w:val="00567DE0"/>
    <w:rsid w:val="005735A5"/>
    <w:rsid w:val="00584A7E"/>
    <w:rsid w:val="005B7E6E"/>
    <w:rsid w:val="005C25A0"/>
    <w:rsid w:val="005C5BE0"/>
    <w:rsid w:val="005D230D"/>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421B"/>
    <w:rsid w:val="00696CAD"/>
    <w:rsid w:val="006A5E0B"/>
    <w:rsid w:val="006A79E8"/>
    <w:rsid w:val="006B6E30"/>
    <w:rsid w:val="006C3797"/>
    <w:rsid w:val="006E4337"/>
    <w:rsid w:val="006E7D6E"/>
    <w:rsid w:val="00701186"/>
    <w:rsid w:val="00707BE1"/>
    <w:rsid w:val="00717BD8"/>
    <w:rsid w:val="007238EB"/>
    <w:rsid w:val="0072741A"/>
    <w:rsid w:val="007317C3"/>
    <w:rsid w:val="00735257"/>
    <w:rsid w:val="0073538B"/>
    <w:rsid w:val="00766889"/>
    <w:rsid w:val="00766A0D"/>
    <w:rsid w:val="00767F8C"/>
    <w:rsid w:val="0077245B"/>
    <w:rsid w:val="00774427"/>
    <w:rsid w:val="00780B67"/>
    <w:rsid w:val="00794BD8"/>
    <w:rsid w:val="007D0246"/>
    <w:rsid w:val="007E2523"/>
    <w:rsid w:val="007F5873"/>
    <w:rsid w:val="008133DE"/>
    <w:rsid w:val="008150D0"/>
    <w:rsid w:val="00815F94"/>
    <w:rsid w:val="008224E2"/>
    <w:rsid w:val="00825DC9"/>
    <w:rsid w:val="0082676D"/>
    <w:rsid w:val="00846F1F"/>
    <w:rsid w:val="00864044"/>
    <w:rsid w:val="00872E19"/>
    <w:rsid w:val="00875505"/>
    <w:rsid w:val="008774E4"/>
    <w:rsid w:val="00877F10"/>
    <w:rsid w:val="00882091"/>
    <w:rsid w:val="00884272"/>
    <w:rsid w:val="00893E75"/>
    <w:rsid w:val="008C2F62"/>
    <w:rsid w:val="008D020E"/>
    <w:rsid w:val="008E3C7C"/>
    <w:rsid w:val="008F36E4"/>
    <w:rsid w:val="009067A9"/>
    <w:rsid w:val="0093503A"/>
    <w:rsid w:val="009553EC"/>
    <w:rsid w:val="00956A49"/>
    <w:rsid w:val="00982766"/>
    <w:rsid w:val="009852C4"/>
    <w:rsid w:val="0099583E"/>
    <w:rsid w:val="009A0242"/>
    <w:rsid w:val="009A59ED"/>
    <w:rsid w:val="009A5B65"/>
    <w:rsid w:val="009A5D6F"/>
    <w:rsid w:val="009C5642"/>
    <w:rsid w:val="009C5EC7"/>
    <w:rsid w:val="009C6373"/>
    <w:rsid w:val="009E13C3"/>
    <w:rsid w:val="009E6A30"/>
    <w:rsid w:val="009F29EB"/>
    <w:rsid w:val="00A001A0"/>
    <w:rsid w:val="00A038E0"/>
    <w:rsid w:val="00A06CCE"/>
    <w:rsid w:val="00A12C83"/>
    <w:rsid w:val="00A31AAC"/>
    <w:rsid w:val="00A3226A"/>
    <w:rsid w:val="00A32905"/>
    <w:rsid w:val="00A36C95"/>
    <w:rsid w:val="00A37DE3"/>
    <w:rsid w:val="00A452CA"/>
    <w:rsid w:val="00A519D1"/>
    <w:rsid w:val="00A52596"/>
    <w:rsid w:val="00A652B4"/>
    <w:rsid w:val="00A65C50"/>
    <w:rsid w:val="00A949AA"/>
    <w:rsid w:val="00AA41B3"/>
    <w:rsid w:val="00AB1ED6"/>
    <w:rsid w:val="00AB397D"/>
    <w:rsid w:val="00AB638A"/>
    <w:rsid w:val="00AB6E43"/>
    <w:rsid w:val="00AC1349"/>
    <w:rsid w:val="00AE3ABC"/>
    <w:rsid w:val="00AF24BB"/>
    <w:rsid w:val="00AF3016"/>
    <w:rsid w:val="00B01A8C"/>
    <w:rsid w:val="00B02E7C"/>
    <w:rsid w:val="00B13E02"/>
    <w:rsid w:val="00B15BE7"/>
    <w:rsid w:val="00B22FE6"/>
    <w:rsid w:val="00B3033D"/>
    <w:rsid w:val="00B42EF0"/>
    <w:rsid w:val="00B45227"/>
    <w:rsid w:val="00B62087"/>
    <w:rsid w:val="00B62F41"/>
    <w:rsid w:val="00B760E1"/>
    <w:rsid w:val="00BA1AB3"/>
    <w:rsid w:val="00BA6421"/>
    <w:rsid w:val="00BB4FEC"/>
    <w:rsid w:val="00BC402F"/>
    <w:rsid w:val="00BC5BAE"/>
    <w:rsid w:val="00BE0C20"/>
    <w:rsid w:val="00BE13EF"/>
    <w:rsid w:val="00BE183A"/>
    <w:rsid w:val="00BE40A5"/>
    <w:rsid w:val="00BE6454"/>
    <w:rsid w:val="00BF75D4"/>
    <w:rsid w:val="00C069B5"/>
    <w:rsid w:val="00C10283"/>
    <w:rsid w:val="00C1031E"/>
    <w:rsid w:val="00C118EC"/>
    <w:rsid w:val="00C22886"/>
    <w:rsid w:val="00C25C8F"/>
    <w:rsid w:val="00C263C6"/>
    <w:rsid w:val="00C635B6"/>
    <w:rsid w:val="00C84097"/>
    <w:rsid w:val="00C96F1B"/>
    <w:rsid w:val="00CB08A3"/>
    <w:rsid w:val="00CB1655"/>
    <w:rsid w:val="00CB3665"/>
    <w:rsid w:val="00CB429B"/>
    <w:rsid w:val="00CC00CE"/>
    <w:rsid w:val="00CD093E"/>
    <w:rsid w:val="00CD1556"/>
    <w:rsid w:val="00CD1FD7"/>
    <w:rsid w:val="00CE3FE4"/>
    <w:rsid w:val="00CE5AC7"/>
    <w:rsid w:val="00CF0BBB"/>
    <w:rsid w:val="00CF52C0"/>
    <w:rsid w:val="00CF5CAE"/>
    <w:rsid w:val="00D053D3"/>
    <w:rsid w:val="00D1283A"/>
    <w:rsid w:val="00D17979"/>
    <w:rsid w:val="00D2075F"/>
    <w:rsid w:val="00D316C0"/>
    <w:rsid w:val="00D37E12"/>
    <w:rsid w:val="00D40416"/>
    <w:rsid w:val="00D40553"/>
    <w:rsid w:val="00D4782A"/>
    <w:rsid w:val="00D73E5A"/>
    <w:rsid w:val="00D7603E"/>
    <w:rsid w:val="00D90124"/>
    <w:rsid w:val="00D90D23"/>
    <w:rsid w:val="00D9392F"/>
    <w:rsid w:val="00DA41F5"/>
    <w:rsid w:val="00DA41FC"/>
    <w:rsid w:val="00DB4568"/>
    <w:rsid w:val="00DB7E1B"/>
    <w:rsid w:val="00DC1D81"/>
    <w:rsid w:val="00DE2591"/>
    <w:rsid w:val="00E06BCA"/>
    <w:rsid w:val="00E451EA"/>
    <w:rsid w:val="00E57F4B"/>
    <w:rsid w:val="00E61448"/>
    <w:rsid w:val="00E63889"/>
    <w:rsid w:val="00E71C8D"/>
    <w:rsid w:val="00E72360"/>
    <w:rsid w:val="00E972A7"/>
    <w:rsid w:val="00EB2F55"/>
    <w:rsid w:val="00EB3E91"/>
    <w:rsid w:val="00EC6894"/>
    <w:rsid w:val="00ED0959"/>
    <w:rsid w:val="00ED6B12"/>
    <w:rsid w:val="00EF2AA5"/>
    <w:rsid w:val="00EF326D"/>
    <w:rsid w:val="00EF53FE"/>
    <w:rsid w:val="00F2643C"/>
    <w:rsid w:val="00F3669D"/>
    <w:rsid w:val="00F405F8"/>
    <w:rsid w:val="00F45B5A"/>
    <w:rsid w:val="00F4700F"/>
    <w:rsid w:val="00F566E9"/>
    <w:rsid w:val="00F573EA"/>
    <w:rsid w:val="00F57E9D"/>
    <w:rsid w:val="00FA6528"/>
    <w:rsid w:val="00FB59CB"/>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4B2DC"/>
  <w15:chartTrackingRefBased/>
  <w15:docId w15:val="{0796A069-F6CC-4879-B499-2BEB9AC2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03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A5B65"/>
    <w:rPr>
      <w:color w:val="605E5C"/>
      <w:shd w:val="clear" w:color="auto" w:fill="E1DFDD"/>
    </w:rPr>
  </w:style>
  <w:style w:type="paragraph" w:customStyle="1" w:styleId="Affiliation">
    <w:name w:val="Affiliation"/>
    <w:basedOn w:val="Normal"/>
    <w:rsid w:val="00717B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172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8452798">
      <w:bodyDiv w:val="1"/>
      <w:marLeft w:val="0"/>
      <w:marRight w:val="0"/>
      <w:marTop w:val="0"/>
      <w:marBottom w:val="0"/>
      <w:divBdr>
        <w:top w:val="none" w:sz="0" w:space="0" w:color="auto"/>
        <w:left w:val="none" w:sz="0" w:space="0" w:color="auto"/>
        <w:bottom w:val="none" w:sz="0" w:space="0" w:color="auto"/>
        <w:right w:val="none" w:sz="0" w:space="0" w:color="auto"/>
      </w:divBdr>
    </w:div>
    <w:div w:id="945625242">
      <w:bodyDiv w:val="1"/>
      <w:marLeft w:val="0"/>
      <w:marRight w:val="0"/>
      <w:marTop w:val="0"/>
      <w:marBottom w:val="0"/>
      <w:divBdr>
        <w:top w:val="none" w:sz="0" w:space="0" w:color="auto"/>
        <w:left w:val="none" w:sz="0" w:space="0" w:color="auto"/>
        <w:bottom w:val="none" w:sz="0" w:space="0" w:color="auto"/>
        <w:right w:val="none" w:sz="0" w:space="0" w:color="auto"/>
      </w:divBdr>
    </w:div>
    <w:div w:id="991904543">
      <w:bodyDiv w:val="1"/>
      <w:marLeft w:val="0"/>
      <w:marRight w:val="0"/>
      <w:marTop w:val="0"/>
      <w:marBottom w:val="0"/>
      <w:divBdr>
        <w:top w:val="none" w:sz="0" w:space="0" w:color="auto"/>
        <w:left w:val="none" w:sz="0" w:space="0" w:color="auto"/>
        <w:bottom w:val="none" w:sz="0" w:space="0" w:color="auto"/>
        <w:right w:val="none" w:sz="0" w:space="0" w:color="auto"/>
      </w:divBdr>
    </w:div>
    <w:div w:id="1033506944">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454903282">
      <w:bodyDiv w:val="1"/>
      <w:marLeft w:val="0"/>
      <w:marRight w:val="0"/>
      <w:marTop w:val="0"/>
      <w:marBottom w:val="0"/>
      <w:divBdr>
        <w:top w:val="none" w:sz="0" w:space="0" w:color="auto"/>
        <w:left w:val="none" w:sz="0" w:space="0" w:color="auto"/>
        <w:bottom w:val="none" w:sz="0" w:space="0" w:color="auto"/>
        <w:right w:val="none" w:sz="0" w:space="0" w:color="auto"/>
      </w:divBdr>
    </w:div>
    <w:div w:id="1468739924">
      <w:bodyDiv w:val="1"/>
      <w:marLeft w:val="0"/>
      <w:marRight w:val="0"/>
      <w:marTop w:val="0"/>
      <w:marBottom w:val="0"/>
      <w:divBdr>
        <w:top w:val="none" w:sz="0" w:space="0" w:color="auto"/>
        <w:left w:val="none" w:sz="0" w:space="0" w:color="auto"/>
        <w:bottom w:val="none" w:sz="0" w:space="0" w:color="auto"/>
        <w:right w:val="none" w:sz="0" w:space="0" w:color="auto"/>
      </w:divBdr>
    </w:div>
    <w:div w:id="1478761650">
      <w:bodyDiv w:val="1"/>
      <w:marLeft w:val="0"/>
      <w:marRight w:val="0"/>
      <w:marTop w:val="0"/>
      <w:marBottom w:val="0"/>
      <w:divBdr>
        <w:top w:val="none" w:sz="0" w:space="0" w:color="auto"/>
        <w:left w:val="none" w:sz="0" w:space="0" w:color="auto"/>
        <w:bottom w:val="none" w:sz="0" w:space="0" w:color="auto"/>
        <w:right w:val="none" w:sz="0" w:space="0" w:color="auto"/>
      </w:divBdr>
    </w:div>
    <w:div w:id="1732731881">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05750549">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19681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AH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1D25-A257-48E1-9B2A-6179A59B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899</Words>
  <Characters>5126</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4784203</vt:i4>
      </vt:variant>
      <vt:variant>
        <vt:i4>0</vt:i4>
      </vt:variant>
      <vt:variant>
        <vt:i4>0</vt:i4>
      </vt:variant>
      <vt:variant>
        <vt:i4>5</vt:i4>
      </vt:variant>
      <vt:variant>
        <vt:lpwstr>https://www.ikprress.org/index.php/AJAHSS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11</cp:revision>
  <dcterms:created xsi:type="dcterms:W3CDTF">2025-07-15T03:59:00Z</dcterms:created>
  <dcterms:modified xsi:type="dcterms:W3CDTF">2025-07-22T09:23:00Z</dcterms:modified>
</cp:coreProperties>
</file>