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2197" w14:textId="4C3924CB" w:rsidR="000F3B2F" w:rsidRPr="003B70AC" w:rsidRDefault="00000000">
      <w:pPr>
        <w:spacing w:before="100" w:beforeAutospacing="1" w:after="100" w:afterAutospacing="1" w:line="360" w:lineRule="auto"/>
        <w:jc w:val="center"/>
        <w:outlineLvl w:val="1"/>
        <w:rPr>
          <w:rFonts w:ascii="Times New Roman" w:eastAsia="Times New Roman" w:hAnsi="Times New Roman" w:cs="Times New Roman"/>
          <w:b/>
          <w:bCs/>
          <w:kern w:val="0"/>
          <w:sz w:val="32"/>
          <w:szCs w:val="32"/>
          <w:lang w:eastAsia="en-IN"/>
          <w14:ligatures w14:val="none"/>
        </w:rPr>
      </w:pPr>
      <w:r w:rsidRPr="003B70AC">
        <w:rPr>
          <w:rFonts w:ascii="Times New Roman" w:eastAsia="Times New Roman" w:hAnsi="Times New Roman" w:cs="Times New Roman"/>
          <w:b/>
          <w:bCs/>
          <w:kern w:val="0"/>
          <w:sz w:val="32"/>
          <w:szCs w:val="32"/>
          <w:lang w:eastAsia="en-IN"/>
          <w14:ligatures w14:val="none"/>
        </w:rPr>
        <w:t>Role of Marker Assisted Selection in Enhancing yield and quality traits in vegetable crops</w:t>
      </w:r>
    </w:p>
    <w:p w14:paraId="0123E9AB" w14:textId="77777777" w:rsidR="00774C33" w:rsidRDefault="00774C33">
      <w:pPr>
        <w:spacing w:before="100" w:beforeAutospacing="1" w:after="100" w:afterAutospacing="1" w:line="360" w:lineRule="auto"/>
        <w:jc w:val="both"/>
        <w:outlineLvl w:val="1"/>
        <w:rPr>
          <w:rFonts w:ascii="Times New Roman" w:eastAsia="Times New Roman" w:hAnsi="Times New Roman" w:cs="Times New Roman"/>
          <w:b/>
          <w:bCs/>
          <w:kern w:val="0"/>
          <w:lang w:eastAsia="en-IN"/>
          <w14:ligatures w14:val="none"/>
        </w:rPr>
      </w:pPr>
    </w:p>
    <w:p w14:paraId="285FD093" w14:textId="370976EB" w:rsidR="000F3B2F" w:rsidRDefault="00000000">
      <w:pPr>
        <w:spacing w:before="100" w:beforeAutospacing="1" w:after="100" w:afterAutospacing="1" w:line="360" w:lineRule="auto"/>
        <w:jc w:val="both"/>
        <w:outlineLvl w:val="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Abstract</w:t>
      </w:r>
    </w:p>
    <w:p w14:paraId="7ED15CDB"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Vegetable crops are fundamental to global food and nutritional security, contributing essential vitamins, minerals, and bioactive compounds to human diets. However, conventional breeding methods often fall short in meeting the rising demand for high-yielding, nutritionally superior, and climate-resilient vegetable varieties due to the complex, polygenic nature of key traits and their interactions with the environment. Marker-Assisted Selection (MAS) has emerged as a powerful tool to overcome these challenges by enabling precise, early, and efficient selection of genotypes based on molecular markers linked to desirable traits. This review presents a comprehensive overview of the role of MAS in improving yield and quality traits in vegetable crops. It explores the conceptual framework of MAS, including the types of molecular markers, strategies for QTL mapping, and marker deployment in breeding programs. The genetic basis of yield components, nutritional quality, flavour, texture, and stress resilience is discussed, highlighting how MAS enables targeted improvement of complex traits. Real-world applications are illustrated through successful case studies, such as the development of TYLCV-resistant tomato hybrids and biofortified carrots with elevated beta-carotene content.</w:t>
      </w:r>
    </w:p>
    <w:p w14:paraId="40E44C5F"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 xml:space="preserve">Keywords: </w:t>
      </w:r>
      <w:r>
        <w:rPr>
          <w:rFonts w:ascii="Times New Roman" w:hAnsi="Times New Roman" w:cs="Times New Roman"/>
        </w:rPr>
        <w:t>Marker-Assisted Selection (MAS), Vegetable Crop Improvement, Yield and, Quality Traits, Molecular Breeding Technologies, Genomic Integration in Plant Breeding</w:t>
      </w:r>
    </w:p>
    <w:p w14:paraId="1152BA72"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Introduction</w:t>
      </w:r>
    </w:p>
    <w:p w14:paraId="2DC76A67"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Importance of Vegetable Crops in Global Agriculture</w:t>
      </w:r>
    </w:p>
    <w:p w14:paraId="5649B3BA" w14:textId="77777777" w:rsidR="000F3B2F" w:rsidRDefault="00000000">
      <w:pPr>
        <w:spacing w:line="360" w:lineRule="auto"/>
        <w:jc w:val="both"/>
        <w:rPr>
          <w:rFonts w:ascii="Times New Roman" w:hAnsi="Times New Roman" w:cs="Times New Roman"/>
        </w:rPr>
      </w:pPr>
      <w:r>
        <w:rPr>
          <w:rFonts w:ascii="Times New Roman" w:hAnsi="Times New Roman" w:cs="Times New Roman"/>
        </w:rPr>
        <w:t>Vegetable crops play a vital role in global agriculture, nutrition, food security, and the economy. (1,</w:t>
      </w:r>
      <w:proofErr w:type="gramStart"/>
      <w:r>
        <w:rPr>
          <w:rFonts w:ascii="Times New Roman" w:hAnsi="Times New Roman" w:cs="Times New Roman"/>
        </w:rPr>
        <w:t>2)They</w:t>
      </w:r>
      <w:proofErr w:type="gramEnd"/>
      <w:r>
        <w:rPr>
          <w:rFonts w:ascii="Times New Roman" w:hAnsi="Times New Roman" w:cs="Times New Roman"/>
        </w:rPr>
        <w:t xml:space="preserve"> are an essential source of vitamins, minerals, dietary fiber, and antioxidants, which are crucial for human health and well-being. Vegetables like tomatoes, carrots, spinach, onions, cucumbers, and peppers are staple components of diets worldwide and are often recommended by health organizations to combat malnutrition and prevent non-communicable diseases such as diabetes, cardiovascular disorders, and certain types of </w:t>
      </w:r>
      <w:proofErr w:type="gramStart"/>
      <w:r>
        <w:rPr>
          <w:rFonts w:ascii="Times New Roman" w:hAnsi="Times New Roman" w:cs="Times New Roman"/>
        </w:rPr>
        <w:t>cancer.(</w:t>
      </w:r>
      <w:proofErr w:type="gramEnd"/>
      <w:r>
        <w:rPr>
          <w:rFonts w:ascii="Times New Roman" w:hAnsi="Times New Roman" w:cs="Times New Roman"/>
        </w:rPr>
        <w:t>2,3)</w:t>
      </w:r>
    </w:p>
    <w:p w14:paraId="6480DD41"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 xml:space="preserve">From an economic perspective, vegetables constitute a significant portion of the horticulture sector, contributing substantially to farm incomes and employment generation. In many developing countries, smallholder farmers depend heavily on vegetable production for their </w:t>
      </w:r>
      <w:proofErr w:type="gramStart"/>
      <w:r>
        <w:rPr>
          <w:rFonts w:ascii="Times New Roman" w:hAnsi="Times New Roman" w:cs="Times New Roman"/>
        </w:rPr>
        <w:t>livelihoods.(</w:t>
      </w:r>
      <w:proofErr w:type="gramEnd"/>
      <w:r>
        <w:rPr>
          <w:rFonts w:ascii="Times New Roman" w:hAnsi="Times New Roman" w:cs="Times New Roman"/>
        </w:rPr>
        <w:t xml:space="preserve">5,6) The global vegetable market is expanding rapidly, driven by urbanization, rising incomes, and growing consumer awareness of health and </w:t>
      </w:r>
      <w:proofErr w:type="gramStart"/>
      <w:r>
        <w:rPr>
          <w:rFonts w:ascii="Times New Roman" w:hAnsi="Times New Roman" w:cs="Times New Roman"/>
        </w:rPr>
        <w:t>nutrition.(</w:t>
      </w:r>
      <w:proofErr w:type="gramEnd"/>
      <w:r>
        <w:rPr>
          <w:rFonts w:ascii="Times New Roman" w:hAnsi="Times New Roman" w:cs="Times New Roman"/>
        </w:rPr>
        <w:t>3,4)</w:t>
      </w:r>
    </w:p>
    <w:p w14:paraId="3EB4FC07"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However, despite their importance, vegetable crops are often more sensitive to environmental stresses than cereals or pulses. They exhibit a wide range of phenotypic diversity, are prone to pest and disease attacks, and require intensive care for quality and shelf-life maintenance. Moreover, in the face of climate change, water scarcity, and declining arable land, there is a pressing need to enhance the productivity and quality of vegetable crops through scientific </w:t>
      </w:r>
      <w:proofErr w:type="gramStart"/>
      <w:r>
        <w:rPr>
          <w:rFonts w:ascii="Times New Roman" w:hAnsi="Times New Roman" w:cs="Times New Roman"/>
        </w:rPr>
        <w:t>innovations.(</w:t>
      </w:r>
      <w:proofErr w:type="gramEnd"/>
      <w:r>
        <w:rPr>
          <w:rFonts w:ascii="Times New Roman" w:hAnsi="Times New Roman" w:cs="Times New Roman"/>
        </w:rPr>
        <w:t>3,4)</w:t>
      </w:r>
    </w:p>
    <w:p w14:paraId="40356439"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Challenges in Conventional Vegetable Breeding</w:t>
      </w:r>
    </w:p>
    <w:p w14:paraId="5B52A3B7"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Traditional breeding methods, although successful in developing improved cultivars over the years, face several inherent limitations when applied to vegetable </w:t>
      </w:r>
      <w:proofErr w:type="gramStart"/>
      <w:r>
        <w:rPr>
          <w:rFonts w:ascii="Times New Roman" w:hAnsi="Times New Roman" w:cs="Times New Roman"/>
        </w:rPr>
        <w:t>crops.(</w:t>
      </w:r>
      <w:proofErr w:type="gramEnd"/>
      <w:r>
        <w:rPr>
          <w:rFonts w:ascii="Times New Roman" w:hAnsi="Times New Roman" w:cs="Times New Roman"/>
        </w:rPr>
        <w:t xml:space="preserve">1,2) Conventional breeding primarily relies on phenotypic selection, which is often influenced by environmental factors and may not reflect the true genetic potential of a genotype. Furthermore, most economically important traits in vegetables—such as yield, nutrient content, fruit firmness, flavour, and resistance to biotic and abiotic stresses—are quantitatively inherited and governed by multiple genes with small individual effects, making their improvement through conventional methods slow and </w:t>
      </w:r>
      <w:proofErr w:type="gramStart"/>
      <w:r>
        <w:rPr>
          <w:rFonts w:ascii="Times New Roman" w:hAnsi="Times New Roman" w:cs="Times New Roman"/>
        </w:rPr>
        <w:t>cumbersome.(</w:t>
      </w:r>
      <w:proofErr w:type="gramEnd"/>
      <w:r>
        <w:rPr>
          <w:rFonts w:ascii="Times New Roman" w:hAnsi="Times New Roman" w:cs="Times New Roman"/>
        </w:rPr>
        <w:t>5,6)</w:t>
      </w:r>
    </w:p>
    <w:p w14:paraId="0C5F887D"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Another limitation of traditional breeding is the long breeding cycle, particularly in perennial or biennial vegetables like onion and carrot. The process of selecting, crossing, evaluating, and releasing new cultivars can take more than a decade. Additionally, the narrow genetic base in some cultivated vegetable species restricts breeders' ability to introduce novel traits or broaden diversity. Linkage </w:t>
      </w:r>
      <w:proofErr w:type="gramStart"/>
      <w:r>
        <w:rPr>
          <w:rFonts w:ascii="Times New Roman" w:hAnsi="Times New Roman" w:cs="Times New Roman"/>
        </w:rPr>
        <w:t>drag</w:t>
      </w:r>
      <w:proofErr w:type="gramEnd"/>
      <w:r>
        <w:rPr>
          <w:rFonts w:ascii="Times New Roman" w:hAnsi="Times New Roman" w:cs="Times New Roman"/>
        </w:rPr>
        <w:t xml:space="preserve"> from wild relatives and lack of precise tools for introgression further complicate the breeding process. (7,8)</w:t>
      </w:r>
    </w:p>
    <w:p w14:paraId="4803D131" w14:textId="77777777" w:rsidR="000F3B2F" w:rsidRDefault="00000000">
      <w:pPr>
        <w:spacing w:line="360" w:lineRule="auto"/>
        <w:jc w:val="both"/>
        <w:rPr>
          <w:rFonts w:ascii="Times New Roman" w:hAnsi="Times New Roman" w:cs="Times New Roman"/>
        </w:rPr>
      </w:pPr>
      <w:r>
        <w:rPr>
          <w:rFonts w:ascii="Times New Roman" w:hAnsi="Times New Roman" w:cs="Times New Roman"/>
        </w:rPr>
        <w:t>In the context of rising consumer expectations for better quality, uniformity, and nutritional value, breeders face the complex challenge of developing varieties that meet market demands while ensuring resilience to environmental fluctuations. There is also increasing pressure to reduce pesticide and fertilizer usage, which underscores the need for intrinsic resistance and input efficiency traits in vegetables. (7,8)</w:t>
      </w:r>
    </w:p>
    <w:p w14:paraId="557D1DF7"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To overcome these challenges, integrating modern molecular tools with conventional breeding offers a promising path forward. Marker-Assisted Selection (MAS) has emerged as one such transformative approach that can significantly enhance the efficiency, precision, and speed of vegetable breeding programs. (3,4)</w:t>
      </w:r>
    </w:p>
    <w:p w14:paraId="3BF36C6A"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Emergence and Evolution of Molecular Breeding</w:t>
      </w:r>
    </w:p>
    <w:p w14:paraId="0492F6A1" w14:textId="77777777" w:rsidR="000F3B2F" w:rsidRDefault="00000000">
      <w:pPr>
        <w:spacing w:line="360" w:lineRule="auto"/>
        <w:jc w:val="both"/>
        <w:rPr>
          <w:rFonts w:ascii="Times New Roman" w:hAnsi="Times New Roman" w:cs="Times New Roman"/>
        </w:rPr>
      </w:pPr>
      <w:r>
        <w:rPr>
          <w:rFonts w:ascii="Times New Roman" w:hAnsi="Times New Roman" w:cs="Times New Roman"/>
        </w:rPr>
        <w:t>Molecular breeding refers to the use of genetic markers—heritable DNA sequences associated with specific traits—to guide selection decisions in plant breeding. Since the discovery of Restriction Fragment Length Polymorphism (RFLP) in the 1980s, a variety of molecular markers such as RAPD (Random Amplified Polymorphic DNA), AFLP (Amplified Fragment Length Polymorphism), SSR (Simple Sequence Repeats), and SNPs (Single Nucleotide Polymorphisms) have been developed and used for different applications. (2,3)</w:t>
      </w:r>
    </w:p>
    <w:p w14:paraId="150C22FB"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These markers are not affected by the environment, are abundant in the genome, and can be detected at any stage of plant growth. This allows for early and accurate selection of desirable traits, reducing the need for lengthy field evaluations and generation advancement. (5,6) The evolution of high-throughput genotyping platforms and next-generation sequencing (NGS) has further accelerated the discovery of marker-trait associations and facilitated their deployment in breeding pipelines.  (8,9)</w:t>
      </w:r>
    </w:p>
    <w:p w14:paraId="0DA6BC45" w14:textId="77777777" w:rsidR="000F3B2F" w:rsidRDefault="00000000">
      <w:pPr>
        <w:spacing w:line="360" w:lineRule="auto"/>
        <w:jc w:val="both"/>
        <w:rPr>
          <w:rFonts w:ascii="Times New Roman" w:hAnsi="Times New Roman" w:cs="Times New Roman"/>
        </w:rPr>
      </w:pPr>
      <w:r>
        <w:rPr>
          <w:rFonts w:ascii="Times New Roman" w:hAnsi="Times New Roman" w:cs="Times New Roman"/>
        </w:rPr>
        <w:t>Marker-Assisted Selection is a key component of molecular breeding, where markers tightly linked to trait-controlling genes or quantitative trait loci (QTLs) are used to select plants with favorable alleles. MAS enables breeders to track and pyramid multiple genes for complex traits, screen large populations efficiently, and improve traits that are otherwise difficult to assess phenotypically. (9,10)</w:t>
      </w:r>
    </w:p>
    <w:p w14:paraId="509168AD"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Scope of MAS in Vegetable Crop Improvement</w:t>
      </w:r>
    </w:p>
    <w:p w14:paraId="756984DE" w14:textId="77777777" w:rsidR="000F3B2F" w:rsidRDefault="00000000">
      <w:pPr>
        <w:spacing w:line="360" w:lineRule="auto"/>
        <w:jc w:val="both"/>
        <w:rPr>
          <w:rFonts w:ascii="Times New Roman" w:hAnsi="Times New Roman" w:cs="Times New Roman"/>
        </w:rPr>
      </w:pPr>
      <w:r>
        <w:rPr>
          <w:rFonts w:ascii="Times New Roman" w:hAnsi="Times New Roman" w:cs="Times New Roman"/>
        </w:rPr>
        <w:t>MAS has been successfully applied in cereals and legume crops like rice, wheat, and soybean for traits such as disease resistance, drought tolerance, and grain quality. In vegetables, its adoption has been relatively recent but is gaining momentum due to advancements in molecular genetics and increasing availability of crop-specific genomic resources. (11,12)</w:t>
      </w:r>
    </w:p>
    <w:p w14:paraId="6C1B388C"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Vegetable crops present unique opportunities and challenges for MAS. On one hand, the relatively small genome size of many vegetables (e.g., tomato, cucumber) makes them amenable to whole-genome analysis and marker development. On the other hand, the high </w:t>
      </w:r>
      <w:r>
        <w:rPr>
          <w:rFonts w:ascii="Times New Roman" w:hAnsi="Times New Roman" w:cs="Times New Roman"/>
        </w:rPr>
        <w:lastRenderedPageBreak/>
        <w:t>degree of heterozygosity, vegetative propagation (e.g., potato), and diverse reproductive strategies across species require customized breeding approaches. (13,14)</w:t>
      </w:r>
    </w:p>
    <w:p w14:paraId="6B555575" w14:textId="77777777" w:rsidR="000F3B2F" w:rsidRDefault="00000000">
      <w:pPr>
        <w:spacing w:line="360" w:lineRule="auto"/>
        <w:jc w:val="both"/>
        <w:rPr>
          <w:rFonts w:ascii="Times New Roman" w:hAnsi="Times New Roman" w:cs="Times New Roman"/>
        </w:rPr>
      </w:pPr>
      <w:r>
        <w:rPr>
          <w:rFonts w:ascii="Times New Roman" w:hAnsi="Times New Roman" w:cs="Times New Roman"/>
        </w:rPr>
        <w:t>Despite these complexities, MAS is being increasingly used to improve several key traits in vegetables:</w:t>
      </w:r>
    </w:p>
    <w:p w14:paraId="43BC5A6C" w14:textId="77777777" w:rsidR="000F3B2F" w:rsidRDefault="00000000">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Yield-related traits</w:t>
      </w:r>
      <w:r>
        <w:rPr>
          <w:rFonts w:ascii="Times New Roman" w:hAnsi="Times New Roman" w:cs="Times New Roman"/>
        </w:rPr>
        <w:t>: fruit size, number, plant architecture, early maturity. (7)</w:t>
      </w:r>
    </w:p>
    <w:p w14:paraId="2BE5B0E2" w14:textId="77777777" w:rsidR="000F3B2F" w:rsidRDefault="00000000">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Quality traits</w:t>
      </w:r>
      <w:r>
        <w:rPr>
          <w:rFonts w:ascii="Times New Roman" w:hAnsi="Times New Roman" w:cs="Times New Roman"/>
        </w:rPr>
        <w:t>: sugar content, colour, texture, shelf-life, and nutritional components such as lycopene, carotenoids, vitamin C, and flavonoids. (8)</w:t>
      </w:r>
    </w:p>
    <w:p w14:paraId="25BFAB2A" w14:textId="77777777" w:rsidR="000F3B2F" w:rsidRDefault="00000000">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Resistance traits</w:t>
      </w:r>
      <w:r>
        <w:rPr>
          <w:rFonts w:ascii="Times New Roman" w:hAnsi="Times New Roman" w:cs="Times New Roman"/>
        </w:rPr>
        <w:t>: resistance to fungal, bacterial, and viral pathogens, as well as insect pests. (8)</w:t>
      </w:r>
    </w:p>
    <w:p w14:paraId="451634A9" w14:textId="77777777" w:rsidR="000F3B2F" w:rsidRDefault="00000000">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Tolerance traits</w:t>
      </w:r>
      <w:r>
        <w:rPr>
          <w:rFonts w:ascii="Times New Roman" w:hAnsi="Times New Roman" w:cs="Times New Roman"/>
        </w:rPr>
        <w:t>: tolerance to abiotic stresses such as drought, salinity, and heat. (7)</w:t>
      </w:r>
    </w:p>
    <w:p w14:paraId="7FEF1F64"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application of MAS in vegetable breeding is also aligned with the goals of climate-smart agriculture and sustainable intensification. By enabling the development of varieties that require fewer inputs and can withstand environmental stresses, MAS contributes to resource-use efficiency and environmental protection. (4,6)</w:t>
      </w:r>
    </w:p>
    <w:p w14:paraId="13944407"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Conceptual Framework of Marker-Assisted Selection (MAS)</w:t>
      </w:r>
    </w:p>
    <w:p w14:paraId="3A028E65" w14:textId="77777777" w:rsidR="000F3B2F" w:rsidRDefault="00000000">
      <w:pPr>
        <w:spacing w:line="360" w:lineRule="auto"/>
        <w:jc w:val="both"/>
        <w:rPr>
          <w:rFonts w:ascii="Times New Roman" w:hAnsi="Times New Roman" w:cs="Times New Roman"/>
        </w:rPr>
      </w:pPr>
      <w:r>
        <w:rPr>
          <w:rFonts w:ascii="Times New Roman" w:hAnsi="Times New Roman" w:cs="Times New Roman"/>
        </w:rPr>
        <w:t>Marker-Assisted Selection (MAS) represents a powerful convergence of molecular biology and classical plant breeding, offering a high-precision tool for improving complex traits in crops.  (3,</w:t>
      </w:r>
      <w:proofErr w:type="gramStart"/>
      <w:r>
        <w:rPr>
          <w:rFonts w:ascii="Times New Roman" w:hAnsi="Times New Roman" w:cs="Times New Roman"/>
        </w:rPr>
        <w:t>5)Especially</w:t>
      </w:r>
      <w:proofErr w:type="gramEnd"/>
      <w:r>
        <w:rPr>
          <w:rFonts w:ascii="Times New Roman" w:hAnsi="Times New Roman" w:cs="Times New Roman"/>
        </w:rPr>
        <w:t xml:space="preserve"> in vegetable crops, where many desirable attributes are controlled by multiple genes and often influenced by environmental interactions, MAS enables plant breeders to make informed selections at the DNA level rather than relying solely on phenotype. This approach not only improves the accuracy of selection but also significantly shortens the breeding cycle, which is particularly advantageous for species with longer generation times or traits that are difficult to assess in early growth stages. (7,8)</w:t>
      </w:r>
    </w:p>
    <w:p w14:paraId="0F1D87F8" w14:textId="77777777" w:rsidR="000F3B2F" w:rsidRDefault="000F3B2F">
      <w:pPr>
        <w:spacing w:line="360" w:lineRule="auto"/>
        <w:jc w:val="center"/>
        <w:rPr>
          <w:rFonts w:ascii="Times New Roman" w:hAnsi="Times New Roman" w:cs="Times New Roman"/>
          <w:b/>
          <w:bCs/>
        </w:rPr>
      </w:pPr>
    </w:p>
    <w:p w14:paraId="7AF5EF4F" w14:textId="77777777" w:rsidR="000F3B2F" w:rsidRDefault="00000000">
      <w:pPr>
        <w:spacing w:line="360" w:lineRule="auto"/>
        <w:jc w:val="cente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i/>
          <w:iCs/>
        </w:rPr>
        <w:t>Table 1. Types of Molecular Markers Used in MAS</w:t>
      </w:r>
    </w:p>
    <w:tbl>
      <w:tblPr>
        <w:tblW w:w="9358" w:type="dxa"/>
        <w:tblCellSpacing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83"/>
        <w:gridCol w:w="2324"/>
        <w:gridCol w:w="1203"/>
        <w:gridCol w:w="2467"/>
        <w:gridCol w:w="2381"/>
      </w:tblGrid>
      <w:tr w:rsidR="000F3B2F" w14:paraId="6BF2EC67" w14:textId="77777777">
        <w:trPr>
          <w:trHeight w:val="911"/>
          <w:tblHeader/>
          <w:tblCellSpacing w:w="15" w:type="dxa"/>
        </w:trPr>
        <w:tc>
          <w:tcPr>
            <w:tcW w:w="0" w:type="auto"/>
            <w:vAlign w:val="center"/>
            <w:hideMark/>
          </w:tcPr>
          <w:p w14:paraId="47EAAF12" w14:textId="77777777" w:rsidR="000F3B2F" w:rsidRDefault="00000000">
            <w:pPr>
              <w:rPr>
                <w:rFonts w:ascii="Times New Roman" w:hAnsi="Times New Roman" w:cs="Times New Roman"/>
              </w:rPr>
            </w:pPr>
            <w:r>
              <w:rPr>
                <w:rFonts w:ascii="Times New Roman" w:hAnsi="Times New Roman" w:cs="Times New Roman"/>
              </w:rPr>
              <w:lastRenderedPageBreak/>
              <w:t>Marker Type</w:t>
            </w:r>
          </w:p>
        </w:tc>
        <w:tc>
          <w:tcPr>
            <w:tcW w:w="0" w:type="auto"/>
            <w:vAlign w:val="center"/>
            <w:hideMark/>
          </w:tcPr>
          <w:p w14:paraId="114B2BAB" w14:textId="77777777" w:rsidR="000F3B2F" w:rsidRDefault="00000000">
            <w:pPr>
              <w:rPr>
                <w:rFonts w:ascii="Times New Roman" w:hAnsi="Times New Roman" w:cs="Times New Roman"/>
              </w:rPr>
            </w:pPr>
            <w:r>
              <w:rPr>
                <w:rFonts w:ascii="Times New Roman" w:hAnsi="Times New Roman" w:cs="Times New Roman"/>
              </w:rPr>
              <w:t>Detection Method</w:t>
            </w:r>
          </w:p>
        </w:tc>
        <w:tc>
          <w:tcPr>
            <w:tcW w:w="0" w:type="auto"/>
            <w:vAlign w:val="center"/>
            <w:hideMark/>
          </w:tcPr>
          <w:p w14:paraId="0BD708B4" w14:textId="77777777" w:rsidR="000F3B2F" w:rsidRDefault="00000000">
            <w:pPr>
              <w:rPr>
                <w:rFonts w:ascii="Times New Roman" w:hAnsi="Times New Roman" w:cs="Times New Roman"/>
              </w:rPr>
            </w:pPr>
            <w:r>
              <w:rPr>
                <w:rFonts w:ascii="Times New Roman" w:hAnsi="Times New Roman" w:cs="Times New Roman"/>
              </w:rPr>
              <w:t>Inheritance</w:t>
            </w:r>
          </w:p>
        </w:tc>
        <w:tc>
          <w:tcPr>
            <w:tcW w:w="0" w:type="auto"/>
            <w:vAlign w:val="center"/>
            <w:hideMark/>
          </w:tcPr>
          <w:p w14:paraId="5375A31A" w14:textId="77777777" w:rsidR="000F3B2F" w:rsidRDefault="00000000">
            <w:pPr>
              <w:rPr>
                <w:rFonts w:ascii="Times New Roman" w:hAnsi="Times New Roman" w:cs="Times New Roman"/>
              </w:rPr>
            </w:pPr>
            <w:r>
              <w:rPr>
                <w:rFonts w:ascii="Times New Roman" w:hAnsi="Times New Roman" w:cs="Times New Roman"/>
              </w:rPr>
              <w:t>Advantages</w:t>
            </w:r>
          </w:p>
        </w:tc>
        <w:tc>
          <w:tcPr>
            <w:tcW w:w="0" w:type="auto"/>
            <w:vAlign w:val="center"/>
            <w:hideMark/>
          </w:tcPr>
          <w:p w14:paraId="62FF01BF" w14:textId="77777777" w:rsidR="000F3B2F" w:rsidRDefault="00000000">
            <w:pPr>
              <w:rPr>
                <w:rFonts w:ascii="Times New Roman" w:hAnsi="Times New Roman" w:cs="Times New Roman"/>
              </w:rPr>
            </w:pPr>
            <w:r>
              <w:rPr>
                <w:rFonts w:ascii="Times New Roman" w:hAnsi="Times New Roman" w:cs="Times New Roman"/>
              </w:rPr>
              <w:t>Limitations</w:t>
            </w:r>
          </w:p>
        </w:tc>
      </w:tr>
      <w:tr w:rsidR="000F3B2F" w14:paraId="65FAF05D" w14:textId="77777777">
        <w:trPr>
          <w:trHeight w:val="911"/>
          <w:tblCellSpacing w:w="15" w:type="dxa"/>
        </w:trPr>
        <w:tc>
          <w:tcPr>
            <w:tcW w:w="0" w:type="auto"/>
            <w:vAlign w:val="center"/>
            <w:hideMark/>
          </w:tcPr>
          <w:p w14:paraId="61641A76" w14:textId="77777777" w:rsidR="000F3B2F" w:rsidRDefault="00000000">
            <w:pPr>
              <w:rPr>
                <w:rFonts w:ascii="Times New Roman" w:hAnsi="Times New Roman" w:cs="Times New Roman"/>
              </w:rPr>
            </w:pPr>
            <w:r>
              <w:rPr>
                <w:rFonts w:ascii="Times New Roman" w:hAnsi="Times New Roman" w:cs="Times New Roman"/>
              </w:rPr>
              <w:t>RFLP</w:t>
            </w:r>
          </w:p>
        </w:tc>
        <w:tc>
          <w:tcPr>
            <w:tcW w:w="0" w:type="auto"/>
            <w:vAlign w:val="center"/>
            <w:hideMark/>
          </w:tcPr>
          <w:p w14:paraId="58580233" w14:textId="77777777" w:rsidR="000F3B2F" w:rsidRDefault="00000000">
            <w:pPr>
              <w:rPr>
                <w:rFonts w:ascii="Times New Roman" w:hAnsi="Times New Roman" w:cs="Times New Roman"/>
              </w:rPr>
            </w:pPr>
            <w:r>
              <w:rPr>
                <w:rFonts w:ascii="Times New Roman" w:hAnsi="Times New Roman" w:cs="Times New Roman"/>
              </w:rPr>
              <w:t>Restriction digestion + probe hybridization</w:t>
            </w:r>
          </w:p>
        </w:tc>
        <w:tc>
          <w:tcPr>
            <w:tcW w:w="0" w:type="auto"/>
            <w:vAlign w:val="center"/>
            <w:hideMark/>
          </w:tcPr>
          <w:p w14:paraId="4359367E" w14:textId="77777777" w:rsidR="000F3B2F" w:rsidRDefault="00000000">
            <w:pPr>
              <w:rPr>
                <w:rFonts w:ascii="Times New Roman" w:hAnsi="Times New Roman" w:cs="Times New Roman"/>
              </w:rPr>
            </w:pPr>
            <w:r>
              <w:rPr>
                <w:rFonts w:ascii="Times New Roman" w:hAnsi="Times New Roman" w:cs="Times New Roman"/>
              </w:rPr>
              <w:t>Co-dominant</w:t>
            </w:r>
          </w:p>
        </w:tc>
        <w:tc>
          <w:tcPr>
            <w:tcW w:w="0" w:type="auto"/>
            <w:vAlign w:val="center"/>
            <w:hideMark/>
          </w:tcPr>
          <w:p w14:paraId="508C630E" w14:textId="77777777" w:rsidR="000F3B2F" w:rsidRDefault="00000000">
            <w:pPr>
              <w:rPr>
                <w:rFonts w:ascii="Times New Roman" w:hAnsi="Times New Roman" w:cs="Times New Roman"/>
              </w:rPr>
            </w:pPr>
            <w:r>
              <w:rPr>
                <w:rFonts w:ascii="Times New Roman" w:hAnsi="Times New Roman" w:cs="Times New Roman"/>
              </w:rPr>
              <w:t>High accuracy, first-generation marker</w:t>
            </w:r>
          </w:p>
        </w:tc>
        <w:tc>
          <w:tcPr>
            <w:tcW w:w="0" w:type="auto"/>
            <w:vAlign w:val="center"/>
            <w:hideMark/>
          </w:tcPr>
          <w:p w14:paraId="34C0DD6A" w14:textId="77777777" w:rsidR="000F3B2F" w:rsidRDefault="00000000">
            <w:pPr>
              <w:rPr>
                <w:rFonts w:ascii="Times New Roman" w:hAnsi="Times New Roman" w:cs="Times New Roman"/>
              </w:rPr>
            </w:pPr>
            <w:r>
              <w:rPr>
                <w:rFonts w:ascii="Times New Roman" w:hAnsi="Times New Roman" w:cs="Times New Roman"/>
              </w:rPr>
              <w:t>Labor-intensive, low throughput</w:t>
            </w:r>
          </w:p>
        </w:tc>
      </w:tr>
      <w:tr w:rsidR="000F3B2F" w14:paraId="2A39B2B1" w14:textId="77777777">
        <w:trPr>
          <w:trHeight w:val="920"/>
          <w:tblCellSpacing w:w="15" w:type="dxa"/>
        </w:trPr>
        <w:tc>
          <w:tcPr>
            <w:tcW w:w="0" w:type="auto"/>
            <w:vAlign w:val="center"/>
            <w:hideMark/>
          </w:tcPr>
          <w:p w14:paraId="66E41D37" w14:textId="77777777" w:rsidR="000F3B2F" w:rsidRDefault="00000000">
            <w:pPr>
              <w:rPr>
                <w:rFonts w:ascii="Times New Roman" w:hAnsi="Times New Roman" w:cs="Times New Roman"/>
              </w:rPr>
            </w:pPr>
            <w:r>
              <w:rPr>
                <w:rFonts w:ascii="Times New Roman" w:hAnsi="Times New Roman" w:cs="Times New Roman"/>
              </w:rPr>
              <w:t>RAPD</w:t>
            </w:r>
          </w:p>
        </w:tc>
        <w:tc>
          <w:tcPr>
            <w:tcW w:w="0" w:type="auto"/>
            <w:vAlign w:val="center"/>
            <w:hideMark/>
          </w:tcPr>
          <w:p w14:paraId="5841A35E" w14:textId="77777777" w:rsidR="000F3B2F" w:rsidRDefault="00000000">
            <w:pPr>
              <w:rPr>
                <w:rFonts w:ascii="Times New Roman" w:hAnsi="Times New Roman" w:cs="Times New Roman"/>
              </w:rPr>
            </w:pPr>
            <w:r>
              <w:rPr>
                <w:rFonts w:ascii="Times New Roman" w:hAnsi="Times New Roman" w:cs="Times New Roman"/>
              </w:rPr>
              <w:t>PCR with arbitrary primers</w:t>
            </w:r>
          </w:p>
        </w:tc>
        <w:tc>
          <w:tcPr>
            <w:tcW w:w="0" w:type="auto"/>
            <w:vAlign w:val="center"/>
            <w:hideMark/>
          </w:tcPr>
          <w:p w14:paraId="69252590" w14:textId="77777777" w:rsidR="000F3B2F" w:rsidRDefault="00000000">
            <w:pPr>
              <w:rPr>
                <w:rFonts w:ascii="Times New Roman" w:hAnsi="Times New Roman" w:cs="Times New Roman"/>
              </w:rPr>
            </w:pPr>
            <w:r>
              <w:rPr>
                <w:rFonts w:ascii="Times New Roman" w:hAnsi="Times New Roman" w:cs="Times New Roman"/>
              </w:rPr>
              <w:t>Dominant</w:t>
            </w:r>
          </w:p>
        </w:tc>
        <w:tc>
          <w:tcPr>
            <w:tcW w:w="0" w:type="auto"/>
            <w:vAlign w:val="center"/>
            <w:hideMark/>
          </w:tcPr>
          <w:p w14:paraId="511EEC0A" w14:textId="77777777" w:rsidR="000F3B2F" w:rsidRDefault="00000000">
            <w:pPr>
              <w:rPr>
                <w:rFonts w:ascii="Times New Roman" w:hAnsi="Times New Roman" w:cs="Times New Roman"/>
              </w:rPr>
            </w:pPr>
            <w:r>
              <w:rPr>
                <w:rFonts w:ascii="Times New Roman" w:hAnsi="Times New Roman" w:cs="Times New Roman"/>
              </w:rPr>
              <w:t>Simple and quick</w:t>
            </w:r>
          </w:p>
        </w:tc>
        <w:tc>
          <w:tcPr>
            <w:tcW w:w="0" w:type="auto"/>
            <w:vAlign w:val="center"/>
            <w:hideMark/>
          </w:tcPr>
          <w:p w14:paraId="2A521699" w14:textId="77777777" w:rsidR="000F3B2F" w:rsidRDefault="00000000">
            <w:pPr>
              <w:rPr>
                <w:rFonts w:ascii="Times New Roman" w:hAnsi="Times New Roman" w:cs="Times New Roman"/>
              </w:rPr>
            </w:pPr>
            <w:r>
              <w:rPr>
                <w:rFonts w:ascii="Times New Roman" w:hAnsi="Times New Roman" w:cs="Times New Roman"/>
              </w:rPr>
              <w:t>Low reproducibility</w:t>
            </w:r>
          </w:p>
        </w:tc>
      </w:tr>
      <w:tr w:rsidR="000F3B2F" w14:paraId="6928659C" w14:textId="77777777">
        <w:trPr>
          <w:trHeight w:val="911"/>
          <w:tblCellSpacing w:w="15" w:type="dxa"/>
        </w:trPr>
        <w:tc>
          <w:tcPr>
            <w:tcW w:w="0" w:type="auto"/>
            <w:vAlign w:val="center"/>
            <w:hideMark/>
          </w:tcPr>
          <w:p w14:paraId="0288F23E" w14:textId="77777777" w:rsidR="000F3B2F" w:rsidRDefault="00000000">
            <w:pPr>
              <w:rPr>
                <w:rFonts w:ascii="Times New Roman" w:hAnsi="Times New Roman" w:cs="Times New Roman"/>
              </w:rPr>
            </w:pPr>
            <w:r>
              <w:rPr>
                <w:rFonts w:ascii="Times New Roman" w:hAnsi="Times New Roman" w:cs="Times New Roman"/>
              </w:rPr>
              <w:t>AFLP</w:t>
            </w:r>
          </w:p>
        </w:tc>
        <w:tc>
          <w:tcPr>
            <w:tcW w:w="0" w:type="auto"/>
            <w:vAlign w:val="center"/>
            <w:hideMark/>
          </w:tcPr>
          <w:p w14:paraId="5AC1E201" w14:textId="77777777" w:rsidR="000F3B2F" w:rsidRDefault="00000000">
            <w:pPr>
              <w:rPr>
                <w:rFonts w:ascii="Times New Roman" w:hAnsi="Times New Roman" w:cs="Times New Roman"/>
              </w:rPr>
            </w:pPr>
            <w:r>
              <w:rPr>
                <w:rFonts w:ascii="Times New Roman" w:hAnsi="Times New Roman" w:cs="Times New Roman"/>
              </w:rPr>
              <w:t>Restriction digestion + selective PCR</w:t>
            </w:r>
          </w:p>
        </w:tc>
        <w:tc>
          <w:tcPr>
            <w:tcW w:w="0" w:type="auto"/>
            <w:vAlign w:val="center"/>
            <w:hideMark/>
          </w:tcPr>
          <w:p w14:paraId="5B082405" w14:textId="77777777" w:rsidR="000F3B2F" w:rsidRDefault="00000000">
            <w:pPr>
              <w:rPr>
                <w:rFonts w:ascii="Times New Roman" w:hAnsi="Times New Roman" w:cs="Times New Roman"/>
              </w:rPr>
            </w:pPr>
            <w:r>
              <w:rPr>
                <w:rFonts w:ascii="Times New Roman" w:hAnsi="Times New Roman" w:cs="Times New Roman"/>
              </w:rPr>
              <w:t>Dominant</w:t>
            </w:r>
          </w:p>
        </w:tc>
        <w:tc>
          <w:tcPr>
            <w:tcW w:w="0" w:type="auto"/>
            <w:vAlign w:val="center"/>
            <w:hideMark/>
          </w:tcPr>
          <w:p w14:paraId="625AB49F" w14:textId="77777777" w:rsidR="000F3B2F" w:rsidRDefault="00000000">
            <w:pPr>
              <w:rPr>
                <w:rFonts w:ascii="Times New Roman" w:hAnsi="Times New Roman" w:cs="Times New Roman"/>
              </w:rPr>
            </w:pPr>
            <w:r>
              <w:rPr>
                <w:rFonts w:ascii="Times New Roman" w:hAnsi="Times New Roman" w:cs="Times New Roman"/>
              </w:rPr>
              <w:t>High polymorphism</w:t>
            </w:r>
          </w:p>
        </w:tc>
        <w:tc>
          <w:tcPr>
            <w:tcW w:w="0" w:type="auto"/>
            <w:vAlign w:val="center"/>
            <w:hideMark/>
          </w:tcPr>
          <w:p w14:paraId="4CD02BAD" w14:textId="77777777" w:rsidR="000F3B2F" w:rsidRDefault="00000000">
            <w:pPr>
              <w:rPr>
                <w:rFonts w:ascii="Times New Roman" w:hAnsi="Times New Roman" w:cs="Times New Roman"/>
              </w:rPr>
            </w:pPr>
            <w:r>
              <w:rPr>
                <w:rFonts w:ascii="Times New Roman" w:hAnsi="Times New Roman" w:cs="Times New Roman"/>
              </w:rPr>
              <w:t>Complex protocol</w:t>
            </w:r>
          </w:p>
        </w:tc>
      </w:tr>
      <w:tr w:rsidR="000F3B2F" w14:paraId="5CBF44AA" w14:textId="77777777">
        <w:trPr>
          <w:trHeight w:val="920"/>
          <w:tblCellSpacing w:w="15" w:type="dxa"/>
        </w:trPr>
        <w:tc>
          <w:tcPr>
            <w:tcW w:w="0" w:type="auto"/>
            <w:vAlign w:val="center"/>
            <w:hideMark/>
          </w:tcPr>
          <w:p w14:paraId="4DCF02BD" w14:textId="77777777" w:rsidR="000F3B2F" w:rsidRDefault="00000000">
            <w:pPr>
              <w:rPr>
                <w:rFonts w:ascii="Times New Roman" w:hAnsi="Times New Roman" w:cs="Times New Roman"/>
              </w:rPr>
            </w:pPr>
            <w:r>
              <w:rPr>
                <w:rFonts w:ascii="Times New Roman" w:hAnsi="Times New Roman" w:cs="Times New Roman"/>
              </w:rPr>
              <w:t>SSR</w:t>
            </w:r>
          </w:p>
        </w:tc>
        <w:tc>
          <w:tcPr>
            <w:tcW w:w="0" w:type="auto"/>
            <w:vAlign w:val="center"/>
            <w:hideMark/>
          </w:tcPr>
          <w:p w14:paraId="19A8EA2C" w14:textId="77777777" w:rsidR="000F3B2F" w:rsidRDefault="00000000">
            <w:pPr>
              <w:rPr>
                <w:rFonts w:ascii="Times New Roman" w:hAnsi="Times New Roman" w:cs="Times New Roman"/>
              </w:rPr>
            </w:pPr>
            <w:r>
              <w:rPr>
                <w:rFonts w:ascii="Times New Roman" w:hAnsi="Times New Roman" w:cs="Times New Roman"/>
              </w:rPr>
              <w:t>PCR of microsatellite repeats</w:t>
            </w:r>
          </w:p>
        </w:tc>
        <w:tc>
          <w:tcPr>
            <w:tcW w:w="0" w:type="auto"/>
            <w:vAlign w:val="center"/>
            <w:hideMark/>
          </w:tcPr>
          <w:p w14:paraId="002C67D7" w14:textId="77777777" w:rsidR="000F3B2F" w:rsidRDefault="00000000">
            <w:pPr>
              <w:rPr>
                <w:rFonts w:ascii="Times New Roman" w:hAnsi="Times New Roman" w:cs="Times New Roman"/>
              </w:rPr>
            </w:pPr>
            <w:r>
              <w:rPr>
                <w:rFonts w:ascii="Times New Roman" w:hAnsi="Times New Roman" w:cs="Times New Roman"/>
              </w:rPr>
              <w:t>Co-dominant</w:t>
            </w:r>
          </w:p>
        </w:tc>
        <w:tc>
          <w:tcPr>
            <w:tcW w:w="0" w:type="auto"/>
            <w:vAlign w:val="center"/>
            <w:hideMark/>
          </w:tcPr>
          <w:p w14:paraId="42984C04" w14:textId="77777777" w:rsidR="000F3B2F" w:rsidRDefault="00000000">
            <w:pPr>
              <w:rPr>
                <w:rFonts w:ascii="Times New Roman" w:hAnsi="Times New Roman" w:cs="Times New Roman"/>
              </w:rPr>
            </w:pPr>
            <w:r>
              <w:rPr>
                <w:rFonts w:ascii="Times New Roman" w:hAnsi="Times New Roman" w:cs="Times New Roman"/>
              </w:rPr>
              <w:t>Highly polymorphic, reproducible</w:t>
            </w:r>
          </w:p>
        </w:tc>
        <w:tc>
          <w:tcPr>
            <w:tcW w:w="0" w:type="auto"/>
            <w:vAlign w:val="center"/>
            <w:hideMark/>
          </w:tcPr>
          <w:p w14:paraId="67A91609" w14:textId="77777777" w:rsidR="000F3B2F" w:rsidRDefault="00000000">
            <w:pPr>
              <w:rPr>
                <w:rFonts w:ascii="Times New Roman" w:hAnsi="Times New Roman" w:cs="Times New Roman"/>
              </w:rPr>
            </w:pPr>
            <w:r>
              <w:rPr>
                <w:rFonts w:ascii="Times New Roman" w:hAnsi="Times New Roman" w:cs="Times New Roman"/>
              </w:rPr>
              <w:t>Requires sequence info</w:t>
            </w:r>
          </w:p>
        </w:tc>
      </w:tr>
      <w:tr w:rsidR="000F3B2F" w14:paraId="505FE62F" w14:textId="77777777">
        <w:trPr>
          <w:trHeight w:val="1278"/>
          <w:tblCellSpacing w:w="15" w:type="dxa"/>
        </w:trPr>
        <w:tc>
          <w:tcPr>
            <w:tcW w:w="0" w:type="auto"/>
            <w:vAlign w:val="center"/>
            <w:hideMark/>
          </w:tcPr>
          <w:p w14:paraId="30BA0F17" w14:textId="77777777" w:rsidR="000F3B2F" w:rsidRDefault="00000000">
            <w:pPr>
              <w:rPr>
                <w:rFonts w:ascii="Times New Roman" w:hAnsi="Times New Roman" w:cs="Times New Roman"/>
              </w:rPr>
            </w:pPr>
            <w:r>
              <w:rPr>
                <w:rFonts w:ascii="Times New Roman" w:hAnsi="Times New Roman" w:cs="Times New Roman"/>
              </w:rPr>
              <w:t>SNP</w:t>
            </w:r>
          </w:p>
        </w:tc>
        <w:tc>
          <w:tcPr>
            <w:tcW w:w="0" w:type="auto"/>
            <w:vAlign w:val="center"/>
            <w:hideMark/>
          </w:tcPr>
          <w:p w14:paraId="6CE1BD52" w14:textId="77777777" w:rsidR="000F3B2F" w:rsidRDefault="00000000">
            <w:pPr>
              <w:rPr>
                <w:rFonts w:ascii="Times New Roman" w:hAnsi="Times New Roman" w:cs="Times New Roman"/>
              </w:rPr>
            </w:pPr>
            <w:r>
              <w:rPr>
                <w:rFonts w:ascii="Times New Roman" w:hAnsi="Times New Roman" w:cs="Times New Roman"/>
              </w:rPr>
              <w:t>Base-pair variation detection</w:t>
            </w:r>
          </w:p>
        </w:tc>
        <w:tc>
          <w:tcPr>
            <w:tcW w:w="0" w:type="auto"/>
            <w:vAlign w:val="center"/>
            <w:hideMark/>
          </w:tcPr>
          <w:p w14:paraId="2B28D612" w14:textId="77777777" w:rsidR="000F3B2F" w:rsidRDefault="00000000">
            <w:pPr>
              <w:rPr>
                <w:rFonts w:ascii="Times New Roman" w:hAnsi="Times New Roman" w:cs="Times New Roman"/>
              </w:rPr>
            </w:pPr>
            <w:r>
              <w:rPr>
                <w:rFonts w:ascii="Times New Roman" w:hAnsi="Times New Roman" w:cs="Times New Roman"/>
              </w:rPr>
              <w:t>Co-dominant</w:t>
            </w:r>
          </w:p>
        </w:tc>
        <w:tc>
          <w:tcPr>
            <w:tcW w:w="0" w:type="auto"/>
            <w:vAlign w:val="center"/>
            <w:hideMark/>
          </w:tcPr>
          <w:p w14:paraId="58A93DF0" w14:textId="77777777" w:rsidR="000F3B2F" w:rsidRDefault="00000000">
            <w:pPr>
              <w:rPr>
                <w:rFonts w:ascii="Times New Roman" w:hAnsi="Times New Roman" w:cs="Times New Roman"/>
              </w:rPr>
            </w:pPr>
            <w:r>
              <w:rPr>
                <w:rFonts w:ascii="Times New Roman" w:hAnsi="Times New Roman" w:cs="Times New Roman"/>
              </w:rPr>
              <w:t>Abundant, high-throughput, NGS-compatible</w:t>
            </w:r>
          </w:p>
        </w:tc>
        <w:tc>
          <w:tcPr>
            <w:tcW w:w="0" w:type="auto"/>
            <w:vAlign w:val="center"/>
            <w:hideMark/>
          </w:tcPr>
          <w:p w14:paraId="6FBA1260" w14:textId="77777777" w:rsidR="000F3B2F" w:rsidRDefault="00000000">
            <w:pPr>
              <w:rPr>
                <w:rFonts w:ascii="Times New Roman" w:hAnsi="Times New Roman" w:cs="Times New Roman"/>
              </w:rPr>
            </w:pPr>
            <w:r>
              <w:rPr>
                <w:rFonts w:ascii="Times New Roman" w:hAnsi="Times New Roman" w:cs="Times New Roman"/>
              </w:rPr>
              <w:t>Biallelic, may need specialized platforms</w:t>
            </w:r>
          </w:p>
        </w:tc>
      </w:tr>
    </w:tbl>
    <w:p w14:paraId="0A0E75EA" w14:textId="77777777" w:rsidR="000F3B2F" w:rsidRDefault="000F3B2F">
      <w:pPr>
        <w:spacing w:line="360" w:lineRule="auto"/>
        <w:jc w:val="both"/>
        <w:rPr>
          <w:rFonts w:ascii="Times New Roman" w:hAnsi="Times New Roman" w:cs="Times New Roman"/>
        </w:rPr>
      </w:pPr>
    </w:p>
    <w:p w14:paraId="67CE4781" w14:textId="77777777" w:rsidR="000F3B2F" w:rsidRDefault="00000000">
      <w:pPr>
        <w:spacing w:line="360" w:lineRule="auto"/>
        <w:jc w:val="both"/>
        <w:rPr>
          <w:rFonts w:ascii="Times New Roman" w:hAnsi="Times New Roman" w:cs="Times New Roman"/>
        </w:rPr>
      </w:pPr>
      <w:r>
        <w:rPr>
          <w:rFonts w:ascii="Times New Roman" w:hAnsi="Times New Roman" w:cs="Times New Roman"/>
        </w:rPr>
        <w:t>At the heart of MAS lies the concept of molecular markers—identifiable DNA sequences that are associated with a particular locus or gene of interest. These markers serve as genetic signposts, allowing researchers to track the inheritance of important traits within breeding populations. (11,12) Over the past few decades, several types of molecular markers have been developed, each contributing uniquely to the advancement of MAS. Among the earliest to be discovered were Restriction Fragment Length Polymorphisms (RFLPs), which detect variations in DNA fragment lengths after enzymatic digestion. While highly reliable, RFLPs were technically demanding and gradually gave way to polymerase chain reaction (PCR)-based methods such as Random Amplified Polymorphic DNA (RAPD) and Amplified Fragment Length Polymorphism (AFLP). RAPDs, though quick and inexpensive, often suffered from reproducibility issues, whereas AFLPs provided a high degree of polymorphism and were effective for analysing genetic diversity and constructing linkage maps. (7,8)</w:t>
      </w:r>
    </w:p>
    <w:p w14:paraId="6F9A1439" w14:textId="77777777" w:rsidR="000F3B2F" w:rsidRDefault="00000000">
      <w:pPr>
        <w:spacing w:line="360" w:lineRule="auto"/>
        <w:jc w:val="both"/>
        <w:rPr>
          <w:rFonts w:ascii="Times New Roman" w:hAnsi="Times New Roman" w:cs="Times New Roman"/>
        </w:rPr>
      </w:pPr>
      <w:r>
        <w:rPr>
          <w:rFonts w:ascii="Times New Roman" w:hAnsi="Times New Roman" w:cs="Times New Roman"/>
        </w:rPr>
        <w:t>As molecular technologies evolved, the focus shifted to more robust and informative markers like Simple Sequence Repeats (SSRs) and Single Nucleotide Polymorphisms (SNPs). SSRs, also known as microsatellites, consist of tandemly repeated short DNA sequences and exhibit high levels of polymorphism.  (10,</w:t>
      </w:r>
      <w:proofErr w:type="gramStart"/>
      <w:r>
        <w:rPr>
          <w:rFonts w:ascii="Times New Roman" w:hAnsi="Times New Roman" w:cs="Times New Roman"/>
        </w:rPr>
        <w:t>11)Their</w:t>
      </w:r>
      <w:proofErr w:type="gramEnd"/>
      <w:r>
        <w:rPr>
          <w:rFonts w:ascii="Times New Roman" w:hAnsi="Times New Roman" w:cs="Times New Roman"/>
        </w:rPr>
        <w:t xml:space="preserve"> co-dominant nature allows for the discrimination between homozygous and heterozygous alleles, making them ideal for linkage analysis and </w:t>
      </w:r>
      <w:r>
        <w:rPr>
          <w:rFonts w:ascii="Times New Roman" w:hAnsi="Times New Roman" w:cs="Times New Roman"/>
        </w:rPr>
        <w:lastRenderedPageBreak/>
        <w:t>MAS in several vegetable crops such as tomato and cucumber. SNPs, representing the most abundant form of genetic variation, involve single base-pair changes in DNA and have become the marker of choice in modern breeding. Their stability, genome-wide distribution, and compatibility with high-throughput genotyping platforms make SNPs highly suitable for large-scale association studies and genomic selection, particularly in crops where reference genomes and dense marker maps are available. (12,13)</w:t>
      </w:r>
    </w:p>
    <w:p w14:paraId="0506D249"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effectiveness of MAS depends on the proximity of the marker to the gene or quantitative trait locus (QTL) controlling the trait of interest. The closer the marker is to the gene, the more likely it will be inherited together during meiosis, a phenomenon referred to as linkage. When markers are located within the gene itself—referred to as functional markers—they offer the highest level of precision. However, even markers that flank the gene closely can be effective if thoroughly validated across multiple genetic backgrounds and environmental conditions. (14,15)</w:t>
      </w:r>
    </w:p>
    <w:p w14:paraId="71BDEC7E"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practical application of MAS typically begins with the identification of marker-trait associations through QTL mapping or genome-wide association studies (GWAS). This involves crossing genetically diverse parent lines to produce a mapping population, such as F2, recombinant inbred lines (RILs), or backcross populations.  (16,</w:t>
      </w:r>
      <w:proofErr w:type="gramStart"/>
      <w:r>
        <w:rPr>
          <w:rFonts w:ascii="Times New Roman" w:hAnsi="Times New Roman" w:cs="Times New Roman"/>
        </w:rPr>
        <w:t>17)Phenotypic</w:t>
      </w:r>
      <w:proofErr w:type="gramEnd"/>
      <w:r>
        <w:rPr>
          <w:rFonts w:ascii="Times New Roman" w:hAnsi="Times New Roman" w:cs="Times New Roman"/>
        </w:rPr>
        <w:t xml:space="preserve"> evaluation of the population is then combined with genotypic data using statistical methods like interval mapping or composite interval mapping to locate QTLs on a linkage map. Once identified, these QTLs are characterized in terms of their chromosomal location, effect size, and percentage of phenotypic variation explained. In vegetable crops, such mapping efforts have successfully identified QTLs associated with a wide range of traits including fruit size, shape, yield components, and nutritional quality. For example, in tomato, major QTLs such as fw2.2, lc (locule number), and fas (fascinated inflorescence) have been linked to fruit weight and shape. (12,13)</w:t>
      </w:r>
    </w:p>
    <w:p w14:paraId="1E26A3E6" w14:textId="77777777" w:rsidR="000F3B2F" w:rsidRDefault="00000000">
      <w:pPr>
        <w:spacing w:line="360" w:lineRule="auto"/>
        <w:jc w:val="both"/>
        <w:rPr>
          <w:rFonts w:ascii="Times New Roman" w:hAnsi="Times New Roman" w:cs="Times New Roman"/>
        </w:rPr>
      </w:pPr>
      <w:r>
        <w:rPr>
          <w:rFonts w:ascii="Times New Roman" w:hAnsi="Times New Roman" w:cs="Times New Roman"/>
        </w:rPr>
        <w:t>Following the identification of QTLs, the next step is the validation of associated markers. This is essential to ensure that the marker-trait linkages are consistent across different genetic backgrounds and growing conditions. Only after successful validation are the markers deployed in breeding programs for selection purposes. The genotyping of breeding material involves using molecular techniques to determine the presence or absence of specific alleles associated with the trait. Individuals carrying the desirable allele are then selected and advanced for further breeding or variety development. (7,14)</w:t>
      </w:r>
    </w:p>
    <w:p w14:paraId="4B6A676D"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Marker-Assisted Selection can be implemented in various strategic ways, depending on the breeding objectives and the genetic architecture of the trait. Foreground selection focuses on directly selecting individuals carrying the desired gene or QTL, often used in backcross breeding to introduce specific traits like disease resistance. (11,13) Background selection, on the other hand, helps accelerate the recovery of the recurrent parent genome when introgressing new traits, thereby reducing linkage drag. Pyramiding is another important application, where multiple genes or QTLs governing different traits—or different sources of resistance to the same pathogen—are combined into a single genetic background. This not only enhances trait expression but also provides durability against pest and disease evolution. For complex polygenic traits such as yield, marker-assisted recurrent selection (MARS) can be employed, where selection decisions are based on the cumulative effect of several favourable alleles over multiple breeding cycles. (15,16)</w:t>
      </w:r>
    </w:p>
    <w:p w14:paraId="4C0E9544"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advantages of MAS over conventional breeding are numerous and compelling. One of the most significant is the precision it offers, allowing selection to be based on genotype rather than phenotype, thereby eliminating environmental noise and improving reliability. This precision translates into time and cost savings, as breeders can screen for traits at the seedling stage without waiting for full plant maturity or laborious phenotyping. MAS also enables breeders to address traits that are difficult or impossible to measure phenotypically, such as internal fruit quality, nutritional components, or root traits that require destructive sampling. Furthermore, it facilitates the pyramiding of multiple traits into a single cultivar, a task that would be extraordinarily challenging using traditional methods alone. (17,18)</w:t>
      </w:r>
    </w:p>
    <w:p w14:paraId="66813548" w14:textId="77777777" w:rsidR="000F3B2F" w:rsidRDefault="00000000">
      <w:pPr>
        <w:spacing w:line="360" w:lineRule="auto"/>
        <w:jc w:val="both"/>
        <w:rPr>
          <w:rFonts w:ascii="Times New Roman" w:hAnsi="Times New Roman" w:cs="Times New Roman"/>
        </w:rPr>
      </w:pPr>
      <w:r>
        <w:rPr>
          <w:rFonts w:ascii="Times New Roman" w:hAnsi="Times New Roman" w:cs="Times New Roman"/>
        </w:rPr>
        <w:t>Despite these advantages, MAS is not without limitations. The effectiveness of MAS depends heavily on the tightness of the marker-gene linkage. Loose linkage or recombination between the marker and gene can lead to erroneous selections. Moreover, some QTLs exhibit genotype-by-environment interactions and are only expressed under specific conditions, reducing the consistency of marker effects. Another significant barrier is the cost and technical expertise required for marker development and genotyping, which may limit the widespread adoption of MAS in low-resource settings. Additionally, in many underutilized or minor vegetable crops, genomic resources are still lacking, making it difficult to develop reliable markers for key traits. (19,20)</w:t>
      </w:r>
    </w:p>
    <w:p w14:paraId="05E5F45C"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Nonetheless, the rapid advancement in genomic technologies is helping to overcome many of these challenges. The integration of MAS with other genomic approaches has opened new </w:t>
      </w:r>
      <w:r>
        <w:rPr>
          <w:rFonts w:ascii="Times New Roman" w:hAnsi="Times New Roman" w:cs="Times New Roman"/>
        </w:rPr>
        <w:lastRenderedPageBreak/>
        <w:t>frontiers in precision breeding. For instance, genomic selection (GS) utilizes genome-wide marker data and phenotypic information to predict breeding values, offering a more holistic and accurate selection strategy for complex traits. (11,15) Similarly, CRISPR/Cas-based gene editing allows for precise modification of specific genes, providing a tool that complements MAS by enabling direct manipulation of known genes. The use of GWAS, transcriptomics, and metabolomics further enriches the understanding of trait biology, leading to the identification of novel markers and candidate genes. (17,19)</w:t>
      </w:r>
    </w:p>
    <w:p w14:paraId="61DC21CC"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3. Genetic Basis of Yield and Quality Traits in Vegetable Crops</w:t>
      </w:r>
    </w:p>
    <w:p w14:paraId="550967AC"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improvement of vegetable crops for higher yield and enhanced quality traits is fundamentally governed by an understanding of the genetic architecture underlying these characteristics. Unlike traits controlled by single genes, most agronomic and consumer-preferred traits in vegetables are quantitatively inherited, meaning they are influenced by multiple genes, each with small additive or interactive effects, and are often subject to environmental modulation. (12,13) To effectively harness marker-assisted selection (MAS) in breeding for such traits, it is essential to dissect their genetic basis, identify relevant loci, and understand gene networks and regulatory pathways involved. (14,15)</w:t>
      </w:r>
    </w:p>
    <w:p w14:paraId="64DB2625" w14:textId="77777777" w:rsidR="000F3B2F" w:rsidRDefault="00000000">
      <w:pPr>
        <w:spacing w:line="360" w:lineRule="auto"/>
        <w:jc w:val="center"/>
        <w:rPr>
          <w:rFonts w:ascii="Times New Roman" w:hAnsi="Times New Roman" w:cs="Times New Roman"/>
          <w:b/>
          <w:bCs/>
          <w:i/>
          <w:iCs/>
        </w:rPr>
      </w:pPr>
      <w:r>
        <w:rPr>
          <w:rFonts w:ascii="Times New Roman" w:hAnsi="Times New Roman" w:cs="Times New Roman"/>
          <w:b/>
          <w:bCs/>
          <w:i/>
          <w:iCs/>
        </w:rPr>
        <w:t>Table 2. Key Yield and Quality Traits with Known QTLs in Vegetables</w:t>
      </w:r>
    </w:p>
    <w:tbl>
      <w:tblPr>
        <w:tblW w:w="5000" w:type="pct"/>
        <w:tblCellSpacing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96"/>
        <w:gridCol w:w="1900"/>
        <w:gridCol w:w="2510"/>
        <w:gridCol w:w="1718"/>
        <w:gridCol w:w="1782"/>
      </w:tblGrid>
      <w:tr w:rsidR="000F3B2F" w14:paraId="238E4AA6" w14:textId="77777777">
        <w:trPr>
          <w:tblHeader/>
          <w:tblCellSpacing w:w="15" w:type="dxa"/>
        </w:trPr>
        <w:tc>
          <w:tcPr>
            <w:tcW w:w="583" w:type="pct"/>
            <w:vAlign w:val="center"/>
            <w:hideMark/>
          </w:tcPr>
          <w:p w14:paraId="46535287"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Crop</w:t>
            </w:r>
          </w:p>
        </w:tc>
        <w:tc>
          <w:tcPr>
            <w:tcW w:w="1038" w:type="pct"/>
            <w:vAlign w:val="center"/>
            <w:hideMark/>
          </w:tcPr>
          <w:p w14:paraId="0591CCE7"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Trait</w:t>
            </w:r>
          </w:p>
        </w:tc>
        <w:tc>
          <w:tcPr>
            <w:tcW w:w="1377" w:type="pct"/>
            <w:vAlign w:val="center"/>
            <w:hideMark/>
          </w:tcPr>
          <w:p w14:paraId="456E74D0"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Major Gene/QTL Identified</w:t>
            </w:r>
          </w:p>
        </w:tc>
        <w:tc>
          <w:tcPr>
            <w:tcW w:w="937" w:type="pct"/>
            <w:vAlign w:val="center"/>
            <w:hideMark/>
          </w:tcPr>
          <w:p w14:paraId="39842090"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Marker Type Used</w:t>
            </w:r>
          </w:p>
        </w:tc>
        <w:tc>
          <w:tcPr>
            <w:tcW w:w="964" w:type="pct"/>
            <w:vAlign w:val="center"/>
            <w:hideMark/>
          </w:tcPr>
          <w:p w14:paraId="1CE1F55A"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References</w:t>
            </w:r>
          </w:p>
        </w:tc>
      </w:tr>
      <w:tr w:rsidR="000F3B2F" w14:paraId="4014CA0F" w14:textId="77777777">
        <w:trPr>
          <w:tblCellSpacing w:w="15" w:type="dxa"/>
        </w:trPr>
        <w:tc>
          <w:tcPr>
            <w:tcW w:w="583" w:type="pct"/>
            <w:vAlign w:val="center"/>
            <w:hideMark/>
          </w:tcPr>
          <w:p w14:paraId="24D28AB0" w14:textId="77777777" w:rsidR="000F3B2F" w:rsidRDefault="00000000">
            <w:pPr>
              <w:spacing w:line="360" w:lineRule="auto"/>
              <w:jc w:val="both"/>
              <w:rPr>
                <w:rFonts w:ascii="Times New Roman" w:hAnsi="Times New Roman" w:cs="Times New Roman"/>
              </w:rPr>
            </w:pPr>
            <w:r>
              <w:rPr>
                <w:rFonts w:ascii="Times New Roman" w:hAnsi="Times New Roman" w:cs="Times New Roman"/>
              </w:rPr>
              <w:t>Tomato</w:t>
            </w:r>
          </w:p>
        </w:tc>
        <w:tc>
          <w:tcPr>
            <w:tcW w:w="1038" w:type="pct"/>
            <w:vAlign w:val="center"/>
            <w:hideMark/>
          </w:tcPr>
          <w:p w14:paraId="3C1F473F" w14:textId="77777777" w:rsidR="000F3B2F" w:rsidRDefault="00000000">
            <w:pPr>
              <w:spacing w:line="360" w:lineRule="auto"/>
              <w:jc w:val="both"/>
              <w:rPr>
                <w:rFonts w:ascii="Times New Roman" w:hAnsi="Times New Roman" w:cs="Times New Roman"/>
              </w:rPr>
            </w:pPr>
            <w:r>
              <w:rPr>
                <w:rFonts w:ascii="Times New Roman" w:hAnsi="Times New Roman" w:cs="Times New Roman"/>
              </w:rPr>
              <w:t>Fruit weight</w:t>
            </w:r>
          </w:p>
        </w:tc>
        <w:tc>
          <w:tcPr>
            <w:tcW w:w="1377" w:type="pct"/>
            <w:vAlign w:val="center"/>
            <w:hideMark/>
          </w:tcPr>
          <w:p w14:paraId="16FD1667" w14:textId="77777777" w:rsidR="000F3B2F" w:rsidRDefault="00000000">
            <w:pPr>
              <w:spacing w:line="360" w:lineRule="auto"/>
              <w:jc w:val="both"/>
              <w:rPr>
                <w:rFonts w:ascii="Times New Roman" w:hAnsi="Times New Roman" w:cs="Times New Roman"/>
              </w:rPr>
            </w:pPr>
            <w:r>
              <w:rPr>
                <w:rFonts w:ascii="Times New Roman" w:hAnsi="Times New Roman" w:cs="Times New Roman"/>
                <w:i/>
                <w:iCs/>
              </w:rPr>
              <w:t>fw2.2</w:t>
            </w:r>
            <w:r>
              <w:rPr>
                <w:rFonts w:ascii="Times New Roman" w:hAnsi="Times New Roman" w:cs="Times New Roman"/>
              </w:rPr>
              <w:t xml:space="preserve">, </w:t>
            </w:r>
            <w:r>
              <w:rPr>
                <w:rFonts w:ascii="Times New Roman" w:hAnsi="Times New Roman" w:cs="Times New Roman"/>
                <w:i/>
                <w:iCs/>
              </w:rPr>
              <w:t>lc</w:t>
            </w:r>
            <w:r>
              <w:rPr>
                <w:rFonts w:ascii="Times New Roman" w:hAnsi="Times New Roman" w:cs="Times New Roman"/>
              </w:rPr>
              <w:t xml:space="preserve">, </w:t>
            </w:r>
            <w:r>
              <w:rPr>
                <w:rFonts w:ascii="Times New Roman" w:hAnsi="Times New Roman" w:cs="Times New Roman"/>
                <w:i/>
                <w:iCs/>
              </w:rPr>
              <w:t>fas</w:t>
            </w:r>
          </w:p>
        </w:tc>
        <w:tc>
          <w:tcPr>
            <w:tcW w:w="937" w:type="pct"/>
            <w:vAlign w:val="center"/>
            <w:hideMark/>
          </w:tcPr>
          <w:p w14:paraId="06513115" w14:textId="77777777" w:rsidR="000F3B2F" w:rsidRDefault="00000000">
            <w:pPr>
              <w:spacing w:line="360" w:lineRule="auto"/>
              <w:jc w:val="both"/>
              <w:rPr>
                <w:rFonts w:ascii="Times New Roman" w:hAnsi="Times New Roman" w:cs="Times New Roman"/>
              </w:rPr>
            </w:pPr>
            <w:r>
              <w:rPr>
                <w:rFonts w:ascii="Times New Roman" w:hAnsi="Times New Roman" w:cs="Times New Roman"/>
              </w:rPr>
              <w:t>SSR, SNP</w:t>
            </w:r>
          </w:p>
        </w:tc>
        <w:tc>
          <w:tcPr>
            <w:tcW w:w="964" w:type="pct"/>
            <w:vAlign w:val="center"/>
            <w:hideMark/>
          </w:tcPr>
          <w:p w14:paraId="73D4A6ED" w14:textId="77777777" w:rsidR="000F3B2F" w:rsidRDefault="00000000">
            <w:pPr>
              <w:spacing w:line="360" w:lineRule="auto"/>
              <w:jc w:val="both"/>
              <w:rPr>
                <w:rFonts w:ascii="Times New Roman" w:hAnsi="Times New Roman" w:cs="Times New Roman"/>
              </w:rPr>
            </w:pPr>
            <w:r>
              <w:rPr>
                <w:rFonts w:ascii="Times New Roman" w:hAnsi="Times New Roman" w:cs="Times New Roman"/>
              </w:rPr>
              <w:t>Frary et al., 2000</w:t>
            </w:r>
          </w:p>
        </w:tc>
      </w:tr>
      <w:tr w:rsidR="000F3B2F" w14:paraId="5C36D3AE" w14:textId="77777777">
        <w:trPr>
          <w:tblCellSpacing w:w="15" w:type="dxa"/>
        </w:trPr>
        <w:tc>
          <w:tcPr>
            <w:tcW w:w="583" w:type="pct"/>
            <w:vAlign w:val="center"/>
            <w:hideMark/>
          </w:tcPr>
          <w:p w14:paraId="789873F1" w14:textId="77777777" w:rsidR="000F3B2F" w:rsidRDefault="00000000">
            <w:pPr>
              <w:spacing w:line="360" w:lineRule="auto"/>
              <w:jc w:val="both"/>
              <w:rPr>
                <w:rFonts w:ascii="Times New Roman" w:hAnsi="Times New Roman" w:cs="Times New Roman"/>
              </w:rPr>
            </w:pPr>
            <w:r>
              <w:rPr>
                <w:rFonts w:ascii="Times New Roman" w:hAnsi="Times New Roman" w:cs="Times New Roman"/>
              </w:rPr>
              <w:t>Carrot</w:t>
            </w:r>
          </w:p>
        </w:tc>
        <w:tc>
          <w:tcPr>
            <w:tcW w:w="1038" w:type="pct"/>
            <w:vAlign w:val="center"/>
            <w:hideMark/>
          </w:tcPr>
          <w:p w14:paraId="0BA4E43B" w14:textId="77777777" w:rsidR="000F3B2F" w:rsidRDefault="00000000">
            <w:pPr>
              <w:spacing w:line="360" w:lineRule="auto"/>
              <w:jc w:val="both"/>
              <w:rPr>
                <w:rFonts w:ascii="Times New Roman" w:hAnsi="Times New Roman" w:cs="Times New Roman"/>
              </w:rPr>
            </w:pPr>
            <w:r>
              <w:rPr>
                <w:rFonts w:ascii="Times New Roman" w:hAnsi="Times New Roman" w:cs="Times New Roman"/>
              </w:rPr>
              <w:t>Beta-carotene content</w:t>
            </w:r>
          </w:p>
        </w:tc>
        <w:tc>
          <w:tcPr>
            <w:tcW w:w="1377" w:type="pct"/>
            <w:vAlign w:val="center"/>
            <w:hideMark/>
          </w:tcPr>
          <w:p w14:paraId="4FD472B1" w14:textId="77777777" w:rsidR="000F3B2F" w:rsidRDefault="00000000">
            <w:pPr>
              <w:spacing w:line="360" w:lineRule="auto"/>
              <w:jc w:val="both"/>
              <w:rPr>
                <w:rFonts w:ascii="Times New Roman" w:hAnsi="Times New Roman" w:cs="Times New Roman"/>
              </w:rPr>
            </w:pPr>
            <w:r>
              <w:rPr>
                <w:rFonts w:ascii="Times New Roman" w:hAnsi="Times New Roman" w:cs="Times New Roman"/>
                <w:i/>
                <w:iCs/>
              </w:rPr>
              <w:t>Y</w:t>
            </w:r>
            <w:r>
              <w:rPr>
                <w:rFonts w:ascii="Times New Roman" w:hAnsi="Times New Roman" w:cs="Times New Roman"/>
              </w:rPr>
              <w:t xml:space="preserve">, </w:t>
            </w:r>
            <w:r>
              <w:rPr>
                <w:rFonts w:ascii="Times New Roman" w:hAnsi="Times New Roman" w:cs="Times New Roman"/>
                <w:i/>
                <w:iCs/>
              </w:rPr>
              <w:t>Y2</w:t>
            </w:r>
            <w:r>
              <w:rPr>
                <w:rFonts w:ascii="Times New Roman" w:hAnsi="Times New Roman" w:cs="Times New Roman"/>
              </w:rPr>
              <w:t xml:space="preserve">, </w:t>
            </w:r>
            <w:r>
              <w:rPr>
                <w:rFonts w:ascii="Times New Roman" w:hAnsi="Times New Roman" w:cs="Times New Roman"/>
                <w:i/>
                <w:iCs/>
              </w:rPr>
              <w:t>Or</w:t>
            </w:r>
          </w:p>
        </w:tc>
        <w:tc>
          <w:tcPr>
            <w:tcW w:w="937" w:type="pct"/>
            <w:vAlign w:val="center"/>
            <w:hideMark/>
          </w:tcPr>
          <w:p w14:paraId="2440C02D" w14:textId="77777777" w:rsidR="000F3B2F" w:rsidRDefault="00000000">
            <w:pPr>
              <w:spacing w:line="360" w:lineRule="auto"/>
              <w:jc w:val="both"/>
              <w:rPr>
                <w:rFonts w:ascii="Times New Roman" w:hAnsi="Times New Roman" w:cs="Times New Roman"/>
              </w:rPr>
            </w:pPr>
            <w:r>
              <w:rPr>
                <w:rFonts w:ascii="Times New Roman" w:hAnsi="Times New Roman" w:cs="Times New Roman"/>
              </w:rPr>
              <w:t>SNP</w:t>
            </w:r>
          </w:p>
        </w:tc>
        <w:tc>
          <w:tcPr>
            <w:tcW w:w="964" w:type="pct"/>
            <w:vAlign w:val="center"/>
            <w:hideMark/>
          </w:tcPr>
          <w:p w14:paraId="631949F3" w14:textId="77777777" w:rsidR="000F3B2F" w:rsidRDefault="00000000">
            <w:pPr>
              <w:spacing w:line="360" w:lineRule="auto"/>
              <w:jc w:val="both"/>
              <w:rPr>
                <w:rFonts w:ascii="Times New Roman" w:hAnsi="Times New Roman" w:cs="Times New Roman"/>
              </w:rPr>
            </w:pPr>
            <w:r>
              <w:rPr>
                <w:rFonts w:ascii="Times New Roman" w:hAnsi="Times New Roman" w:cs="Times New Roman"/>
              </w:rPr>
              <w:t>Arango et al., 2010</w:t>
            </w:r>
          </w:p>
        </w:tc>
      </w:tr>
      <w:tr w:rsidR="000F3B2F" w14:paraId="5F98E1F4" w14:textId="77777777">
        <w:trPr>
          <w:tblCellSpacing w:w="15" w:type="dxa"/>
        </w:trPr>
        <w:tc>
          <w:tcPr>
            <w:tcW w:w="583" w:type="pct"/>
            <w:vAlign w:val="center"/>
            <w:hideMark/>
          </w:tcPr>
          <w:p w14:paraId="3E63A356" w14:textId="77777777" w:rsidR="000F3B2F" w:rsidRDefault="00000000">
            <w:pPr>
              <w:spacing w:line="360" w:lineRule="auto"/>
              <w:jc w:val="both"/>
              <w:rPr>
                <w:rFonts w:ascii="Times New Roman" w:hAnsi="Times New Roman" w:cs="Times New Roman"/>
              </w:rPr>
            </w:pPr>
            <w:r>
              <w:rPr>
                <w:rFonts w:ascii="Times New Roman" w:hAnsi="Times New Roman" w:cs="Times New Roman"/>
              </w:rPr>
              <w:t>Cucumber</w:t>
            </w:r>
          </w:p>
        </w:tc>
        <w:tc>
          <w:tcPr>
            <w:tcW w:w="1038" w:type="pct"/>
            <w:vAlign w:val="center"/>
            <w:hideMark/>
          </w:tcPr>
          <w:p w14:paraId="0F7DEE04" w14:textId="77777777" w:rsidR="000F3B2F" w:rsidRDefault="00000000">
            <w:pPr>
              <w:spacing w:line="360" w:lineRule="auto"/>
              <w:jc w:val="both"/>
              <w:rPr>
                <w:rFonts w:ascii="Times New Roman" w:hAnsi="Times New Roman" w:cs="Times New Roman"/>
              </w:rPr>
            </w:pPr>
            <w:r>
              <w:rPr>
                <w:rFonts w:ascii="Times New Roman" w:hAnsi="Times New Roman" w:cs="Times New Roman"/>
              </w:rPr>
              <w:t>Flowering earliness</w:t>
            </w:r>
          </w:p>
        </w:tc>
        <w:tc>
          <w:tcPr>
            <w:tcW w:w="1377" w:type="pct"/>
            <w:vAlign w:val="center"/>
            <w:hideMark/>
          </w:tcPr>
          <w:p w14:paraId="6D20C5C6" w14:textId="77777777" w:rsidR="000F3B2F" w:rsidRDefault="00000000">
            <w:pPr>
              <w:spacing w:line="360" w:lineRule="auto"/>
              <w:jc w:val="both"/>
              <w:rPr>
                <w:rFonts w:ascii="Times New Roman" w:hAnsi="Times New Roman" w:cs="Times New Roman"/>
              </w:rPr>
            </w:pPr>
            <w:r>
              <w:rPr>
                <w:rFonts w:ascii="Times New Roman" w:hAnsi="Times New Roman" w:cs="Times New Roman"/>
                <w:i/>
                <w:iCs/>
              </w:rPr>
              <w:t>Ef1.1</w:t>
            </w:r>
            <w:r>
              <w:rPr>
                <w:rFonts w:ascii="Times New Roman" w:hAnsi="Times New Roman" w:cs="Times New Roman"/>
              </w:rPr>
              <w:t xml:space="preserve">, </w:t>
            </w:r>
            <w:r>
              <w:rPr>
                <w:rFonts w:ascii="Times New Roman" w:hAnsi="Times New Roman" w:cs="Times New Roman"/>
                <w:i/>
                <w:iCs/>
              </w:rPr>
              <w:t>F</w:t>
            </w:r>
          </w:p>
        </w:tc>
        <w:tc>
          <w:tcPr>
            <w:tcW w:w="937" w:type="pct"/>
            <w:vAlign w:val="center"/>
            <w:hideMark/>
          </w:tcPr>
          <w:p w14:paraId="1D503139" w14:textId="77777777" w:rsidR="000F3B2F" w:rsidRDefault="00000000">
            <w:pPr>
              <w:spacing w:line="360" w:lineRule="auto"/>
              <w:jc w:val="both"/>
              <w:rPr>
                <w:rFonts w:ascii="Times New Roman" w:hAnsi="Times New Roman" w:cs="Times New Roman"/>
              </w:rPr>
            </w:pPr>
            <w:r>
              <w:rPr>
                <w:rFonts w:ascii="Times New Roman" w:hAnsi="Times New Roman" w:cs="Times New Roman"/>
              </w:rPr>
              <w:t>SSR</w:t>
            </w:r>
          </w:p>
        </w:tc>
        <w:tc>
          <w:tcPr>
            <w:tcW w:w="964" w:type="pct"/>
            <w:vAlign w:val="center"/>
            <w:hideMark/>
          </w:tcPr>
          <w:p w14:paraId="287D0797" w14:textId="77777777" w:rsidR="000F3B2F" w:rsidRDefault="00000000">
            <w:pPr>
              <w:spacing w:line="360" w:lineRule="auto"/>
              <w:jc w:val="both"/>
              <w:rPr>
                <w:rFonts w:ascii="Times New Roman" w:hAnsi="Times New Roman" w:cs="Times New Roman"/>
              </w:rPr>
            </w:pPr>
            <w:r>
              <w:rPr>
                <w:rFonts w:ascii="Times New Roman" w:hAnsi="Times New Roman" w:cs="Times New Roman"/>
              </w:rPr>
              <w:t>Li et al., 2011</w:t>
            </w:r>
          </w:p>
        </w:tc>
      </w:tr>
      <w:tr w:rsidR="000F3B2F" w14:paraId="4E352CF4" w14:textId="77777777">
        <w:trPr>
          <w:tblCellSpacing w:w="15" w:type="dxa"/>
        </w:trPr>
        <w:tc>
          <w:tcPr>
            <w:tcW w:w="583" w:type="pct"/>
            <w:vAlign w:val="center"/>
            <w:hideMark/>
          </w:tcPr>
          <w:p w14:paraId="07212D07" w14:textId="77777777" w:rsidR="000F3B2F" w:rsidRDefault="00000000">
            <w:pPr>
              <w:spacing w:line="360" w:lineRule="auto"/>
              <w:jc w:val="both"/>
              <w:rPr>
                <w:rFonts w:ascii="Times New Roman" w:hAnsi="Times New Roman" w:cs="Times New Roman"/>
              </w:rPr>
            </w:pPr>
            <w:r>
              <w:rPr>
                <w:rFonts w:ascii="Times New Roman" w:hAnsi="Times New Roman" w:cs="Times New Roman"/>
              </w:rPr>
              <w:t>Pepper</w:t>
            </w:r>
          </w:p>
        </w:tc>
        <w:tc>
          <w:tcPr>
            <w:tcW w:w="1038" w:type="pct"/>
            <w:vAlign w:val="center"/>
            <w:hideMark/>
          </w:tcPr>
          <w:p w14:paraId="1EC921CA" w14:textId="77777777" w:rsidR="000F3B2F" w:rsidRDefault="00000000">
            <w:pPr>
              <w:spacing w:line="360" w:lineRule="auto"/>
              <w:jc w:val="both"/>
              <w:rPr>
                <w:rFonts w:ascii="Times New Roman" w:hAnsi="Times New Roman" w:cs="Times New Roman"/>
              </w:rPr>
            </w:pPr>
            <w:r>
              <w:rPr>
                <w:rFonts w:ascii="Times New Roman" w:hAnsi="Times New Roman" w:cs="Times New Roman"/>
              </w:rPr>
              <w:t>Fruit pungency</w:t>
            </w:r>
          </w:p>
        </w:tc>
        <w:tc>
          <w:tcPr>
            <w:tcW w:w="1377" w:type="pct"/>
            <w:vAlign w:val="center"/>
            <w:hideMark/>
          </w:tcPr>
          <w:p w14:paraId="2521F75C" w14:textId="77777777" w:rsidR="000F3B2F" w:rsidRDefault="00000000">
            <w:pPr>
              <w:spacing w:line="360" w:lineRule="auto"/>
              <w:jc w:val="both"/>
              <w:rPr>
                <w:rFonts w:ascii="Times New Roman" w:hAnsi="Times New Roman" w:cs="Times New Roman"/>
              </w:rPr>
            </w:pPr>
            <w:r>
              <w:rPr>
                <w:rFonts w:ascii="Times New Roman" w:hAnsi="Times New Roman" w:cs="Times New Roman"/>
                <w:i/>
                <w:iCs/>
              </w:rPr>
              <w:t>Pun1</w:t>
            </w:r>
            <w:r>
              <w:rPr>
                <w:rFonts w:ascii="Times New Roman" w:hAnsi="Times New Roman" w:cs="Times New Roman"/>
              </w:rPr>
              <w:t xml:space="preserve">, </w:t>
            </w:r>
            <w:r>
              <w:rPr>
                <w:rFonts w:ascii="Times New Roman" w:hAnsi="Times New Roman" w:cs="Times New Roman"/>
                <w:i/>
                <w:iCs/>
              </w:rPr>
              <w:t>pAMT</w:t>
            </w:r>
          </w:p>
        </w:tc>
        <w:tc>
          <w:tcPr>
            <w:tcW w:w="937" w:type="pct"/>
            <w:vAlign w:val="center"/>
            <w:hideMark/>
          </w:tcPr>
          <w:p w14:paraId="231B4802" w14:textId="77777777" w:rsidR="000F3B2F" w:rsidRDefault="00000000">
            <w:pPr>
              <w:spacing w:line="360" w:lineRule="auto"/>
              <w:jc w:val="both"/>
              <w:rPr>
                <w:rFonts w:ascii="Times New Roman" w:hAnsi="Times New Roman" w:cs="Times New Roman"/>
              </w:rPr>
            </w:pPr>
            <w:r>
              <w:rPr>
                <w:rFonts w:ascii="Times New Roman" w:hAnsi="Times New Roman" w:cs="Times New Roman"/>
              </w:rPr>
              <w:t>SCAR</w:t>
            </w:r>
          </w:p>
        </w:tc>
        <w:tc>
          <w:tcPr>
            <w:tcW w:w="964" w:type="pct"/>
            <w:vAlign w:val="center"/>
            <w:hideMark/>
          </w:tcPr>
          <w:p w14:paraId="68A6486B" w14:textId="77777777" w:rsidR="000F3B2F" w:rsidRDefault="00000000">
            <w:pPr>
              <w:spacing w:line="360" w:lineRule="auto"/>
              <w:jc w:val="both"/>
              <w:rPr>
                <w:rFonts w:ascii="Times New Roman" w:hAnsi="Times New Roman" w:cs="Times New Roman"/>
              </w:rPr>
            </w:pPr>
            <w:r>
              <w:rPr>
                <w:rFonts w:ascii="Times New Roman" w:hAnsi="Times New Roman" w:cs="Times New Roman"/>
              </w:rPr>
              <w:t>Stewart et al., 2005</w:t>
            </w:r>
          </w:p>
        </w:tc>
      </w:tr>
      <w:tr w:rsidR="000F3B2F" w14:paraId="384DFA9B" w14:textId="77777777">
        <w:trPr>
          <w:tblCellSpacing w:w="15" w:type="dxa"/>
        </w:trPr>
        <w:tc>
          <w:tcPr>
            <w:tcW w:w="583" w:type="pct"/>
            <w:vAlign w:val="center"/>
            <w:hideMark/>
          </w:tcPr>
          <w:p w14:paraId="690A5EAF" w14:textId="77777777" w:rsidR="000F3B2F" w:rsidRDefault="00000000">
            <w:pPr>
              <w:spacing w:line="360" w:lineRule="auto"/>
              <w:jc w:val="both"/>
              <w:rPr>
                <w:rFonts w:ascii="Times New Roman" w:hAnsi="Times New Roman" w:cs="Times New Roman"/>
              </w:rPr>
            </w:pPr>
            <w:r>
              <w:rPr>
                <w:rFonts w:ascii="Times New Roman" w:hAnsi="Times New Roman" w:cs="Times New Roman"/>
              </w:rPr>
              <w:t>Onion</w:t>
            </w:r>
          </w:p>
        </w:tc>
        <w:tc>
          <w:tcPr>
            <w:tcW w:w="1038" w:type="pct"/>
            <w:vAlign w:val="center"/>
            <w:hideMark/>
          </w:tcPr>
          <w:p w14:paraId="4DDF5BCE" w14:textId="77777777" w:rsidR="000F3B2F" w:rsidRDefault="00000000">
            <w:pPr>
              <w:spacing w:line="360" w:lineRule="auto"/>
              <w:jc w:val="both"/>
              <w:rPr>
                <w:rFonts w:ascii="Times New Roman" w:hAnsi="Times New Roman" w:cs="Times New Roman"/>
              </w:rPr>
            </w:pPr>
            <w:r>
              <w:rPr>
                <w:rFonts w:ascii="Times New Roman" w:hAnsi="Times New Roman" w:cs="Times New Roman"/>
              </w:rPr>
              <w:t>Bulb colour</w:t>
            </w:r>
          </w:p>
        </w:tc>
        <w:tc>
          <w:tcPr>
            <w:tcW w:w="1377" w:type="pct"/>
            <w:vAlign w:val="center"/>
            <w:hideMark/>
          </w:tcPr>
          <w:p w14:paraId="0CD1CDD3" w14:textId="77777777" w:rsidR="000F3B2F" w:rsidRDefault="00000000">
            <w:pPr>
              <w:spacing w:line="360" w:lineRule="auto"/>
              <w:jc w:val="both"/>
              <w:rPr>
                <w:rFonts w:ascii="Times New Roman" w:hAnsi="Times New Roman" w:cs="Times New Roman"/>
              </w:rPr>
            </w:pPr>
            <w:r>
              <w:rPr>
                <w:rFonts w:ascii="Times New Roman" w:hAnsi="Times New Roman" w:cs="Times New Roman"/>
                <w:i/>
                <w:iCs/>
              </w:rPr>
              <w:t>MYB1</w:t>
            </w:r>
            <w:r>
              <w:rPr>
                <w:rFonts w:ascii="Times New Roman" w:hAnsi="Times New Roman" w:cs="Times New Roman"/>
              </w:rPr>
              <w:t xml:space="preserve">, </w:t>
            </w:r>
            <w:r>
              <w:rPr>
                <w:rFonts w:ascii="Times New Roman" w:hAnsi="Times New Roman" w:cs="Times New Roman"/>
                <w:i/>
                <w:iCs/>
              </w:rPr>
              <w:t>ACO</w:t>
            </w:r>
          </w:p>
        </w:tc>
        <w:tc>
          <w:tcPr>
            <w:tcW w:w="937" w:type="pct"/>
            <w:vAlign w:val="center"/>
            <w:hideMark/>
          </w:tcPr>
          <w:p w14:paraId="67D1BEEA" w14:textId="77777777" w:rsidR="000F3B2F" w:rsidRDefault="00000000">
            <w:pPr>
              <w:spacing w:line="360" w:lineRule="auto"/>
              <w:jc w:val="both"/>
              <w:rPr>
                <w:rFonts w:ascii="Times New Roman" w:hAnsi="Times New Roman" w:cs="Times New Roman"/>
              </w:rPr>
            </w:pPr>
            <w:r>
              <w:rPr>
                <w:rFonts w:ascii="Times New Roman" w:hAnsi="Times New Roman" w:cs="Times New Roman"/>
              </w:rPr>
              <w:t>SNP</w:t>
            </w:r>
          </w:p>
        </w:tc>
        <w:tc>
          <w:tcPr>
            <w:tcW w:w="964" w:type="pct"/>
            <w:vAlign w:val="center"/>
            <w:hideMark/>
          </w:tcPr>
          <w:p w14:paraId="7495F7BD" w14:textId="77777777" w:rsidR="000F3B2F" w:rsidRDefault="00000000">
            <w:pPr>
              <w:spacing w:line="360" w:lineRule="auto"/>
              <w:jc w:val="both"/>
              <w:rPr>
                <w:rFonts w:ascii="Times New Roman" w:hAnsi="Times New Roman" w:cs="Times New Roman"/>
              </w:rPr>
            </w:pPr>
            <w:r>
              <w:rPr>
                <w:rFonts w:ascii="Times New Roman" w:hAnsi="Times New Roman" w:cs="Times New Roman"/>
              </w:rPr>
              <w:t>Martin et al., 2009</w:t>
            </w:r>
          </w:p>
        </w:tc>
      </w:tr>
    </w:tbl>
    <w:p w14:paraId="2293EA59" w14:textId="77777777" w:rsidR="000F3B2F" w:rsidRDefault="000F3B2F">
      <w:pPr>
        <w:spacing w:line="360" w:lineRule="auto"/>
        <w:jc w:val="both"/>
        <w:rPr>
          <w:rFonts w:ascii="Times New Roman" w:hAnsi="Times New Roman" w:cs="Times New Roman"/>
        </w:rPr>
      </w:pPr>
    </w:p>
    <w:p w14:paraId="1F920A3D"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 xml:space="preserve">Yield in vegetable crops is a multifaceted trait that encompasses several components, including total biomass, fruit or tuber number, individual fruit weight, plant architecture, flowering behavior, and the efficiency of resource partitioning. These components can differ drastically among vegetable types—for instance, fruit yield in tomato, leafy biomass in spinach, root mass in carrot, and pod productivity in bean—yet they are all crucial endpoints of yield selection. The genetic control of yield traits is largely polygenic and often involves epistatic interactions, pleiotropic effects, and genotype-by-environment (G × E) interactions, which collectively influence phenotypic expression. Numerous QTLs have been mapped in major vegetable crops for yield-related traits. For example, in tomato, the </w:t>
      </w:r>
      <w:r>
        <w:rPr>
          <w:rFonts w:ascii="Times New Roman" w:hAnsi="Times New Roman" w:cs="Times New Roman"/>
          <w:i/>
          <w:iCs/>
        </w:rPr>
        <w:t>fw2.2</w:t>
      </w:r>
      <w:r>
        <w:rPr>
          <w:rFonts w:ascii="Times New Roman" w:hAnsi="Times New Roman" w:cs="Times New Roman"/>
        </w:rPr>
        <w:t xml:space="preserve"> QTL has been linked to fruit weight and represents one of the earliest and most significant yield QTLs identified. Similarly, QTLs associated with plant height, fruit set, and harvest index have been mapped in pepper, eggplant, and cucumber. (11,16)</w:t>
      </w:r>
    </w:p>
    <w:p w14:paraId="409F7896"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role of flowering and maturity genes in yield determination is also pivotal. Genes regulating photoperiod sensitivity, floral meristem development, and hormonal balance (particularly gibberellins and cytokinins) indirectly control yield potential by influencing the length of vegetative and reproductive phases. MAS has enabled breeders to select for early flowering and determinate growth habits in crops like tomato and cowpea, facilitating synchronized fruit set and mechanical harvest. (17,18)</w:t>
      </w:r>
    </w:p>
    <w:p w14:paraId="40E1F5B3" w14:textId="77777777" w:rsidR="000F3B2F" w:rsidRDefault="00000000">
      <w:pPr>
        <w:spacing w:line="360" w:lineRule="auto"/>
        <w:jc w:val="both"/>
        <w:rPr>
          <w:rFonts w:ascii="Times New Roman" w:hAnsi="Times New Roman" w:cs="Times New Roman"/>
        </w:rPr>
      </w:pPr>
      <w:r>
        <w:rPr>
          <w:rFonts w:ascii="Times New Roman" w:hAnsi="Times New Roman" w:cs="Times New Roman"/>
        </w:rPr>
        <w:t>Quality traits in vegetables are equally complex, encompassing a broad spectrum of attributes such as flavour, colour, texture, nutritional composition, shelf life, and processing suitability. These traits are directly linked to consumer preference and marketability. From a breeding standpoint, many quality traits are notoriously difficult to select for phenotypically, as they are often measurable only at maturity or post-harvest and may require sophisticated biochemical assays. Molecular breeding thus offers a viable strategy to select for these traits early and non-destructively. (11,12)</w:t>
      </w:r>
    </w:p>
    <w:p w14:paraId="379B9A63" w14:textId="77777777" w:rsidR="000F3B2F" w:rsidRDefault="00000000">
      <w:pPr>
        <w:spacing w:line="360" w:lineRule="auto"/>
        <w:rPr>
          <w:rFonts w:ascii="Times New Roman" w:hAnsi="Times New Roman" w:cs="Times New Roman"/>
        </w:rPr>
      </w:pPr>
      <w:r>
        <w:rPr>
          <w:rFonts w:ascii="Times New Roman" w:hAnsi="Times New Roman" w:cs="Times New Roman"/>
        </w:rPr>
        <w:t xml:space="preserve">Colour and visual appeal are major quality parameters, especially in fruiting vegetables like tomato, pepper, and brinjal. These traits are commonly associated with the accumulation of pigments such as lycopene, beta-carotene, anthocyanins, and chlorophylls. Genetic studies have identified key regulatory genes and QTLs controlling carotenoid biosynthesis pathways. In tomato, for instance, the </w:t>
      </w:r>
      <w:r>
        <w:rPr>
          <w:rFonts w:ascii="Times New Roman" w:hAnsi="Times New Roman" w:cs="Times New Roman"/>
          <w:i/>
          <w:iCs/>
        </w:rPr>
        <w:t>Beta</w:t>
      </w:r>
      <w:r>
        <w:rPr>
          <w:rFonts w:ascii="Times New Roman" w:hAnsi="Times New Roman" w:cs="Times New Roman"/>
        </w:rPr>
        <w:t xml:space="preserve"> gene controls beta-carotene content, while </w:t>
      </w:r>
      <w:r>
        <w:rPr>
          <w:rFonts w:ascii="Times New Roman" w:hAnsi="Times New Roman" w:cs="Times New Roman"/>
          <w:i/>
          <w:iCs/>
        </w:rPr>
        <w:t>old-gold</w:t>
      </w:r>
      <w:r>
        <w:rPr>
          <w:rFonts w:ascii="Times New Roman" w:hAnsi="Times New Roman" w:cs="Times New Roman"/>
        </w:rPr>
        <w:t xml:space="preserve"> (og) and </w:t>
      </w:r>
      <w:r>
        <w:rPr>
          <w:rFonts w:ascii="Times New Roman" w:hAnsi="Times New Roman" w:cs="Times New Roman"/>
          <w:i/>
          <w:iCs/>
        </w:rPr>
        <w:t>hp</w:t>
      </w:r>
      <w:r>
        <w:rPr>
          <w:rFonts w:ascii="Times New Roman" w:hAnsi="Times New Roman" w:cs="Times New Roman"/>
        </w:rPr>
        <w:t xml:space="preserve"> (high pigment) loci influence overall pigment accumulation and intensity. Marker-assisted </w:t>
      </w:r>
      <w:r>
        <w:rPr>
          <w:rFonts w:ascii="Times New Roman" w:hAnsi="Times New Roman" w:cs="Times New Roman"/>
        </w:rPr>
        <w:lastRenderedPageBreak/>
        <w:t>selection has been utilized to improve fruit colour intensity and nutritional value through targeted introgression of such loci. (16,18)</w:t>
      </w:r>
    </w:p>
    <w:p w14:paraId="677E90F1"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Flavour and taste are dictated by a combination of sugars, acids, volatile compounds, and amino acid profiles. In many vegetable crops, especially tomato and melon, flavour QTLs have been dissected through both traditional mapping and metabolomics-integrated approaches. The </w:t>
      </w:r>
      <w:r>
        <w:rPr>
          <w:rFonts w:ascii="Times New Roman" w:hAnsi="Times New Roman" w:cs="Times New Roman"/>
          <w:i/>
          <w:iCs/>
        </w:rPr>
        <w:t>LIN5</w:t>
      </w:r>
      <w:r>
        <w:rPr>
          <w:rFonts w:ascii="Times New Roman" w:hAnsi="Times New Roman" w:cs="Times New Roman"/>
        </w:rPr>
        <w:t xml:space="preserve"> gene in tomato, which encodes a cell wall invertase, has been associated with sugar accumulation, influencing sweetness and soluble solids content. Such genes and their linked markers serve as prime candidates for quality improvement via MAS. (11,18)</w:t>
      </w:r>
    </w:p>
    <w:p w14:paraId="7D8B6A9A"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Texture and firmness are vital for post-harvest shelf life and processing quality. These traits are particularly important in crops like tomato and cucumber, </w:t>
      </w:r>
      <w:proofErr w:type="gramStart"/>
      <w:r>
        <w:rPr>
          <w:rFonts w:ascii="Times New Roman" w:hAnsi="Times New Roman" w:cs="Times New Roman"/>
        </w:rPr>
        <w:t>where</w:t>
      </w:r>
      <w:proofErr w:type="gramEnd"/>
      <w:r>
        <w:rPr>
          <w:rFonts w:ascii="Times New Roman" w:hAnsi="Times New Roman" w:cs="Times New Roman"/>
        </w:rPr>
        <w:t xml:space="preserve"> firmness influences transportability and shelf life. Genes related to cell wall degradation (e.g., polygalacturonase, expansin, and pectin methylesterase) are targets of MAS to retain firmness and delay softening. In tomato, for example, the </w:t>
      </w:r>
      <w:r>
        <w:rPr>
          <w:rFonts w:ascii="Times New Roman" w:hAnsi="Times New Roman" w:cs="Times New Roman"/>
          <w:i/>
          <w:iCs/>
        </w:rPr>
        <w:t>rin</w:t>
      </w:r>
      <w:r>
        <w:rPr>
          <w:rFonts w:ascii="Times New Roman" w:hAnsi="Times New Roman" w:cs="Times New Roman"/>
        </w:rPr>
        <w:t xml:space="preserve"> (ripening inhibitor) and </w:t>
      </w:r>
      <w:r>
        <w:rPr>
          <w:rFonts w:ascii="Times New Roman" w:hAnsi="Times New Roman" w:cs="Times New Roman"/>
          <w:i/>
          <w:iCs/>
        </w:rPr>
        <w:t>nor</w:t>
      </w:r>
      <w:r>
        <w:rPr>
          <w:rFonts w:ascii="Times New Roman" w:hAnsi="Times New Roman" w:cs="Times New Roman"/>
        </w:rPr>
        <w:t xml:space="preserve"> (non-ripening) genes have been utilized to modify ripening behavior and improve shelf stability. (19,20)</w:t>
      </w:r>
    </w:p>
    <w:p w14:paraId="68859C37"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Nutritional quality traits, especially those related to vitamin and mineral content, are gaining increasing importance under the global mandate for nutrient-dense diets. (7,9) Vegetables are primary sources of micronutrients such as vitamin A (beta-carotene), vitamin C, folate, iron, and zinc. Genetic variability for these traits exists within crop gene pools and can be captured and enhanced through MAS. For instance, orange-fleshed carrot varieties rich in beta-carotene have been developed through QTL mapping of the </w:t>
      </w:r>
      <w:r>
        <w:rPr>
          <w:rFonts w:ascii="Times New Roman" w:hAnsi="Times New Roman" w:cs="Times New Roman"/>
          <w:i/>
          <w:iCs/>
        </w:rPr>
        <w:t>Y</w:t>
      </w:r>
      <w:r>
        <w:rPr>
          <w:rFonts w:ascii="Times New Roman" w:hAnsi="Times New Roman" w:cs="Times New Roman"/>
        </w:rPr>
        <w:t xml:space="preserve">, </w:t>
      </w:r>
      <w:r>
        <w:rPr>
          <w:rFonts w:ascii="Times New Roman" w:hAnsi="Times New Roman" w:cs="Times New Roman"/>
          <w:i/>
          <w:iCs/>
        </w:rPr>
        <w:t>Y2</w:t>
      </w:r>
      <w:r>
        <w:rPr>
          <w:rFonts w:ascii="Times New Roman" w:hAnsi="Times New Roman" w:cs="Times New Roman"/>
        </w:rPr>
        <w:t xml:space="preserve">, and </w:t>
      </w:r>
      <w:proofErr w:type="gramStart"/>
      <w:r>
        <w:rPr>
          <w:rFonts w:ascii="Times New Roman" w:hAnsi="Times New Roman" w:cs="Times New Roman"/>
          <w:i/>
          <w:iCs/>
        </w:rPr>
        <w:t>Or</w:t>
      </w:r>
      <w:proofErr w:type="gramEnd"/>
      <w:r>
        <w:rPr>
          <w:rFonts w:ascii="Times New Roman" w:hAnsi="Times New Roman" w:cs="Times New Roman"/>
        </w:rPr>
        <w:t xml:space="preserve"> genes, which regulate carotenoid accumulation in root tissues. In broccoli and leafy vegetables, QTLs associated with glucosinolate and flavonoid content have been identified and targeted in breeding efforts aimed at developing health-promoting cultivars. (20,21)</w:t>
      </w:r>
    </w:p>
    <w:p w14:paraId="68C6D700"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Shelf life and storability are critical traits from the supply chain and consumer standpoint. These attributes are particularly sensitive to genetic and environmental factors. Ethylene biosynthesis and signalling genes play central roles in ripening and senescence. Markers linked to </w:t>
      </w:r>
      <w:r>
        <w:rPr>
          <w:rFonts w:ascii="Times New Roman" w:hAnsi="Times New Roman" w:cs="Times New Roman"/>
          <w:i/>
          <w:iCs/>
        </w:rPr>
        <w:t>ACO</w:t>
      </w:r>
      <w:r>
        <w:rPr>
          <w:rFonts w:ascii="Times New Roman" w:hAnsi="Times New Roman" w:cs="Times New Roman"/>
        </w:rPr>
        <w:t xml:space="preserve"> (1-aminocyclopropane-1-carboxylate oxidase) and </w:t>
      </w:r>
      <w:r>
        <w:rPr>
          <w:rFonts w:ascii="Times New Roman" w:hAnsi="Times New Roman" w:cs="Times New Roman"/>
          <w:i/>
          <w:iCs/>
        </w:rPr>
        <w:t>ACS</w:t>
      </w:r>
      <w:r>
        <w:rPr>
          <w:rFonts w:ascii="Times New Roman" w:hAnsi="Times New Roman" w:cs="Times New Roman"/>
        </w:rPr>
        <w:t xml:space="preserve"> (ACC synthase) genes in tomato and pepper are being used to modulate ethylene response and delay ripening for extended shelf life. Additionally, transcription factors such as </w:t>
      </w:r>
      <w:r>
        <w:rPr>
          <w:rFonts w:ascii="Times New Roman" w:hAnsi="Times New Roman" w:cs="Times New Roman"/>
          <w:i/>
          <w:iCs/>
        </w:rPr>
        <w:t>EIN</w:t>
      </w:r>
      <w:r>
        <w:rPr>
          <w:rFonts w:ascii="Times New Roman" w:hAnsi="Times New Roman" w:cs="Times New Roman"/>
        </w:rPr>
        <w:t xml:space="preserve"> (ethylene insensitive) and </w:t>
      </w:r>
      <w:r>
        <w:rPr>
          <w:rFonts w:ascii="Times New Roman" w:hAnsi="Times New Roman" w:cs="Times New Roman"/>
          <w:i/>
          <w:iCs/>
        </w:rPr>
        <w:t>EIL</w:t>
      </w:r>
      <w:r>
        <w:rPr>
          <w:rFonts w:ascii="Times New Roman" w:hAnsi="Times New Roman" w:cs="Times New Roman"/>
        </w:rPr>
        <w:t xml:space="preserve"> (EIN-like) are also being investigated for their utility in regulating post-harvest physiology. (22,23)</w:t>
      </w:r>
    </w:p>
    <w:p w14:paraId="2F32FFDB"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An additional layer of complexity in the genetic control of both yield and quality traits is introduced by epigenetic regulation and gene-by-environment interactions. Epigenetic mechanisms such as DNA methylation and histone modifications can influence gene expression without altering DNA sequences, thereby affecting trait manifestation. For instance, expression variation in fruit firmness and sugar metabolism genes can be attributed to promoter methylation. While the field of epigenetics in vegetable breeding is still emerging, it holds potential for the development of stable traits that can be fixed through MAS if linked epigenetic markers are identified. (21,22)</w:t>
      </w:r>
    </w:p>
    <w:p w14:paraId="528E3AC4" w14:textId="77777777" w:rsidR="000F3B2F" w:rsidRDefault="00000000">
      <w:pPr>
        <w:spacing w:line="360" w:lineRule="auto"/>
        <w:jc w:val="both"/>
        <w:rPr>
          <w:rFonts w:ascii="Times New Roman" w:hAnsi="Times New Roman" w:cs="Times New Roman"/>
        </w:rPr>
      </w:pPr>
      <w:r>
        <w:rPr>
          <w:rFonts w:ascii="Times New Roman" w:hAnsi="Times New Roman" w:cs="Times New Roman"/>
        </w:rPr>
        <w:t>Moreover, the use of multi-parent advanced generation intercross (MAGIC) populations and nested association mapping (NAM) populations in vegetables is providing new insights into the polygenic control of complex traits. These populations, with their increased recombination and genetic diversity, offer enhanced power for detecting minor-effect QTLs and for constructing high-resolution genetic maps. Such approaches are especially beneficial for unraveling the genetic networks underlying traits like yield stability, flavour complexity, and micronutrient density. (23,24)</w:t>
      </w:r>
    </w:p>
    <w:p w14:paraId="3571529C" w14:textId="77777777" w:rsidR="000F3B2F" w:rsidRDefault="00000000">
      <w:pPr>
        <w:spacing w:line="360" w:lineRule="auto"/>
        <w:jc w:val="both"/>
        <w:rPr>
          <w:rFonts w:ascii="Times New Roman" w:hAnsi="Times New Roman" w:cs="Times New Roman"/>
        </w:rPr>
      </w:pPr>
      <w:r>
        <w:rPr>
          <w:rFonts w:ascii="Times New Roman" w:hAnsi="Times New Roman" w:cs="Times New Roman"/>
        </w:rPr>
        <w:t>In the context of breeding for broad adaptability, it is also crucial to understand the genetic basis of phenotypic plasticity—how a genotype performs across varying environments. Recent studies using genotype-by-environment interaction models and stability indices have led to the identification of QTLs associated with yield stability in tomato and other crops. Incorporating these loci through MAS can help in developing cultivars that are not only high yielding under optimal conditions but also resilient under suboptimal or stress-prone environments. (27,28)</w:t>
      </w:r>
    </w:p>
    <w:p w14:paraId="577B099B"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To effectively exploit the genetic potential of yield and quality traits in vegetables, there is a need for integrated approaches that combine MAS with physiological, biochemical, and omics-based tools. Functional genomics, transcriptomics, proteomics, and metabolomics are being used to complement QTL studies and to validate candidate genes at the expression and metabolic levels. These systems biology approaches offer a holistic understanding of trait development and can guide the prioritization of key markers for MAS </w:t>
      </w:r>
      <w:proofErr w:type="gramStart"/>
      <w:r>
        <w:rPr>
          <w:rFonts w:ascii="Times New Roman" w:hAnsi="Times New Roman" w:cs="Times New Roman"/>
        </w:rPr>
        <w:t>programs.(</w:t>
      </w:r>
      <w:proofErr w:type="gramEnd"/>
      <w:r>
        <w:rPr>
          <w:rFonts w:ascii="Times New Roman" w:hAnsi="Times New Roman" w:cs="Times New Roman"/>
        </w:rPr>
        <w:t>23,24)</w:t>
      </w:r>
    </w:p>
    <w:p w14:paraId="262C5E78"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Applications of Marker-Assisted Selection in Vegetable Crops</w:t>
      </w:r>
    </w:p>
    <w:p w14:paraId="0F30EF4C"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The practical deployment of Marker-Assisted Selection (MAS) has significantly transformed breeding strategies in vegetable crops, offering an efficient means to select for complex traits with high precision and speed.  (11,</w:t>
      </w:r>
      <w:proofErr w:type="gramStart"/>
      <w:r>
        <w:rPr>
          <w:rFonts w:ascii="Times New Roman" w:hAnsi="Times New Roman" w:cs="Times New Roman"/>
        </w:rPr>
        <w:t>17)As</w:t>
      </w:r>
      <w:proofErr w:type="gramEnd"/>
      <w:r>
        <w:rPr>
          <w:rFonts w:ascii="Times New Roman" w:hAnsi="Times New Roman" w:cs="Times New Roman"/>
        </w:rPr>
        <w:t xml:space="preserve"> the demand for higher productivity, improved nutritional quality, and resilience to environmental and biotic stresses continues to grow, MAS </w:t>
      </w:r>
      <w:r>
        <w:rPr>
          <w:rFonts w:ascii="Times New Roman" w:hAnsi="Times New Roman" w:cs="Times New Roman"/>
        </w:rPr>
        <w:lastRenderedPageBreak/>
        <w:t>provides a scientific and scalable approach to meet these multidimensional challenges. In vegetables, MAS has been successfully utilized to enhance both yield traits and quality parameters, with growing evidence of its utility in pyramiding multiple genes, reducing breeding cycles, and developing varieties tailored for specific markets and production systems. (18,20)</w:t>
      </w:r>
    </w:p>
    <w:p w14:paraId="6358F7F2"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Enhancing Yield Traits through MAS</w:t>
      </w:r>
    </w:p>
    <w:p w14:paraId="672CE7BD" w14:textId="77777777" w:rsidR="000F3B2F" w:rsidRDefault="00000000">
      <w:pPr>
        <w:spacing w:line="360" w:lineRule="auto"/>
        <w:jc w:val="both"/>
        <w:rPr>
          <w:rFonts w:ascii="Times New Roman" w:hAnsi="Times New Roman" w:cs="Times New Roman"/>
        </w:rPr>
      </w:pPr>
      <w:r>
        <w:rPr>
          <w:rFonts w:ascii="Times New Roman" w:hAnsi="Times New Roman" w:cs="Times New Roman"/>
        </w:rPr>
        <w:t>Yield improvement has traditionally been a central objective in vegetable breeding programs. Unlike staple cereals, yield in vegetables is defined not only by total biomass or harvestable unit count but also by size, uniformity, harvest index, and maturity synchronization. MAS has facilitated the introgression and stacking of QTLs linked to these components in several vegetable species. (18,20)</w:t>
      </w:r>
    </w:p>
    <w:p w14:paraId="40C31BEC"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 tomato, which serves as a model crop for molecular breeding, several major QTLs have been identified and utilized in yield enhancement programs. The </w:t>
      </w:r>
      <w:r>
        <w:rPr>
          <w:rFonts w:ascii="Times New Roman" w:hAnsi="Times New Roman" w:cs="Times New Roman"/>
          <w:i/>
          <w:iCs/>
        </w:rPr>
        <w:t>fw2.2</w:t>
      </w:r>
      <w:r>
        <w:rPr>
          <w:rFonts w:ascii="Times New Roman" w:hAnsi="Times New Roman" w:cs="Times New Roman"/>
        </w:rPr>
        <w:t xml:space="preserve"> QTL, for example, regulates cell division and has been strongly associated with increased fruit weight. Other loci such as </w:t>
      </w:r>
      <w:r>
        <w:rPr>
          <w:rFonts w:ascii="Times New Roman" w:hAnsi="Times New Roman" w:cs="Times New Roman"/>
          <w:i/>
          <w:iCs/>
        </w:rPr>
        <w:t>lc</w:t>
      </w:r>
      <w:r>
        <w:rPr>
          <w:rFonts w:ascii="Times New Roman" w:hAnsi="Times New Roman" w:cs="Times New Roman"/>
        </w:rPr>
        <w:t xml:space="preserve"> (locule number) and </w:t>
      </w:r>
      <w:r>
        <w:rPr>
          <w:rFonts w:ascii="Times New Roman" w:hAnsi="Times New Roman" w:cs="Times New Roman"/>
          <w:i/>
          <w:iCs/>
        </w:rPr>
        <w:t>fas</w:t>
      </w:r>
      <w:r>
        <w:rPr>
          <w:rFonts w:ascii="Times New Roman" w:hAnsi="Times New Roman" w:cs="Times New Roman"/>
        </w:rPr>
        <w:t xml:space="preserve"> (fascinated inflorescence) contribute to fruit size and morphology. These QTLs, when used in MAS-based selection, have enabled breeders to achieve a balance between yield, shape, and firmness—traits often in trade-off with each other. The use of tightly linked markers has allowed for effective introgression of these QTLs into elite backgrounds without the need for extensive field-based evaluation. (27,28)</w:t>
      </w:r>
    </w:p>
    <w:p w14:paraId="1812F38B" w14:textId="77777777" w:rsidR="000F3B2F" w:rsidRDefault="00000000">
      <w:pPr>
        <w:spacing w:line="360" w:lineRule="auto"/>
        <w:jc w:val="both"/>
        <w:rPr>
          <w:rFonts w:ascii="Times New Roman" w:hAnsi="Times New Roman" w:cs="Times New Roman"/>
        </w:rPr>
      </w:pPr>
      <w:r>
        <w:rPr>
          <w:rFonts w:ascii="Times New Roman" w:hAnsi="Times New Roman" w:cs="Times New Roman"/>
        </w:rPr>
        <w:t>In brinjal (eggplant), MAS has been employed to select for higher fruit set, improved branching, and flower retention, all of which contribute to increased yield potential. The identification of candidate markers associated with shoot architecture and plant vigor has accelerated hybrid development with better biomass partitioning. Similarly, in cucumber, yield-related traits such as fruit length, girth, and number per plant are being enhanced through QTL mapping of associated markers. Efforts are ongoing to introgress early flowering and monoecious traits to support yield uniformity and increase harvest frequency. (19,20)</w:t>
      </w:r>
    </w:p>
    <w:p w14:paraId="2A15E7ED" w14:textId="77777777" w:rsidR="000F3B2F" w:rsidRDefault="00000000">
      <w:pPr>
        <w:spacing w:line="360" w:lineRule="auto"/>
        <w:jc w:val="both"/>
        <w:rPr>
          <w:rFonts w:ascii="Times New Roman" w:hAnsi="Times New Roman" w:cs="Times New Roman"/>
        </w:rPr>
      </w:pPr>
      <w:r>
        <w:rPr>
          <w:rFonts w:ascii="Times New Roman" w:hAnsi="Times New Roman" w:cs="Times New Roman"/>
        </w:rPr>
        <w:t>Cucurbit crops like melon and bitter gourd have also benefited from MAS strategies targeting traits like internode length, node number to first female flower, and earliness. MAS is especially helpful in hybrid breeding programs, where early generation selection for these traits reduces the breeding cycle and enhances genetic gains. (17,18)</w:t>
      </w:r>
    </w:p>
    <w:p w14:paraId="256F2D11"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The use of MAS to develop parthenocarpic varieties—those capable of setting fruit without pollination—has been explored in crops such as cucumber and tomato, with clear implications for improving yield under pollination-constrained environments like greenhouses or during adverse weather conditions. (21,22)</w:t>
      </w:r>
    </w:p>
    <w:p w14:paraId="3520A0F8"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Quality Trait Improvement Using MAS</w:t>
      </w:r>
    </w:p>
    <w:p w14:paraId="3FCC21FC" w14:textId="77777777" w:rsidR="000F3B2F" w:rsidRDefault="00000000">
      <w:pPr>
        <w:spacing w:line="360" w:lineRule="auto"/>
        <w:jc w:val="both"/>
        <w:rPr>
          <w:rFonts w:ascii="Times New Roman" w:hAnsi="Times New Roman" w:cs="Times New Roman"/>
        </w:rPr>
      </w:pPr>
      <w:r>
        <w:rPr>
          <w:rFonts w:ascii="Times New Roman" w:hAnsi="Times New Roman" w:cs="Times New Roman"/>
        </w:rPr>
        <w:t>Quality traits in vegetables, which include sensory, nutritional, and post-harvest attributes, directly influence market value, consumer acceptance, and health benefits. These traits are often complex and challenging to measure accurately through phenotypic screening, making them ideal candidates for MAS. (12,16)</w:t>
      </w:r>
    </w:p>
    <w:p w14:paraId="15409CDD"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 tomato, the enhancement of nutritional quality has been a major focus of MAS. Genes such as </w:t>
      </w:r>
      <w:r>
        <w:rPr>
          <w:rFonts w:ascii="Times New Roman" w:hAnsi="Times New Roman" w:cs="Times New Roman"/>
          <w:i/>
          <w:iCs/>
        </w:rPr>
        <w:t>Beta</w:t>
      </w:r>
      <w:r>
        <w:rPr>
          <w:rFonts w:ascii="Times New Roman" w:hAnsi="Times New Roman" w:cs="Times New Roman"/>
        </w:rPr>
        <w:t xml:space="preserve">, </w:t>
      </w:r>
      <w:r>
        <w:rPr>
          <w:rFonts w:ascii="Times New Roman" w:hAnsi="Times New Roman" w:cs="Times New Roman"/>
          <w:i/>
          <w:iCs/>
        </w:rPr>
        <w:t>old-gold (og)</w:t>
      </w:r>
      <w:r>
        <w:rPr>
          <w:rFonts w:ascii="Times New Roman" w:hAnsi="Times New Roman" w:cs="Times New Roman"/>
        </w:rPr>
        <w:t xml:space="preserve">, and </w:t>
      </w:r>
      <w:r>
        <w:rPr>
          <w:rFonts w:ascii="Times New Roman" w:hAnsi="Times New Roman" w:cs="Times New Roman"/>
          <w:i/>
          <w:iCs/>
        </w:rPr>
        <w:t>high pigment (hp)</w:t>
      </w:r>
      <w:r>
        <w:rPr>
          <w:rFonts w:ascii="Times New Roman" w:hAnsi="Times New Roman" w:cs="Times New Roman"/>
        </w:rPr>
        <w:t xml:space="preserve"> have been linked to elevated carotenoid content, particularly lycopene and beta-carotene, which contribute to both fruit colour and antioxidant </w:t>
      </w:r>
      <w:proofErr w:type="gramStart"/>
      <w:r>
        <w:rPr>
          <w:rFonts w:ascii="Times New Roman" w:hAnsi="Times New Roman" w:cs="Times New Roman"/>
        </w:rPr>
        <w:t>properties.(</w:t>
      </w:r>
      <w:proofErr w:type="gramEnd"/>
      <w:r>
        <w:rPr>
          <w:rFonts w:ascii="Times New Roman" w:hAnsi="Times New Roman" w:cs="Times New Roman"/>
        </w:rPr>
        <w:t xml:space="preserve">5) Markers associated with these genes have been used to breed tomatoes with deeper red or orange pigmentation, indicating higher phytonutrient content. Additionally, loci associated with sugar accumulation, such as </w:t>
      </w:r>
      <w:r>
        <w:rPr>
          <w:rFonts w:ascii="Times New Roman" w:hAnsi="Times New Roman" w:cs="Times New Roman"/>
          <w:i/>
          <w:iCs/>
        </w:rPr>
        <w:t>LIN5</w:t>
      </w:r>
      <w:r>
        <w:rPr>
          <w:rFonts w:ascii="Times New Roman" w:hAnsi="Times New Roman" w:cs="Times New Roman"/>
        </w:rPr>
        <w:t>, and acid balance have been deployed to fine-tune the flavour profile and enhance taste appeal. (24,26)</w:t>
      </w:r>
    </w:p>
    <w:p w14:paraId="6ACE755E"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Carrot breeding programs have similarly leveraged MAS to improve carotenoid concentration. QTLs linked to the </w:t>
      </w:r>
      <w:proofErr w:type="gramStart"/>
      <w:r>
        <w:rPr>
          <w:rFonts w:ascii="Times New Roman" w:hAnsi="Times New Roman" w:cs="Times New Roman"/>
          <w:i/>
          <w:iCs/>
        </w:rPr>
        <w:t>Or</w:t>
      </w:r>
      <w:proofErr w:type="gramEnd"/>
      <w:r>
        <w:rPr>
          <w:rFonts w:ascii="Times New Roman" w:hAnsi="Times New Roman" w:cs="Times New Roman"/>
        </w:rPr>
        <w:t xml:space="preserve"> gene have been associated with the accumulation of alpha- and beta-carotene in the root cortex. Marker-assisted selection using these loci has resulted in the development of carrot lines with intensified orange coloration and enhanced provitamin A content—traits that are crucial in biofortification and public health nutrition contexts. (18,19)</w:t>
      </w:r>
    </w:p>
    <w:p w14:paraId="0D798200"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 pepper (Capsicum spp.), MAS has been applied to improve capsaicin content and colour attributes. Genes controlling capsaicinoid biosynthesis and carotenoid accumulation, such as </w:t>
      </w:r>
      <w:r>
        <w:rPr>
          <w:rFonts w:ascii="Times New Roman" w:hAnsi="Times New Roman" w:cs="Times New Roman"/>
          <w:i/>
          <w:iCs/>
        </w:rPr>
        <w:t>Pun1</w:t>
      </w:r>
      <w:r>
        <w:rPr>
          <w:rFonts w:ascii="Times New Roman" w:hAnsi="Times New Roman" w:cs="Times New Roman"/>
        </w:rPr>
        <w:t xml:space="preserve"> and </w:t>
      </w:r>
      <w:r>
        <w:rPr>
          <w:rFonts w:ascii="Times New Roman" w:hAnsi="Times New Roman" w:cs="Times New Roman"/>
          <w:i/>
          <w:iCs/>
        </w:rPr>
        <w:t>Ccs</w:t>
      </w:r>
      <w:r>
        <w:rPr>
          <w:rFonts w:ascii="Times New Roman" w:hAnsi="Times New Roman" w:cs="Times New Roman"/>
        </w:rPr>
        <w:t>, have been mapped and used to distinguish between pungent and sweet types as well as to manipulate fruit colour for aesthetic and processing purposes. (21,22)</w:t>
      </w:r>
    </w:p>
    <w:p w14:paraId="097CEE61" w14:textId="77777777" w:rsidR="000F3B2F" w:rsidRDefault="00000000">
      <w:pPr>
        <w:spacing w:line="360" w:lineRule="auto"/>
        <w:jc w:val="both"/>
        <w:rPr>
          <w:rFonts w:ascii="Times New Roman" w:hAnsi="Times New Roman" w:cs="Times New Roman"/>
        </w:rPr>
      </w:pPr>
      <w:r>
        <w:rPr>
          <w:rFonts w:ascii="Times New Roman" w:hAnsi="Times New Roman" w:cs="Times New Roman"/>
        </w:rPr>
        <w:t>Texture and post-harvest quality are also significant targets. In cucumber and zucchini, traits such as fruit firmness and colour retention are being improved using markers linked to cell wall-related enzymes and pigment biosynthetic genes. These traits determine market shelf life, transportability, and overall consumer preference. (23,24)</w:t>
      </w:r>
    </w:p>
    <w:p w14:paraId="18D1B171"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For leafy vegetables such as spinach and lettuce, quality breeding efforts have centered around shelf life, leaf colour, and nutrient density. MAS is being utilized to incorporate slow-bolting </w:t>
      </w:r>
      <w:r>
        <w:rPr>
          <w:rFonts w:ascii="Times New Roman" w:hAnsi="Times New Roman" w:cs="Times New Roman"/>
        </w:rPr>
        <w:lastRenderedPageBreak/>
        <w:t>traits and resistance to oxidation-induced leaf degradation, which affects shelf stability and fresh-cut quality. (27,28)</w:t>
      </w:r>
    </w:p>
    <w:p w14:paraId="3F910A5A"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Disease Resistance and Stress Tolerance as Yield &amp; Quality Enhancers</w:t>
      </w:r>
    </w:p>
    <w:p w14:paraId="3A46F16B" w14:textId="77777777" w:rsidR="000F3B2F" w:rsidRDefault="00000000">
      <w:pPr>
        <w:spacing w:line="360" w:lineRule="auto"/>
        <w:jc w:val="both"/>
        <w:rPr>
          <w:rFonts w:ascii="Times New Roman" w:hAnsi="Times New Roman" w:cs="Times New Roman"/>
        </w:rPr>
      </w:pPr>
      <w:r>
        <w:rPr>
          <w:rFonts w:ascii="Times New Roman" w:hAnsi="Times New Roman" w:cs="Times New Roman"/>
        </w:rPr>
        <w:t>Though not always classified under yield or quality traits directly, resistance to biotic and abiotic stresses significantly contributes to both by minimizing losses and ensuring consistent performance. MAS has proven especially effective for incorporating disease resistance genes into high-performing vegetable backgrounds. (20,21)</w:t>
      </w:r>
    </w:p>
    <w:p w14:paraId="4EA85DBA"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 tomato, genes conferring resistance to Tomato yellow leaf curl virus (TYLCV), Fusarium wilt, and bacterial wilt have been identified and used in MAS pipelines. The </w:t>
      </w:r>
      <w:r>
        <w:rPr>
          <w:rFonts w:ascii="Times New Roman" w:hAnsi="Times New Roman" w:cs="Times New Roman"/>
          <w:i/>
          <w:iCs/>
        </w:rPr>
        <w:t>Ty</w:t>
      </w:r>
      <w:r>
        <w:rPr>
          <w:rFonts w:ascii="Times New Roman" w:hAnsi="Times New Roman" w:cs="Times New Roman"/>
        </w:rPr>
        <w:t xml:space="preserve"> series (Ty-1 to Ty-5) of genes are particularly well-known for their effectiveness against TYLCV and have been pyramided into elite cultivars using linked SSR and SNP markers. The pyramiding strategy ensures durable resistance and minimizes the likelihood of pathogen breakdown. (27,28)</w:t>
      </w:r>
    </w:p>
    <w:p w14:paraId="2C2089D4"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 cucumber, MAS has facilitated the introgression of powdery mildew resistance through markers linked to </w:t>
      </w:r>
      <w:r>
        <w:rPr>
          <w:rFonts w:ascii="Times New Roman" w:hAnsi="Times New Roman" w:cs="Times New Roman"/>
          <w:i/>
          <w:iCs/>
        </w:rPr>
        <w:t>pm</w:t>
      </w:r>
      <w:r>
        <w:rPr>
          <w:rFonts w:ascii="Times New Roman" w:hAnsi="Times New Roman" w:cs="Times New Roman"/>
        </w:rPr>
        <w:t xml:space="preserve"> genes. Similar approaches have been adopted in capsicum, okra, and bottle gourd, where viral and fungal resistances have been enhanced using tightly linked markers. By ensuring crop health and reducing pesticide dependence, MAS indirectly but significantly boosts both yield and quality. (24,25)</w:t>
      </w:r>
    </w:p>
    <w:p w14:paraId="77545B03" w14:textId="77777777" w:rsidR="000F3B2F" w:rsidRDefault="00000000">
      <w:pPr>
        <w:spacing w:line="360" w:lineRule="auto"/>
        <w:jc w:val="both"/>
        <w:rPr>
          <w:rFonts w:ascii="Times New Roman" w:hAnsi="Times New Roman" w:cs="Times New Roman"/>
        </w:rPr>
      </w:pPr>
      <w:r>
        <w:rPr>
          <w:rFonts w:ascii="Times New Roman" w:hAnsi="Times New Roman" w:cs="Times New Roman"/>
        </w:rPr>
        <w:t>Abiotic stress tolerance, though more complex due to its polygenic nature, has also seen some progress. In tomato, tolerance to salinity and drought has been linked to QTLs that modulate traits like osmotic balance, root depth, and stomatal behavior. Selection for such traits using MAS, although still in early stages, holds promise for the development of climate-resilient cultivars. (27,28)</w:t>
      </w:r>
    </w:p>
    <w:p w14:paraId="7A34697D" w14:textId="77777777" w:rsidR="000F3B2F" w:rsidRDefault="0000000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MAS in Hybrid Breeding and Seed Purity Maintenance</w:t>
      </w:r>
    </w:p>
    <w:p w14:paraId="47BFD3BA" w14:textId="77777777" w:rsidR="000F3B2F" w:rsidRDefault="00000000">
      <w:pPr>
        <w:spacing w:line="360" w:lineRule="auto"/>
        <w:jc w:val="both"/>
        <w:rPr>
          <w:rFonts w:ascii="Times New Roman" w:hAnsi="Times New Roman" w:cs="Times New Roman"/>
        </w:rPr>
      </w:pPr>
      <w:r>
        <w:rPr>
          <w:rFonts w:ascii="Times New Roman" w:hAnsi="Times New Roman" w:cs="Times New Roman"/>
        </w:rPr>
        <w:t>MAS has also been applied in hybrid breeding programs, where early identification of parental lines with complementary traits is crucial. In vegetable crops where hybrid vigor (heterosis) is exploited—such as tomato, pepper, and cabbage—markers are used to confirm the presence of restorer or male sterility alleles, identify heterotic groups, and maintain seed purity. In onion, where cytoplasmic male sterility is widely used, MAS has simplified the identification and validation of sterile and fertile lines through mitochondrial and nuclear markers. (26,27)</w:t>
      </w:r>
    </w:p>
    <w:p w14:paraId="252A4F07"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4.5 Impact and Future Applications</w:t>
      </w:r>
    </w:p>
    <w:p w14:paraId="63268BD1"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The success stories of MAS in vegetable crops are expanding, with numerous cultivars developed and released carrying marker-selected traits. Programs supported by international collaborations and public-private partnerships have accelerated MAS adoption in both developed and developing countries. (29,30) With the continuous development of high-throughput genotyping platforms, decreasing costs of sequencing, and availability of comprehensive reference genomes, the application scope of MAS is poised to broaden. (30,31)</w:t>
      </w:r>
    </w:p>
    <w:p w14:paraId="58CECDAE" w14:textId="77777777" w:rsidR="000F3B2F" w:rsidRDefault="00000000">
      <w:pPr>
        <w:pStyle w:val="ListParagraph"/>
        <w:spacing w:line="360" w:lineRule="auto"/>
        <w:ind w:left="0"/>
        <w:jc w:val="both"/>
        <w:rPr>
          <w:rFonts w:ascii="Times New Roman" w:hAnsi="Times New Roman" w:cs="Times New Roman"/>
          <w:b/>
          <w:bCs/>
        </w:rPr>
      </w:pPr>
      <w:r>
        <w:rPr>
          <w:rFonts w:ascii="Times New Roman" w:hAnsi="Times New Roman" w:cs="Times New Roman"/>
          <w:b/>
          <w:bCs/>
        </w:rPr>
        <w:t>Case Study: Marker-Assisted Breeding for TYLCV Resistance in Tomato</w:t>
      </w:r>
    </w:p>
    <w:p w14:paraId="10B5769D" w14:textId="77777777" w:rsidR="000F3B2F" w:rsidRDefault="00000000">
      <w:pPr>
        <w:spacing w:line="360" w:lineRule="auto"/>
        <w:jc w:val="both"/>
        <w:rPr>
          <w:rFonts w:ascii="Times New Roman" w:hAnsi="Times New Roman" w:cs="Times New Roman"/>
        </w:rPr>
      </w:pPr>
      <w:r>
        <w:rPr>
          <w:rFonts w:ascii="Times New Roman" w:hAnsi="Times New Roman" w:cs="Times New Roman"/>
          <w:b/>
          <w:bCs/>
        </w:rPr>
        <w:t>Background</w:t>
      </w:r>
    </w:p>
    <w:p w14:paraId="1C9415D1" w14:textId="77777777" w:rsidR="000F3B2F" w:rsidRDefault="00000000">
      <w:pPr>
        <w:spacing w:line="360" w:lineRule="auto"/>
        <w:jc w:val="both"/>
        <w:rPr>
          <w:rFonts w:ascii="Times New Roman" w:hAnsi="Times New Roman" w:cs="Times New Roman"/>
        </w:rPr>
      </w:pPr>
      <w:r>
        <w:rPr>
          <w:rFonts w:ascii="Times New Roman" w:hAnsi="Times New Roman" w:cs="Times New Roman"/>
        </w:rPr>
        <w:t>Tomato Yellow Leaf Curl Virus (TYLCV) is a serious viral disease affecting tomato (Solanum lycopersicum) production across tropical, subtropical, and Mediterranean regions. Transmitted by the whitefly (</w:t>
      </w:r>
      <w:r>
        <w:rPr>
          <w:rFonts w:ascii="Times New Roman" w:hAnsi="Times New Roman" w:cs="Times New Roman"/>
          <w:i/>
          <w:iCs/>
        </w:rPr>
        <w:t>Bemisia tabaci</w:t>
      </w:r>
      <w:r>
        <w:rPr>
          <w:rFonts w:ascii="Times New Roman" w:hAnsi="Times New Roman" w:cs="Times New Roman"/>
        </w:rPr>
        <w:t>), TYLCV causes stunted growth, leaf curling, flower drop, and substantial yield losses, often up to 90% in severe infestations. Managing TYLCV through vector control alone is ineffective and unsustainable, particularly in low-input farming systems. Thus, developing host-plant resistance has emerged as the most effective and environmentally sound approach to combat this disease. (32)</w:t>
      </w:r>
    </w:p>
    <w:p w14:paraId="7815AFEA" w14:textId="77777777" w:rsidR="000F3B2F" w:rsidRDefault="00000000">
      <w:pPr>
        <w:spacing w:line="360" w:lineRule="auto"/>
        <w:jc w:val="both"/>
        <w:rPr>
          <w:rFonts w:ascii="Times New Roman" w:hAnsi="Times New Roman" w:cs="Times New Roman"/>
        </w:rPr>
      </w:pPr>
      <w:r>
        <w:rPr>
          <w:rFonts w:ascii="Times New Roman" w:hAnsi="Times New Roman" w:cs="Times New Roman"/>
          <w:b/>
          <w:bCs/>
        </w:rPr>
        <w:t>Discovery of Resistance Genes and Markers</w:t>
      </w:r>
    </w:p>
    <w:p w14:paraId="730A9EAA"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The earliest sources of TYLCV resistance were identified in wild tomato relatives such as </w:t>
      </w:r>
      <w:r>
        <w:rPr>
          <w:rFonts w:ascii="Times New Roman" w:hAnsi="Times New Roman" w:cs="Times New Roman"/>
          <w:i/>
          <w:iCs/>
        </w:rPr>
        <w:t>Solanum chilense</w:t>
      </w:r>
      <w:r>
        <w:rPr>
          <w:rFonts w:ascii="Times New Roman" w:hAnsi="Times New Roman" w:cs="Times New Roman"/>
        </w:rPr>
        <w:t xml:space="preserve"> and </w:t>
      </w:r>
      <w:r>
        <w:rPr>
          <w:rFonts w:ascii="Times New Roman" w:hAnsi="Times New Roman" w:cs="Times New Roman"/>
          <w:i/>
          <w:iCs/>
        </w:rPr>
        <w:t>Solanum peruvianum</w:t>
      </w:r>
      <w:r>
        <w:rPr>
          <w:rFonts w:ascii="Times New Roman" w:hAnsi="Times New Roman" w:cs="Times New Roman"/>
        </w:rPr>
        <w:t>. Through interspecific hybridization and backcrossing, resistance loci were transferred into cultivated tomato backgrounds. (32,33) Five major resistance genes—</w:t>
      </w:r>
      <w:r>
        <w:rPr>
          <w:rFonts w:ascii="Times New Roman" w:hAnsi="Times New Roman" w:cs="Times New Roman"/>
          <w:b/>
          <w:bCs/>
        </w:rPr>
        <w:t>Ty-1</w:t>
      </w:r>
      <w:r>
        <w:rPr>
          <w:rFonts w:ascii="Times New Roman" w:hAnsi="Times New Roman" w:cs="Times New Roman"/>
        </w:rPr>
        <w:t xml:space="preserve">, </w:t>
      </w:r>
      <w:r>
        <w:rPr>
          <w:rFonts w:ascii="Times New Roman" w:hAnsi="Times New Roman" w:cs="Times New Roman"/>
          <w:b/>
          <w:bCs/>
        </w:rPr>
        <w:t>Ty-2</w:t>
      </w:r>
      <w:r>
        <w:rPr>
          <w:rFonts w:ascii="Times New Roman" w:hAnsi="Times New Roman" w:cs="Times New Roman"/>
        </w:rPr>
        <w:t xml:space="preserve">, </w:t>
      </w:r>
      <w:r>
        <w:rPr>
          <w:rFonts w:ascii="Times New Roman" w:hAnsi="Times New Roman" w:cs="Times New Roman"/>
          <w:b/>
          <w:bCs/>
        </w:rPr>
        <w:t>Ty-3</w:t>
      </w:r>
      <w:r>
        <w:rPr>
          <w:rFonts w:ascii="Times New Roman" w:hAnsi="Times New Roman" w:cs="Times New Roman"/>
        </w:rPr>
        <w:t xml:space="preserve">, </w:t>
      </w:r>
      <w:r>
        <w:rPr>
          <w:rFonts w:ascii="Times New Roman" w:hAnsi="Times New Roman" w:cs="Times New Roman"/>
          <w:b/>
          <w:bCs/>
        </w:rPr>
        <w:t>Ty-4</w:t>
      </w:r>
      <w:r>
        <w:rPr>
          <w:rFonts w:ascii="Times New Roman" w:hAnsi="Times New Roman" w:cs="Times New Roman"/>
        </w:rPr>
        <w:t xml:space="preserve">, and </w:t>
      </w:r>
      <w:r>
        <w:rPr>
          <w:rFonts w:ascii="Times New Roman" w:hAnsi="Times New Roman" w:cs="Times New Roman"/>
          <w:b/>
          <w:bCs/>
        </w:rPr>
        <w:t>Ty-5</w:t>
      </w:r>
      <w:r>
        <w:rPr>
          <w:rFonts w:ascii="Times New Roman" w:hAnsi="Times New Roman" w:cs="Times New Roman"/>
        </w:rPr>
        <w:t>—have been characterized to date:</w:t>
      </w:r>
    </w:p>
    <w:p w14:paraId="7975C6EE" w14:textId="77777777" w:rsidR="000F3B2F" w:rsidRDefault="00000000">
      <w:pPr>
        <w:numPr>
          <w:ilvl w:val="0"/>
          <w:numId w:val="3"/>
        </w:numPr>
        <w:spacing w:line="360" w:lineRule="auto"/>
        <w:ind w:left="0" w:firstLine="0"/>
        <w:jc w:val="both"/>
        <w:rPr>
          <w:rFonts w:ascii="Times New Roman" w:hAnsi="Times New Roman" w:cs="Times New Roman"/>
        </w:rPr>
      </w:pPr>
      <w:r>
        <w:rPr>
          <w:rFonts w:ascii="Times New Roman" w:hAnsi="Times New Roman" w:cs="Times New Roman"/>
          <w:b/>
          <w:bCs/>
        </w:rPr>
        <w:t>Ty-1</w:t>
      </w:r>
      <w:r>
        <w:rPr>
          <w:rFonts w:ascii="Times New Roman" w:hAnsi="Times New Roman" w:cs="Times New Roman"/>
        </w:rPr>
        <w:t xml:space="preserve"> and </w:t>
      </w:r>
      <w:r>
        <w:rPr>
          <w:rFonts w:ascii="Times New Roman" w:hAnsi="Times New Roman" w:cs="Times New Roman"/>
          <w:b/>
          <w:bCs/>
        </w:rPr>
        <w:t>Ty-3</w:t>
      </w:r>
      <w:r>
        <w:rPr>
          <w:rFonts w:ascii="Times New Roman" w:hAnsi="Times New Roman" w:cs="Times New Roman"/>
        </w:rPr>
        <w:t xml:space="preserve"> are allelic and encode RNA-dependent RNA polymerase (RDR), contributing to transcriptional gene silencing against TYLCV. (32,33)</w:t>
      </w:r>
    </w:p>
    <w:p w14:paraId="365D9D4F" w14:textId="77777777" w:rsidR="000F3B2F" w:rsidRDefault="00000000">
      <w:pPr>
        <w:numPr>
          <w:ilvl w:val="0"/>
          <w:numId w:val="3"/>
        </w:numPr>
        <w:spacing w:line="360" w:lineRule="auto"/>
        <w:ind w:left="0" w:firstLine="0"/>
        <w:jc w:val="both"/>
        <w:rPr>
          <w:rFonts w:ascii="Times New Roman" w:hAnsi="Times New Roman" w:cs="Times New Roman"/>
        </w:rPr>
      </w:pPr>
      <w:r>
        <w:rPr>
          <w:rFonts w:ascii="Times New Roman" w:hAnsi="Times New Roman" w:cs="Times New Roman"/>
          <w:b/>
          <w:bCs/>
        </w:rPr>
        <w:t>Ty-2</w:t>
      </w:r>
      <w:r>
        <w:rPr>
          <w:rFonts w:ascii="Times New Roman" w:hAnsi="Times New Roman" w:cs="Times New Roman"/>
        </w:rPr>
        <w:t xml:space="preserve"> originates from </w:t>
      </w:r>
      <w:r>
        <w:rPr>
          <w:rFonts w:ascii="Times New Roman" w:hAnsi="Times New Roman" w:cs="Times New Roman"/>
          <w:i/>
          <w:iCs/>
        </w:rPr>
        <w:t>S. habrochaites</w:t>
      </w:r>
      <w:r>
        <w:rPr>
          <w:rFonts w:ascii="Times New Roman" w:hAnsi="Times New Roman" w:cs="Times New Roman"/>
        </w:rPr>
        <w:t xml:space="preserve"> and provides monogenic resistance. (32,33)</w:t>
      </w:r>
    </w:p>
    <w:p w14:paraId="4068BB7D" w14:textId="77777777" w:rsidR="000F3B2F" w:rsidRDefault="00000000">
      <w:pPr>
        <w:numPr>
          <w:ilvl w:val="0"/>
          <w:numId w:val="3"/>
        </w:numPr>
        <w:spacing w:line="360" w:lineRule="auto"/>
        <w:ind w:left="0" w:firstLine="0"/>
        <w:jc w:val="both"/>
        <w:rPr>
          <w:rFonts w:ascii="Times New Roman" w:hAnsi="Times New Roman" w:cs="Times New Roman"/>
        </w:rPr>
      </w:pPr>
      <w:r>
        <w:rPr>
          <w:rFonts w:ascii="Times New Roman" w:hAnsi="Times New Roman" w:cs="Times New Roman"/>
          <w:b/>
          <w:bCs/>
        </w:rPr>
        <w:t>Ty-5</w:t>
      </w:r>
      <w:r>
        <w:rPr>
          <w:rFonts w:ascii="Times New Roman" w:hAnsi="Times New Roman" w:cs="Times New Roman"/>
        </w:rPr>
        <w:t xml:space="preserve"> encodes a mutated version of the </w:t>
      </w:r>
      <w:r>
        <w:rPr>
          <w:rFonts w:ascii="Times New Roman" w:hAnsi="Times New Roman" w:cs="Times New Roman"/>
          <w:i/>
          <w:iCs/>
        </w:rPr>
        <w:t>pelota</w:t>
      </w:r>
      <w:r>
        <w:rPr>
          <w:rFonts w:ascii="Times New Roman" w:hAnsi="Times New Roman" w:cs="Times New Roman"/>
        </w:rPr>
        <w:t xml:space="preserve"> gene involved in translation, providing recessive resistance (Lapidot et al., 2015). (32,33)</w:t>
      </w:r>
    </w:p>
    <w:p w14:paraId="0CED7172"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Flanking markers were developed for these genes to facilitate their introgression into commercial lines using marker-assisted backcrossing (MABC). For example, the SCAR marker </w:t>
      </w:r>
      <w:r>
        <w:rPr>
          <w:rFonts w:ascii="Times New Roman" w:hAnsi="Times New Roman" w:cs="Times New Roman"/>
          <w:i/>
          <w:iCs/>
        </w:rPr>
        <w:t>P6-25</w:t>
      </w:r>
      <w:r>
        <w:rPr>
          <w:rFonts w:ascii="Times New Roman" w:hAnsi="Times New Roman" w:cs="Times New Roman"/>
        </w:rPr>
        <w:t xml:space="preserve"> is tightly linked to the </w:t>
      </w:r>
      <w:r>
        <w:rPr>
          <w:rFonts w:ascii="Times New Roman" w:hAnsi="Times New Roman" w:cs="Times New Roman"/>
          <w:b/>
          <w:bCs/>
        </w:rPr>
        <w:t>Ty-2</w:t>
      </w:r>
      <w:r>
        <w:rPr>
          <w:rFonts w:ascii="Times New Roman" w:hAnsi="Times New Roman" w:cs="Times New Roman"/>
        </w:rPr>
        <w:t xml:space="preserve"> locus on chromosome 11 (Hanson et al., 2000), while </w:t>
      </w:r>
      <w:r>
        <w:rPr>
          <w:rFonts w:ascii="Times New Roman" w:hAnsi="Times New Roman" w:cs="Times New Roman"/>
          <w:i/>
          <w:iCs/>
        </w:rPr>
        <w:t>SlNAC1</w:t>
      </w:r>
      <w:r>
        <w:rPr>
          <w:rFonts w:ascii="Times New Roman" w:hAnsi="Times New Roman" w:cs="Times New Roman"/>
        </w:rPr>
        <w:t xml:space="preserve"> is used for tracking </w:t>
      </w:r>
      <w:r>
        <w:rPr>
          <w:rFonts w:ascii="Times New Roman" w:hAnsi="Times New Roman" w:cs="Times New Roman"/>
          <w:b/>
          <w:bCs/>
        </w:rPr>
        <w:t>Ty-1/Ty-3</w:t>
      </w:r>
      <w:r>
        <w:rPr>
          <w:rFonts w:ascii="Times New Roman" w:hAnsi="Times New Roman" w:cs="Times New Roman"/>
        </w:rPr>
        <w:t>. (34)</w:t>
      </w:r>
    </w:p>
    <w:p w14:paraId="0C25DD63" w14:textId="77777777" w:rsidR="000F3B2F" w:rsidRDefault="00000000">
      <w:pPr>
        <w:spacing w:line="360" w:lineRule="auto"/>
        <w:jc w:val="both"/>
        <w:rPr>
          <w:rFonts w:ascii="Times New Roman" w:hAnsi="Times New Roman" w:cs="Times New Roman"/>
        </w:rPr>
      </w:pPr>
      <w:r>
        <w:rPr>
          <w:rFonts w:ascii="Times New Roman" w:hAnsi="Times New Roman" w:cs="Times New Roman"/>
          <w:b/>
          <w:bCs/>
        </w:rPr>
        <w:t>Breeding Strategy and Deployment</w:t>
      </w:r>
    </w:p>
    <w:p w14:paraId="23AAD092"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 xml:space="preserve">The breeding process typically involves the use of foreground selection to ensure the presence of the resistance gene, background selection to recover the recurrent parent genome, and phenotypic selection for horticultural performance. In India, the Indian Institute of Horticultural Research (IIHR) developed the hybrid </w:t>
      </w:r>
      <w:r>
        <w:rPr>
          <w:rFonts w:ascii="Times New Roman" w:hAnsi="Times New Roman" w:cs="Times New Roman"/>
          <w:b/>
          <w:bCs/>
        </w:rPr>
        <w:t>Arka Rakshak</w:t>
      </w:r>
      <w:r>
        <w:rPr>
          <w:rFonts w:ascii="Times New Roman" w:hAnsi="Times New Roman" w:cs="Times New Roman"/>
        </w:rPr>
        <w:t xml:space="preserve"> by pyramiding </w:t>
      </w:r>
      <w:r>
        <w:rPr>
          <w:rFonts w:ascii="Times New Roman" w:hAnsi="Times New Roman" w:cs="Times New Roman"/>
          <w:b/>
          <w:bCs/>
        </w:rPr>
        <w:t>Ty-2</w:t>
      </w:r>
      <w:r>
        <w:rPr>
          <w:rFonts w:ascii="Times New Roman" w:hAnsi="Times New Roman" w:cs="Times New Roman"/>
        </w:rPr>
        <w:t xml:space="preserve"> and </w:t>
      </w:r>
      <w:r>
        <w:rPr>
          <w:rFonts w:ascii="Times New Roman" w:hAnsi="Times New Roman" w:cs="Times New Roman"/>
          <w:b/>
          <w:bCs/>
        </w:rPr>
        <w:t>Ty-3</w:t>
      </w:r>
      <w:r>
        <w:rPr>
          <w:rFonts w:ascii="Times New Roman" w:hAnsi="Times New Roman" w:cs="Times New Roman"/>
        </w:rPr>
        <w:t xml:space="preserve"> using tightly linked markers, ensuring broad-spectrum and durable resistance.</w:t>
      </w:r>
    </w:p>
    <w:p w14:paraId="6B102DF4"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 the Philippines, the East-West Seed Company released the hybrid </w:t>
      </w:r>
      <w:r>
        <w:rPr>
          <w:rFonts w:ascii="Times New Roman" w:hAnsi="Times New Roman" w:cs="Times New Roman"/>
          <w:b/>
          <w:bCs/>
        </w:rPr>
        <w:t>‘Diamante Max’</w:t>
      </w:r>
      <w:r>
        <w:rPr>
          <w:rFonts w:ascii="Times New Roman" w:hAnsi="Times New Roman" w:cs="Times New Roman"/>
        </w:rPr>
        <w:t xml:space="preserve">, developed by introgressing </w:t>
      </w:r>
      <w:r>
        <w:rPr>
          <w:rFonts w:ascii="Times New Roman" w:hAnsi="Times New Roman" w:cs="Times New Roman"/>
          <w:b/>
          <w:bCs/>
        </w:rPr>
        <w:t>Ty-2</w:t>
      </w:r>
      <w:r>
        <w:rPr>
          <w:rFonts w:ascii="Times New Roman" w:hAnsi="Times New Roman" w:cs="Times New Roman"/>
        </w:rPr>
        <w:t xml:space="preserve"> through marker-assisted backcrossing into an elite recurrent parent. The breeding program used marker-assisted selection in early segregating generations, significantly reducing the breeding cycle while maintaining desirable fruit traits. (34,35)</w:t>
      </w:r>
    </w:p>
    <w:p w14:paraId="66BFDD54" w14:textId="77777777" w:rsidR="000F3B2F" w:rsidRDefault="00000000">
      <w:pPr>
        <w:spacing w:line="360" w:lineRule="auto"/>
        <w:jc w:val="both"/>
        <w:rPr>
          <w:rFonts w:ascii="Times New Roman" w:hAnsi="Times New Roman" w:cs="Times New Roman"/>
        </w:rPr>
      </w:pPr>
      <w:r>
        <w:rPr>
          <w:rFonts w:ascii="Times New Roman" w:hAnsi="Times New Roman" w:cs="Times New Roman"/>
          <w:b/>
          <w:bCs/>
        </w:rPr>
        <w:t>Impact and Benefits</w:t>
      </w:r>
    </w:p>
    <w:p w14:paraId="699ACABC"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The integration of MAS into TYLCV-resistance breeding has had considerable economic and agronomic impact. Resistant hybrids like 'Arka Rakshak' and 'Diamante Max' are widely cultivated in South and Southeast Asia, where TYLCV pressure is high. These hybrids not only reduce the need for chemical sprays (thereby lowering input costs and environmental impact) but also provide stable yields under endemic </w:t>
      </w:r>
      <w:proofErr w:type="gramStart"/>
      <w:r>
        <w:rPr>
          <w:rFonts w:ascii="Times New Roman" w:hAnsi="Times New Roman" w:cs="Times New Roman"/>
        </w:rPr>
        <w:t>conditions.(</w:t>
      </w:r>
      <w:proofErr w:type="gramEnd"/>
      <w:r>
        <w:rPr>
          <w:rFonts w:ascii="Times New Roman" w:hAnsi="Times New Roman" w:cs="Times New Roman"/>
        </w:rPr>
        <w:t>35)</w:t>
      </w:r>
    </w:p>
    <w:p w14:paraId="72608BB9"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Lapidot and Friedmann (2002) demonstrated that plants carrying </w:t>
      </w:r>
      <w:r>
        <w:rPr>
          <w:rFonts w:ascii="Times New Roman" w:hAnsi="Times New Roman" w:cs="Times New Roman"/>
          <w:b/>
          <w:bCs/>
        </w:rPr>
        <w:t>Ty-1</w:t>
      </w:r>
      <w:r>
        <w:rPr>
          <w:rFonts w:ascii="Times New Roman" w:hAnsi="Times New Roman" w:cs="Times New Roman"/>
        </w:rPr>
        <w:t xml:space="preserve"> or </w:t>
      </w:r>
      <w:r>
        <w:rPr>
          <w:rFonts w:ascii="Times New Roman" w:hAnsi="Times New Roman" w:cs="Times New Roman"/>
          <w:b/>
          <w:bCs/>
        </w:rPr>
        <w:t>Ty-2</w:t>
      </w:r>
      <w:r>
        <w:rPr>
          <w:rFonts w:ascii="Times New Roman" w:hAnsi="Times New Roman" w:cs="Times New Roman"/>
        </w:rPr>
        <w:t xml:space="preserve"> showed significantly lower viral titers and symptom expression compared to susceptible lines. Similarly, Vidavski et al. (2008) confirmed that </w:t>
      </w:r>
      <w:r>
        <w:rPr>
          <w:rFonts w:ascii="Times New Roman" w:hAnsi="Times New Roman" w:cs="Times New Roman"/>
          <w:b/>
          <w:bCs/>
        </w:rPr>
        <w:t>Ty-3</w:t>
      </w:r>
      <w:r>
        <w:rPr>
          <w:rFonts w:ascii="Times New Roman" w:hAnsi="Times New Roman" w:cs="Times New Roman"/>
        </w:rPr>
        <w:t xml:space="preserve"> confers tolerance under field conditions even when whitefly populations are high. The use of MAS accelerated the deployment of these genes into adapted germplasm without relying on artificial inoculation or symptom screening, which can be unreliable in field settings. (34,35)</w:t>
      </w:r>
    </w:p>
    <w:p w14:paraId="7CDD3AF4" w14:textId="77777777" w:rsidR="000F3B2F" w:rsidRDefault="00000000">
      <w:pPr>
        <w:spacing w:before="100" w:beforeAutospacing="1" w:after="100" w:afterAutospacing="1" w:line="360" w:lineRule="auto"/>
        <w:jc w:val="both"/>
        <w:outlineLvl w:val="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 xml:space="preserve"> Integration with Other Genomic Tools</w:t>
      </w:r>
    </w:p>
    <w:p w14:paraId="4E2BA17E"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Marker-Assisted Selection (MAS) has revolutionized plant breeding by enabling precise and early-stage selection of traits based on linked molecular markers. However, the complexity of many agronomic and quality traits—especially those that are polygenic and influenced by environmental interactions—necessitates integration with other genomic tools for enhanced predictive accuracy and genetic gains. (2,</w:t>
      </w:r>
      <w:proofErr w:type="gramStart"/>
      <w:r>
        <w:rPr>
          <w:rFonts w:ascii="Times New Roman" w:eastAsia="Times New Roman" w:hAnsi="Times New Roman" w:cs="Times New Roman"/>
          <w:kern w:val="0"/>
          <w:lang w:eastAsia="en-IN"/>
          <w14:ligatures w14:val="none"/>
        </w:rPr>
        <w:t>36( The</w:t>
      </w:r>
      <w:proofErr w:type="gramEnd"/>
      <w:r>
        <w:rPr>
          <w:rFonts w:ascii="Times New Roman" w:eastAsia="Times New Roman" w:hAnsi="Times New Roman" w:cs="Times New Roman"/>
          <w:kern w:val="0"/>
          <w:lang w:eastAsia="en-IN"/>
          <w14:ligatures w14:val="none"/>
        </w:rPr>
        <w:t xml:space="preserve"> synergy between MAS and broader genomic technologies such as Genomic Selection (GS), Genome-Wide Association Studies (GWAS), gene editing platforms like CRISPR/Cas, and omics-based approaches (transcriptomics, metabolomics, and phenomics) is shaping a new era of precision breeding in vegetable crops. (36,37)</w:t>
      </w:r>
    </w:p>
    <w:p w14:paraId="7ADF4C8A"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lastRenderedPageBreak/>
        <w:t>Genomic Selection (GS) represents a paradigm shift from MAS by enabling selection based not just on a few known markers but on genome-wide marker information. While MAS is effective for traits governed by major genes or large-effect QTLs, GS is more suited for complex traits influenced by many small-effect loci, such as yield stability, nutritional content, or abiotic stress tolerance. (37,38) In GS, a training population is both genotyped and phenotyped to develop a statistical model that predicts genomic estimated breeding values (GEBVs). These predictions can then be used to select individuals in a testing population solely based on genotypic data, thus accelerating the breeding cycle. In vegetable crops like tomato and pepper, GS models have been developed for traits such as fruit size, shape, and disease resistance. Studies have shown that incorporating both additive and non-additive effects improves prediction accuracy, especially in hybrid breeding programs. (39,40)</w:t>
      </w:r>
    </w:p>
    <w:p w14:paraId="63884E4E"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Genome-Wide Association Studies (GWAS) complement MAS by enabling the identification of novel QTLs and trait-linked markers across diverse germplasm collections. Unlike biparental mapping populations used in traditional QTL analysis, GWAS uses natural populations to uncover marker-trait associations with higher resolution due to historical recombination events. In crops like cucumber, melon, and carrot, GWAS has uncovered markers associated with fruit firmness, sugar content, carotenoid levels, and flowering time. (41,42) These markers can then be validated and applied in MAS pipelines. The use of GWAS panels, such as nested association mapping (NAM) and multi-parent advanced generation intercross (MAGIC) populations, has further enhanced the power to detect rare alleles and interactions, expanding the marker repertoire for breeding applications. (43,44)</w:t>
      </w:r>
    </w:p>
    <w:p w14:paraId="7F30F00E"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Gene editing technologies, particularly CRISPR/Cas9, are emerging as precise tools for functional validation of candidate genes and for creating novel alleles with improved traits. Unlike MAS, which relies on existing variation, gene editing allows breeders to introduce or knock out specific genes to achieve desired </w:t>
      </w:r>
      <w:proofErr w:type="gramStart"/>
      <w:r>
        <w:rPr>
          <w:rFonts w:ascii="Times New Roman" w:eastAsia="Times New Roman" w:hAnsi="Times New Roman" w:cs="Times New Roman"/>
          <w:kern w:val="0"/>
          <w:lang w:eastAsia="en-IN"/>
          <w14:ligatures w14:val="none"/>
        </w:rPr>
        <w:t>outcomes.(</w:t>
      </w:r>
      <w:proofErr w:type="gramEnd"/>
      <w:r>
        <w:rPr>
          <w:rFonts w:ascii="Times New Roman" w:eastAsia="Times New Roman" w:hAnsi="Times New Roman" w:cs="Times New Roman"/>
          <w:kern w:val="0"/>
          <w:lang w:eastAsia="en-IN"/>
          <w14:ligatures w14:val="none"/>
        </w:rPr>
        <w:t xml:space="preserve">43,44) In tomato, CRISPR has been successfully used to create mutations in the </w:t>
      </w:r>
      <w:r>
        <w:rPr>
          <w:rFonts w:ascii="Times New Roman" w:eastAsia="Times New Roman" w:hAnsi="Times New Roman" w:cs="Times New Roman"/>
          <w:i/>
          <w:iCs/>
          <w:kern w:val="0"/>
          <w:lang w:eastAsia="en-IN"/>
          <w14:ligatures w14:val="none"/>
        </w:rPr>
        <w:t>SlCLV3</w:t>
      </w:r>
      <w:r>
        <w:rPr>
          <w:rFonts w:ascii="Times New Roman" w:eastAsia="Times New Roman" w:hAnsi="Times New Roman" w:cs="Times New Roman"/>
          <w:kern w:val="0"/>
          <w:lang w:eastAsia="en-IN"/>
          <w14:ligatures w14:val="none"/>
        </w:rPr>
        <w:t xml:space="preserve"> gene to alter fruit size and locule number, and in </w:t>
      </w:r>
      <w:r>
        <w:rPr>
          <w:rFonts w:ascii="Times New Roman" w:eastAsia="Times New Roman" w:hAnsi="Times New Roman" w:cs="Times New Roman"/>
          <w:i/>
          <w:iCs/>
          <w:kern w:val="0"/>
          <w:lang w:eastAsia="en-IN"/>
          <w14:ligatures w14:val="none"/>
        </w:rPr>
        <w:t>SlAGAMOUS-LIKE6</w:t>
      </w:r>
      <w:r>
        <w:rPr>
          <w:rFonts w:ascii="Times New Roman" w:eastAsia="Times New Roman" w:hAnsi="Times New Roman" w:cs="Times New Roman"/>
          <w:kern w:val="0"/>
          <w:lang w:eastAsia="en-IN"/>
          <w14:ligatures w14:val="none"/>
        </w:rPr>
        <w:t xml:space="preserve"> to delay ripening and improve shelf life. These edited lines, when combined with MAS-selected backgrounds, offer a dual advantage: precision introgression of major traits and rapid tailoring of specific functions. As regulatory landscapes around gene editing become clearer, especially for cisgenic and targeted mutagenesis approaches, CRISPR is likely to be routinely integrated with MAS for trait stacking and accelerated variety </w:t>
      </w:r>
      <w:proofErr w:type="gramStart"/>
      <w:r>
        <w:rPr>
          <w:rFonts w:ascii="Times New Roman" w:eastAsia="Times New Roman" w:hAnsi="Times New Roman" w:cs="Times New Roman"/>
          <w:kern w:val="0"/>
          <w:lang w:eastAsia="en-IN"/>
          <w14:ligatures w14:val="none"/>
        </w:rPr>
        <w:t>development.(</w:t>
      </w:r>
      <w:proofErr w:type="gramEnd"/>
      <w:r>
        <w:rPr>
          <w:rFonts w:ascii="Times New Roman" w:eastAsia="Times New Roman" w:hAnsi="Times New Roman" w:cs="Times New Roman"/>
          <w:kern w:val="0"/>
          <w:lang w:eastAsia="en-IN"/>
          <w14:ligatures w14:val="none"/>
        </w:rPr>
        <w:t>45,46)</w:t>
      </w:r>
    </w:p>
    <w:p w14:paraId="1376549B"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lastRenderedPageBreak/>
        <w:t xml:space="preserve">Transcriptomics and proteomics provide valuable insights into gene expression and regulatory networks underlying trait development. For example, RNA-seq analyses in tomato and pepper under drought stress have identified upregulated transcription factors and signaling pathways associated with tolerance mechanisms. Similarly, expression profiling of fruit ripening stages has revealed dynamic gene networks that control firmness and flavour. By overlaying such expression data on QTL maps, breeders can prioritize candidate genes within QTL regions and select markers that represent functionally relevant genetic variation. This integration enhances the biological relevance of MAS and reduces the risk of selecting non-causal </w:t>
      </w:r>
      <w:proofErr w:type="gramStart"/>
      <w:r>
        <w:rPr>
          <w:rFonts w:ascii="Times New Roman" w:eastAsia="Times New Roman" w:hAnsi="Times New Roman" w:cs="Times New Roman"/>
          <w:kern w:val="0"/>
          <w:lang w:eastAsia="en-IN"/>
          <w14:ligatures w14:val="none"/>
        </w:rPr>
        <w:t>markers.(</w:t>
      </w:r>
      <w:proofErr w:type="gramEnd"/>
      <w:r>
        <w:rPr>
          <w:rFonts w:ascii="Times New Roman" w:eastAsia="Times New Roman" w:hAnsi="Times New Roman" w:cs="Times New Roman"/>
          <w:kern w:val="0"/>
          <w:lang w:eastAsia="en-IN"/>
          <w14:ligatures w14:val="none"/>
        </w:rPr>
        <w:t>47,48)</w:t>
      </w:r>
    </w:p>
    <w:p w14:paraId="3D987A2D"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Metabolomics, the study of the complete set of metabolites in a biological sample, adds another layer of depth by linking genotype to phenotype through biochemical intermediates. In vegetable crops where flavour, nutrition, and pigment content are critical, metabolite profiling can pinpoint key biochemical pathways that differ between genotypes. (49,50) For instance, high-performance liquid chromatography (HPLC)-based metabolomics in carrot has been used to quantify beta-carotene and anthocyanin levels, which are then correlated with genetic markers for use in MAS. Similarly, volatile compounds that contribute to flavour in tomato have been associated with specific loci using combined metabolomic and genomic approaches. Such metabolite-assisted breeding, when aligned with MAS, facilitates the improvement of sensory and nutritional traits that are otherwise difficult to select </w:t>
      </w:r>
      <w:proofErr w:type="gramStart"/>
      <w:r>
        <w:rPr>
          <w:rFonts w:ascii="Times New Roman" w:eastAsia="Times New Roman" w:hAnsi="Times New Roman" w:cs="Times New Roman"/>
          <w:kern w:val="0"/>
          <w:lang w:eastAsia="en-IN"/>
          <w14:ligatures w14:val="none"/>
        </w:rPr>
        <w:t>phenotypically.(</w:t>
      </w:r>
      <w:proofErr w:type="gramEnd"/>
      <w:r>
        <w:rPr>
          <w:rFonts w:ascii="Times New Roman" w:eastAsia="Times New Roman" w:hAnsi="Times New Roman" w:cs="Times New Roman"/>
          <w:kern w:val="0"/>
          <w:lang w:eastAsia="en-IN"/>
          <w14:ligatures w14:val="none"/>
        </w:rPr>
        <w:t>51,52)</w:t>
      </w:r>
    </w:p>
    <w:p w14:paraId="1D93EF36"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Phenomics, the high-throughput measurement of plant traits using imaging, spectroscopy, and remote sensing, addresses one of the key bottlenecks in breeding: precise and large-scale phenotyping. While MAS and genomic tools provide detailed genotypic data, breeding progress is often limited by the capacity to phenotype traits accurately and efficiently. In crops like lettuce, cucumber, and eggplant, phenomics platforms are now used to assess growth rate, leaf area, colour intensity, and stress responses, which are then linked to genetic markers. This enables more accurate QTL mapping and improves the predictive power of MAS models, especially for traits affected by the environment. (41,43)</w:t>
      </w:r>
    </w:p>
    <w:p w14:paraId="4F4C9C72"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Another promising area of integration is machine learning and artificial intelligence (AI), which are increasingly used to analyze large-scale genomic, phenotypic, and environmental data. Machine learning models can predict genotype performance across multiple environments, identify epistatic interactions, and assist in marker selection for MAS pipelines. In practical breeding programs, decision-support tools powered by AI can guide parental </w:t>
      </w:r>
      <w:r>
        <w:rPr>
          <w:rFonts w:ascii="Times New Roman" w:eastAsia="Times New Roman" w:hAnsi="Times New Roman" w:cs="Times New Roman"/>
          <w:kern w:val="0"/>
          <w:lang w:eastAsia="en-IN"/>
          <w14:ligatures w14:val="none"/>
        </w:rPr>
        <w:lastRenderedPageBreak/>
        <w:t xml:space="preserve">selection, crossing designs, and trait prioritization, making MAS not only more efficient but also more </w:t>
      </w:r>
      <w:proofErr w:type="gramStart"/>
      <w:r>
        <w:rPr>
          <w:rFonts w:ascii="Times New Roman" w:eastAsia="Times New Roman" w:hAnsi="Times New Roman" w:cs="Times New Roman"/>
          <w:kern w:val="0"/>
          <w:lang w:eastAsia="en-IN"/>
          <w14:ligatures w14:val="none"/>
        </w:rPr>
        <w:t>strategic.(</w:t>
      </w:r>
      <w:proofErr w:type="gramEnd"/>
      <w:r>
        <w:rPr>
          <w:rFonts w:ascii="Times New Roman" w:eastAsia="Times New Roman" w:hAnsi="Times New Roman" w:cs="Times New Roman"/>
          <w:kern w:val="0"/>
          <w:lang w:eastAsia="en-IN"/>
          <w14:ligatures w14:val="none"/>
        </w:rPr>
        <w:t>44)</w:t>
      </w:r>
    </w:p>
    <w:p w14:paraId="491A933C" w14:textId="77777777" w:rsidR="000F3B2F" w:rsidRDefault="00000000">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The convergence of these tools with MAS is leading to the emergence of integrated breeding platforms, where genotyping, phenotyping, and data analytics are harmonized to support real-time breeding decisions. Open-source databases like the Sol Genomics Network (SGN) and G2P-SOL provide access to genomic, phenotypic, and functional data for Solanaceous crops, supporting community-wide efforts in marker development and validation. Similarly, initiatives like the Breeding Insight project aim to deliver scalable digital infrastructure for integrating MAS and genomics in public breeding </w:t>
      </w:r>
      <w:proofErr w:type="gramStart"/>
      <w:r>
        <w:rPr>
          <w:rFonts w:ascii="Times New Roman" w:eastAsia="Times New Roman" w:hAnsi="Times New Roman" w:cs="Times New Roman"/>
          <w:kern w:val="0"/>
          <w:lang w:eastAsia="en-IN"/>
          <w14:ligatures w14:val="none"/>
        </w:rPr>
        <w:t>programs.(</w:t>
      </w:r>
      <w:proofErr w:type="gramEnd"/>
      <w:r>
        <w:rPr>
          <w:rFonts w:ascii="Times New Roman" w:eastAsia="Times New Roman" w:hAnsi="Times New Roman" w:cs="Times New Roman"/>
          <w:kern w:val="0"/>
          <w:lang w:eastAsia="en-IN"/>
          <w14:ligatures w14:val="none"/>
        </w:rPr>
        <w:t>52,53)</w:t>
      </w:r>
    </w:p>
    <w:p w14:paraId="1B8F4C20"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 xml:space="preserve"> Challenges and Limitations</w:t>
      </w:r>
    </w:p>
    <w:p w14:paraId="63682D9B"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Despite its promise, Marker-Assisted Selection (MAS) faces several challenges that limit its widespread and effective application in vegetable crop breeding. A key technical limitation lies in the incomplete linkage between markers and target genes. Recombination events can break the association between marker and trait, leading to inaccurate selection, especially in polygenic traits influenced by genotype-by-environment (G×E) </w:t>
      </w:r>
      <w:proofErr w:type="gramStart"/>
      <w:r>
        <w:rPr>
          <w:rFonts w:ascii="Times New Roman" w:hAnsi="Times New Roman" w:cs="Times New Roman"/>
        </w:rPr>
        <w:t>interactions.(</w:t>
      </w:r>
      <w:proofErr w:type="gramEnd"/>
      <w:r>
        <w:rPr>
          <w:rFonts w:ascii="Times New Roman" w:hAnsi="Times New Roman" w:cs="Times New Roman"/>
        </w:rPr>
        <w:t>19,31)</w:t>
      </w:r>
    </w:p>
    <w:p w14:paraId="2EAA862D"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Another major constraint is the lack of validated markers and genomic resources in minor or underutilized vegetables, which restricts the application of MAS beyond well-studied crops like tomato and pepper. This challenge is compounded by high genotyping costs and the lack of infrastructure and technical expertise, particularly in public-sector and low-income breeding </w:t>
      </w:r>
      <w:proofErr w:type="gramStart"/>
      <w:r>
        <w:rPr>
          <w:rFonts w:ascii="Times New Roman" w:hAnsi="Times New Roman" w:cs="Times New Roman"/>
        </w:rPr>
        <w:t>programs.(</w:t>
      </w:r>
      <w:proofErr w:type="gramEnd"/>
      <w:r>
        <w:rPr>
          <w:rFonts w:ascii="Times New Roman" w:hAnsi="Times New Roman" w:cs="Times New Roman"/>
        </w:rPr>
        <w:t>3,7)</w:t>
      </w:r>
    </w:p>
    <w:p w14:paraId="5EEA3148"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Integration of MAS into breeding pipelines is often hampered by operational disconnects between lab-based genotyping and field-based phenotyping, resulting in underutilization of molecular data. Additionally, intellectual property restrictions on some proprietary markers or technologies can limit </w:t>
      </w:r>
      <w:proofErr w:type="gramStart"/>
      <w:r>
        <w:rPr>
          <w:rFonts w:ascii="Times New Roman" w:hAnsi="Times New Roman" w:cs="Times New Roman"/>
        </w:rPr>
        <w:t>accessibility.(</w:t>
      </w:r>
      <w:proofErr w:type="gramEnd"/>
      <w:r>
        <w:rPr>
          <w:rFonts w:ascii="Times New Roman" w:hAnsi="Times New Roman" w:cs="Times New Roman"/>
        </w:rPr>
        <w:t>10.12)</w:t>
      </w:r>
    </w:p>
    <w:p w14:paraId="59717531"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Biologically, traits such as flavour, aroma, and shelf life are complex, with unclear genetic bases, making it difficult to identify reliable markers. Furthermore, over-reliance on a narrow set of resistance genes may lead to genetic vulnerability and rapid breakdown of resistance under field </w:t>
      </w:r>
      <w:proofErr w:type="gramStart"/>
      <w:r>
        <w:rPr>
          <w:rFonts w:ascii="Times New Roman" w:hAnsi="Times New Roman" w:cs="Times New Roman"/>
        </w:rPr>
        <w:t>conditions.(</w:t>
      </w:r>
      <w:proofErr w:type="gramEnd"/>
      <w:r>
        <w:rPr>
          <w:rFonts w:ascii="Times New Roman" w:hAnsi="Times New Roman" w:cs="Times New Roman"/>
        </w:rPr>
        <w:t>44)</w:t>
      </w:r>
    </w:p>
    <w:p w14:paraId="70A9B110"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 xml:space="preserve"> Future Prospects and Strategic Directions</w:t>
      </w:r>
    </w:p>
    <w:p w14:paraId="38FAB1F7" w14:textId="77777777" w:rsidR="000F3B2F" w:rsidRDefault="00000000">
      <w:pPr>
        <w:spacing w:line="360" w:lineRule="auto"/>
        <w:jc w:val="both"/>
        <w:rPr>
          <w:rFonts w:ascii="Times New Roman" w:hAnsi="Times New Roman" w:cs="Times New Roman"/>
        </w:rPr>
      </w:pPr>
      <w:r>
        <w:rPr>
          <w:rFonts w:ascii="Times New Roman" w:hAnsi="Times New Roman" w:cs="Times New Roman"/>
        </w:rPr>
        <w:lastRenderedPageBreak/>
        <w:t xml:space="preserve">The continued evolution of molecular breeding technologies is positioning Marker-Assisted Selection (MAS) as a central tool in next-generation vegetable crop improvement. While MAS has already demonstrated its value in enhancing yield, quality, and stress resilience, the future of MAS lies not just in refining current methods but in strategically integrating them with cutting-edge technologies, participatory approaches, and sustainable agricultural </w:t>
      </w:r>
      <w:proofErr w:type="gramStart"/>
      <w:r>
        <w:rPr>
          <w:rFonts w:ascii="Times New Roman" w:hAnsi="Times New Roman" w:cs="Times New Roman"/>
        </w:rPr>
        <w:t>systems.(</w:t>
      </w:r>
      <w:proofErr w:type="gramEnd"/>
      <w:r>
        <w:rPr>
          <w:rFonts w:ascii="Times New Roman" w:hAnsi="Times New Roman" w:cs="Times New Roman"/>
        </w:rPr>
        <w:t>47,48)</w:t>
      </w:r>
    </w:p>
    <w:p w14:paraId="048A3404"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One of the most promising future directions for MAS is its integration with genomic selection (GS) and artificial intelligence (AI). While MAS typically targets major genes or QTLs, GS captures genome-wide variation and is particularly effective for traits with complex inheritance, such as yield stability or nutritional quality. By combining MAS for known loci with GS models that predict performance based on genome-wide markers, breeders can achieve both trait precision and holistic improvement. AI-driven decision-support systems are also emerging to assist in predicting marker effects, optimizing crosses, and managing large datasets, thereby increasing breeding speed and reducing </w:t>
      </w:r>
      <w:proofErr w:type="gramStart"/>
      <w:r>
        <w:rPr>
          <w:rFonts w:ascii="Times New Roman" w:hAnsi="Times New Roman" w:cs="Times New Roman"/>
        </w:rPr>
        <w:t>costs.(</w:t>
      </w:r>
      <w:proofErr w:type="gramEnd"/>
      <w:r>
        <w:rPr>
          <w:rFonts w:ascii="Times New Roman" w:hAnsi="Times New Roman" w:cs="Times New Roman"/>
        </w:rPr>
        <w:t>42,47)</w:t>
      </w:r>
    </w:p>
    <w:p w14:paraId="44FA246A"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Another critical area for future expansion is the democratization of MAS in underutilized and minor vegetables, many of which are nutritionally dense and locally important but currently lack genomic resources. Investing in reference genomes, diversity panels, and marker libraries for these crops will broaden the impact of MAS and contribute to agrobiodiversity and dietary diversity. Global initiatives like the African Orphan Crops Consortium (AOCC) and G2P-SOL are already working toward this goal, but more coordinated efforts are needed to mainstream MAS across a wider crop </w:t>
      </w:r>
      <w:proofErr w:type="gramStart"/>
      <w:r>
        <w:rPr>
          <w:rFonts w:ascii="Times New Roman" w:hAnsi="Times New Roman" w:cs="Times New Roman"/>
        </w:rPr>
        <w:t>base.(</w:t>
      </w:r>
      <w:proofErr w:type="gramEnd"/>
      <w:r>
        <w:rPr>
          <w:rFonts w:ascii="Times New Roman" w:hAnsi="Times New Roman" w:cs="Times New Roman"/>
        </w:rPr>
        <w:t>43,48)</w:t>
      </w:r>
    </w:p>
    <w:p w14:paraId="4B53E1BB"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The development of speed breeding protocols, particularly for vegetables with long generation times, presents another opportunity. By combining MAS with controlled-environment breeding cycles, generation time can be significantly reduced, allowing for faster varietal turnover. When supported by high-throughput genotyping platforms and rapid phenotyping technologies, this approach can cut breeding timelines from years to a matter of </w:t>
      </w:r>
      <w:proofErr w:type="gramStart"/>
      <w:r>
        <w:rPr>
          <w:rFonts w:ascii="Times New Roman" w:hAnsi="Times New Roman" w:cs="Times New Roman"/>
        </w:rPr>
        <w:t>months.(</w:t>
      </w:r>
      <w:proofErr w:type="gramEnd"/>
      <w:r>
        <w:rPr>
          <w:rFonts w:ascii="Times New Roman" w:hAnsi="Times New Roman" w:cs="Times New Roman"/>
        </w:rPr>
        <w:t>58,59)</w:t>
      </w:r>
    </w:p>
    <w:p w14:paraId="6C0799FF"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The application of multi-omics integration—combining genomics with transcriptomics, proteomics, and metabolomics—is expected to refine MAS further. This systems-level understanding of trait expression will enable breeders to develop more biologically meaningful markers and select for traits that are better aligned with physiological performance. For example, metabolomics-informed MAS could help in developing vegetable varieties with </w:t>
      </w:r>
      <w:r>
        <w:rPr>
          <w:rFonts w:ascii="Times New Roman" w:hAnsi="Times New Roman" w:cs="Times New Roman"/>
        </w:rPr>
        <w:lastRenderedPageBreak/>
        <w:t xml:space="preserve">enhanced flavour, post-harvest quality, and functional health compounds, which are increasingly in demand among health-conscious </w:t>
      </w:r>
      <w:proofErr w:type="gramStart"/>
      <w:r>
        <w:rPr>
          <w:rFonts w:ascii="Times New Roman" w:hAnsi="Times New Roman" w:cs="Times New Roman"/>
        </w:rPr>
        <w:t>consumers.(</w:t>
      </w:r>
      <w:proofErr w:type="gramEnd"/>
      <w:r>
        <w:rPr>
          <w:rFonts w:ascii="Times New Roman" w:hAnsi="Times New Roman" w:cs="Times New Roman"/>
        </w:rPr>
        <w:t>60,61)</w:t>
      </w:r>
    </w:p>
    <w:p w14:paraId="7AABCE62"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Participatory breeding and product profile-based variety development are also emerging as strategic directions that can complement MAS. Instead of relying solely on trait targets defined in research labs, breeders are now incorporating end-user preferences—farmers, consumers, processors—into variety design. MAS can be aligned with these product profiles to ensure that the improved lines meet both technical standards and market needs. This approach is especially important in smallholder-dominated farming systems, where local acceptability determines varietal </w:t>
      </w:r>
      <w:proofErr w:type="gramStart"/>
      <w:r>
        <w:rPr>
          <w:rFonts w:ascii="Times New Roman" w:hAnsi="Times New Roman" w:cs="Times New Roman"/>
        </w:rPr>
        <w:t>success.(</w:t>
      </w:r>
      <w:proofErr w:type="gramEnd"/>
      <w:r>
        <w:rPr>
          <w:rFonts w:ascii="Times New Roman" w:hAnsi="Times New Roman" w:cs="Times New Roman"/>
        </w:rPr>
        <w:t>62,63)</w:t>
      </w:r>
    </w:p>
    <w:p w14:paraId="2C198475" w14:textId="77777777" w:rsidR="000F3B2F" w:rsidRDefault="00000000">
      <w:pPr>
        <w:spacing w:line="360" w:lineRule="auto"/>
        <w:jc w:val="both"/>
        <w:rPr>
          <w:rFonts w:ascii="Times New Roman" w:hAnsi="Times New Roman" w:cs="Times New Roman"/>
        </w:rPr>
      </w:pPr>
      <w:r>
        <w:rPr>
          <w:rFonts w:ascii="Times New Roman" w:hAnsi="Times New Roman" w:cs="Times New Roman"/>
        </w:rPr>
        <w:t>Furthermore, climate change adaptation is a pressing future focus. MAS can be harnessed to stack genes for tolerance to heat, salinity, drought, and emerging pests and diseases, enabling vegetables to perform reliably under stress-prone conditions. Breeding for resilience, rather than just high yield, will become a key mandate. Developing multi-stress tolerant cultivars using MAS-supported pyramiding strategies will be vital for food security under future climate scenarios. (47,48)</w:t>
      </w:r>
    </w:p>
    <w:p w14:paraId="69FB43E9"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On the policy and institutional side, building long-term capacity in molecular breeding is essential. This includes establishing regional genotyping hubs, training molecular breeders, and embedding MAS into national agricultural research systems. Public-private partnerships will continue to play a crucial role in scaling MAS tools, sharing markers, and ensuring equitable access to technology. International donor programs and CGIAR centers are well-positioned to support such integrated </w:t>
      </w:r>
      <w:proofErr w:type="gramStart"/>
      <w:r>
        <w:rPr>
          <w:rFonts w:ascii="Times New Roman" w:hAnsi="Times New Roman" w:cs="Times New Roman"/>
        </w:rPr>
        <w:t>platforms.(</w:t>
      </w:r>
      <w:proofErr w:type="gramEnd"/>
      <w:r>
        <w:rPr>
          <w:rFonts w:ascii="Times New Roman" w:hAnsi="Times New Roman" w:cs="Times New Roman"/>
        </w:rPr>
        <w:t>54,55)</w:t>
      </w:r>
    </w:p>
    <w:p w14:paraId="67691F74" w14:textId="77777777" w:rsidR="000F3B2F" w:rsidRDefault="00000000">
      <w:pPr>
        <w:spacing w:line="360" w:lineRule="auto"/>
        <w:jc w:val="both"/>
        <w:rPr>
          <w:rFonts w:ascii="Times New Roman" w:hAnsi="Times New Roman" w:cs="Times New Roman"/>
        </w:rPr>
      </w:pPr>
      <w:r>
        <w:rPr>
          <w:rFonts w:ascii="Times New Roman" w:hAnsi="Times New Roman" w:cs="Times New Roman"/>
          <w:b/>
          <w:bCs/>
        </w:rPr>
        <w:t>9. Conclusion</w:t>
      </w:r>
    </w:p>
    <w:p w14:paraId="46E88EDD" w14:textId="77777777" w:rsidR="000F3B2F" w:rsidRDefault="00000000">
      <w:pPr>
        <w:spacing w:line="360" w:lineRule="auto"/>
        <w:jc w:val="both"/>
        <w:rPr>
          <w:rFonts w:ascii="Times New Roman" w:hAnsi="Times New Roman" w:cs="Times New Roman"/>
        </w:rPr>
      </w:pPr>
      <w:r>
        <w:rPr>
          <w:rFonts w:ascii="Times New Roman" w:hAnsi="Times New Roman" w:cs="Times New Roman"/>
        </w:rPr>
        <w:t>Marker-Assisted Selection (MAS) has emerged as a transformative approach in modern vegetable crop breeding, bridging the gap between molecular genetics and practical cultivar development. By allowing precise and early-stage selection of genotypes based on DNA markers linked to desirable traits, MAS has significantly enhanced the efficiency, speed, and accuracy of breeding programs. Its contributions are evident across a range of vegetable crops—from tomato and pepper to carrot and cucumber—where it has enabled the development of high-yielding, disease-resistant, and nutritionally superior varieties.</w:t>
      </w:r>
    </w:p>
    <w:p w14:paraId="62BD9970" w14:textId="77777777" w:rsidR="000F3B2F" w:rsidRDefault="00000000">
      <w:pPr>
        <w:spacing w:line="360" w:lineRule="auto"/>
        <w:jc w:val="both"/>
        <w:rPr>
          <w:rFonts w:ascii="Times New Roman" w:hAnsi="Times New Roman" w:cs="Times New Roman"/>
        </w:rPr>
      </w:pPr>
      <w:r>
        <w:rPr>
          <w:rFonts w:ascii="Times New Roman" w:hAnsi="Times New Roman" w:cs="Times New Roman"/>
        </w:rPr>
        <w:t xml:space="preserve">The review has demonstrated how MAS has been successfully applied to improve complex traits such as fruit yield, flavour, carotenoid content, shelf life, and resistance to both biotic and </w:t>
      </w:r>
      <w:r>
        <w:rPr>
          <w:rFonts w:ascii="Times New Roman" w:hAnsi="Times New Roman" w:cs="Times New Roman"/>
        </w:rPr>
        <w:lastRenderedPageBreak/>
        <w:t>abiotic stresses. Furthermore, it has highlighted the value of MAS in hybrid breeding systems, seed purity maintenance, and germplasm enhancement. Through detailed case studies, such as the breeding of TYLCV-resistant tomatoes, the practical utility and socio-economic impact of MAS are clearly evident.</w:t>
      </w:r>
    </w:p>
    <w:p w14:paraId="1EB43FC5" w14:textId="77777777" w:rsidR="000F3B2F" w:rsidRDefault="00000000">
      <w:pPr>
        <w:spacing w:line="360" w:lineRule="auto"/>
        <w:jc w:val="both"/>
        <w:rPr>
          <w:rFonts w:ascii="Times New Roman" w:hAnsi="Times New Roman" w:cs="Times New Roman"/>
        </w:rPr>
      </w:pPr>
      <w:r>
        <w:rPr>
          <w:rFonts w:ascii="Times New Roman" w:hAnsi="Times New Roman" w:cs="Times New Roman"/>
        </w:rPr>
        <w:t>Yet, MAS is not without limitations. Challenges such as incomplete marker-trait linkage, high genotyping costs, lack of infrastructure, and limited resources for minor crops continue to constrain its full potential. Moreover, the integration of MAS into traditional breeding systems requires organizational adaptation, continuous capacity-building, and alignment with farmer and market needs.</w:t>
      </w:r>
    </w:p>
    <w:p w14:paraId="03FF397E" w14:textId="77777777" w:rsidR="000F3B2F" w:rsidRDefault="00000000">
      <w:pPr>
        <w:spacing w:line="360" w:lineRule="auto"/>
        <w:jc w:val="both"/>
        <w:rPr>
          <w:rFonts w:ascii="Times New Roman" w:hAnsi="Times New Roman" w:cs="Times New Roman"/>
        </w:rPr>
      </w:pPr>
      <w:r>
        <w:rPr>
          <w:rFonts w:ascii="Times New Roman" w:hAnsi="Times New Roman" w:cs="Times New Roman"/>
        </w:rPr>
        <w:t>Looking ahead, the future of MAS lies in its strategic integration with complementary genomic tools such as genomic selection, GWAS, CRISPR/Cas gene editing, and multi-omics technologies. Speed breeding, AI-assisted prediction tools, and open-access data platforms will further empower breeders to make informed, rapid, and market-driven decisions. Crucially, embedding MAS into participatory breeding models and focusing on climate-resilient and nutritionally enriched cultivars will ensure its relevance in addressing both global food security and local adaptation needs.</w:t>
      </w:r>
    </w:p>
    <w:p w14:paraId="714D50D7" w14:textId="77777777" w:rsidR="000F3B2F" w:rsidRDefault="00000000">
      <w:pPr>
        <w:spacing w:line="360" w:lineRule="auto"/>
        <w:jc w:val="both"/>
        <w:rPr>
          <w:rFonts w:ascii="Times New Roman" w:hAnsi="Times New Roman" w:cs="Times New Roman"/>
          <w:b/>
          <w:bCs/>
        </w:rPr>
      </w:pPr>
      <w:r>
        <w:rPr>
          <w:rFonts w:ascii="Times New Roman" w:hAnsi="Times New Roman" w:cs="Times New Roman"/>
          <w:b/>
          <w:bCs/>
        </w:rPr>
        <w:t xml:space="preserve">References </w:t>
      </w:r>
    </w:p>
    <w:p w14:paraId="3E233F8B"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Rajendra, V. (2025). Marker-Assisted Selection (MAS) Revolutionized: Integrating ‘Omics’ Data into Tomato Breeding. In </w:t>
      </w:r>
      <w:r>
        <w:rPr>
          <w:rFonts w:ascii="Times New Roman" w:hAnsi="Times New Roman" w:cs="Times New Roman"/>
          <w:i/>
          <w:iCs/>
        </w:rPr>
        <w:t>Omics Approaches for Tomato Yield and Quality Trait Improvement</w:t>
      </w:r>
      <w:r>
        <w:rPr>
          <w:rFonts w:ascii="Times New Roman" w:hAnsi="Times New Roman" w:cs="Times New Roman"/>
        </w:rPr>
        <w:t> (pp. 273-305). Singapore: Springer Nature Singapore.</w:t>
      </w:r>
    </w:p>
    <w:p w14:paraId="69497FA6"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Ebert, A. W. (2020). The role of vegetable genetic resources in nutrition security and vegetable breeding. </w:t>
      </w:r>
      <w:r>
        <w:rPr>
          <w:rFonts w:ascii="Times New Roman" w:hAnsi="Times New Roman" w:cs="Times New Roman"/>
          <w:i/>
          <w:iCs/>
        </w:rPr>
        <w:t>Plants</w:t>
      </w:r>
      <w:r>
        <w:rPr>
          <w:rFonts w:ascii="Times New Roman" w:hAnsi="Times New Roman" w:cs="Times New Roman"/>
        </w:rPr>
        <w:t>, </w:t>
      </w:r>
      <w:r>
        <w:rPr>
          <w:rFonts w:ascii="Times New Roman" w:hAnsi="Times New Roman" w:cs="Times New Roman"/>
          <w:i/>
          <w:iCs/>
        </w:rPr>
        <w:t>9</w:t>
      </w:r>
      <w:r>
        <w:rPr>
          <w:rFonts w:ascii="Times New Roman" w:hAnsi="Times New Roman" w:cs="Times New Roman"/>
        </w:rPr>
        <w:t>(6), 736.</w:t>
      </w:r>
    </w:p>
    <w:p w14:paraId="43B3006F"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Behera, T. K., Devi, J., Tiwari, J. K., &amp; Singh, B. K. (2023). Vegetable breeding: Status and strategies. </w:t>
      </w:r>
      <w:r>
        <w:rPr>
          <w:rFonts w:ascii="Times New Roman" w:hAnsi="Times New Roman" w:cs="Times New Roman"/>
          <w:i/>
          <w:iCs/>
        </w:rPr>
        <w:t>Vegetable Science</w:t>
      </w:r>
      <w:r>
        <w:rPr>
          <w:rFonts w:ascii="Times New Roman" w:hAnsi="Times New Roman" w:cs="Times New Roman"/>
        </w:rPr>
        <w:t>, 131-145.</w:t>
      </w:r>
    </w:p>
    <w:p w14:paraId="45248933"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Content, P. The Power of Molecular Breeding in Crop Improvement.</w:t>
      </w:r>
    </w:p>
    <w:p w14:paraId="25B0526E"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Mishra, M. G., Singh, P. K., Pandey, P., &amp; Sohi, M. A. (2023). Breeding Approaches for Vegetable Crops.</w:t>
      </w:r>
    </w:p>
    <w:p w14:paraId="785704D3"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Kamaluddin, Sonkar, P., Sharma, V., Kumar, H., Kumar, M., Negi, H. S., ... &amp; Choubey, A. K. (2022). Marker-assisted selection for Value Addition in Crop plants. In </w:t>
      </w:r>
      <w:r>
        <w:rPr>
          <w:rFonts w:ascii="Times New Roman" w:hAnsi="Times New Roman" w:cs="Times New Roman"/>
          <w:i/>
          <w:iCs/>
        </w:rPr>
        <w:t>Technologies in Plant Biotechnology and breeding of field crops</w:t>
      </w:r>
      <w:r>
        <w:rPr>
          <w:rFonts w:ascii="Times New Roman" w:hAnsi="Times New Roman" w:cs="Times New Roman"/>
        </w:rPr>
        <w:t> (pp. 23-39). Singapore: Springer Nature Singapore.</w:t>
      </w:r>
    </w:p>
    <w:p w14:paraId="3D60FBB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Mba, C., &amp; Ogbonnaya, F. C. (2022). Utilizing plant genetic resources to develop climate resilient crops. In </w:t>
      </w:r>
      <w:r>
        <w:rPr>
          <w:rFonts w:ascii="Times New Roman" w:hAnsi="Times New Roman" w:cs="Times New Roman"/>
          <w:i/>
          <w:iCs/>
        </w:rPr>
        <w:t>Agricultural biotechnology, biodiversity and bioresources conservation and utilization</w:t>
      </w:r>
      <w:r>
        <w:rPr>
          <w:rFonts w:ascii="Times New Roman" w:hAnsi="Times New Roman" w:cs="Times New Roman"/>
        </w:rPr>
        <w:t> (pp. 373-404). CRC Press.</w:t>
      </w:r>
    </w:p>
    <w:p w14:paraId="4CA4F557"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Mu’az Abdullahi, W., Mu’az, S. A., Togola, A., Mohammed, S. G., Umar, M. L., Ongom, P. O., ... &amp; Boukar, O. (2022). Marker-Assisted Selection (MAS): untapped potential for enhancing food and nutrition securities in sub-Saharan Africa. In </w:t>
      </w:r>
      <w:r>
        <w:rPr>
          <w:rFonts w:ascii="Times New Roman" w:hAnsi="Times New Roman" w:cs="Times New Roman"/>
          <w:i/>
          <w:iCs/>
        </w:rPr>
        <w:t>Food Security and Safety Volume 2: African Perspectives</w:t>
      </w:r>
      <w:r>
        <w:rPr>
          <w:rFonts w:ascii="Times New Roman" w:hAnsi="Times New Roman" w:cs="Times New Roman"/>
        </w:rPr>
        <w:t> (pp. 283-306). Cham: Springer International Publishing.</w:t>
      </w:r>
    </w:p>
    <w:p w14:paraId="6F64F959"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Hafeez, A., Ali, B., Javed, M. A., Saleem, A., Fatima, M., Fathi, A., ... &amp; Soudy, F. A. (2023). Plant breeding for harmony between sustainable agriculture, the environment, and global food security: an era of genomics‐assisted breeding. </w:t>
      </w:r>
      <w:r>
        <w:rPr>
          <w:rFonts w:ascii="Times New Roman" w:hAnsi="Times New Roman" w:cs="Times New Roman"/>
          <w:i/>
          <w:iCs/>
        </w:rPr>
        <w:t>Planta</w:t>
      </w:r>
      <w:r>
        <w:rPr>
          <w:rFonts w:ascii="Times New Roman" w:hAnsi="Times New Roman" w:cs="Times New Roman"/>
        </w:rPr>
        <w:t>, </w:t>
      </w:r>
      <w:r>
        <w:rPr>
          <w:rFonts w:ascii="Times New Roman" w:hAnsi="Times New Roman" w:cs="Times New Roman"/>
          <w:i/>
          <w:iCs/>
        </w:rPr>
        <w:t>258</w:t>
      </w:r>
      <w:r>
        <w:rPr>
          <w:rFonts w:ascii="Times New Roman" w:hAnsi="Times New Roman" w:cs="Times New Roman"/>
        </w:rPr>
        <w:t>(5), 97.</w:t>
      </w:r>
    </w:p>
    <w:p w14:paraId="0FBEB702"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Mapari, A. R., &amp; Mehandi, S. (2024). Enhancing Crop Resilience: Advances and Challenges in Marker-Assisted Selection for Disease Resistance. </w:t>
      </w:r>
      <w:r>
        <w:rPr>
          <w:rFonts w:ascii="Times New Roman" w:hAnsi="Times New Roman" w:cs="Times New Roman"/>
          <w:i/>
          <w:iCs/>
        </w:rPr>
        <w:t>Journal of Advances in Biology &amp; Biotechnology</w:t>
      </w:r>
      <w:r>
        <w:rPr>
          <w:rFonts w:ascii="Times New Roman" w:hAnsi="Times New Roman" w:cs="Times New Roman"/>
        </w:rPr>
        <w:t>, </w:t>
      </w:r>
      <w:r>
        <w:rPr>
          <w:rFonts w:ascii="Times New Roman" w:hAnsi="Times New Roman" w:cs="Times New Roman"/>
          <w:i/>
          <w:iCs/>
        </w:rPr>
        <w:t>27</w:t>
      </w:r>
      <w:r>
        <w:rPr>
          <w:rFonts w:ascii="Times New Roman" w:hAnsi="Times New Roman" w:cs="Times New Roman"/>
        </w:rPr>
        <w:t>(7), 569-80.</w:t>
      </w:r>
    </w:p>
    <w:p w14:paraId="227F7BF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Simko, I., Jia, M., Venkatesh, J., Kang, B. C., Weng, Y., Barcaccia, G., ... &amp; Foolad, M. R. (2021). Genomics and marker-assisted improvement of vegetable crops. </w:t>
      </w:r>
      <w:r>
        <w:rPr>
          <w:rFonts w:ascii="Times New Roman" w:hAnsi="Times New Roman" w:cs="Times New Roman"/>
          <w:i/>
          <w:iCs/>
        </w:rPr>
        <w:t>Critical Reviews in Plant Sciences</w:t>
      </w:r>
      <w:r>
        <w:rPr>
          <w:rFonts w:ascii="Times New Roman" w:hAnsi="Times New Roman" w:cs="Times New Roman"/>
        </w:rPr>
        <w:t>, </w:t>
      </w:r>
      <w:r>
        <w:rPr>
          <w:rFonts w:ascii="Times New Roman" w:hAnsi="Times New Roman" w:cs="Times New Roman"/>
          <w:i/>
          <w:iCs/>
        </w:rPr>
        <w:t>40</w:t>
      </w:r>
      <w:r>
        <w:rPr>
          <w:rFonts w:ascii="Times New Roman" w:hAnsi="Times New Roman" w:cs="Times New Roman"/>
        </w:rPr>
        <w:t>(4), 303-365.</w:t>
      </w:r>
    </w:p>
    <w:p w14:paraId="0FC30A46"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Singh, B. D., Singh, A. K., Singh, B. D., &amp; Singh, A. K. (2015). Marker-assisted selection. </w:t>
      </w:r>
      <w:r>
        <w:rPr>
          <w:rFonts w:ascii="Times New Roman" w:hAnsi="Times New Roman" w:cs="Times New Roman"/>
          <w:i/>
          <w:iCs/>
        </w:rPr>
        <w:t>Marker-assisted plant breeding: principles and practices</w:t>
      </w:r>
      <w:r>
        <w:rPr>
          <w:rFonts w:ascii="Times New Roman" w:hAnsi="Times New Roman" w:cs="Times New Roman"/>
        </w:rPr>
        <w:t>, 259-293.</w:t>
      </w:r>
    </w:p>
    <w:p w14:paraId="486DCF9C"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Babu, R., Nair, S. K., Prasanna, B. M., &amp; Gupta, H. S. (2004). Integrating marker-assisted selection in crop breeding–prospects and challenges. </w:t>
      </w:r>
      <w:r>
        <w:rPr>
          <w:rFonts w:ascii="Times New Roman" w:hAnsi="Times New Roman" w:cs="Times New Roman"/>
          <w:i/>
          <w:iCs/>
        </w:rPr>
        <w:t>Current Science</w:t>
      </w:r>
      <w:r>
        <w:rPr>
          <w:rFonts w:ascii="Times New Roman" w:hAnsi="Times New Roman" w:cs="Times New Roman"/>
        </w:rPr>
        <w:t>, 607-619.</w:t>
      </w:r>
    </w:p>
    <w:p w14:paraId="37C265A5"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Kujur, A., Saxena, M. S., Bajaj, D., Laxmi, &amp; Parida, S. K. (2013). Integrated genomics and molecular breeding approaches for dissecting the complex quantitative traits in crop plants. </w:t>
      </w:r>
      <w:r>
        <w:rPr>
          <w:rFonts w:ascii="Times New Roman" w:hAnsi="Times New Roman" w:cs="Times New Roman"/>
          <w:i/>
          <w:iCs/>
        </w:rPr>
        <w:t>Journal of biosciences</w:t>
      </w:r>
      <w:r>
        <w:rPr>
          <w:rFonts w:ascii="Times New Roman" w:hAnsi="Times New Roman" w:cs="Times New Roman"/>
        </w:rPr>
        <w:t>, </w:t>
      </w:r>
      <w:r>
        <w:rPr>
          <w:rFonts w:ascii="Times New Roman" w:hAnsi="Times New Roman" w:cs="Times New Roman"/>
          <w:i/>
          <w:iCs/>
        </w:rPr>
        <w:t>38</w:t>
      </w:r>
      <w:r>
        <w:rPr>
          <w:rFonts w:ascii="Times New Roman" w:hAnsi="Times New Roman" w:cs="Times New Roman"/>
        </w:rPr>
        <w:t>, 971-987.</w:t>
      </w:r>
    </w:p>
    <w:p w14:paraId="37C239D7"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Kassie, F. C., Nguepjop, J. R., Ngalle, H. B., Assaha, D. V., Gessese, M. K., Abtew, W. G., ... &amp; Bell, J. M. (2023). An overview of mapping quantitative trait loci in peanut (Arachis hypogaea L.). </w:t>
      </w:r>
      <w:r>
        <w:rPr>
          <w:rFonts w:ascii="Times New Roman" w:hAnsi="Times New Roman" w:cs="Times New Roman"/>
          <w:i/>
          <w:iCs/>
        </w:rPr>
        <w:t>Genes</w:t>
      </w:r>
      <w:r>
        <w:rPr>
          <w:rFonts w:ascii="Times New Roman" w:hAnsi="Times New Roman" w:cs="Times New Roman"/>
        </w:rPr>
        <w:t>, </w:t>
      </w:r>
      <w:r>
        <w:rPr>
          <w:rFonts w:ascii="Times New Roman" w:hAnsi="Times New Roman" w:cs="Times New Roman"/>
          <w:i/>
          <w:iCs/>
        </w:rPr>
        <w:t>14</w:t>
      </w:r>
      <w:r>
        <w:rPr>
          <w:rFonts w:ascii="Times New Roman" w:hAnsi="Times New Roman" w:cs="Times New Roman"/>
        </w:rPr>
        <w:t>(6), 1176.</w:t>
      </w:r>
    </w:p>
    <w:p w14:paraId="3131D136"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Xu, Y., Lu, Y., Xie, C., Gao, S., Wan, J., &amp; Prasanna, B. M. (2012). Whole-genome strategies for marker-assisted plant breeding. </w:t>
      </w:r>
      <w:r>
        <w:rPr>
          <w:rFonts w:ascii="Times New Roman" w:hAnsi="Times New Roman" w:cs="Times New Roman"/>
          <w:i/>
          <w:iCs/>
        </w:rPr>
        <w:t>Molecular breeding</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833-854.</w:t>
      </w:r>
    </w:p>
    <w:p w14:paraId="5F33D1DE"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Xu, Y., Lu, Y., Xie, C., Gao, S., Wan, J., &amp; Prasanna, B. M. (2012). Whole-genome strategies for marker-assisted plant breeding. </w:t>
      </w:r>
      <w:r>
        <w:rPr>
          <w:rFonts w:ascii="Times New Roman" w:hAnsi="Times New Roman" w:cs="Times New Roman"/>
          <w:i/>
          <w:iCs/>
        </w:rPr>
        <w:t>Molecular breeding</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833-854.</w:t>
      </w:r>
    </w:p>
    <w:p w14:paraId="620715E7"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M. Perez-de-Castro, A., Vilanova, S., Cañizares, J., Pascual, L., M. Blanca, J., J. Diez, M., ... &amp; Picó, B. (2012). Application of genomic tools in plant breeding. </w:t>
      </w:r>
      <w:r>
        <w:rPr>
          <w:rFonts w:ascii="Times New Roman" w:hAnsi="Times New Roman" w:cs="Times New Roman"/>
          <w:i/>
          <w:iCs/>
        </w:rPr>
        <w:t>Current genomics</w:t>
      </w:r>
      <w:r>
        <w:rPr>
          <w:rFonts w:ascii="Times New Roman" w:hAnsi="Times New Roman" w:cs="Times New Roman"/>
        </w:rPr>
        <w:t>, </w:t>
      </w:r>
      <w:r>
        <w:rPr>
          <w:rFonts w:ascii="Times New Roman" w:hAnsi="Times New Roman" w:cs="Times New Roman"/>
          <w:i/>
          <w:iCs/>
        </w:rPr>
        <w:t>13</w:t>
      </w:r>
      <w:r>
        <w:rPr>
          <w:rFonts w:ascii="Times New Roman" w:hAnsi="Times New Roman" w:cs="Times New Roman"/>
        </w:rPr>
        <w:t>(3), 179-195.</w:t>
      </w:r>
    </w:p>
    <w:p w14:paraId="44E01A1B"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Singh, B. D., &amp; Singh, A. K. (2015). Marker-assisted plant breeding: principles and practices.</w:t>
      </w:r>
    </w:p>
    <w:p w14:paraId="645659D2"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Boopathi, N. M. (2013). Genetic mapping and marker assisted selection. </w:t>
      </w:r>
      <w:r>
        <w:rPr>
          <w:rFonts w:ascii="Times New Roman" w:hAnsi="Times New Roman" w:cs="Times New Roman"/>
          <w:i/>
          <w:iCs/>
        </w:rPr>
        <w:t>New Delhi: Springer. doi</w:t>
      </w:r>
      <w:r>
        <w:rPr>
          <w:rFonts w:ascii="Times New Roman" w:hAnsi="Times New Roman" w:cs="Times New Roman"/>
        </w:rPr>
        <w:t>, </w:t>
      </w:r>
      <w:r>
        <w:rPr>
          <w:rFonts w:ascii="Times New Roman" w:hAnsi="Times New Roman" w:cs="Times New Roman"/>
          <w:i/>
          <w:iCs/>
        </w:rPr>
        <w:t>10</w:t>
      </w:r>
      <w:r>
        <w:rPr>
          <w:rFonts w:ascii="Times New Roman" w:hAnsi="Times New Roman" w:cs="Times New Roman"/>
        </w:rPr>
        <w:t>, 978-81.</w:t>
      </w:r>
    </w:p>
    <w:p w14:paraId="5FC0A939"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Nadeem, M. A., Nawaz, M. A., Shahid, M. Q., Doğan, Y., Comertpay, G., Yıldız, M., ... &amp; Baloch, F. S. (2018). DNA molecular markers in plant breeding: current status and recent advancements in genomic selection and genome editing. </w:t>
      </w:r>
      <w:r>
        <w:rPr>
          <w:rFonts w:ascii="Times New Roman" w:hAnsi="Times New Roman" w:cs="Times New Roman"/>
          <w:i/>
          <w:iCs/>
        </w:rPr>
        <w:t>Biotechnology &amp; Biotechnological Equipment</w:t>
      </w:r>
      <w:r>
        <w:rPr>
          <w:rFonts w:ascii="Times New Roman" w:hAnsi="Times New Roman" w:cs="Times New Roman"/>
        </w:rPr>
        <w:t>, </w:t>
      </w:r>
      <w:r>
        <w:rPr>
          <w:rFonts w:ascii="Times New Roman" w:hAnsi="Times New Roman" w:cs="Times New Roman"/>
          <w:i/>
          <w:iCs/>
        </w:rPr>
        <w:t>32</w:t>
      </w:r>
      <w:r>
        <w:rPr>
          <w:rFonts w:ascii="Times New Roman" w:hAnsi="Times New Roman" w:cs="Times New Roman"/>
        </w:rPr>
        <w:t>(2), 261-285.</w:t>
      </w:r>
    </w:p>
    <w:p w14:paraId="7D28EB09"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Kadirvel, P., Senthilvel, S., Geethanjali, S., Sujatha, M., &amp; Varaprasad, K. S. (2015). Genetic markers, trait mapping and marker-assisted selection in plant breeding. </w:t>
      </w:r>
      <w:r>
        <w:rPr>
          <w:rFonts w:ascii="Times New Roman" w:hAnsi="Times New Roman" w:cs="Times New Roman"/>
          <w:i/>
          <w:iCs/>
        </w:rPr>
        <w:t>Plant Biology and Biotechnology: Volume II: Plant Genomics and Biotechnology</w:t>
      </w:r>
      <w:r>
        <w:rPr>
          <w:rFonts w:ascii="Times New Roman" w:hAnsi="Times New Roman" w:cs="Times New Roman"/>
        </w:rPr>
        <w:t>, 65-88.</w:t>
      </w:r>
    </w:p>
    <w:p w14:paraId="25CDB7B9"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Taylor, M. (2024). Genetic and Genomic Approaches to Understanding Tuber Development and Quality. </w:t>
      </w:r>
      <w:r>
        <w:rPr>
          <w:rFonts w:ascii="Times New Roman" w:hAnsi="Times New Roman" w:cs="Times New Roman"/>
          <w:i/>
          <w:iCs/>
        </w:rPr>
        <w:t>Approaches for Potato Crop Improvement and Stress Management</w:t>
      </w:r>
      <w:r>
        <w:rPr>
          <w:rFonts w:ascii="Times New Roman" w:hAnsi="Times New Roman" w:cs="Times New Roman"/>
        </w:rPr>
        <w:t>, 159-178.</w:t>
      </w:r>
    </w:p>
    <w:p w14:paraId="600E0CFF"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Zhang, F. (2006). </w:t>
      </w:r>
      <w:r>
        <w:rPr>
          <w:rFonts w:ascii="Times New Roman" w:hAnsi="Times New Roman" w:cs="Times New Roman"/>
          <w:i/>
          <w:iCs/>
        </w:rPr>
        <w:t>The genetic basis of salad leaf processability</w:t>
      </w:r>
      <w:r>
        <w:rPr>
          <w:rFonts w:ascii="Times New Roman" w:hAnsi="Times New Roman" w:cs="Times New Roman"/>
        </w:rPr>
        <w:t> (Doctoral dissertation, University of Southampton).</w:t>
      </w:r>
    </w:p>
    <w:p w14:paraId="161575D8"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Wyatt, L. E. (2015). </w:t>
      </w:r>
      <w:r>
        <w:rPr>
          <w:rFonts w:ascii="Times New Roman" w:hAnsi="Times New Roman" w:cs="Times New Roman"/>
          <w:i/>
          <w:iCs/>
        </w:rPr>
        <w:t>Genomic and phenotypic analyses of vegetable disease resistance and fruit quality</w:t>
      </w:r>
      <w:r>
        <w:rPr>
          <w:rFonts w:ascii="Times New Roman" w:hAnsi="Times New Roman" w:cs="Times New Roman"/>
        </w:rPr>
        <w:t>. Cornell University.</w:t>
      </w:r>
    </w:p>
    <w:p w14:paraId="5056A5D3"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Bhattarai, K., Ogden, A. B., Pandey, S., Sandoya, G. V., Shi, A., Nankar, A. N., ... &amp; Dardick, C. (2025). Improvement of crop production in controlled environment agriculture through breeding. </w:t>
      </w:r>
      <w:r>
        <w:rPr>
          <w:rFonts w:ascii="Times New Roman" w:hAnsi="Times New Roman" w:cs="Times New Roman"/>
          <w:i/>
          <w:iCs/>
        </w:rPr>
        <w:t>Frontiers in Plant Science</w:t>
      </w:r>
      <w:r>
        <w:rPr>
          <w:rFonts w:ascii="Times New Roman" w:hAnsi="Times New Roman" w:cs="Times New Roman"/>
        </w:rPr>
        <w:t>, </w:t>
      </w:r>
      <w:r>
        <w:rPr>
          <w:rFonts w:ascii="Times New Roman" w:hAnsi="Times New Roman" w:cs="Times New Roman"/>
          <w:i/>
          <w:iCs/>
        </w:rPr>
        <w:t>15</w:t>
      </w:r>
      <w:r>
        <w:rPr>
          <w:rFonts w:ascii="Times New Roman" w:hAnsi="Times New Roman" w:cs="Times New Roman"/>
        </w:rPr>
        <w:t>, 1524601.</w:t>
      </w:r>
    </w:p>
    <w:p w14:paraId="27247EFF"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Giuliano, G., Bovy, A., Bryan, G., Zamir, D., Stein, N., Díez, M. J., ... &amp; Milanesi, C. (2023). Comparative genetic architecture of fruit traits in the three major Solanaceae fruit crops. In </w:t>
      </w:r>
      <w:r>
        <w:rPr>
          <w:rFonts w:ascii="Times New Roman" w:hAnsi="Times New Roman" w:cs="Times New Roman"/>
          <w:i/>
          <w:iCs/>
        </w:rPr>
        <w:t>EUCARPIA 2023-18th EUCARPIA International Meeting on Genetics and Breeding of Capsicum and Eggplant</w:t>
      </w:r>
      <w:r>
        <w:rPr>
          <w:rFonts w:ascii="Times New Roman" w:hAnsi="Times New Roman" w:cs="Times New Roman"/>
        </w:rPr>
        <w:t> (pp. 91-91). Maritsa Vegetable Crops Research Institute, Agricultural Academy.</w:t>
      </w:r>
    </w:p>
    <w:p w14:paraId="3E28D35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Macel, M., &amp; van Dam, N. M. (2018). Metabolomics of plant resistance to insects. In </w:t>
      </w:r>
      <w:r>
        <w:rPr>
          <w:rFonts w:ascii="Times New Roman" w:hAnsi="Times New Roman" w:cs="Times New Roman"/>
          <w:i/>
          <w:iCs/>
        </w:rPr>
        <w:t>The biology of plant-insect interactions</w:t>
      </w:r>
      <w:r>
        <w:rPr>
          <w:rFonts w:ascii="Times New Roman" w:hAnsi="Times New Roman" w:cs="Times New Roman"/>
        </w:rPr>
        <w:t> (pp. 129-149). CRC Press.</w:t>
      </w:r>
    </w:p>
    <w:p w14:paraId="3F401D6D"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Ali, F., Zhao, Y., Ali, A., Waseem, M., Arif, M. A., Shah, O. U., ... &amp; Wang, Z. (2024). Omics-driven strategies for developing saline-smart lentils: a comprehensive review. </w:t>
      </w:r>
      <w:r>
        <w:rPr>
          <w:rFonts w:ascii="Times New Roman" w:hAnsi="Times New Roman" w:cs="Times New Roman"/>
          <w:i/>
          <w:iCs/>
        </w:rPr>
        <w:t>International Journal of Molecular Sciences</w:t>
      </w:r>
      <w:r>
        <w:rPr>
          <w:rFonts w:ascii="Times New Roman" w:hAnsi="Times New Roman" w:cs="Times New Roman"/>
        </w:rPr>
        <w:t>, </w:t>
      </w:r>
      <w:r>
        <w:rPr>
          <w:rFonts w:ascii="Times New Roman" w:hAnsi="Times New Roman" w:cs="Times New Roman"/>
          <w:i/>
          <w:iCs/>
        </w:rPr>
        <w:t>25</w:t>
      </w:r>
      <w:r>
        <w:rPr>
          <w:rFonts w:ascii="Times New Roman" w:hAnsi="Times New Roman" w:cs="Times New Roman"/>
        </w:rPr>
        <w:t>(21), 11360.</w:t>
      </w:r>
    </w:p>
    <w:p w14:paraId="19B5A542"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Dabral, S., Garg, E., Bhatt, D., Joshi, S., Joshi, R., &amp; Nath, M. (2024). Role of omics in understanding heavy metal responses and tolerance in plants. In </w:t>
      </w:r>
      <w:r>
        <w:rPr>
          <w:rFonts w:ascii="Times New Roman" w:hAnsi="Times New Roman" w:cs="Times New Roman"/>
          <w:i/>
          <w:iCs/>
        </w:rPr>
        <w:t>Current Omics Advancement in Plant Abiotic Stress Biology</w:t>
      </w:r>
      <w:r>
        <w:rPr>
          <w:rFonts w:ascii="Times New Roman" w:hAnsi="Times New Roman" w:cs="Times New Roman"/>
        </w:rPr>
        <w:t> (pp. 119-128). Academic Press.</w:t>
      </w:r>
    </w:p>
    <w:p w14:paraId="68919377"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Bradbury, A., Clapp, O., Biacsi, A. S., Kuo, P., Gaju, O., Hayta, S., ... &amp; Lambing, C. (2025). Integrating genome editing with omics, artificial intelligence and advanced farming technologies to increase crop productivity. </w:t>
      </w:r>
      <w:r>
        <w:rPr>
          <w:rFonts w:ascii="Times New Roman" w:hAnsi="Times New Roman" w:cs="Times New Roman"/>
          <w:i/>
          <w:iCs/>
        </w:rPr>
        <w:t>Plant Communications</w:t>
      </w:r>
      <w:r>
        <w:rPr>
          <w:rFonts w:ascii="Times New Roman" w:hAnsi="Times New Roman" w:cs="Times New Roman"/>
        </w:rPr>
        <w:t>.</w:t>
      </w:r>
    </w:p>
    <w:p w14:paraId="33D328CD" w14:textId="77777777" w:rsidR="000F3B2F" w:rsidRDefault="00000000">
      <w:pPr>
        <w:numPr>
          <w:ilvl w:val="0"/>
          <w:numId w:val="8"/>
        </w:numPr>
        <w:spacing w:line="360" w:lineRule="auto"/>
        <w:jc w:val="both"/>
        <w:rPr>
          <w:rFonts w:ascii="Times New Roman" w:hAnsi="Times New Roman" w:cs="Times New Roman"/>
        </w:rPr>
      </w:pPr>
      <w:r>
        <w:rPr>
          <w:rFonts w:ascii="Times New Roman" w:hAnsi="Times New Roman" w:cs="Times New Roman"/>
        </w:rPr>
        <w:t xml:space="preserve">Hanson, P., Green, S. K., Kuo, G. (2000). Ty-2, a gene on chromosome 11 conditioning geminivirus resistance in tomato. </w:t>
      </w:r>
      <w:r>
        <w:rPr>
          <w:rFonts w:ascii="Times New Roman" w:hAnsi="Times New Roman" w:cs="Times New Roman"/>
          <w:i/>
          <w:iCs/>
        </w:rPr>
        <w:t>Tomato Genetics Cooperative Report</w:t>
      </w:r>
      <w:r>
        <w:rPr>
          <w:rFonts w:ascii="Times New Roman" w:hAnsi="Times New Roman" w:cs="Times New Roman"/>
        </w:rPr>
        <w:t xml:space="preserve">, </w:t>
      </w:r>
      <w:r>
        <w:rPr>
          <w:rFonts w:ascii="Times New Roman" w:hAnsi="Times New Roman" w:cs="Times New Roman"/>
          <w:b/>
          <w:bCs/>
        </w:rPr>
        <w:t>50</w:t>
      </w:r>
      <w:r>
        <w:rPr>
          <w:rFonts w:ascii="Times New Roman" w:hAnsi="Times New Roman" w:cs="Times New Roman"/>
        </w:rPr>
        <w:t>, 55–57.</w:t>
      </w:r>
    </w:p>
    <w:p w14:paraId="46D121E1" w14:textId="77777777" w:rsidR="000F3B2F" w:rsidRDefault="00000000">
      <w:pPr>
        <w:numPr>
          <w:ilvl w:val="0"/>
          <w:numId w:val="8"/>
        </w:numPr>
        <w:spacing w:line="360" w:lineRule="auto"/>
        <w:jc w:val="both"/>
        <w:rPr>
          <w:rFonts w:ascii="Times New Roman" w:hAnsi="Times New Roman" w:cs="Times New Roman"/>
        </w:rPr>
      </w:pPr>
      <w:r>
        <w:rPr>
          <w:rFonts w:ascii="Times New Roman" w:hAnsi="Times New Roman" w:cs="Times New Roman"/>
        </w:rPr>
        <w:t xml:space="preserve">Lapidot, M., &amp; Friedmann, M. (2002). Breeding for resistance to whitefly-transmitted geminiviruses. </w:t>
      </w:r>
      <w:r>
        <w:rPr>
          <w:rFonts w:ascii="Times New Roman" w:hAnsi="Times New Roman" w:cs="Times New Roman"/>
          <w:i/>
          <w:iCs/>
        </w:rPr>
        <w:t>Annals of Applied Biology</w:t>
      </w:r>
      <w:r>
        <w:rPr>
          <w:rFonts w:ascii="Times New Roman" w:hAnsi="Times New Roman" w:cs="Times New Roman"/>
        </w:rPr>
        <w:t xml:space="preserve">, </w:t>
      </w:r>
      <w:r>
        <w:rPr>
          <w:rFonts w:ascii="Times New Roman" w:hAnsi="Times New Roman" w:cs="Times New Roman"/>
          <w:b/>
          <w:bCs/>
        </w:rPr>
        <w:t>140</w:t>
      </w:r>
      <w:r>
        <w:rPr>
          <w:rFonts w:ascii="Times New Roman" w:hAnsi="Times New Roman" w:cs="Times New Roman"/>
        </w:rPr>
        <w:t xml:space="preserve">(2), 109–127. </w:t>
      </w:r>
    </w:p>
    <w:p w14:paraId="600D93AC" w14:textId="77777777" w:rsidR="000F3B2F" w:rsidRDefault="00000000">
      <w:pPr>
        <w:numPr>
          <w:ilvl w:val="0"/>
          <w:numId w:val="8"/>
        </w:numPr>
        <w:spacing w:line="360" w:lineRule="auto"/>
        <w:jc w:val="both"/>
        <w:rPr>
          <w:rFonts w:ascii="Times New Roman" w:hAnsi="Times New Roman" w:cs="Times New Roman"/>
        </w:rPr>
      </w:pPr>
      <w:r>
        <w:rPr>
          <w:rFonts w:ascii="Times New Roman" w:hAnsi="Times New Roman" w:cs="Times New Roman"/>
        </w:rPr>
        <w:t xml:space="preserve">Lapidot, M., Karniel, U., Gelbart, D., Fogel, D., Evenor, D., Kutsher, Y., ... &amp; Levin, I. (2015). A novel route controlling begomovirus resistance by the messenger RNA surveillance factor pelota. </w:t>
      </w:r>
      <w:r>
        <w:rPr>
          <w:rFonts w:ascii="Times New Roman" w:hAnsi="Times New Roman" w:cs="Times New Roman"/>
          <w:i/>
          <w:iCs/>
        </w:rPr>
        <w:t>PLoS Genetics</w:t>
      </w:r>
      <w:r>
        <w:rPr>
          <w:rFonts w:ascii="Times New Roman" w:hAnsi="Times New Roman" w:cs="Times New Roman"/>
        </w:rPr>
        <w:t xml:space="preserve">, </w:t>
      </w:r>
      <w:r>
        <w:rPr>
          <w:rFonts w:ascii="Times New Roman" w:hAnsi="Times New Roman" w:cs="Times New Roman"/>
          <w:b/>
          <w:bCs/>
        </w:rPr>
        <w:t>11</w:t>
      </w:r>
      <w:r>
        <w:rPr>
          <w:rFonts w:ascii="Times New Roman" w:hAnsi="Times New Roman" w:cs="Times New Roman"/>
        </w:rPr>
        <w:t xml:space="preserve">(11), e1005538. </w:t>
      </w:r>
    </w:p>
    <w:p w14:paraId="03E70CA6" w14:textId="77777777" w:rsidR="000F3B2F" w:rsidRDefault="00000000">
      <w:pPr>
        <w:numPr>
          <w:ilvl w:val="0"/>
          <w:numId w:val="8"/>
        </w:numPr>
        <w:spacing w:line="360" w:lineRule="auto"/>
        <w:jc w:val="both"/>
        <w:rPr>
          <w:rFonts w:ascii="Times New Roman" w:hAnsi="Times New Roman" w:cs="Times New Roman"/>
        </w:rPr>
      </w:pPr>
      <w:r>
        <w:rPr>
          <w:rFonts w:ascii="Times New Roman" w:hAnsi="Times New Roman" w:cs="Times New Roman"/>
        </w:rPr>
        <w:t xml:space="preserve">Vidavski, F., Czosnek, H., Gazit, S., Levy, D., Lapidot, M. (2008). Pyramiding Ty-1 and Ty-2 resistance genes to confer resistance against Tomato yellow leaf curl virus in tomato. </w:t>
      </w:r>
      <w:r>
        <w:rPr>
          <w:rFonts w:ascii="Times New Roman" w:hAnsi="Times New Roman" w:cs="Times New Roman"/>
          <w:i/>
          <w:iCs/>
        </w:rPr>
        <w:t>Theoretical and Applied Genetics</w:t>
      </w:r>
      <w:r>
        <w:rPr>
          <w:rFonts w:ascii="Times New Roman" w:hAnsi="Times New Roman" w:cs="Times New Roman"/>
        </w:rPr>
        <w:t xml:space="preserve">, </w:t>
      </w:r>
      <w:r>
        <w:rPr>
          <w:rFonts w:ascii="Times New Roman" w:hAnsi="Times New Roman" w:cs="Times New Roman"/>
          <w:b/>
          <w:bCs/>
        </w:rPr>
        <w:t>116</w:t>
      </w:r>
      <w:r>
        <w:rPr>
          <w:rFonts w:ascii="Times New Roman" w:hAnsi="Times New Roman" w:cs="Times New Roman"/>
        </w:rPr>
        <w:t xml:space="preserve">, 495–503. </w:t>
      </w:r>
    </w:p>
    <w:p w14:paraId="51DCE3A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Xiong, Y., Wang, R., &amp; Yang, Q. (2025). Artificial intelligence empowers maize drought resistance breeding: Current status, technological breakthroughs, and future prospects. </w:t>
      </w:r>
      <w:r>
        <w:rPr>
          <w:rFonts w:ascii="Times New Roman" w:hAnsi="Times New Roman" w:cs="Times New Roman"/>
          <w:i/>
          <w:iCs/>
        </w:rPr>
        <w:t>Advances in Resources Research</w:t>
      </w:r>
      <w:r>
        <w:rPr>
          <w:rFonts w:ascii="Times New Roman" w:hAnsi="Times New Roman" w:cs="Times New Roman"/>
        </w:rPr>
        <w:t>, </w:t>
      </w:r>
      <w:r>
        <w:rPr>
          <w:rFonts w:ascii="Times New Roman" w:hAnsi="Times New Roman" w:cs="Times New Roman"/>
          <w:i/>
          <w:iCs/>
        </w:rPr>
        <w:t>5</w:t>
      </w:r>
      <w:r>
        <w:rPr>
          <w:rFonts w:ascii="Times New Roman" w:hAnsi="Times New Roman" w:cs="Times New Roman"/>
        </w:rPr>
        <w:t>(2), 817-833.</w:t>
      </w:r>
    </w:p>
    <w:p w14:paraId="2215F248"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Kumar, M., Ahmad, A., Singh, M. K., Kumar, S., Chouhan, P. A., Das, R., &amp; Mani, A. The power of omics: Genomics and proteomics approaches for crop improvement.</w:t>
      </w:r>
    </w:p>
    <w:p w14:paraId="3EFC769E"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Mane, R. S., Prasad, B. D., Sahni, S., Quaiyum, Z., &amp; Sharma, V. K. (2024). Biotechnological studies towards improvement of finger millet using multi-omics approaches. </w:t>
      </w:r>
      <w:r>
        <w:rPr>
          <w:rFonts w:ascii="Times New Roman" w:hAnsi="Times New Roman" w:cs="Times New Roman"/>
          <w:i/>
          <w:iCs/>
        </w:rPr>
        <w:t>Functional &amp; Integrative Genomics</w:t>
      </w:r>
      <w:r>
        <w:rPr>
          <w:rFonts w:ascii="Times New Roman" w:hAnsi="Times New Roman" w:cs="Times New Roman"/>
        </w:rPr>
        <w:t>, </w:t>
      </w:r>
      <w:r>
        <w:rPr>
          <w:rFonts w:ascii="Times New Roman" w:hAnsi="Times New Roman" w:cs="Times New Roman"/>
          <w:i/>
          <w:iCs/>
        </w:rPr>
        <w:t>24</w:t>
      </w:r>
      <w:r>
        <w:rPr>
          <w:rFonts w:ascii="Times New Roman" w:hAnsi="Times New Roman" w:cs="Times New Roman"/>
        </w:rPr>
        <w:t>(5), 148.</w:t>
      </w:r>
    </w:p>
    <w:p w14:paraId="765F69A8"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Debnath, S., Devi, K., &amp; Majumder, S. (2025). 6 Artificial Intelligence (AI) and Data-Driven Plant Breeding. </w:t>
      </w:r>
      <w:r>
        <w:rPr>
          <w:rFonts w:ascii="Times New Roman" w:hAnsi="Times New Roman" w:cs="Times New Roman"/>
          <w:i/>
          <w:iCs/>
        </w:rPr>
        <w:t>Plant Breeding Technology: Future Trends and Challenges</w:t>
      </w:r>
      <w:r>
        <w:rPr>
          <w:rFonts w:ascii="Times New Roman" w:hAnsi="Times New Roman" w:cs="Times New Roman"/>
        </w:rPr>
        <w:t>, 126.</w:t>
      </w:r>
    </w:p>
    <w:p w14:paraId="45653F3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Wójcik-Gront, E., Zieniuk, B., &amp; Pawełkowicz, M. (2024). Harnessing AI-Powered Genomic Research for Sustainable Crop Improvement. </w:t>
      </w:r>
      <w:r>
        <w:rPr>
          <w:rFonts w:ascii="Times New Roman" w:hAnsi="Times New Roman" w:cs="Times New Roman"/>
          <w:i/>
          <w:iCs/>
        </w:rPr>
        <w:t>Agriculture</w:t>
      </w:r>
      <w:r>
        <w:rPr>
          <w:rFonts w:ascii="Times New Roman" w:hAnsi="Times New Roman" w:cs="Times New Roman"/>
        </w:rPr>
        <w:t>, </w:t>
      </w:r>
      <w:r>
        <w:rPr>
          <w:rFonts w:ascii="Times New Roman" w:hAnsi="Times New Roman" w:cs="Times New Roman"/>
          <w:i/>
          <w:iCs/>
        </w:rPr>
        <w:t>14</w:t>
      </w:r>
      <w:r>
        <w:rPr>
          <w:rFonts w:ascii="Times New Roman" w:hAnsi="Times New Roman" w:cs="Times New Roman"/>
        </w:rPr>
        <w:t>(12), 2299.</w:t>
      </w:r>
    </w:p>
    <w:p w14:paraId="58367A6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Admas, T., Jiao, S., Pan, R., &amp; Zhang, W. (2025). Pan-omics insights into abiotic stress responses: bridging functional genomics and precision crop breeding. </w:t>
      </w:r>
      <w:r>
        <w:rPr>
          <w:rFonts w:ascii="Times New Roman" w:hAnsi="Times New Roman" w:cs="Times New Roman"/>
          <w:i/>
          <w:iCs/>
        </w:rPr>
        <w:t>Functional &amp; Integrative Genomics</w:t>
      </w:r>
      <w:r>
        <w:rPr>
          <w:rFonts w:ascii="Times New Roman" w:hAnsi="Times New Roman" w:cs="Times New Roman"/>
        </w:rPr>
        <w:t>, </w:t>
      </w:r>
      <w:r>
        <w:rPr>
          <w:rFonts w:ascii="Times New Roman" w:hAnsi="Times New Roman" w:cs="Times New Roman"/>
          <w:i/>
          <w:iCs/>
        </w:rPr>
        <w:t>25</w:t>
      </w:r>
      <w:r>
        <w:rPr>
          <w:rFonts w:ascii="Times New Roman" w:hAnsi="Times New Roman" w:cs="Times New Roman"/>
        </w:rPr>
        <w:t>(1), 1-19.</w:t>
      </w:r>
    </w:p>
    <w:p w14:paraId="3D0239A0"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Chen, G., Hao, F., &amp; Sun, X. (2025). Artificial intelligence-driven gene editing and crop breeding: Technological innovations and application prospects. </w:t>
      </w:r>
      <w:r>
        <w:rPr>
          <w:rFonts w:ascii="Times New Roman" w:hAnsi="Times New Roman" w:cs="Times New Roman"/>
          <w:i/>
          <w:iCs/>
        </w:rPr>
        <w:t>Advances in Resources Research</w:t>
      </w:r>
      <w:r>
        <w:rPr>
          <w:rFonts w:ascii="Times New Roman" w:hAnsi="Times New Roman" w:cs="Times New Roman"/>
        </w:rPr>
        <w:t>, </w:t>
      </w:r>
      <w:r>
        <w:rPr>
          <w:rFonts w:ascii="Times New Roman" w:hAnsi="Times New Roman" w:cs="Times New Roman"/>
          <w:i/>
          <w:iCs/>
        </w:rPr>
        <w:t>5</w:t>
      </w:r>
      <w:r>
        <w:rPr>
          <w:rFonts w:ascii="Times New Roman" w:hAnsi="Times New Roman" w:cs="Times New Roman"/>
        </w:rPr>
        <w:t>(1), 235-254.</w:t>
      </w:r>
    </w:p>
    <w:p w14:paraId="19698D2A"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Farooq, M. A., Gao, S., Hassan, M. A., Huang, Z., Rasheed, A., Hearne, S., ... &amp; Li, H. (2024). Artificial intelligence in plant breeding. </w:t>
      </w:r>
      <w:r>
        <w:rPr>
          <w:rFonts w:ascii="Times New Roman" w:hAnsi="Times New Roman" w:cs="Times New Roman"/>
          <w:i/>
          <w:iCs/>
        </w:rPr>
        <w:t>Trends in Genetics</w:t>
      </w:r>
      <w:r>
        <w:rPr>
          <w:rFonts w:ascii="Times New Roman" w:hAnsi="Times New Roman" w:cs="Times New Roman"/>
        </w:rPr>
        <w:t>.</w:t>
      </w:r>
    </w:p>
    <w:p w14:paraId="0159362A"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Zhang, Y., Huang, G., Zhao, Y., Lu, X., Wang, Y., Wang, C., ... &amp; Zhao, C. (2024). Revolutionizing Crop Breeding: Next-Generation Artificial Intelligence and Big Data-Driven Intelligent Design. </w:t>
      </w:r>
      <w:r>
        <w:rPr>
          <w:rFonts w:ascii="Times New Roman" w:hAnsi="Times New Roman" w:cs="Times New Roman"/>
          <w:i/>
          <w:iCs/>
        </w:rPr>
        <w:t>Engineering</w:t>
      </w:r>
      <w:r>
        <w:rPr>
          <w:rFonts w:ascii="Times New Roman" w:hAnsi="Times New Roman" w:cs="Times New Roman"/>
        </w:rPr>
        <w:t>.</w:t>
      </w:r>
    </w:p>
    <w:p w14:paraId="567F9BAF"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Reddy, B. R. P., Amarnath, K., Venkataramanamma, K., Prabhakar, K., Reddy, B. C., &amp; Venkateswarlu, N. C. (2025). Breeding Oilseed Crops for Resistance to Fungal Pathogens Through Genomics-Assisted Breeding. In </w:t>
      </w:r>
      <w:r>
        <w:rPr>
          <w:rFonts w:ascii="Times New Roman" w:hAnsi="Times New Roman" w:cs="Times New Roman"/>
          <w:i/>
          <w:iCs/>
        </w:rPr>
        <w:t>Breeding Climate Resilient and Future Ready Oilseed Crops</w:t>
      </w:r>
      <w:r>
        <w:rPr>
          <w:rFonts w:ascii="Times New Roman" w:hAnsi="Times New Roman" w:cs="Times New Roman"/>
        </w:rPr>
        <w:t> (pp. 119-162). Singapore: Springer Nature Singapore.</w:t>
      </w:r>
    </w:p>
    <w:p w14:paraId="78846BC7"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Sangh, C., Mallikarjuna, M. G., Pandey, M. K., Mondal, T. K., Radhakrishnan, T., Tomar, R. S., ... &amp; Bera, S. K. (2025). Breeding Climate-Resilient Groundnut in the Climate Change Era: Current Breeding Strategies and Prospects. In </w:t>
      </w:r>
      <w:r>
        <w:rPr>
          <w:rFonts w:ascii="Times New Roman" w:hAnsi="Times New Roman" w:cs="Times New Roman"/>
          <w:i/>
          <w:iCs/>
        </w:rPr>
        <w:t>Breeding Climate Resilient and Future Ready Oilseed Crops</w:t>
      </w:r>
      <w:r>
        <w:rPr>
          <w:rFonts w:ascii="Times New Roman" w:hAnsi="Times New Roman" w:cs="Times New Roman"/>
        </w:rPr>
        <w:t> (pp. 265-301). Singapore: Springer Nature Singapore.</w:t>
      </w:r>
    </w:p>
    <w:p w14:paraId="0B27A97B"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Prasad, A. D. Application of Novel Breeding Methods to Achieve Rapid Genetic Gain in Oilseed. </w:t>
      </w:r>
      <w:r>
        <w:rPr>
          <w:rFonts w:ascii="Times New Roman" w:hAnsi="Times New Roman" w:cs="Times New Roman"/>
          <w:i/>
          <w:iCs/>
        </w:rPr>
        <w:t>Breeding Climate Resilient and Future Ready Oilseed Crops</w:t>
      </w:r>
      <w:r>
        <w:rPr>
          <w:rFonts w:ascii="Times New Roman" w:hAnsi="Times New Roman" w:cs="Times New Roman"/>
        </w:rPr>
        <w:t>, 187.</w:t>
      </w:r>
    </w:p>
    <w:p w14:paraId="0B9D94A6"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Barmukh, R., Thakur, N., &amp; Shah, P. (2024). Genomic Interventions for Improving Crop Yield and Resilience. In </w:t>
      </w:r>
      <w:r>
        <w:rPr>
          <w:rFonts w:ascii="Times New Roman" w:hAnsi="Times New Roman" w:cs="Times New Roman"/>
          <w:i/>
          <w:iCs/>
        </w:rPr>
        <w:t>Plant Molecular Breeding in Genomics Era: Concepts and Tools</w:t>
      </w:r>
      <w:r>
        <w:rPr>
          <w:rFonts w:ascii="Times New Roman" w:hAnsi="Times New Roman" w:cs="Times New Roman"/>
        </w:rPr>
        <w:t> (pp. 63-94). Cham: Springer Nature Switzerland.</w:t>
      </w:r>
    </w:p>
    <w:p w14:paraId="375C6A4A"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Meena, B. L., Meena, H. S., Singh, V. V., Meena, M. D., Sharma, H. K., Rai, P. K., ... &amp; Kumar, P. Breeding Strategies and Prospects. </w:t>
      </w:r>
      <w:r>
        <w:rPr>
          <w:rFonts w:ascii="Times New Roman" w:hAnsi="Times New Roman" w:cs="Times New Roman"/>
          <w:i/>
          <w:iCs/>
        </w:rPr>
        <w:t>Breeding Climate Resilient and Future Ready Oilseed Crops</w:t>
      </w:r>
      <w:r>
        <w:rPr>
          <w:rFonts w:ascii="Times New Roman" w:hAnsi="Times New Roman" w:cs="Times New Roman"/>
        </w:rPr>
        <w:t>, 303.</w:t>
      </w:r>
    </w:p>
    <w:p w14:paraId="6F666562"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Raghunandan, K., Dutta, S., &amp; Thribhuvan, R. Rakesh Bhowmick, Kumar Nishant Chourasia, Jitendra Kumar Meena, Arpita Das, HH Kumaraswamy, Debankur Sanyal, Pranav Dawar, and Swarupa Nanda Mandal.</w:t>
      </w:r>
    </w:p>
    <w:p w14:paraId="464C4BE6"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Prakasha, T. L., Mishra, A. N., Singh, J. B., Prasad, S. S., &amp; Chand, S. (2021). New Insights into the Identification and Management of Wheat Diseases. In </w:t>
      </w:r>
      <w:r>
        <w:rPr>
          <w:rFonts w:ascii="Times New Roman" w:hAnsi="Times New Roman" w:cs="Times New Roman"/>
          <w:i/>
          <w:iCs/>
        </w:rPr>
        <w:t>Innovative Approaches in Diagnosis and Management of Crop Diseases</w:t>
      </w:r>
      <w:r>
        <w:rPr>
          <w:rFonts w:ascii="Times New Roman" w:hAnsi="Times New Roman" w:cs="Times New Roman"/>
        </w:rPr>
        <w:t> (pp. 67-93). Apple Academic Press.</w:t>
      </w:r>
    </w:p>
    <w:p w14:paraId="78089496"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Khanna, A., Ramos, J., Sta. Cruz, M. T., Catolos, M., Anumalla, M., Godwin, A., ... &amp; Hussain, W. (2023). Genetic Gains in IRRI’s Rice Salinity Breeding and Elite Panel Development as a Future Breeding Resource. </w:t>
      </w:r>
      <w:r>
        <w:rPr>
          <w:rFonts w:ascii="Times New Roman" w:hAnsi="Times New Roman" w:cs="Times New Roman"/>
          <w:i/>
          <w:iCs/>
        </w:rPr>
        <w:t>bioRxiv</w:t>
      </w:r>
      <w:r>
        <w:rPr>
          <w:rFonts w:ascii="Times New Roman" w:hAnsi="Times New Roman" w:cs="Times New Roman"/>
        </w:rPr>
        <w:t>, 2023-06.</w:t>
      </w:r>
    </w:p>
    <w:p w14:paraId="7C393D1E"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Raghunandan, K., Dutta, S., Thribhuvan, R., Meena, J. K., Das, A., Kumaraswamy, H. H., ... &amp; Mandal, S. N. (2025). Breeding Minor Pulses for Climate. </w:t>
      </w:r>
      <w:r>
        <w:rPr>
          <w:rFonts w:ascii="Times New Roman" w:hAnsi="Times New Roman" w:cs="Times New Roman"/>
          <w:i/>
          <w:iCs/>
        </w:rPr>
        <w:t>Breeding Climate Resilient and Future Ready Pulse Crops</w:t>
      </w:r>
      <w:r>
        <w:rPr>
          <w:rFonts w:ascii="Times New Roman" w:hAnsi="Times New Roman" w:cs="Times New Roman"/>
        </w:rPr>
        <w:t>, 351.</w:t>
      </w:r>
    </w:p>
    <w:p w14:paraId="3AEAA734"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HimabinduáKudapa, B. 4 Global Status ofáGenetic, Genomic, andáBioinformatics Resources foráPulse Crop Improvement. </w:t>
      </w:r>
      <w:r>
        <w:rPr>
          <w:rFonts w:ascii="Times New Roman" w:hAnsi="Times New Roman" w:cs="Times New Roman"/>
          <w:i/>
          <w:iCs/>
        </w:rPr>
        <w:t>Breeding Climate Resilient and Future Ready Pulse Crops</w:t>
      </w:r>
      <w:r>
        <w:rPr>
          <w:rFonts w:ascii="Times New Roman" w:hAnsi="Times New Roman" w:cs="Times New Roman"/>
        </w:rPr>
        <w:t>, 71.</w:t>
      </w:r>
    </w:p>
    <w:p w14:paraId="571D40BE" w14:textId="77777777" w:rsidR="000F3B2F" w:rsidRDefault="00000000">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Gangurde, S. S., Bhat, R. S., Shirasawa, K., Varshney, R. K., &amp; Pandey, M. K. (2025). Breeding for High Oleate Oilseed Crops: Opportunities, Constraints, and Prospects. In </w:t>
      </w:r>
      <w:r>
        <w:rPr>
          <w:rFonts w:ascii="Times New Roman" w:hAnsi="Times New Roman" w:cs="Times New Roman"/>
          <w:i/>
          <w:iCs/>
        </w:rPr>
        <w:t>Breeding Climate Resilient and Future Ready Oilseed Crops</w:t>
      </w:r>
      <w:r>
        <w:rPr>
          <w:rFonts w:ascii="Times New Roman" w:hAnsi="Times New Roman" w:cs="Times New Roman"/>
        </w:rPr>
        <w:t> (pp. 437-470). Singapore: Springer Nature Singapore.</w:t>
      </w:r>
    </w:p>
    <w:p w14:paraId="1849A479" w14:textId="77777777" w:rsidR="000F3B2F" w:rsidRDefault="000F3B2F">
      <w:pPr>
        <w:pStyle w:val="ListParagraph"/>
        <w:spacing w:line="360" w:lineRule="auto"/>
        <w:jc w:val="both"/>
        <w:rPr>
          <w:rFonts w:ascii="Times New Roman" w:hAnsi="Times New Roman" w:cs="Times New Roman"/>
        </w:rPr>
      </w:pPr>
    </w:p>
    <w:sectPr w:rsidR="000F3B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84DE4" w14:textId="77777777" w:rsidR="00AE1432" w:rsidRDefault="00AE1432" w:rsidP="00774C33">
      <w:pPr>
        <w:spacing w:after="0" w:line="240" w:lineRule="auto"/>
      </w:pPr>
      <w:r>
        <w:separator/>
      </w:r>
    </w:p>
  </w:endnote>
  <w:endnote w:type="continuationSeparator" w:id="0">
    <w:p w14:paraId="09D174A9" w14:textId="77777777" w:rsidR="00AE1432" w:rsidRDefault="00AE1432" w:rsidP="0077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86E9" w14:textId="77777777" w:rsidR="00774C33" w:rsidRDefault="0077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DD52" w14:textId="77777777" w:rsidR="00774C33" w:rsidRDefault="0077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2E23" w14:textId="77777777" w:rsidR="00774C33" w:rsidRDefault="0077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F1DF6" w14:textId="77777777" w:rsidR="00AE1432" w:rsidRDefault="00AE1432" w:rsidP="00774C33">
      <w:pPr>
        <w:spacing w:after="0" w:line="240" w:lineRule="auto"/>
      </w:pPr>
      <w:r>
        <w:separator/>
      </w:r>
    </w:p>
  </w:footnote>
  <w:footnote w:type="continuationSeparator" w:id="0">
    <w:p w14:paraId="6FA08EB5" w14:textId="77777777" w:rsidR="00AE1432" w:rsidRDefault="00AE1432" w:rsidP="0077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1F49" w14:textId="00D2346B" w:rsidR="00774C33" w:rsidRDefault="00774C33">
    <w:pPr>
      <w:pStyle w:val="Header"/>
    </w:pPr>
    <w:r>
      <w:rPr>
        <w:noProof/>
      </w:rPr>
      <w:pict w14:anchorId="744B1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9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0EAA" w14:textId="5B925F14" w:rsidR="00774C33" w:rsidRDefault="00774C33">
    <w:pPr>
      <w:pStyle w:val="Header"/>
    </w:pPr>
    <w:r>
      <w:rPr>
        <w:noProof/>
      </w:rPr>
      <w:pict w14:anchorId="6C498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9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527D" w14:textId="63A63B0C" w:rsidR="00774C33" w:rsidRDefault="00774C33">
    <w:pPr>
      <w:pStyle w:val="Header"/>
    </w:pPr>
    <w:r>
      <w:rPr>
        <w:noProof/>
      </w:rPr>
      <w:pict w14:anchorId="3091C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9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BA0E972"/>
    <w:lvl w:ilvl="0" w:tplc="71B0F974">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multilevel"/>
    <w:tmpl w:val="6D2E04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EDFA0F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A23EB57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A47A5602"/>
    <w:lvl w:ilvl="0" w:tplc="9014B29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32B6E938"/>
    <w:lvl w:ilvl="0" w:tplc="9F249E38">
      <w:start w:val="1"/>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D87A3B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9C55968"/>
    <w:multiLevelType w:val="hybridMultilevel"/>
    <w:tmpl w:val="ADDEB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1564669">
    <w:abstractNumId w:val="6"/>
  </w:num>
  <w:num w:numId="2" w16cid:durableId="425076275">
    <w:abstractNumId w:val="1"/>
  </w:num>
  <w:num w:numId="3" w16cid:durableId="51778713">
    <w:abstractNumId w:val="3"/>
  </w:num>
  <w:num w:numId="4" w16cid:durableId="1545754996">
    <w:abstractNumId w:val="2"/>
  </w:num>
  <w:num w:numId="5" w16cid:durableId="735474990">
    <w:abstractNumId w:val="4"/>
  </w:num>
  <w:num w:numId="6" w16cid:durableId="789862572">
    <w:abstractNumId w:val="7"/>
  </w:num>
  <w:num w:numId="7" w16cid:durableId="1146316024">
    <w:abstractNumId w:val="5"/>
  </w:num>
  <w:num w:numId="8" w16cid:durableId="135287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2F"/>
    <w:rsid w:val="000F3B2F"/>
    <w:rsid w:val="003B70AC"/>
    <w:rsid w:val="003C5506"/>
    <w:rsid w:val="005F0C74"/>
    <w:rsid w:val="00774C33"/>
    <w:rsid w:val="007F0EB5"/>
    <w:rsid w:val="00AE1432"/>
    <w:rsid w:val="00BA32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E6191"/>
  <w15:docId w15:val="{A9C07853-ECD5-499B-A002-C2F4F87B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BA32A0"/>
    <w:rPr>
      <w:color w:val="605E5C"/>
      <w:shd w:val="clear" w:color="auto" w:fill="E1DFDD"/>
    </w:rPr>
  </w:style>
  <w:style w:type="paragraph" w:styleId="Header">
    <w:name w:val="header"/>
    <w:basedOn w:val="Normal"/>
    <w:link w:val="HeaderChar"/>
    <w:uiPriority w:val="99"/>
    <w:unhideWhenUsed/>
    <w:rsid w:val="00774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C33"/>
  </w:style>
  <w:style w:type="paragraph" w:styleId="Footer">
    <w:name w:val="footer"/>
    <w:basedOn w:val="Normal"/>
    <w:link w:val="FooterChar"/>
    <w:uiPriority w:val="99"/>
    <w:unhideWhenUsed/>
    <w:rsid w:val="00774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44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27</Pages>
  <Words>9622</Words>
  <Characters>54846</Characters>
  <Application>Microsoft Office Word</Application>
  <DocSecurity>0</DocSecurity>
  <Lines>457</Lines>
  <Paragraphs>128</Paragraphs>
  <ScaleCrop>false</ScaleCrop>
  <Company/>
  <LinksUpToDate>false</LinksUpToDate>
  <CharactersWithSpaces>64340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dc:creator>
  <cp:lastModifiedBy>Editor-22</cp:lastModifiedBy>
  <cp:revision>5</cp:revision>
  <dcterms:created xsi:type="dcterms:W3CDTF">2025-06-25T06:16:00Z</dcterms:created>
  <dcterms:modified xsi:type="dcterms:W3CDTF">2025-06-26T12:15:00Z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cac615a2c1ec434aa508ed2f7dc3a3ca</vt:lpwstr>
  </property>
</Properties>
</file>