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679F7" w14:textId="77777777" w:rsidR="00EA1EDD" w:rsidRPr="00EA1EDD" w:rsidRDefault="00EA1EDD" w:rsidP="00EA1EDD">
      <w:pPr>
        <w:spacing w:before="100" w:beforeAutospacing="1" w:after="100" w:afterAutospacing="1" w:line="240" w:lineRule="auto"/>
        <w:outlineLvl w:val="2"/>
        <w:rPr>
          <w:rFonts w:ascii="Times New Roman" w:eastAsia="Times New Roman" w:hAnsi="Times New Roman" w:cs="Times New Roman"/>
          <w:b/>
          <w:bCs/>
          <w:i/>
          <w:iCs/>
          <w:sz w:val="24"/>
          <w:szCs w:val="24"/>
          <w:u w:val="single"/>
        </w:rPr>
      </w:pPr>
      <w:r w:rsidRPr="00EA1EDD">
        <w:rPr>
          <w:rFonts w:ascii="Times New Roman" w:eastAsia="Times New Roman" w:hAnsi="Times New Roman" w:cs="Times New Roman"/>
          <w:b/>
          <w:bCs/>
          <w:i/>
          <w:iCs/>
          <w:sz w:val="24"/>
          <w:szCs w:val="24"/>
          <w:u w:val="single"/>
        </w:rPr>
        <w:t>Review Article</w:t>
      </w:r>
    </w:p>
    <w:p w14:paraId="0DE764C7" w14:textId="77777777" w:rsidR="00EA1EDD" w:rsidRPr="00EA1EDD" w:rsidRDefault="00EA1EDD" w:rsidP="00103130">
      <w:pPr>
        <w:spacing w:before="100" w:beforeAutospacing="1" w:after="100" w:afterAutospacing="1" w:line="240" w:lineRule="auto"/>
        <w:outlineLvl w:val="2"/>
        <w:rPr>
          <w:rFonts w:ascii="Times New Roman" w:eastAsia="Times New Roman" w:hAnsi="Times New Roman" w:cs="Times New Roman"/>
          <w:b/>
          <w:bCs/>
          <w:i/>
          <w:iCs/>
          <w:sz w:val="24"/>
          <w:szCs w:val="24"/>
        </w:rPr>
      </w:pPr>
    </w:p>
    <w:p w14:paraId="6A377723" w14:textId="1306FB67" w:rsidR="00103130" w:rsidRPr="00EA1EDD" w:rsidRDefault="00103130" w:rsidP="00103130">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EA1EDD">
        <w:rPr>
          <w:rFonts w:ascii="Times New Roman" w:eastAsia="Times New Roman" w:hAnsi="Times New Roman" w:cs="Times New Roman"/>
          <w:b/>
          <w:bCs/>
          <w:i/>
          <w:iCs/>
          <w:sz w:val="24"/>
          <w:szCs w:val="24"/>
        </w:rPr>
        <w:t>Code Against Contagion: How Health IT Is Reshaping Public Health Surveillance in the Pandemic Era</w:t>
      </w:r>
    </w:p>
    <w:p w14:paraId="269F3881" w14:textId="77777777" w:rsidR="00DF21D0" w:rsidRPr="00EA1EDD" w:rsidRDefault="00DF21D0" w:rsidP="00103130">
      <w:pPr>
        <w:spacing w:before="100" w:beforeAutospacing="1" w:after="100" w:afterAutospacing="1" w:line="240" w:lineRule="auto"/>
        <w:outlineLvl w:val="2"/>
        <w:rPr>
          <w:rFonts w:ascii="Times New Roman" w:eastAsia="Times New Roman" w:hAnsi="Times New Roman" w:cs="Times New Roman"/>
          <w:b/>
          <w:bCs/>
          <w:sz w:val="24"/>
          <w:szCs w:val="24"/>
        </w:rPr>
      </w:pPr>
      <w:bookmarkStart w:id="0" w:name="_GoBack"/>
      <w:bookmarkEnd w:id="0"/>
    </w:p>
    <w:p w14:paraId="1ABA463E" w14:textId="1E7FC46C" w:rsidR="00103130" w:rsidRPr="00EA1EDD" w:rsidRDefault="00103130" w:rsidP="00103130">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Abstract</w:t>
      </w:r>
    </w:p>
    <w:p w14:paraId="7ED0BBF6" w14:textId="4D0BE7D5" w:rsidR="00B30BE1" w:rsidRPr="00EA1EDD" w:rsidRDefault="00B30BE1" w:rsidP="00B30BE1">
      <w:pPr>
        <w:spacing w:before="100" w:beforeAutospacing="1" w:after="100" w:afterAutospacing="1" w:line="24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The COVID-19 pandemic served as a global stress test for public health surveillance systems, exposing critical weaknesses in data timeliness, coordination, and analytic capacity. In response, governments and health institutions worldwide turned to digital technologies ranging from electronic health record (EHR) linked reporting platforms to mobile contact tracing apps and AI-driven analytics to close gaps and accelerate decision-making. These innovations signaled a pivotal shift from reactive, manual surveillance to digital, real-time, and predictive public health infrastructure. This article examines how Health Information Technology (Health IT) is reshaping the future of epidemic intelligence through three major transformations: technical integration, including interoperable data systems and standards such as HL7 FHIR; ethical governance, which balances privacy with public health objectives; and institutional sustainability, encompassing workforce development, long-term investment, and global interoperability. Case studies from countries including South Korea, Singapore, and the United Kingdom illustrate both the promise and the challenges of digitally enabled surveillance. As the world prepares for future pandemics, the lessons of COVID-19 call for a new model that embeds digital capacity as core public health infrastructure. Achieving this vision will require strategic alignment across sectors, transparent governance, and a global commitment to equity in digital readiness.</w:t>
      </w:r>
    </w:p>
    <w:p w14:paraId="7223434D" w14:textId="3F5C7D16"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1.0. Introduction </w:t>
      </w:r>
    </w:p>
    <w:p w14:paraId="4DD9E48C" w14:textId="133CBB08"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The COVID-19 pandemic marked a critical inflection point for global public health, exposing longstanding weaknesses in disease surveillance systems and revealing the urgent need for modernization. As SARS-CoV-2 spread rapidly across borders, the limitations of traditional public health infrastructure—built largely on manual reporting, siloed data systems, and delayed laboratory confirmations—became glaringly evident. These analog systems, while historically adequate for slower-moving outbreaks, proved ill-equipped to detect and respond to a fast-evolving global pandemic. The reactive nature of such surveillance approaches hindered timely containment, limited situational awareness, and exacerbated disparities in data capacity and coordination both between and within countries</w:t>
      </w:r>
      <w:r w:rsidR="006B4242" w:rsidRPr="00EA1EDD">
        <w:rPr>
          <w:rFonts w:ascii="Times New Roman" w:eastAsia="Times New Roman" w:hAnsi="Times New Roman" w:cs="Times New Roman"/>
          <w:sz w:val="24"/>
          <w:szCs w:val="24"/>
        </w:rPr>
        <w:fldChar w:fldCharType="begin"/>
      </w:r>
      <w:r w:rsidR="006B4242" w:rsidRPr="00EA1EDD">
        <w:rPr>
          <w:rFonts w:ascii="Times New Roman" w:eastAsia="Times New Roman" w:hAnsi="Times New Roman" w:cs="Times New Roman"/>
          <w:sz w:val="24"/>
          <w:szCs w:val="24"/>
        </w:rPr>
        <w:instrText xml:space="preserve"> ADDIN ZOTERO_ITEM CSL_CITATION {"citationID":"UZtv2F3F","properties":{"formattedCitation":"[1,2]","plainCitation":"[1,2]","noteIndex":0},"citationItems":[{"id":4247,"uris":["http://zotero.org/users/16652950/items/5LF2CH4J"],"itemData":{"id":4247,"type":"article-journal","container-title":"American Journal of Public Health","DOI":"10.2105/AJPH.2021.306551","ISSN":"0090-0036","issue":"12","journalAbbreviation":"Am J Public Health","note":"PMID: 34878884\nPMCID: PMC8667853","page":"2118-2121","source":"PubMed Central","title":"Impact of the COVID-19 Pandemic on Public Health Surveillance and Survey Data Collections in the United States","volume":"111","author":[{"family":"Lau","given":"Denys T."},{"family":"Sosa","given":"Paulina"},{"family":"Dasgupta","given":"Nabarun"},{"family":"He","given":"Hua"}],"issued":{"date-parts":[["2021",12]]}}},{"id":4254,"uris":["http://zotero.org/users/16652950/items/47P9NAHQ"],"itemData":{"id":4254,"type":"webpage","abstract":"Gains in life expectancy and quality of life over the course of American history can be attributed to forward-looking investments in public health","language":"en-US","title":"Public Health COVID-19 Impact Assessment: Lessons Learned and Compelling Needs - NAM","title-short":"Public Health COVID-19 Impact Assessment","URL":"https://nam.edu/perspectives/public-health-covid-19-impact-assessment-lessons-learned-and-compelling-needs/","accessed":{"date-parts":[["2025",7,9]]}}}],"schema":"https://github.com/citation-style-language/schema/raw/master/csl-citation.json"} </w:instrText>
      </w:r>
      <w:r w:rsidR="006B4242" w:rsidRPr="00EA1EDD">
        <w:rPr>
          <w:rFonts w:ascii="Times New Roman" w:eastAsia="Times New Roman" w:hAnsi="Times New Roman" w:cs="Times New Roman"/>
          <w:sz w:val="24"/>
          <w:szCs w:val="24"/>
        </w:rPr>
        <w:fldChar w:fldCharType="separate"/>
      </w:r>
      <w:r w:rsidR="006B4242" w:rsidRPr="00EA1EDD">
        <w:rPr>
          <w:rFonts w:ascii="Times New Roman" w:hAnsi="Times New Roman" w:cs="Times New Roman"/>
          <w:sz w:val="24"/>
        </w:rPr>
        <w:t>[1,2]</w:t>
      </w:r>
      <w:r w:rsidR="006B4242"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3B21A733" w14:textId="3C819C3A"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lastRenderedPageBreak/>
        <w:t xml:space="preserve"> </w:t>
      </w:r>
      <w:r w:rsidRPr="00EA1EDD">
        <w:rPr>
          <w:rFonts w:ascii="Times New Roman" w:eastAsia="Times New Roman" w:hAnsi="Times New Roman" w:cs="Times New Roman"/>
          <w:sz w:val="24"/>
          <w:szCs w:val="24"/>
        </w:rPr>
        <w:tab/>
        <w:t>In the early stages of the pandemic, even foundational epidemiological questions such as where infections were increasing, which populations were most vulnerable, or whether hospitals were approaching capacity remained difficult to answer. This was largely due to fragmented data collection across jurisdictions, institutions, and care settings. Inconsistent reporting formats and delayed case confirmations further hampered efforts to model transmission dynamics, allocate resources, and implement evidence-based interventions. Although some surveillance systems were theoretically robust, the absence of interoperability, automation, and real-time analytics meant they could not keep pace with the virus's trajectory</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{"citationID":"c8aeNK13","properties":{"formattedCitation":"[3]","plainCitation":"[3]","noteIndex":0},"citationItems":[{"id":4260,"uris":["http://zotero.org/users/16652950/items/GCQKUHVK"],"itemData":{"id":4260,"type":"chapter","abstract":"Emerging infections are clinically distinct conditions whose incidence in humans has been shown to be increasing (IOM, 1992). These diseases continue to disrupt the health care system, and successful detection and treatment of these diseases is becoming increasingly complicated. The public health system also is continually challenged by unexpected disease outbreaks, whether an influenza epidemic or an act of bioterrorism. To be prepared and responsive to these infections and outbreaks, the public health infrastructure requires attention and resources.","container-title":"Public Health Systems and Emerging Infections: Assessing the Capabilities of the Public and Private Sectors: Workshop Summary","language":"en","publisher":"National Academies Press (US)","source":"www.ncbi.nlm.nih.gov","title":"Summary and Assessment","URL":"https://www.ncbi.nlm.nih.gov/books/NBK100244/","author":[{"family":"Lederberg","given":"Joshua"}],"accessed":{"date-parts":[["2025",7,9]]},"issued":{"date-parts":[["2000"]]}}}],"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[3]</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5182F4A" w14:textId="29DC8030"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It was within this strained landscape that digital health technologies emerged as indispensable components of the global response. Tools such as electronic health records, cloud-based data warehouses, mobile contact tracing applications, and artificial intelligence-driven analytics were deployed with unprecedented speed and scale. These technologies augmented and, in some cases, replaced conventional surveillance methods by enabling faster case identification, large-scale symptom tracking, and the integration of clinical, demographic, and behavioral data in near real-time. Perhaps most critically, they opened the door to predictive modeling and automated alert systems, which traditional surveillance methods were largely incapable of supporting</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{"citationID":"xwlxs9Kq","properties":{"formattedCitation":"[4,5]","plainCitation":"[4,5]","noteIndex":0},"citationItems":[{"id":4257,"uris":["http://zotero.org/users/16652950/items/RAFQF6DZ"],"itemData":{"id":4257,"type":"article-journal","abstract":"Digital health innovations are reshaping global healthcare systems by enhancing access, efficiency, and quality of care. Technologies such as artificial intelligence, telemedicine, mobile health applications, and big data analytics have been widely ...","container-title":"Healthcare","DOI":"10.3390/healthcare13091060","issue":"9","language":"en","note":"PMID: 40361838","page":"1060","source":"pmc.ncbi.nlm.nih.gov","title":"Integrating Digital Health Innovations to Achieve Universal Health Coverage: Promoting Health Outcomes and Quality Through Global Public Health Equity","title-short":"Integrating Digital Health Innovations to Achieve Universal Health Coverage","volume":"13","author":[{"family":"Ahmed","given":"Mohamed Mustaf"},{"family":"Okesanya","given":"Olalekan John"},{"family":"Olaleke","given":"Noah Olabode"},{"family":"Adigun","given":"Olaniyi Abideen"},{"family":"Adebayo","given":"Uthman Okikiola"},{"family":"Oso","given":"Tolutope Adebimpe"},{"family":"Eshun","given":"Gilbert"},{"family":"Don Eliseo Lucero-Prisno","given":"I. I. I."}],"issued":{"date-parts":[["2025",5,5]]}}},{"id":4265,"uris":["http://zotero.org/users/16652950/items/58DPNMIN"],"itemData":{"id":4265,"type":"article-journal","abstract":"Artificial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[4,5]</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5BDAE29A" w14:textId="6FEE65ED" w:rsidR="00F679F7" w:rsidRPr="00EA1EDD" w:rsidRDefault="00F679F7" w:rsidP="00F679F7">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In retrospect, the pandemic functioned as a global stress test for public health surveillance, a moment in which outdated systems faltered and digital innovations proved their worth. The experience demonstrated that digital health technologies are no longer optional enhancements but essential components of a resilient public health infrastructure. As governments and institutions shift from emergency response to long-term preparedness, it has become clear that Health Information Technology must be treated as a fundamental element of 21st-century epidemic intelligence and health security</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{"citationID":"JabzCV52","properties":{"formattedCitation":"[6]","plainCitation":"[6]","noteIndex":0},"citationItems":[{"id":4268,"uris":["http://zotero.org/users/16652950/items/YJGK62WS"],"itemData":{"id":4268,"type":"article-journal","abstract":"Background\nDigital health technologies, such as mobile applications, wearable devices, and electronic health record systems, have significantly enhanced global health security by enabling timely data collection and analysis, identifying infectious disease trends, and reducing infection risk through remote services.\n\nObjective\nThis study assesses the role of digital health in pandemic preparedness and global health security response. It examines the application of digital health to early detection, surveillance, and data management in patient care.\n\nMethods\nWe gathered data from scholarly articles published between 2019 and 2024 (found in PubMed, Science Direct, Google Scholar, and Web of Science), reports from the WHO, and case studies of recent pandemics. Topics discussed include digital health technologies, their use, benefits, and issues. We paid special attention to gathering the informed opinions and perspectives of specialists from various fields, including public health, technology, and government. The commentary synthesises these findings to offer suggestions for incorporating digital health into future pandemic preparedness and response.\n\nResults\nDigital tools improve communication, combat fake news, and reach the public, but data protection and public health remain challenges. Integration requires extensive research and collaboration between governments and the private sector.\n\nConclusion\nThe COVID-19 outbreak demonstrated the importance of digital technology in outbreak management, patient care, communication, and data sharing. As the world transitions into the post-pandemic phase, it will be important to build on these innovations and prepare for the challenges ahead in order to strengthen healthcare systems for future pandemics.\n\nMain finding\nDigital health technology services like mobile health, big data analytics, and artificial intelligence are essential components of pandemic preparedness and response.\n\nAdded knowledge\nThis commentary integrates COVID-19 lessons and examines digital health’s development in the global health security system, highlighting shortcomings and opportunities for further discoveries.\n\nGlobal health impact for policy and action\nThis commentary highlights priorities for digital health in public health preparedness and makes the case for investment in infrastructure, workforce, and technology access. It highlights the need for international collaboration in combating global health threats and advancing a collaborative, equitable strategy for pandemic readiness.","container-title":"Global Health Action","DOI":"10.1080/16549716.2024.2419694","ISSN":"1654-9716","issue":"1","journalAbbreviation":"Glob Health Action","note":"PMID: 39435565\nPMCID: PMC11497569","page":"2419694","source":"PubMed Central","title":"The role of digital health in pandemic preparedness and response: securing global health?","title-short":"The role of digital health in pandemic preparedness and response","volume":"17","author":[{"family":"Ezenwaji","given":"Chisom Ogochukwu"},{"family":"Alum","given":"Esther Ugo"},{"family":"Ugwu","given":"Okechukwu Paul-Chima"}]}}],"schema":"https://github.com/citation-style-language/schema/raw/master/csl-citation.json"}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[6]</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00C856E" w14:textId="2425EB30" w:rsidR="00F679F7" w:rsidRPr="00EA1EDD" w:rsidRDefault="00F679F7" w:rsidP="00F679F7">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2.</w:t>
      </w:r>
      <w:r w:rsidR="000B0BE8"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b/>
          <w:bCs/>
          <w:sz w:val="24"/>
          <w:szCs w:val="24"/>
        </w:rPr>
        <w:t>Digital Innovations in Real-Time Surveillance</w:t>
      </w:r>
    </w:p>
    <w:p w14:paraId="7B67871B" w14:textId="2B7E9174"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The urgency of the COVID-19 pandemic triggered a global surge in digital innovation, fundamentally reshaping how public health surveillance operates in real time. As traditional manually driven systems struggled under the pressure of rapidly escalating case numbers, </w:t>
      </w:r>
      <w:r w:rsidRPr="00EA1EDD">
        <w:rPr>
          <w:rFonts w:ascii="Times New Roman" w:eastAsia="Times New Roman" w:hAnsi="Times New Roman" w:cs="Times New Roman"/>
          <w:sz w:val="24"/>
          <w:szCs w:val="24"/>
        </w:rPr>
        <w:lastRenderedPageBreak/>
        <w:t>governments and health institutions increasingly turned to Health Information Technology (Health IT) to close critical gaps. These tools were designed to improve data collection, enhance situational awareness, and enable more agile and responsive decision-making. Deployed at unprecedented speed, these digital interventions marked a pivotal transformation in the monitoring, prediction, and control of infectious disease outbreaks</w:t>
      </w:r>
      <w:r w:rsidR="00D0386D" w:rsidRPr="00EA1EDD">
        <w:rPr>
          <w:rFonts w:ascii="Times New Roman" w:eastAsia="Times New Roman" w:hAnsi="Times New Roman" w:cs="Times New Roman"/>
          <w:sz w:val="24"/>
          <w:szCs w:val="24"/>
        </w:rPr>
        <w:fldChar w:fldCharType="begin"/>
      </w:r>
      <w:r w:rsidR="00D0386D" w:rsidRPr="00EA1EDD">
        <w:rPr>
          <w:rFonts w:ascii="Times New Roman" w:eastAsia="Times New Roman" w:hAnsi="Times New Roman" w:cs="Times New Roman"/>
          <w:sz w:val="24"/>
          <w:szCs w:val="24"/>
        </w:rPr>
        <w:instrText xml:space="preserve"> ADDIN ZOTERO_ITEM CSL_CITATION {"citationID":"ZX9RZOs3","properties":{"formattedCitation":"[1,7]","plainCitation":"[1,7]","noteIndex":0},"citationItems":[{"id":4247,"uris":["http://zotero.org/users/16652950/items/5LF2CH4J"],"itemData":{"id":4247,"type":"article-journal","container-title":"American Journal of Public Health","DOI":"10.2105/AJPH.2021.306551","ISSN":"0090-0036","issue":"12","journalAbbreviation":"Am J Public Health","note":"PMID: 34878884\nPMCID: PMC8667853","page":"2118-2121","source":"PubMed Central","title":"Impact of the COVID-19 Pandemic on Public Health Surveillance and Survey Data Collections in the United States","volume":"111","author":[{"family":"Lau","given":"Denys T."},{"family":"Sosa","given":"Paulina"},{"family":"Dasgupta","given":"Nabarun"},{"family":"He","given":"Hua"}],"issued":{"date-parts":[["2021",12]]}}},{"id":4274,"uris":["http://zotero.org/users/16652950/items/7FEQR6E5"],"itemData":{"id":4274,"type":"article-journal","abstract":"Beginning in December 2019, the world faced a critical new public health stressor with the emergence of SARS-CoV-2. Its spread was extraordinarily rapid, and in a matter of weeks countries across the world were affected, notably in their ability to manage health care needs. While many sectors of public structures were impacted by the pandemic, it particularly highlighted shortcomings in medical care infrastructures around the world that underscored the need to reorganize medical systems, as they were vastly unprepared and ill-equipped to manage a pandemic and simultaneously provide general and specialized medical care. This paper presents modalities in approaches to the pandemic by various countries, and the triaged reorganization of medical sections not considered first-line in the pandemic that was in many cases transformed into wards for treating COVID-19 cases. As new viruses and structural variants emerge, it is important to find solutions to streamline medical care in hospitals, which includes the expansion of digital network medicine (i.e., telemedicine and mobile health apps) for patients to continue to receive appropriate care without risking exposure to contagions. Mobile health app development continues to evolve with specialized diagnostics capabilities via external attachments that can provide rapid information sharing between patients and care providers while eliminating the need for office visits. Telemedicine, still in the early stages of adoption, especially in the developing world, can ensure access to medical information and contact with care providers, with the potential to release emergency rooms from excessive cases, and offer multidisciplinary access for patients and care providers that can also be a means to avoid contact during a pandemic. As this pandemic illustrated, an overhaul to streamline health care is essential, and a move towards greater use of mobile health and telemedicine will greatly benefit public health to control the spread of new variants and future outbreaks.","container-title":"Journal of Personalized Medicine","DOI":"10.3390/jpm12081295","ISSN":"2075-4426","issue":"8","journalAbbreviation":"J Pers Med","note":"PMID: 36013244\nPMCID: PMC9409667","page":"1295","source":"PubMed Central","title":"Global Challenges to Public Health Care Systems during the COVID-19 Pandemic: A Review of Pandemic Measures and Problems","title-short":"Global Challenges to Public Health Care Systems during the COVID-19 Pandemic","volume":"12","author":[{"family":"Filip","given":"Roxana"},{"family":"Gheorghita Puscaselu","given":"Roxana"},{"family":"Anchidin-Norocel","given":"Liliana"},{"family":"Dimian","given":"Mihai"},{"family":"Savage","given":"Wesley K."}],"issued":{"date-parts":[["2022",8,7]]}}}],"schema":"https://github.com/citation-style-language/schema/raw/master/csl-citation.json"}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D0386D" w:rsidRPr="00EA1EDD">
        <w:rPr>
          <w:rFonts w:ascii="Times New Roman" w:hAnsi="Times New Roman" w:cs="Times New Roman"/>
          <w:sz w:val="24"/>
        </w:rPr>
        <w:t>[1,7]</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4DB705D9" w14:textId="73643651"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One of the most consequential changes during the pandemic was the integration of electronic health record (EHR) data into public health reporting workflows. Automating the flow of clinical data into national surveillance databases allowed health authorities to bypass conventional reporting delays and gain near-instantaneous visibility into COVID-19 testing, hospitalization rates, and intensive care unit utilization</w:t>
      </w:r>
      <w:r w:rsidR="0072225B"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{"citationID":"ga35rC6G","properties":{"formattedCitation":"[8]","plainCitation":"[8]","noteIndex":0},"citationItems":[{"id":2397,"uris":["http://zotero.org/users/16652950/items/JXYZEQD2"],"itemData":{"id":2397,"type":"article-journal","abstract":"Despite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[8]</w:t>
      </w:r>
      <w:r w:rsidR="0072225B"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the United Kingdom, the NHS COVID-19 Data Store aggregated information from EHRs, laboratory systems, and logistics chains to power a central dashboard used for resource allocation and policy planning. Similarly, in the United States, the HHS Protect platform integrated data from over 200 sources to support forecasting models and inform federal response strategies</w:t>
      </w:r>
      <w:r w:rsidR="00D0386D"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{"citationID":"9WpBaeul","properties":{"formattedCitation":"[9\\uc0\\u8211{}11]","plainCitation":"[9–11]","noteIndex":0},"citationItems":[{"id":4277,"uris":["http://zotero.org/users/16652950/items/NS7UBQ7Y"],"itemData":{"id":4277,"type":"article-journal","abstract":"The coronavirus disease 2019 (COVID-19) pandemic continues its global spread. Coordinated effort on a vast scale is required to halt its progression and to save lives. Electronic health record (EHR) data are a valuable resource to mitigate the COVID-19 pandemic. We review how the EHR could be used for disease surveillance and contact tracing. When linked to “omics” data, the EHR could facilitate identification of genetic susceptibility variants, leading to insights into risk factors, disease complications, and drug repurposing. Real-time monitoring of patients could enable early detection of potential complications, informing appropriate interventions and therapy. We reviewed relevant articles from PubMed, MEDLINE, and Google Scholar searches as well as preprint servers, given the rapidly evolving understanding of the COVID-19 pandemic.","container-title":"Mayo Clinic Proceedings","DOI":"10.1016/j.mayocp.2021.04.008","ISSN":"0025-6196","issue":"6","journalAbbreviation":"Mayo Clin Proc","note":"PMID: 34088418\nPMCID: PMC8059945","page":"1592-1608","source":"PubMed Central","title":"Leveraging the Electronic Health Record to Address the COVID-19 Pandemic","volume":"96","author":[{"family":"Satterfield","given":"Benjamin A."},{"family":"Dikilitas","given":"Ozan"},{"family":"Kullo","given":"Iftikhar J."}],"issued":{"date-parts":[["2021",6]]}}},{"id":4280,"uris":["http://zotero.org/users/16652950/items/C4USZQ75"],"itemData":{"id":4280,"type":"article-journal","abstract":"Electronic health information systems can reshape the practice of public health including public health surveillance, disease and injury investigation and control, decision making, quality assurance, and policy development. While these opportunities are potentially transformative, and the federal program for the Meaningful Use (MU) of electronic health records (EHRs) has included important public health components, significant barriers remain. Unlike incentives in the clinical care system, scant funding is available to public health departments to develop the necessary information infrastructure and workforce capacity to capitalize on EHRs, personal health records, or Big Data. Current EHR systems are primarily built to serve clinical systems and practice rather than being structured for public health use. In addition, there are policy issues concerning how broadly the data can be used by public health officials. As these issues are resolved and workable solutions emerge, they should yield a more efficient and effective public health system.","container-title":"eGEMs","DOI":"10.13063/2327-9214.1019","ISSN":"2327-9214","issue":"2","journalAbbreviation":"EGEMS (Wash DC)","note":"PMID: 25848571\nPMCID: PMC4371418","page":"1019","source":"PubMed Central","title":"Applications of Electronic Health Information in Public Health: Uses, Opportunities &amp; Barriers","title-short":"Applications of Electronic Health Information in Public Health","volume":"1","author":[{"family":"Tomines","given":"Alan"},{"family":"Readhead","given":"Heather"},{"family":"Readhead","given":"Adam"},{"family":"Teutsch","given":"Steven"}],"issued":{"date-parts":[["2013",10,28]]}}},{"id":4284,"uris":["http://zotero.org/users/16652950/items/8JFLT4F5"],"itemData":{"id":4284,"type":"article-journal","abstract":"One of the main objectives of Electronic Health Records (EHRs) is to enhance collaboration among healthcare professionals. However, our knowledge of how EHRs actually affect collaborative practices is limited. This study examines how an EHR facilitates and constrains collaboration in five outpatient clinics.","container-title":"BMC Health Services Research","DOI":"10.1186/s12913-020-05542-6","ISSN":"1472-6963","issue":"1","journalAbbreviation":"BMC Health Services Research","page":"676","source":"BioMed Central","title":"The influence of electronic health record use on collaboration among medical specialties","volume":"20","author":[{"family":"Vos","given":"Janita F. J."},{"family":"Boonstra","given":"Albert"},{"family":"Kooistra","given":"Arjen"},{"family":"Seelen","given":"Marc"},{"family":"Offenbeek","given":"Marjolein","non-dropping-particle":"van"}],"issued":{"date-parts":[["2020",7,22]]}}}],"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szCs w:val="24"/>
        </w:rPr>
        <w:t>[9–11]</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389BBB7" w14:textId="65327A92"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Mobile technologies also played a crucial role in expanding the reach, speed, and granularity of surveillance activities. Digital contact tracing applications such as Singapore’s </w:t>
      </w:r>
      <w:proofErr w:type="spellStart"/>
      <w:r w:rsidRPr="00EA1EDD">
        <w:rPr>
          <w:rFonts w:ascii="Times New Roman" w:eastAsia="Times New Roman" w:hAnsi="Times New Roman" w:cs="Times New Roman"/>
          <w:sz w:val="24"/>
          <w:szCs w:val="24"/>
        </w:rPr>
        <w:t>TraceTogether</w:t>
      </w:r>
      <w:proofErr w:type="spellEnd"/>
      <w:r w:rsidRPr="00EA1EDD">
        <w:rPr>
          <w:rFonts w:ascii="Times New Roman" w:eastAsia="Times New Roman" w:hAnsi="Times New Roman" w:cs="Times New Roman"/>
          <w:sz w:val="24"/>
          <w:szCs w:val="24"/>
        </w:rPr>
        <w:t xml:space="preserve"> and South Korea’s cell-tower-based tracking system enabled authorities to quickly identify and notify individuals potentially exposed to the virus. Often supplemented with QR code-based venue check-ins and real-time mobility data, these tools allowed for targeted containment strategies that avoided the economic and social costs of full-scale lockdowns. In parallel, symptom monitoring and self-assessment platforms such as the UK’s COVID Symptom Study app collected population-level health data that helped identify emerging transmission clusters and patterns in near real time</w:t>
      </w:r>
      <w:r w:rsidR="00D0386D"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{"citationID":"NnWKRhgY","properties":{"formattedCitation":"[12,13]","plainCitation":"[12,13]","noteIndex":0},"citationItems":[{"id":4287,"uris":["http://zotero.org/users/16652950/items/RQX6WMGE"],"itemData":{"id":4287,"type":"article-journal","abstract":"Contact tracing has been essential to reducing spread of COVID-19. Singapore leveraged technology to assist with contact tracing efforts using a Bluetooth-based app and token platform called ‘TraceTogether’.","container-title":"BMC Public Health","DOI":"10.1186/s12889-023-17150-0","ISSN":"1471-2458","issue":"1","journalAbbreviation":"BMC Public Health","page":"2253","source":"BioMed Central","title":"Use of a digital contact tracing system in Singapore to mitigate COVID-19 spread","volume":"23","author":[{"family":"Chow","given":"Bryan W. K."},{"family":"Lim","given":"Yi Ding"},{"family":"Poh","given":"Richard C. H."},{"family":"Ko","given":"Amy"},{"family":"Hong","given":"Guo Hao"},{"family":"Zou","given":"Steffen W. L."},{"family":"Cheah","given":"Joshua"},{"family":"Ho","given":"Shaowei"},{"family":"Lee","given":"Vernon J. M."},{"family":"Ho","given":"Marc Z. J."}],"issued":{"date-parts":[["2023",11,16]]}}},{"id":4290,"uris":["http://zotero.org/users/16652950/items/XMZG56NQ"],"itemData":{"id":4290,"type":"article-journal","abstract":"The global and national response to the COVID-19 pandemic has been inadequate due to a collective lack of preparation and a shortage of available tools for responding to a large-scale pandemic. By applying lessons learned to create better preventative methods and speedier interventions, the harm of a future pandemic may be dramatically reduced. One potential measure is the widespread use of contact tracing apps. While such apps were designed to combat the COVID-19 pandemic, the time scale in which these apps were deployed proved a significant barrier to efficacy. Many companies and governments sprinted to deploy contact tracing apps that were not properly vetted for performance, privacy, or security issues. The hasty development of incomplete contact tracing apps undermined public trust and negatively influenced perceptions of app efficacy. As a result, many of these apps had poor voluntary public uptake, which greatly decreased the apps’ efficacy. Now, with lessons learned from this pandemic, groups can better design and test apps in preparation for the future. In this viewpoint, we outline common strategies employed for contact tracing apps, detail the successes and shortcomings of several prominent apps, and describe lessons learned that may be used to shape effective contact tracing apps for the present and future. Future app designers can keep these lessons in mind to create a version that is suitable for their local culture, especially with regard to local attitudes toward privacy-utility tradeoffs during public health crises.","container-title":"JMIR Medical Informatics","DOI":"10.2196/27449","ISSN":"2291-9694","issue":"7","journalAbbreviation":"JMIR Med Inform","note":"PMID: 34254937\nPMCID: PMC8291141","page":"e27449","source":"PubMed Central","title":"Contact Tracing Apps: Lessons Learned on Privacy, Autonomy, and the Need for Detailed and Thoughtful Implementation","title-short":"Contact Tracing Apps","volume":"9","author":[{"family":"Hogan","given":"Katie"},{"family":"Macedo","given":"Briana"},{"family":"Macha","given":"Venkata"},{"family":"Barman","given":"Arko"},{"family":"Jiang","given":"Xiaoqian"}],"issued":{"date-parts":[["2021",7,19]]}}}],"schema":"https://github.com/citation-style-language/schema/raw/master/csl-citation.json"} </w:instrText>
      </w:r>
      <w:r w:rsidR="00D0386D"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[12,13]</w:t>
      </w:r>
      <w:r w:rsidR="00D0386D"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addition to improving detection and monitoring, artificial intelligence (AI) and machine learning (ML) technologies were used to anticipate outbreak dynamics and inform clinical decision-making. For example, South Korea employed AI systems that analyzed mobility and contact data to predict potential superspreading events. In the United States, researchers leveraged natural language processing to identify early syndromic trends from free-text clinical notes in EHRs, offering earlier warnings of respiratory illness spikes. Other machine learning models were used to support hospital triage, estimating patient deterioration risk based on vital signs and comorbidities in real time</w:t>
      </w:r>
      <w:r w:rsidR="00541131"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{"citationID":"71RqUPps","properties":{"formattedCitation":"[14]","plainCitation":"[14]","noteIndex":0},"citationItems":[{"id":4296,"uris":["http://zotero.org/users/16652950/items/UZKHI96A"],"itemData":{"id":4296,"type":"article-journal","abstract":"At the beginning of the COVID-19 pandemic, analog tools such as nasopharyngeal swabs for PCR tests were center stage and the major prevention tactics of masking and physical distancing were a throwback to the 1918 influenza pandemic. Overall, there has been scant regard for digital tools, particularly those based on smartphone apps, which is surprising given the ubiquity of smartphones across the globe. Smartphone apps, given accessibility in the time of physical distancing, were widely used for tracking, tracing and educating the public about COVID-19. Despite limitations, such as concerns around data privacy, data security, digital health illiteracy and structural inequities, there is ample evidence that apps are beneficial for understanding outbreak epidemiology, individual screening and contact tracing. While there were successes and failures in each category, outbreak epidemiology and individual screening were substantially enhanced by the reach of smartphone apps and accessory wearables. Continued use of apps within the digital infrastructure promises to provide an important tool for rigorous investigation of outcomes both in the ongoing outbreak and in future epidemics.","container-title":"Nature Biotechnology","DOI":"10.1038/s41587-022-01350-x","ISSN":"1546-1696","issue":"7","journalAbbreviation":"Nat Biotechnol","language":"en","license":"2022 Springer Nature America, Inc.","note":"publisher: Nature Publishing Group","page":"1013-1022","source":"www.nature.com","title":"Smartphone apps in the COVID-19 pandemic","volume":"40","author":[{"family":"Pandit","given":"Jay A."},{"family":"Radin","given":"Jennifer M."},{"family":"Quer","given":"Giorgio"},{"family":"Topol","given":"Eric J."}],"issued":{"date-parts":[["2022",7]]}}}],"schema":"https://github.com/citation-style-language/schema/raw/master/csl-citation.json"} </w:instrText>
      </w:r>
      <w:r w:rsidR="00541131"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[14]</w:t>
      </w:r>
      <w:r w:rsidR="00541131"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77107B81" w14:textId="2AC13B15"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lastRenderedPageBreak/>
        <w:t xml:space="preserve"> </w:t>
      </w:r>
      <w:r w:rsidRPr="00EA1EDD">
        <w:rPr>
          <w:rFonts w:ascii="Times New Roman" w:eastAsia="Times New Roman" w:hAnsi="Times New Roman" w:cs="Times New Roman"/>
          <w:sz w:val="24"/>
          <w:szCs w:val="24"/>
        </w:rPr>
        <w:tab/>
        <w:t>Despite the clear benefits of these innovations, their effectiveness varied significantly across settings, revealing important contextual factors. First, digital readiness—including the presence of robust infrastructure, skilled personnel, and regulatory flexibility—was essential for rapid implementation. Countries with pre-existing integrated health data systems were far better positioned to scale up digital surveillance tools. Second, effective governance was key</w:t>
      </w:r>
      <w:r w:rsidR="00541131"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{"citationID":"bS9MwZx4","properties":{"formattedCitation":"[15]","plainCitation":"[15]","noteIndex":0},"citationItems":[{"id":4299,"uris":["http://zotero.org/users/16652950/items/J8Z4VQNK"],"itemData":{"id":4299,"type":"article-journal","abstract":"In the face of rapid technological advancement, the pharmacy sector is undergoing a significant digital transformation. This review explores the transformative impact of digitalization in the global pharmacy sector. We illustrated how advancements in technologies like artificial intelligence, blockchain, and online platforms are reshaping pharmacy services and education. The paper provides a comprehensive overview of the growth of online pharmacy platforms and the pivotal role of telepharmacy and telehealth during the COVID-19 pandemic. Additionally, it discusses the burgeoning cosmeceutical market within online pharmacies, the regulatory challenges faced globally, and the private sector’s influence on healthcare technology. Conclusively, the paper highlights future trends and technological innovations, underscoring the dynamic evolution of the pharmacy landscape in response to digital transformation.","container-title":"Journal of Health, Population and Nutrition","DOI":"10.1186/s41043-024-00550-2","ISSN":"2072-1315","issue":"1","journalAbbreviation":"Journal of Health, Population and Nutrition","page":"60","source":"BioMed Central","title":"The digital transformation in pharmacy: embracing online platforms and the cosmeceutical paradigm shift","title-short":"The digital transformation in pharmacy","volume":"43","author":[{"family":"Almeman","given":"Ahmad"}],"issued":{"date-parts":[["2024",5,8]]}}}],"schema":"https://github.com/citation-style-language/schema/raw/master/csl-citation.json"} </w:instrText>
      </w:r>
      <w:r w:rsidR="00541131"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[15]</w:t>
      </w:r>
      <w:r w:rsidR="00541131"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Where oversight mechanisms were transparent and policies ensured equitable access, public engagement and tool uptake were higher. Third, public trust proved indispensable. The legitimacy of surveillance tools depended heavily on how they were introduced and managed, particularly in societies with histories of data misuse or limited privacy protections. Moreover, digital surveillance did not replace traditional epidemiology but rather enhanced its reach, precision, and timeliness. These innovations enabled public health responses that were far more dynamic and data-driven than would have been possible under legacy systems</w:t>
      </w:r>
      <w:r w:rsidR="00541131"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{"citationID":"0Bp1GAoY","properties":{"formattedCitation":"[16]","plainCitation":"[16]","noteIndex":0},"citationItems":[{"id":4304,"uris":["http://zotero.org/users/16652950/items/W66RMA7U"],"itemData":{"id":4304,"type":"article-journal","abstract":"Background: This systematic review will address the influence of Information and Communication Technologies (ICTs) on democratic processes and citizens’ participation, which is enabled by such tools as social media, e-voting systems, e-government initiatives, and e-participation platforms. Methods: Based on an in-depth analysis of 46 peer-reviewed articles published between 1999 and 2024, this review emphasizes how ICTs have improved democratic engagement quality, efficiency, and transparency, but highlights key challenges and research gaps. Results: From this angle, ICT tools have great potential to nurture civic engagement and good governance through transparency. Challenges persist with the ethical and social implications of surveillance technologies, security concerns about digital voting systems, and the widening digital divide disproportionately affecting marginalized populations. The current regulatory framework dealing with privacy and misinformation issues is relatively weak, and there is also a lack of understanding about ICTs’ long-term effects on democratic governance. Conclusions: This review underlines the duality of the roles played by ICT as both an enabler and a challenge to democratic processes. It calls for regulatory measures to protect privacy, fight disinformation, and reduce the digital divide. Future research in this area should focus on the long-term effects of ICTs and how they can be equitably and efficiently integrated into democratic systems, with strategies aimed at maximizing benefits while minimizing risks.","container-title":"Societies","DOI":"10.3390/soc15020040","ISSN":"2075-4698","issue":"2","language":"en","license":"http://creativecommons.org/licenses/by/3.0/","note":"number: 2\npublisher: Multidisciplinary Digital Publishing Institute","page":"40","source":"www.mdpi.com","title":"Impact of Information and Communication Technologies on Democratic Processes and Citizen Participation","volume":"15","author":[{"family":"Asimakopoulos","given":"George"},{"family":"Antonopoulou","given":"Hera"},{"family":"Giotopoulos","given":"Konstantinos"},{"family":"Halkiopoulos","given":"Constantinos"}],"issued":{"date-parts":[["2025",2]]}}}],"schema":"https://github.com/citation-style-language/schema/raw/master/csl-citation.json"} </w:instrText>
      </w:r>
      <w:r w:rsidR="00541131"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[16]</w:t>
      </w:r>
      <w:r w:rsidR="00541131"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However, their rapid adoption also surfaced new challenges including data standardization issues, questions about ethical use, and concerns over technological equity that must be addressed as digital tools transition from emergency response mechanisms to permanent features of the public health landscape</w:t>
      </w:r>
      <w:r w:rsidR="00437C5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{"citationID":"weqqY01A","properties":{"formattedCitation":"[17]","plainCitation":"[17]","noteIndex":0},"citationItems":[{"id":4306,"uris":["http://zotero.org/users/16652950/items/7Z79CV8E"],"itemData":{"id":4306,"type":"article-journal","abstract":"In recent times, the growth of the Internet of Things (IoT), artificial intelligence (AI), and Blockchain technologies have quickly gained pace as a new study niche in numerous collegiate and industrial sectors, notably in the healthcare sector. ...","container-title":"Healthcare","DOI":"10.3390/healthcare10101940","issue":"10","language":"en","note":"PMID: 36292387","page":"1940","source":"pmc.ncbi.nlm.nih.gov","title":"Recent Advancements in Emerging Technologies for Healthcare Management Systems: A Survey","title-short":"Recent Advancements in Emerging Technologies for Healthcare Management Systems","volume":"10","author":[{"family":"Junaid","given":"Sahalu Balarabe"},{"family":"Imam","given":"Abdullahi Abubakar"},{"family":"Balogun","given":"Abdullateef Oluwagbemiga"},{"family":"Silva","given":"Liyanage Chandratilak De"},{"family":"Surakat","given":"Yusuf Alhaji"},{"family":"Kumar","given":"Ganesh"},{"family":"Abdulkarim","given":"Muhammad"},{"family":"Shuaibu","given":"Aliyu Nuhu"},{"family":"Garba","given":"Aliyu"},{"family":"Sahalu","given":"Yusra"},{"family":"Mohammed","given":"Abdullahi"},{"family":"Mohammed","given":"Tanko Yahaya"},{"family":"Abdulkadir","given":"Bashir Abubakar"},{"family":"Abba","given":"Abdallah Alkali"},{"family":"Kakumi","given":"Nana Aliyu Iliyasu"},{"family":"Mahamad","given":"Saipunidzam"}],"issued":{"date-parts":[["2022",10,3]]}}}],"schema":"https://github.com/citation-style-language/schema/raw/master/csl-citation.json"} </w:instrText>
      </w:r>
      <w:r w:rsidR="00437C5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[17]</w:t>
      </w:r>
      <w:r w:rsidR="00437C5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4E5EFB09" w14:textId="6ADFD8FA" w:rsidR="00F679F7" w:rsidRPr="00EA1EDD" w:rsidRDefault="00F679F7" w:rsidP="00F679F7">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As illustrated in Figure 1, modern public health surveillance is increasingly characterized by its capacity to synthesize multiple digital data streams in real time, enabling predictive modeling, responsive intervention, and evidence-based policy-making at scale</w:t>
      </w:r>
      <w:r w:rsidR="0079135E"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{"citationID":"1lIqpNPW","properties":{"formattedCitation":"[18]","plainCitation":"[18]","noteIndex":0},"citationItems":[{"id":4309,"uris":["http://zotero.org/users/16652950/items/L98RETJD"],"itemData":{"id":4309,"type":"article-journal","abstract":"Artificial intelligence (AI) techniques have been widely applied to infectious disease outbreak detection and early warning, trend prediction, and public health response modeling and assessment. Such public health surveillance and response tasks of ...","container-title":"Artificial Intelligence in Medicine","DOI":"10.1016/B978-0-12-821259-2.00022-3","language":"en","page":"437","source":"pmc.ncbi.nlm.nih.gov","title":"Artificial intelligence–enabled public health surveillance—from local detection to global epidemic monitoring and control","author":[{"family":"Zeng","given":"Daniel"},{"family":"Cao","given":"Zhidong"},{"family":"Neill","given":"Daniel B."}],"issued":{"date-parts":[["2020",9,11]]}}}],"schema":"https://github.com/citation-style-language/schema/raw/master/csl-citation.json"} </w:instrText>
      </w:r>
      <w:r w:rsidR="0079135E"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[18]</w:t>
      </w:r>
      <w:r w:rsidR="0079135E"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73296BB5" w14:textId="0AD8C43F" w:rsidR="00103130" w:rsidRPr="00EA1EDD" w:rsidRDefault="0026451C" w:rsidP="0010313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noProof/>
          <w:sz w:val="24"/>
          <w:szCs w:val="24"/>
        </w:rPr>
        <w:lastRenderedPageBreak/>
        <w:drawing>
          <wp:inline distT="0" distB="0" distL="0" distR="0" wp14:anchorId="3B013335" wp14:editId="2C2CDBAD">
            <wp:extent cx="4086225" cy="408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l 7, 2025, 11_10_58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inline>
        </w:drawing>
      </w:r>
    </w:p>
    <w:p w14:paraId="07EEC218" w14:textId="6C977969" w:rsidR="0026451C" w:rsidRPr="00EA1EDD" w:rsidRDefault="0026451C" w:rsidP="0026451C">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Figure 1. The Digital Public Health Surveillance Ecosystem</w:t>
      </w:r>
      <w:r w:rsidRPr="00EA1EDD">
        <w:rPr>
          <w:rFonts w:ascii="Times New Roman" w:eastAsia="Times New Roman" w:hAnsi="Times New Roman" w:cs="Times New Roman"/>
          <w:sz w:val="24"/>
          <w:szCs w:val="24"/>
        </w:rPr>
        <w:t>. A conceptual framework illustrating how diverse data sources—including electronic health records, laboratory systems, mobile apps, and social media—feed into an integrated surveillance system via interoperability standards (e.g., HL7, FHIR) and advanced analytics (AI/ML). The outputs support public health decision-making through dashboards, alerts, outbreak modeling, and policy tools.</w:t>
      </w:r>
    </w:p>
    <w:p w14:paraId="48183F24" w14:textId="0843CF75"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 3 Data Integration and Interoperability</w:t>
      </w:r>
    </w:p>
    <w:p w14:paraId="653B30D3" w14:textId="3BECDCB2"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The effectiveness of pandemic surveillance depends not only on data collection but also on the ability to integrate, interpret, and act upon information from diverse sources in real time. During the COVID-19 crisis, Health Information Technology (Health IT) played a central role in enabling this integration. However, the process was far from seamless. The global emergency revealed both the potential and the persistent challenges of cross-system data harmonization, highlighting the urgent need for robust interoperability frameworks and widely adopted data standards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{"citationID":"OZdwJlTc","properties":{"formattedCitation":"[19]","plainCitation":"[19]","noteIndex":0},"citationItems":[{"id":4316,"uris":["http://zotero.org/users/16652950/items/QCBXJMFH"],"itemData":{"id":4316,"type":"article-journal","abstract":"Background\nThe standard Fast Healthcare Interoperability Resources (FHIR) is widely used in health information technology. However, its use as a standard for health research is still less prevalent. To use existing data sources more efficiently for health research, data interoperability becomes increasingly important. FHIR provides solutions by offering resource domains such as “Public Health &amp; Research” and “Evidence-Based Medicine” while using already established web technologies. Therefore, FHIR could help standardize data across different data sources and improve interoperability in health research.\n\nObjective\nThe aim of our study was to provide a systematic review of existing literature and determine the current state of FHIR implementations in health research and possible future directions.\n\nMethods\nWe searched the PubMed/MEDLINE, Embase, Web of Science, IEEE Xplore, and Cochrane Library databases for studies published from 2011 to 2022. Studies investigating the use of FHIR in health research were included. Articles published before 2011, abstracts, reviews, editorials, and expert opinions were excluded. We followed the PRISMA (Preferred Reporting Items for Systematic Reviews and Meta-Analyses) guidelines and registered this study with PROSPERO (CRD42021235393). Data synthesis was done in tables and figures.\n\nResults\nWe identified a total of 998 studies, of which 49 studies were eligible for inclusion. Of the 49 studies, most (73%, n=36) covered the domain of clinical research, whereas the remaining studies focused on public health or epidemiology (6%, n=3) or did not specify their research domain (20%, n=10). Studies used FHIR for data capture (29%, n=14), standardization of data (41%, n=20), analysis (12%, n=6), recruitment (14%, n=7), and consent management (4%, n=2). Most (55%, 27/49) of the studies had a generic approach, and 55% (12/22) of the studies focusing on specific medical specialties (infectious disease, genomics, oncology, environmental health, imaging, and pulmonary hypertension) reported their solutions to be conferrable to other use cases. Most (63%, 31/49) of the studies reported using additional data models or terminologies: Systematized Nomenclature of Medicine Clinical Terms (29%, n=14), Logical Observation Identifiers Names and Codes (37%, n=18), International Classification of Diseases 10th Revision (18%, n=9), Observational Medical Outcomes Partnership common data model (12%, n=6), and others (43%, n=21). Only 4 (8%) studies used a FHIR resource from the domain “Public Health &amp; Research.” Limitations using FHIR included the possible change in the content of FHIR resources, safety, legal matters, and the need for a FHIR server.\n\nConclusions\nOur review found that FHIR can be implemented in health research, and the areas of application are broad and generalizable in most use cases. The implementation of international terminologies was common, and other standards such as the Observational Medical Outcomes Partnership common data model could be used as a complement to FHIR. Limitations such as the change of FHIR content, lack of FHIR implementation, safety, and legal matters need to be addressed in future releases to expand the use of FHIR and, therefore, interoperability in health research.","container-title":"JMIR Medical Informatics","DOI":"10.2196/35724","ISSN":"2291-9694","issue":"7","journalAbbreviation":"JMIR Med Inform","note":"PMID: 35852842\nPMCID: PMC9346559","page":"e35724","source":"PubMed Central","title":"Fast Healthcare Interoperability Resources (FHIR) for Interoperability in Health Research: Systematic Review","title-short":"Fast Healthcare Interoperability Resources (FHIR) for Interoperability in Health Research","volume":"10","author":[{"family":"Vorisek","given":"Carina Nina"},{"family":"Lehne","given":"Moritz"},{"family":"Klopfenstein","given":"Sophie Anne Ines"},{"family":"Mayer","given":"Paula Josephine"},{"family":"Bartschke","given":"Alexander"},{"family":"Haese","given":"Thomas"},{"family":"Thun","given":"Sylvia"}],"issued":{"date-parts":[["2022",7,19]]}}}],"schema":"https://github.com/citation-style-language/schema/raw/master/csl-citation.json"}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[19]</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2ACD0C4F" w14:textId="5A0E6D8F" w:rsidR="003768A0" w:rsidRPr="00EA1EDD" w:rsidRDefault="003768A0"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Interoperability, defined as the capacity of disparate systems and organizations to exchange, interpret, and use data in a cohesive manner, emerged as a critical determinant of </w:t>
      </w:r>
      <w:r w:rsidRPr="00EA1EDD">
        <w:rPr>
          <w:rFonts w:ascii="Times New Roman" w:eastAsia="Times New Roman" w:hAnsi="Times New Roman" w:cs="Times New Roman"/>
          <w:sz w:val="24"/>
          <w:szCs w:val="24"/>
        </w:rPr>
        <w:lastRenderedPageBreak/>
        <w:t>surveillance responsiveness. International standards such as Health Level Seven (HL7) and Fast Healthcare Interoperability Resources (FHIR) offered foundational tools to align clinical and public health data. These standards enabled better communication among electronic health records (EHRs), laboratory information systems, and public health databases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{"citationID":"fYZDcsQo","properties":{"formattedCitation":"[20]","plainCitation":"[20]","noteIndex":0},"citationItems":[{"id":1548,"uris":["http://zotero.org/users/16652950/items/ULK2BCL3"],"itemData":{"id":1548,"type":"article-journal","abstract":"Background\nThe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[20]</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In the United States, FHIR-based application programming interfaces (APIs) facilitated the real-time exchange of structured data into centralized surveillance systems like HHS Protect, which consolidated hospital capacity, case numbers, testing outcomes, and supply chain data from over 6,000 healthcare institutions. Similarly, the World Health Organization’s Epidemic Intelligence from Open Sources (EIOS) platform aggregated data from news outlets, social media, and official health reports to generate early signals of outbreaks worldwide</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{"citationID":"k6v1tEMb","properties":{"formattedCitation":"[21,22]","plainCitation":"[21,22]","noteIndex":0},"citationItems":[{"id":2838,"uris":["http://zotero.org/users/16652950/items/L83HE2BB"],"itemData":{"id":2838,"type":"article-journal","abstract":"As one of the deadliest viruses, Ebola virus (EBOV) causes lethal hemorrhagic fevers in humans and nonhuman primates. The suppression of innate immunity leads to robust systemic virus replication of EBOV, leading to enhanced transmission. However, the mechanism of EBOV-host interaction is not fully understood. Here, we identified multiple dysregulated genes in early stage of EBOV infection through transcriptomic analysis, which are highly clustered to Jak-STAT signaling. EBOV VP35 and VP30 were found to inhibit type I interferon (IFN) signaling. Moreover, exogenous expression of VP35 blocks the phosphorylation of endogenous STAT1, and suppresses nuclear translocation of STAT1. Using serial truncated mutations of VP35, N-terminal 1–220 amino acid residues of VP35 were identified to be essential for blocking on type I IFN signaling. Remarkably, VP35 of EBOV suppresses type I IFN signaling more efficiently than those of Bundibugyo virus (BDBV) and Marburg virus (MARV), resulting in stable replication to facilitate the pathogenesis. Altogether, this study enriches understanding on EBOV evasion of innate immune response, and provides insights into the interplay between filoviruses and host., •A temporal atlas of the transcriptome in early stage of EBOV infection is reported.•VP35 and VP30 of EBOV antagonize type I interferon signaling.•VP35 of different filoviruses inhibits type I interferon signaling with different efficacies.•VP35 hijacks the host immune system to establish stable viral replication at early stage during EBOV infection.","container-title":"Virologica Sinica","DOI":"10.1016/j.virs.2023.10.004","ISSN":"1674-0769","issue":"6","journalAbbreviation":"Virol Sin","note":"PMID: 37839549\nPMCID: PMC10786653","page":"922-930","source":"PubMed Central","title":"Ebola virus VP35 perturbs type I interferon signaling to facilitate viral replication","volume":"38","author":[{"family":"Cao","given":"Zengguo"},{"family":"Liu","given":"Chenchen"},{"family":"Peng","given":"Cheng"},{"family":"Ran","given":"Yong"},{"family":"Yao","given":"Yulin"},{"family":"Xiao","given":"Gengfu"},{"family":"Li","given":"Entao"},{"family":"Chen","given":"Zixi"},{"family":"Chuai","given":"Xia"},{"family":"Chiu","given":"Sandra"}],"issued":{"date-parts":[["2023",10,13]]}}},{"id":4322,"uris":["http://zotero.org/users/16652950/items/MEDH9XKV"],"itemData":{"id":4322,"type":"article-journal","abstract":"A pandemic poses particular challenges to decision-making because of the need to continuously adapt decisions to rapidly changing evidence and available data. For example, which countermeasures are appropriate at a particular stage of the pandemic? How can the severity of the pandemic be measured? What is the effect of vaccination in the population and which groups should be vaccinated first? The process of decision-making starts with data collection and modeling and continues to the dissemination of results and the subsequent decisions taken. The goal of this paper is to give an overview of this process and to provide recommendations for the different steps from a statistical perspective. In particular, we discuss a range of modeling techniques including mathematical, statistical and decision-analytic models along with their applications in the COVID-19 context. With this overview, we aim to foster the understanding of the goals of these modeling approaches and the specific data requirements that are essential for the interpretation of results and for successful interdisciplinary collaborations. A special focus is on the role played by data in these different models, and we incorporate into the discussion the importance of statistical literacy and of effective dissemination and communication of findings.","container-title":"AStA Advances in Statistical Analysis","DOI":"10.1007/s10182-022-00439-7","ISSN":"1863-818X","issue":"3","journalAbbreviation":"AStA Adv Stat Anal","language":"en","page":"349-382","source":"Springer Link","title":"On the role of data, statistics and decisions in a pandemic","volume":"106","author":[{"family":"Jahn","given":"Beate"},{"family":"Friedrich","given":"Sarah"},{"family":"Behnke","given":"Joachim"},{"family":"Engel","given":"Joachim"},{"family":"Garczarek","given":"Ursula"},{"family":"Münnich","given":"Ralf"},{"family":"Pauly","given":"Markus"},{"family":"Wilhelm","given":"Adalbert"},{"family":"Wolkenhauer","given":"Olaf"},{"family":"Zwick","given":"Markus"},{"family":"Siebert","given":"Uwe"},{"family":"Friede","given":"Tim"}],"issued":{"date-parts":[["2022",9,1]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[21,22]</w:t>
      </w:r>
      <w:r w:rsidR="0063323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BD7D58B" w14:textId="7D2480F0"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Integrated platforms like these offered numerous advantages. They significantly reduced delays in reporting, improved situational awareness of disease progression, and enabled more accurate predictive modeling. By linking EHR data to geospatial and demographic information, health authorities could identify emerging hotspots, assess the effectiveness of interventions, and make data-informed decisions about vaccine distribution. Interoperability also contributed to data quality by minimizing duplicate entries and improving the resolution of individual case records across systems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{"citationID":"2YNCUaDD","properties":{"formattedCitation":"[23]","plainCitation":"[23]","noteIndex":0},"citationItems":[{"id":4324,"uris":["http://zotero.org/users/16652950/items/QJ6JWGQF"],"itemData":{"id":4324,"type":"article-journal","abstract":"Despite the great advances in the field of electronic health records (EHRs) over the past 25 years, implementation and adoption challenges persist, and the benefits realized remain below expectations. This scoping review aimed to present current knowledge about the effects of EHR implementation and the barriers to EHR adoption and use. A literature search was conducted in PubMed, Web of Science, IEEE Xplore Digital Library and ACM Digital Library for studies published between January 2005 and May 2020. In total, 7641 studies were identified of which 142 met the criteria and attained the consensus of all researchers on inclusion. Most studies (n = 91) were published between 2017 and 2019 and 81 studies had the United States as the country of origin. Both positive and negative effects of EHR implementation were identified, relating to clinical work, data and information, patient care and economic impact. Resource constraints, poor/insufficient training and technical/educational support for users, as well as poor literacy and skills in technology were the identified barriers to adoption and use that occurred frequently. Although this review did not conduct a quality analysis of the included papers, the lack of uniformity in the use of EHR definitions and detailed contextual information concerning the study settings could be observed.","container-title":"Life","DOI":"10.3390/life10120327","ISSN":"2075-1729","issue":"12","journalAbbreviation":"Life (Basel)","note":"PMID: 33291615\nPMCID: PMC7761950","page":"327","source":"PubMed Central","title":"Effects of Electronic Health Record Implementation and Barriers to Adoption and Use: A Scoping Review and Qualitative Analysis of the Content","title-short":"Effects of Electronic Health Record Implementation and Barriers to Adoption and Use","volume":"10","author":[{"family":"Tsai","given":"Chen Hsi"},{"family":"Eghdam","given":"Aboozar"},{"family":"Davoody","given":"Nadia"},{"family":"Wright","given":"Graham"},{"family":"Flowerday","given":"Stephen"},{"family":"Koch","given":"Sabine"}],"issued":{"date-parts":[["2020",12,4]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[23]</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Nevertheless, these advances were constrained by major technical and institutional hurdles. One persistent challenge was semantic heterogeneity, or the inconsistency in how health conditions, procedures, and laboratory results were coded across different systems. In the absence of universal terminologies or standardized value sets such as SNOMED CT and LOINC, the process of aggregating data often required labor-intensive cleaning, manual mapping, and reconciliation. Compounding this issue, many public health agencies lacked the digital infrastructure or trained personnel needed to implement new data standards quickly, which led to significant delays and bottlenecks in integration efforts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{"citationID":"vN4bmYzg","properties":{"formattedCitation":"[20,24]","plainCitation":"[20,24]","noteIndex":0},"citationItems":[{"id":1548,"uris":["http://zotero.org/users/16652950/items/ULK2BCL3"],"itemData":{"id":1548,"type":"article-journal","abstract":"Background\nThe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id":4327,"uris":["http://zotero.org/users/16652950/items/66I6GE5E"],"itemData":{"id":4327,"type":"article-journal","abstract":"Objectives\nDescribe the state of Electronic Health Records (EHRs) in 1992 and their evolution by 2015 and where EHRs are expected to be in 25 years. Further to discuss the expectations for EHRs in 1992 and explore which of them were realized and what events accelerated or disrupted/derailed how EHRs evolved.\n\nMethods\nLiterature search based on “Electronic Health Record”, “Medical Record”, and “Medical Chart” using Medline, Google, Wikipedia Medical, and Cochrane Libraries resulted in an initial review of 2,356 abstracts and other information in papers and books. Additional papers and books were identified through the review of references cited in the initial review.\n\nResults\nBy 1992, hardware had become more affordable, powerful, and compact and the use of personal computers, local area networks, and the Internet provided faster and easier access to medical information. EHRs were initially developed and used at academic medical facilities but since most have been replaced by large vendor EHRs. While EHR use has increased and clinicians are being prepared to practice in an EHR-mediated world, technical issues have been overshadowed by procedural, professional, social, political, and especially ethical issues as well as the need for compliance with standards and information security. There have been enormous advancements that have taken place, but many of the early expectations for EHRs have not been realized and current EHRs still do not meet the needs of today’s rapidly changing healthcare environment.\n\nConclusion\nThe current use of EHRs initiated by new technology would have been hard to foresee. Current and new EHR technology will help to provide international standards for interoperable applications that use health, social, economic, behavioral, and environmental data to communicate, interpret, and act intelligently upon complex healthcare information to foster precision medicine and a learning health system.","container-title":"Yearbook of Medical Informatics","DOI":"10.15265/IYS-2016-s006","ISSN":"0943-4747","issue":"Suppl 1","journalAbbreviation":"Yearb Med Inform","note":"PMID: 27199197\nPMCID: PMC5171496","page":"S48-S61","source":"PubMed Central","title":"Electronic Health Records: Then, Now, and in the Future","title-short":"Electronic Health Records","author":[{"family":"Evans","given":"R. S."}],"issued":{"date-parts":[["2016",5,20]]}}}],"schema":"https://github.com/citation-style-language/schema/raw/master/csl-citation.json"}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[20,24]</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023AF1F3" w14:textId="341F750B"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 xml:space="preserve">Non-standardized reporting protocols across jurisdictions further complicated both national and global coordination. While some countries operated under centralized data governance models that facilitated uniform data flow, others had highly decentralized systems where data collection and reporting varied widely. These inconsistencies created fragmented and unreliable data landscapes. Efforts to build real-time dashboards were often hindered by incomplete, infrequent, or overly aggregated data, which undermined the ability to conduct </w:t>
      </w:r>
      <w:r w:rsidR="003768A0" w:rsidRPr="00EA1EDD">
        <w:rPr>
          <w:rFonts w:ascii="Times New Roman" w:eastAsia="Times New Roman" w:hAnsi="Times New Roman" w:cs="Times New Roman"/>
          <w:sz w:val="24"/>
          <w:szCs w:val="24"/>
        </w:rPr>
        <w:lastRenderedPageBreak/>
        <w:t>timely and granular analyses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{"citationID":"pabcCB8J","properties":{"formattedCitation":"[25]","plainCitation":"[25]","noteIndex":0},"citationItems":[{"id":4330,"uris":["http://zotero.org/users/16652950/items/3TRCRSYG"],"itemData":{"id":4330,"type":"article-journal","abstract":"As the adoption of digital health accelerates health research increasingly relies on large quantities of biomedical data. Research institutions scattered across a large number of jurisdictions collaborate in producing and analyzing biomedical big data. National data protection legislation, for its part, grows increasingly complex and localized. To respond to heterogeneous legal requirements arising in numerous jurisdictions, decentralized health consortia must develop scalable organizational and 6 technological arrangements that enable data flows across jurisdictional boundaries. In this article, proposals are made to enable health sector organisations to align established biomedical ethics process and data analysis practices to shifting data protection norms through both public law co-regulation, private law tools, and design-oriented approaches.","container-title":"Journal of Law and the Biosciences","DOI":"10.1093/jlb/lsac005","ISSN":"2053-9711","issue":"1","journalAbbreviation":"J Law Biosci","note":"PMID: 35382430\nPMCID: PMC8977111","page":"lsac005","source":"PubMed Central","title":"The international data governance landscape","volume":"9","author":[{"family":"Bernier","given":"Alexander"},{"family":"Molnár-Gábor","given":"Fruzsina"},{"family":"Knoppers","given":"Bartha Maria"}],"issued":{"date-parts":[["2022",4,4]]}}}],"schema":"https://github.com/citation-style-language/schema/raw/master/csl-citation.json"}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[25]</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Additionally, the pandemic also exposed the fact that interoperability is as much a matter of governance as it is of technology. Many countries lacked clear policies regarding data ownership, access rights, and stewardship responsibilities. In several instances, the absence of legal frameworks and data-sharing agreements delayed the exchange of vital information during key phases of the outbreak response. In some contexts, bureaucratic barriers were even more obstructive than technical limitations, impeding the seamless flow of critical data</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{"citationID":"ba2BEYXm","properties":{"formattedCitation":"[26]","plainCitation":"[26]","noteIndex":0},"citationItems":[{"id":4333,"uris":["http://zotero.org/users/16652950/items/69889FAT"],"itemData":{"id":4333,"type":"article-journal","abstract":"The COVID-19 pandemic saw a massive investment into collaborative research projects with a focus on producing data to support public health decisions. We relay our direct experience of four projects funded under the Horizon2020 programme, namely ReCoDID, ORCHESTRA, unCoVer and SYNCHROS. The projects provide insight into the complexities of sharing patient level data from observational cohorts. We focus on compliance with the General Data Protection Regulation (GDPR) and ethics approvals when sharing data across national borders. We discuss procedures for data mapping; submission of new international codes to standards organisation; federated approach; and centralised data curation. Finally, we put forward recommendations for the development of guidelines for the application of GDPR in case of major public health threats; mandatory standards for data collection in funding frameworks; training and capacity building for data owners; cataloguing of international use of metadata standards; and dedicated funding for identified critical areas.","container-title":"The Lancet Regional Health - Europe","DOI":"10.1016/j.lanepe.2022.100467","ISSN":"2666-7762","journalAbbreviation":"The Lancet Regional Health - Europe","page":"100467","source":"ScienceDirect","title":"Challenges of data sharing in European Covid-19 projects: A learning opportunity for advancing pandemic preparedness and response","title-short":"Challenges of data sharing in European Covid-19 projects","volume":"21","author":[{"family":"Tacconelli","given":"Evelina"},{"family":"Gorska","given":"Anna"},{"family":"Carrara","given":"Elena"},{"family":"Davis","given":"Ruth Joanna"},{"family":"Bonten","given":"Marc"},{"family":"Friedrich","given":"Alex W."},{"family":"Glasner","given":"Corinna"},{"family":"Goossens","given":"Herman"},{"family":"Hasenauer","given":"Jan"},{"family":"Abad","given":"Josep Maria Haro"},{"family":"Peñalvo","given":"José L."},{"family":"Sanchez-Niubo","given":"Albert"},{"family":"Sialm","given":"Anastassja"},{"family":"Scipione","given":"Gabriella"},{"family":"Soriano","given":"Gloria"},{"family":"Yazdanpanah","given":"Yazdan"},{"family":"Vorstenbosch","given":"Ellen"},{"family":"Jaenisch","given":"Thomas"}],"issued":{"date-parts":[["2022",10,1]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[26]</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2A60A702" w14:textId="796B0BDE" w:rsidR="003768A0" w:rsidRPr="00EA1EDD" w:rsidRDefault="000B0BE8" w:rsidP="003768A0">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Despite these challenges, the COVID-19 experience underscored that integrated data systems are not optional but essential for pandemic preparedness and response. Building a resilient and equitable surveillance infrastructure for the future will require sustained investment in interoperability tools, universal data vocabularies, and coordinated cross-sector partnerships. Only through such efforts can health systems ensure that they are equipped to respond swiftly, transparently, and effectively to the next global health crisis</w:t>
      </w:r>
      <w:r w:rsidR="0063323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{"citationID":"c0rupHa5","properties":{"formattedCitation":"[27,28]","plainCitation":"[27,28]","noteIndex":0},"citationItems":[{"id":4336,"uris":["http://zotero.org/users/16652950/items/AAUSHYPJ"],"itemData":{"id":4336,"type":"article-journal","abstract":"In response to the COVID-19 pandemic, several international initiatives have been developed to strengthen and reform the global architecture for pandemic preparedness and response, including proposals for a pandemic treaty, a Pandemic Fund, and mechanisms for equitable access to medical countermeasures. These initiatives seek to make use of crucial lessons gleaned from the ongoing pandemic by addressing gaps in health security and traditional public health functions. However, there has been insufficient consideration of the vital role of universal health coverage in sustainably mitigating outbreaks, and the importance of robust primary health care in equitably and efficiently safeguarding communities from future health threats. The international community should not repeat the mistakes of past health security efforts that ultimately contributed to the rapid spread of the COVID-19 pandemic and disproportionately affected vulnerable and marginalised populations, especially by overlooking the importance of coherent, multisectoral health systems. This Health Policy paper outlines major (although often neglected) gaps in pandemic preparedness and response, which are applicable to broader health emergency preparedness and response efforts, and identifies opportunities to reconceptualise health security by scaling up universal health coverage. We then offer a comprehensive set of recommendations to help inform the development of key pandemic preparedness and response proposals across three themes—governance, financing, and supporting initiatives. By identifying approaches that simultaneously strengthen health systems through global health security and universal health coverage, we aim to provide tangible solutions that equitably meet the needs of all communities while ensuring resilience to future pandemic threats.","container-title":"The Lancet. Global Health","DOI":"10.1016/S2214-109X(22)00341-2","ISSN":"2214-109X","issue":"11","journalAbbreviation":"Lancet Glob Health","note":"PMID: 36179734\nPMCID: PMC9514836","page":"e1675-e1683","source":"PubMed Central","title":"Pandemic preparedness and response: exploring the role of universal health coverage within the global health security architecture","title-short":"Pandemic preparedness and response","volume":"10","author":[{"family":"Lal","given":"Arush"},{"family":"Abdalla","given":"Salma M"},{"family":"Chattu","given":"Vijay Kumar"},{"family":"Erondu","given":"Ngozi Adaeze"},{"family":"Lee","given":"Tsung-Ling"},{"family":"Singh","given":"Sudhvir"},{"family":"Abou-Taleb","given":"Hala"},{"family":"Vega Morales","given":"Jeanette"},{"family":"Phelan","given":"Alexandra"}],"issued":{"date-parts":[["2022",11]]}}},{"id":1551,"uris":["http://zotero.org/users/16652950/items/APARYYQI"],"itemData":{"id":1551,"type":"article-journal","abstract":"Antimicrobial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63323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[27,28]</w:t>
      </w:r>
      <w:r w:rsidR="0063323F"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w:t>
      </w:r>
    </w:p>
    <w:p w14:paraId="1322184F" w14:textId="77777777" w:rsidR="003768A0" w:rsidRPr="00EA1EDD" w:rsidRDefault="003768A0" w:rsidP="003768A0">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4.0. Ethics, Privacy, and Public Trust</w:t>
      </w:r>
    </w:p>
    <w:p w14:paraId="1E0B409B" w14:textId="2EC98BE1"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b/>
          <w:bCs/>
          <w:sz w:val="24"/>
          <w:szCs w:val="24"/>
        </w:rPr>
        <w:tab/>
      </w:r>
      <w:r w:rsidRPr="00EA1EDD">
        <w:rPr>
          <w:rFonts w:ascii="Times New Roman" w:eastAsia="Times New Roman" w:hAnsi="Times New Roman" w:cs="Times New Roman"/>
          <w:sz w:val="24"/>
          <w:szCs w:val="24"/>
        </w:rPr>
        <w:t>The rapid deployment of digital surveillance technologies during the COVID-19 pandemic brought urgent ethical concerns to the forefront, particularly regarding the balance between public health protection and individual civil liberties. Although these technologies were instrumental in tracking virus transmission, predicting outbreaks, and guiding public health interventions, they also introduced significant risks related to personal privacy, informed consent, and social trust</w:t>
      </w:r>
      <w:r w:rsidR="00CE3FF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{"citationID":"aF8UMAnp","properties":{"formattedCitation":"[29]","plainCitation":"[29]","noteIndex":0},"citationItems":[{"id":4339,"uris":["http://zotero.org/users/16652950/items/AB7VU6V5"],"itemData":{"id":4339,"type":"article-journal","abstract":"Throughout the COVID-19 pandemic, a variety of digital technologies have been\nleveraged for public health surveillance worldwide. However, concerns remain\naround the rapid development and deployment of digital technologies, how these\ntechnologies have been used, and their efficacy in supporting public health\ngoals. Following the five-stage scoping review framework, we conducted a scoping\nreview of the peer-reviewed and grey literature to identify the types and nature\nof digital technologies used for surveillance during the COVID-19 pandemic and\nthe success of these measures. We conducted a search of the peer-reviewed and\ngrey literature published between 1 December 2019 and 31 December 2020 to\nprovide a snapshot of questions, concerns, discussions, and findings emerging at\nthis pivotal time. A total of 147 peer-reviewed and 79 grey literature\npublications reporting on digital technology use for surveillance across 90\ncountries and regions were retained for analysis. The most frequently used\ntechnologies included mobile phone devices and applications, location tracking\ntechnologies, drones, temperature scanning technologies, and wearable devices.\nThe utility of digital technologies for public health surveillance was impacted\nby factors including uptake of digital technologies across targeted populations,\ntechnological capacity and errors, scope, validity and accuracy of data, guiding\nlegal frameworks, and infrastructure to support technology use. Our findings\nraise important questions around the value of digital surveillance for public\nhealth and how to ensure successful use of technologies while mitigating\npotential harms not only in the context of the COVID-19 pandemic, but also\nduring other infectious disease outbreaks, epidemics, and pandemics.","container-title":"Digital Health","DOI":"10.1177/20552076231173220","ISSN":"2055-2076","journalAbbreviation":"Digit Health","note":"PMID: 37214658\nPMCID: PMC10196539","page":"20552076231173220","source":"PubMed Central","title":"Use of digital technologies for public health surveillance during the COVID-19 pandemic: A scoping review","title-short":"Use of digital technologies for public health surveillance during the COVID-19 pandemic","volume":"9","author":[{"family":"Donelle","given":"Lorie"},{"family":"Comer","given":"Leigha"},{"family":"Hiebert","given":"Brad"},{"family":"Hall","given":"Jodi"},{"family":"Shelley","given":"Jacob J."},{"family":"Smith","given":"Maxwell J."},{"family":"Kothari","given":"Anita"},{"family":"Burkell","given":"Jacquelyn"},{"family":"Stranges","given":"Saverio"},{"family":"Cooke","given":"Tommy"},{"family":"Shelley","given":"James M."},{"family":"Gilliland","given":"Jason"},{"family":"Ngole","given":"Marionette"},{"family":"Facca","given":"Danica"}],"issued":{"date-parts":[["2023",5,17]]}}}],"schema":"https://github.com/citation-style-language/schema/raw/master/csl-citation.json"}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[29]</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The global experience emphasized a critical truth: technological effectiveness alone is insufficient. For surveillance systems to succeed, they must also be ethically sound and socially legitimate</w:t>
      </w:r>
      <w:r w:rsidR="00CE3FF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{"citationID":"kCPmjUQ7","properties":{"formattedCitation":"[30]","plainCitation":"[30]","noteIndex":0},"citationItems":[{"id":3124,"uris":["http://zotero.org/users/16652950/items/JYB3GDYV"],"itemData":{"id":3124,"type":"article-journal","abstract":"The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[30]</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71530B80" w14:textId="75FA0E4E"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At the core of these concerns lies a fundamental tension between public safety and personal privacy</w:t>
      </w:r>
      <w:r w:rsidR="00CE3FF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{"citationID":"jYBGdGy6","properties":{"formattedCitation":"[31]","plainCitation":"[31]","noteIndex":0},"citationItems":[{"id":4342,"uris":["http://zotero.org/users/16652950/items/9Q6DP5DP"],"itemData":{"id":4342,"type":"article-journal","abstract":"The global and national response to the COVID-19 pandemic has been inadequate due to a collective lack of preparation and a shortage of available tools for responding to a large-scale pandemic. By applying lessons learned to create better preventative methods and speedier interventions, the harm of a future pandemic may be dramatically reduced. One potential measure is the widespread use of contact tracing apps. While such apps were designed to combat the COVID-19 pandemic, the time scale in which these apps were deployed proved a significant barrier to efficacy. Many companies and governments sprinted to deploy contact tracing apps that were not properly vetted for performance, privacy, or security issues. The hasty development of incomplete contact tracing apps undermined public trust and negatively influenced perceptions of app efficacy. As a result, many of these apps had poor voluntary public uptake, which greatly decreased the apps’ efficacy. Now, with lessons learned from this pandemic, groups can better design and test apps in preparation for the future. In this viewpoint, we outline common strategies employed for contact tracing apps, detail the successes and shortcomings of several prominent apps, and describe lessons learned that may be used to shape effective contact tracing apps for the present and future. Future app designers can keep these lessons in mind to create a version that is suitable for their local culture, especially with regard to local attitudes toward privacy-utility tradeoffs during public health crises.","container-title":"JMIR Medical Informatics","DOI":"10.2196/27449","ISSN":"2291-9694","issue":"7","journalAbbreviation":"JMIR Med Inform","note":"PMID: 34254937\nPMCID: PMC8291141","page":"e27449","source":"PubMed Central","title":"Contact Tracing Apps: Lessons Learned on Privacy, Autonomy, and the Need for Detailed and Thoughtful Implementation","title-short":"Contact Tracing Apps","volume":"9","author":[{"family":"Hogan","given":"Katie"},{"family":"Macedo","given":"Briana"},{"family":"Macha","given":"Venkata"},{"family":"Barman","given":"Arko"},{"family":"Jiang","given":"Xiaoqian"}],"issued":{"date-parts":[["2021",7,19]]}}}],"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[31]</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Tools such as contact tracing applications, digital quarantine enforcement systems, and geolocation tracking mechanisms enabled rapid identification of transmission networks. However, they often required the collection of sensitive data, including users’ locations, proximity histories, and health statuses</w:t>
      </w:r>
      <w:r w:rsidR="00CE3FFF"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{"citationID":"qZHPbJtr","properties":{"formattedCitation":"[32]","plainCitation":"[32]","noteIndex":0},"citationItems":[{"id":2027,"uris":["http://zotero.org/users/16652950/items/KK6IBIRA"],"itemData":{"id":2027,"type":"article-journal","abstract":"Nigeria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[32]</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xml:space="preserve">. In many countries, these surveillance mechanisms were implemented under emergency legislation with limited public oversight or </w:t>
      </w:r>
      <w:r w:rsidRPr="00EA1EDD">
        <w:rPr>
          <w:rFonts w:ascii="Times New Roman" w:eastAsia="Times New Roman" w:hAnsi="Times New Roman" w:cs="Times New Roman"/>
          <w:sz w:val="24"/>
          <w:szCs w:val="24"/>
        </w:rPr>
        <w:lastRenderedPageBreak/>
        <w:t>predefined expiration timelines. The extension of such powers beyond the immediate crisis raised serious concerns about the normalization of intrusive surveillance and the potential for unintended long-term uses</w:t>
      </w:r>
      <w:r w:rsidR="00F05330"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{"citationID":"wULyIf6l","properties":{"formattedCitation":"[33]","plainCitation":"[33]","noteIndex":0},"citationItems":[{"id":4111,"uris":["http://zotero.org/users/16652950/items/EKQBK8HZ"],"itemData":{"id":4111,"type":"article-journal","abstract":"Clonal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F05330"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[33]</w:t>
      </w:r>
      <w:r w:rsidR="00F05330"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Additionally, Design differences in digital surveillance technologies reflected broader variations in national approaches to privacy governance. Some countries, including Singapore and South Korea, adopted centralized systems where personally identifiable information was stored and managed by state agencies. Others, such as Germany and Switzerland, opted for decentralized models that used the Google-Apple Exposure Notification (GAEN) framework, which emphasized anonymity and local data storage. These architectural choices had significant implications for public trust and adoption. In contexts where governments provided clear communication, involved civil society stakeholders, and implemented safeguards for data use, public acceptance was generally higher</w:t>
      </w:r>
      <w:r w:rsidR="00CE3FFF"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{"citationID":"NskQeOUS","properties":{"formattedCitation":"[34]","plainCitation":"[34]","noteIndex":0},"citationItems":[{"id":4345,"uris":["http://zotero.org/users/16652950/items/R2PCDRT2"],"itemData":{"id":4345,"type":"article-journal","abstract":"Background\nSmartphone-based apps designed and deployed to mitigate the COVID-19 pandemic may become infrastructure for postpandemic public health surveillance in the United States. Through the lenses of privacy concerns and user expectations of digital pandemic mitigation techniques, we identified possible long-term sociotechnical implications of such an infrastructure.\n\nObjective\nWe explored how people in the United States perceive the possible routinization of pandemic tracking apps for public health surveillance in general. Our interdisciplinary analysis focused on the interplay between privacy concerns, data practices of surveillance capitalism, and trust in health care providers. We conducted this analysis to achieve a richer understanding of the sociotechnical issues raised by the deployment and use of technology for pandemic mitigation.\n\nMethods\nWe conducted scenario-based, semistructured interviews (n=19) with adults in the United States. The interviews focused on how people perceive the short- and long-term privacy concerns associated with a fictional smart thermometer app deployed to mitigate the “outbreak of a contagious disease.” In order to elicit future-oriented discussions, the scenario indicated that the app would continue functioning “after the disease outbreak has dissipated.” We analyzed interview transcripts using reflexive thematic analysis.\n\nResults\nIn the context of pandemic mitigation technology, including app-based tracking, people perceive a core trade-off between public health and personal privacy. People tend to rationalize this trade-off by invoking the concept of “the greater good.” The interplay between the trade-off and rationalization forms the core of sociotechnical issues that pandemic mitigation technologies raise. Participants routinely expected that data collected through apps related to public health would be shared with unknown third parties for the financial gain of the app makers. This expectation suggests a perceived alignment between an app-based infrastructure for public health surveillance and the broader economics of surveillance capitalism. Our results highlight unintended and unexpected sociotechnical impacts of routinizing app-based tracking on postpandemic life, which are rationalized by invoking a nebulous concept of the greater good.\n\nConclusions\nWhile technologies such as app-based tracking could be useful for pandemic mitigation and preparedness, the routinization of such apps as a form of public health surveillance may have broader, unintentional sociotechnical implications for individuals and the societies in which they live. Although technology has the potential to increase the efficacy of pandemic mitigation, it exists within a broader network of sociotechnical concerns. Therefore, it is necessary to consider the long-term implications of pandemic mitigation technologies beyond the immediate needs of addressing the COVID-19 pandemic. Potential negative consequences include the erosion of patient trust in health care systems and providers, grounded in concerns about privacy violations and overly broad surveillance.","container-title":"JMIR mHealth and uHealth","DOI":"10.2196/30871","ISSN":"2291-5222","issue":"10","journalAbbreviation":"JMIR Mhealth Uhealth","note":"PMID: 34519667\nPMCID: PMC8494069","page":"e30871","source":"PubMed Central","title":"Post-COVID Public Health Surveillance and Privacy Expectations in the United States: Scenario-Based Interview Study","title-short":"Post-COVID Public Health Surveillance and Privacy Expectations in the United States","volume":"9","author":[{"family":"Seberger","given":"John S"},{"family":"Patil","given":"Sameer"}],"issued":{"date-parts":[["2021",10,5]]}}}],"schema":"https://github.com/citation-style-language/schema/raw/master/csl-citation.json"} </w:instrText>
      </w:r>
      <w:r w:rsidR="00CE3FFF"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[34]</w:t>
      </w:r>
      <w:r w:rsidR="00CE3FFF"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19ED1A39" w14:textId="2C0C4D23" w:rsidR="003768A0" w:rsidRPr="00EA1EDD" w:rsidRDefault="003768A0"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Ethical surveillance requires more than minimal compliance with data protection laws. It must be guided by principles of transparency, proportionality, data minimization, and purpose limitation. Individuals should be clearly informed about the nature of the data being collected, the purposes of its use, the entities with access to it, and the duration of its retention. Data collection should be limited to what is strictly necessary for legitimate public health objectives, and any secondary use—such as for policing or commercial purposes—should only occur with explicit justification and public consent</w:t>
      </w:r>
      <w:r w:rsidR="0072225B"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{"citationID":"xDlaRcbF","properties":{"formattedCitation":"[35,36]","plainCitation":"[35,36]","noteIndex":0},"citationItems":[{"id":4348,"uris":["http://zotero.org/users/16652950/items/7HYCG6PJ"],"itemData":{"id":4348,"type":"article-journal","abstract":"Facial recognition technology (FRT) has emerged as a powerful tool for public governance and security, but its rapid adoption has also raised significant concerns about privacy, civil liberties, and ethical implications. This paper critically examines the current rules and policies governing FRT, highlighting the tensions between state and corporate interests on one hand, and individual rights and ethical considerations on the other. The study also investigates international legal frameworks aimed at protecting individual rights and privacy, arguing that current legislative measures often fall short of robust scholarly standards and international human rights norms. The paper concludes with recommendations for developing principled and adaptable governance frameworks that harness the benefits of FRT while mitigating its risks and negative impacts, underscoring the importance of placing human rights and ethics at the center of regulating this transformative technology.","container-title":"Frontiers in Big Data","DOI":"10.3389/fdata.2024.1337465","ISSN":"2624-909X","journalAbbreviation":"Front Big Data","note":"PMID: 39027377\nPMCID: PMC11256005","page":"1337465","source":"PubMed Central","title":"Beyond surveillance: privacy, ethics, and regulations in face recognition technology","title-short":"Beyond surveillance","volume":"7","author":[{"family":"Wang","given":"Xukang"},{"family":"Wu","given":"Ying Cheng"},{"family":"Zhou","given":"Mengjie"},{"family":"Fu","given":"Hongpeng"}],"issued":{"date-parts":[["2024",7,3]]}}},{"id":4356,"uris":["http://zotero.org/users/16652950/items/CFJ5MJ3G"],"itemData":{"id":4356,"type":"article-journal","abstract":"Aims Nigeria's rapidly aging population presents urgent challenges for the healthcare system, particularly in oral health, which remains an overlooked aspect of well-being. While older adults are especially vulnerable to dental issues such as tooth loss, periodontal disease, and oral pain, access to care remains limited due to systemic, economic, and cultural barriers. This qualitative study explored the lived experiences of older Nigerians in accessing and utilizing dental care, with the goal of identifying key barriers, facilitators, and policy-relevant insights. Methods Fifteen participants aged 50–83 years were purposively selected from urban and peri-urban areas of Ilorin, North-Central Nigeria. Using a semi-structured interview guide, data were collected through face-to-face interviews and analyzed thematically following Braun and Clarke's methodology. Results Three overarching themes emerged: (1) barriers to accessing dental care, including high treatment costs, geographic inaccessibility, mobility challenges, and long waiting times; (2) facilitators of care, such as family support, employment-based insurance, and culturally supportive health beliefs; and (3) perceptions of dental care, with participants recognizing its importance for nutrition, dignity, and overall quality of life. Findings reveal that dental care for older adults in Nigeria is shaped by a combination of structural neglect and individual adaptation. While participants valued preventive care, financial constraints, poor infrastructure, and a lack of geriatric-trained professionals limited consistent access. However, social support networks and respectful provider interactions were critical enablers of care. Conclusions This study points to the need for age-inclusive health policies that integrate dental services into primary healthcare, expand insurance coverage, and strengthen community-based outreach. Addressing these gaps is not only a matter of public health, but of equity, dignity, and the right to age well.","container-title":"Special Care in Dentistry","DOI":"10.1111/scd.70040","ISSN":"1754-4505","issue":"3","language":"en","license":"© 2025 The Author(s). Special Care in Dentistry published by Special Care Dentistry Association and Wiley Periodicals LLC.","note":"_eprint: https://onlinelibrary.wiley.com/doi/pdf/10.1111/scd.70040","page":"e70040","source":"Wiley Online Library","title":"Access to and Utilization of Dental Care Services by Older Adults in Nigeria: Barriers and Facilitators","title-short":"Access to and Utilization of Dental Care Services by Older Adults in Nigeria","volume":"45","author":[{"family":"Folorunsho","given":"Sunkanmi"},{"family":"Ajayi","given":"Victor"},{"family":"Sanmori","given":"Munirat"},{"family":"Suleiman","given":"Medinah"},{"family":"Abdullateef","given":"Raji"},{"family":"Abdulganiyu","given":"Abdulazeez"}],"issued":{"date-parts":[["2025"]]}}}],"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[35,36]</w:t>
      </w:r>
      <w:r w:rsidR="0072225B"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6996A77F" w14:textId="715CE5D8" w:rsidR="003768A0" w:rsidRPr="00EA1EDD" w:rsidRDefault="000B0BE8" w:rsidP="003768A0">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r>
      <w:r w:rsidR="003768A0" w:rsidRPr="00EA1EDD">
        <w:rPr>
          <w:rFonts w:ascii="Times New Roman" w:eastAsia="Times New Roman" w:hAnsi="Times New Roman" w:cs="Times New Roman"/>
          <w:sz w:val="24"/>
          <w:szCs w:val="24"/>
        </w:rPr>
        <w:t>Several international frameworks offer valuable guidance for ethical digital health practices. The OECD Principles on Artificial Intelligence, the European Union’s General Data Protection Regulation (GDPR), and the World Health Organization’s Guidance on Ethical Data Use all emphasize key values such as accountability, human rights, and responsible governance by design. Equally important is the incorporation of equity into ethical deliberations</w:t>
      </w:r>
      <w:r w:rsidR="0072225B"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{"citationID":"CdLfQC3V","properties":{"formattedCitation":"[37]","plainCitation":"[37]","noteIndex":0},"citationItems":[{"id":4359,"uris":["http://zotero.org/users/16652950/items/27J3KPCZ"],"itemData":{"id":4359,"type":"article-journal","abstract":"AI applications raise complex ethical, legal, and security challenges that demand comprehensive and coordinated governance at multiple levels. In this paper, we examine how key European Union (EU) regulatory frameworks, such as the AI Act, GDPR, and NIS2, interact to set standards for AI security, functionality, and ethical performance. By comparing the objectives and requirements outlined in these regulatory instruments, we identify points of convergence that encourage a holistic approach to creating transparent, accountable, and fair AI systems. This alignment is pivotal for building user trust and mitigating risks associated with data breaches, algorithmic bias, and privacy violations. Moreover, we explore how harmonizing these regulations can maintain the EU’s competitive edge in AI innovation, as clear governance structures help businesses remain agile while protecting consumer interests. Our analysis further addresses the ramifications for global AI governance, emphasizing the significance of a unified, forward-looking strategy to ensure responsible AI development. In doing so, we recommend future harmonization initiatives that promote societal well-being, safeguard human rights, and uphold ethical and technological standards worldwide.","container-title":"AI and Ethics","DOI":"10.1007/s43681-025-00749-x","ISSN":"2730-5961","journalAbbreviation":"AI Ethics","language":"en","source":"Springer Link","title":"Eu regulatory ecosystem for ethical AI","URL":"https://doi.org/10.1007/s43681-025-00749-x","author":[{"family":"Bolgouras","given":"Vaios"},{"family":"Zarras","given":"Apostolis"},{"family":"Leka","given":"Christian"},{"family":"Stylianou","given":"Ioannis"},{"family":"Farao","given":"Aristeidis"},{"family":"Xenakis","given":"Christos"}],"accessed":{"date-parts":[["2025",7,9]]},"issued":{"date-parts":[["2025",6,2]]}}}],"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[37]</w:t>
      </w:r>
      <w:r w:rsidR="0072225B"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Digital tools must be evaluated for their distributional effects, ensuring that marginalized populations are not disproportionately excluded, stigmatized, or misrepresented due to algorithmic bias or data inequities</w:t>
      </w:r>
      <w:r w:rsidR="0072225B" w:rsidRPr="00EA1EDD">
        <w:rPr>
          <w:rFonts w:ascii="Times New Roman" w:eastAsia="Times New Roman" w:hAnsi="Times New Roman" w:cs="Times New Roman"/>
          <w:sz w:val="24"/>
          <w:szCs w:val="24"/>
        </w:rPr>
        <w:fldChar w:fldCharType="begin"/>
      </w:r>
      <w:r w:rsidR="0072225B" w:rsidRPr="00EA1EDD">
        <w:rPr>
          <w:rFonts w:ascii="Times New Roman" w:eastAsia="Times New Roman" w:hAnsi="Times New Roman" w:cs="Times New Roman"/>
          <w:sz w:val="24"/>
          <w:szCs w:val="24"/>
        </w:rPr>
        <w:instrText xml:space="preserve"> ADDIN ZOTERO_ITEM CSL_CITATION {"citationID":"e8hXksOs","properties":{"formattedCitation":"[32]","plainCitation":"[32]","noteIndex":0},"citationItems":[{"id":2027,"uris":["http://zotero.org/users/16652950/items/KK6IBIRA"],"itemData":{"id":2027,"type":"article-journal","abstract":"Nigeria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72225B" w:rsidRPr="00EA1EDD">
        <w:rPr>
          <w:rFonts w:ascii="Times New Roman" w:eastAsia="Times New Roman" w:hAnsi="Times New Roman" w:cs="Times New Roman"/>
          <w:sz w:val="24"/>
          <w:szCs w:val="24"/>
        </w:rPr>
        <w:fldChar w:fldCharType="separate"/>
      </w:r>
      <w:r w:rsidR="0072225B" w:rsidRPr="00EA1EDD">
        <w:rPr>
          <w:rFonts w:ascii="Times New Roman" w:hAnsi="Times New Roman" w:cs="Times New Roman"/>
          <w:sz w:val="24"/>
        </w:rPr>
        <w:t>[32]</w:t>
      </w:r>
      <w:r w:rsidR="0072225B"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xml:space="preserve">. Moreover, public trust is not just an ethical ideal; it is a functional necessity for effective surveillance. Systems that are perceived as coercive, opaque, or unaccountable are less likely to garner the public cooperation required for successful implementation. Embedding ethical considerations throughout the full lifecycle of digital surveillance tools—from design and deployment to evaluation and decommissioning—is essential for building lasting public </w:t>
      </w:r>
      <w:r w:rsidR="003768A0" w:rsidRPr="00EA1EDD">
        <w:rPr>
          <w:rFonts w:ascii="Times New Roman" w:eastAsia="Times New Roman" w:hAnsi="Times New Roman" w:cs="Times New Roman"/>
          <w:sz w:val="24"/>
          <w:szCs w:val="24"/>
        </w:rPr>
        <w:lastRenderedPageBreak/>
        <w:t>confidence</w:t>
      </w:r>
      <w:r w:rsidR="00252003"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{"citationID":"MPHoWh3w","properties":{"formattedCitation":"[38]","plainCitation":"[38]","noteIndex":0},"citationItems":[{"id":4369,"uris":["http://zotero.org/users/16652950/items/8Z3HL76Q"],"itemData":{"id":4369,"type":"article-journal","abstract":"The COVID-19 pandemic has brought the long-standing public health practice of contact tracing into the public spotlight. While contact tracing and case investigation have been carefully designed to protect privacy, the huge volume of tracing which is being carried out as part of the pandemic response in the United States is highlighting potential concerns around privacy, legality, and equity. Contact tracing during the pandemic has gained particular attention for the new use of digital technologies—both on the consumer side in the form of Exposure Notification applications, and for public health agencies as digital case management software systems enable massive scaling of operations. While the consumer application side of digital innovation has dominated the news and academic discourse around privacy, people are likely to interact more intensively with public health agencies and their use of digital case management systems. Effective use of digital case management for contact tracing requires revisiting the existing legal frameworks, privacy protections, and security practices for management of sensitive health data. The scale of these tools and demands of an unprecedented pandemic response are introducing new risks through the collection of huge volumes of data, and expanding requirements for more adept data sharing among jurisdictions. Public health agencies must strengthen their best practices for data collection and protection even in the absence of comprehensive or clear guidance. This requires navigating a difficult balance between rigorous data protection and remaining highly adaptive and agile.","container-title":"Ethics and Information Technology","DOI":"10.1007/s10676-021-09601-2","ISSN":"1388-1957","issue":"4","journalAbbreviation":"Ethics Inf Technol","note":"PMID: 34131391\nPMCID: PMC8192038","page":"855-861","source":"PubMed Central","title":"Digitalization of contact tracing: balancing data privacy with public health benefit","title-short":"Digitalization of contact tracing","volume":"23","author":[{"family":"Wacksman","given":"Jeremy"}],"issued":{"date-parts":[["2021"]]}}}],"schema":"https://github.com/citation-style-language/schema/raw/master/csl-citation.json"}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[38]</w:t>
      </w:r>
      <w:r w:rsidR="00252003" w:rsidRPr="00EA1EDD">
        <w:rPr>
          <w:rFonts w:ascii="Times New Roman" w:eastAsia="Times New Roman" w:hAnsi="Times New Roman" w:cs="Times New Roman"/>
          <w:sz w:val="24"/>
          <w:szCs w:val="24"/>
        </w:rPr>
        <w:fldChar w:fldCharType="end"/>
      </w:r>
      <w:r w:rsidR="003768A0" w:rsidRPr="00EA1EDD">
        <w:rPr>
          <w:rFonts w:ascii="Times New Roman" w:eastAsia="Times New Roman" w:hAnsi="Times New Roman" w:cs="Times New Roman"/>
          <w:sz w:val="24"/>
          <w:szCs w:val="24"/>
        </w:rPr>
        <w:t>. This approach will not only enhance pandemic response but also lay the groundwork for resilient and inclusive surveillance systems in the future.</w:t>
      </w:r>
    </w:p>
    <w:p w14:paraId="53A4B549" w14:textId="3E46C7FC" w:rsidR="003768A0" w:rsidRPr="00EA1EDD" w:rsidRDefault="003768A0" w:rsidP="003768A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As illustrated in </w:t>
      </w:r>
      <w:r w:rsidR="00EA1EDD" w:rsidRPr="00EA1EDD">
        <w:rPr>
          <w:rFonts w:ascii="Times New Roman" w:eastAsia="Times New Roman" w:hAnsi="Times New Roman" w:cs="Times New Roman"/>
          <w:sz w:val="24"/>
          <w:szCs w:val="24"/>
        </w:rPr>
        <w:t>table 1</w:t>
      </w:r>
      <w:r w:rsidRPr="00EA1EDD">
        <w:rPr>
          <w:rFonts w:ascii="Times New Roman" w:eastAsia="Times New Roman" w:hAnsi="Times New Roman" w:cs="Times New Roman"/>
          <w:sz w:val="24"/>
          <w:szCs w:val="24"/>
        </w:rPr>
        <w:t>, countries adopted a wide range of privacy models in their digital contact tracing strategies. These models reflect varying degrees of centralized control and individual data sovereignty, underscoring the trade-offs between public health coordination and personal privacy protections.</w:t>
      </w:r>
    </w:p>
    <w:p w14:paraId="597FF841" w14:textId="465ED0D7" w:rsidR="00103130" w:rsidRPr="00EA1EDD" w:rsidRDefault="00782A74" w:rsidP="0010313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noProof/>
          <w:sz w:val="24"/>
          <w:szCs w:val="24"/>
        </w:rPr>
        <w:drawing>
          <wp:inline distT="0" distB="0" distL="0" distR="0" wp14:anchorId="2B3E3C04" wp14:editId="3F56C2F2">
            <wp:extent cx="4533900" cy="453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l 7, 2025, 11_21_26 PM.png"/>
                    <pic:cNvPicPr/>
                  </pic:nvPicPr>
                  <pic: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33900" cy="4533900"/>
                    </a:xfrm>
                    <a:prstGeom prst="rect">
                      <a:avLst/>
                    </a:prstGeom>
                  </pic:spPr>
                </pic:pic>
              </a:graphicData>
            </a:graphic>
          </wp:inline>
        </w:drawing>
      </w:r>
    </w:p>
    <w:p w14:paraId="2DE19FC6" w14:textId="13BA541F" w:rsidR="00782A74" w:rsidRPr="00EA1EDD" w:rsidRDefault="00EA1EDD" w:rsidP="00782A74">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b/>
          <w:bCs/>
          <w:sz w:val="24"/>
          <w:szCs w:val="24"/>
        </w:rPr>
        <w:t>Table 1</w:t>
      </w:r>
      <w:r w:rsidR="00782A74" w:rsidRPr="00EA1EDD">
        <w:rPr>
          <w:rFonts w:ascii="Times New Roman" w:eastAsia="Times New Roman" w:hAnsi="Times New Roman" w:cs="Times New Roman"/>
          <w:b/>
          <w:bCs/>
          <w:sz w:val="24"/>
          <w:szCs w:val="24"/>
        </w:rPr>
        <w:t>. Comparative Matrix of Privacy Models in Contact Tracing</w:t>
      </w:r>
      <w:r w:rsidR="00782A74" w:rsidRPr="00EA1EDD">
        <w:rPr>
          <w:rFonts w:ascii="Times New Roman" w:eastAsia="Times New Roman" w:hAnsi="Times New Roman" w:cs="Times New Roman"/>
          <w:sz w:val="24"/>
          <w:szCs w:val="24"/>
        </w:rPr>
        <w:t>. A comparative matrix outlining the privacy design choices of four national contact tracing systems—Singapore, South Korea, Germany, and Switzerland—across five key dimensions: system architecture, data storage method, level of anonymity, and user consent mechanisms. The matrix highlights the tension between centralized efficiency and decentralized privacy preservation in digital public health surveillance.</w:t>
      </w:r>
      <w:r w:rsidR="003768A0" w:rsidRPr="00EA1EDD">
        <w:rPr>
          <w:rFonts w:ascii="Times New Roman" w:eastAsia="Times New Roman" w:hAnsi="Times New Roman" w:cs="Times New Roman"/>
          <w:sz w:val="24"/>
          <w:szCs w:val="24"/>
        </w:rPr>
        <w:t xml:space="preserve"> </w:t>
      </w:r>
      <w:r w:rsidR="00782A74" w:rsidRPr="00EA1EDD">
        <w:rPr>
          <w:rFonts w:ascii="Times New Roman" w:eastAsia="Times New Roman" w:hAnsi="Times New Roman" w:cs="Times New Roman"/>
          <w:i/>
          <w:iCs/>
          <w:sz w:val="24"/>
          <w:szCs w:val="24"/>
        </w:rPr>
        <w:t>Adapted from publicly available national protocols and published analyses, including the MIT Technology Review COVID Tracing Tracker and WHO privacy assessments.</w:t>
      </w:r>
    </w:p>
    <w:p w14:paraId="66860C49" w14:textId="77777777" w:rsidR="004F29EA" w:rsidRPr="00EA1EDD" w:rsidRDefault="004F29EA" w:rsidP="000B0BE8">
      <w:pPr>
        <w:spacing w:before="100" w:beforeAutospacing="1" w:after="100" w:afterAutospacing="1" w:line="240" w:lineRule="auto"/>
        <w:rPr>
          <w:rFonts w:ascii="Times New Roman" w:eastAsia="Times New Roman" w:hAnsi="Times New Roman" w:cs="Times New Roman"/>
          <w:b/>
          <w:bCs/>
          <w:sz w:val="24"/>
          <w:szCs w:val="24"/>
        </w:rPr>
      </w:pPr>
    </w:p>
    <w:p w14:paraId="6A00AD9A" w14:textId="77777777" w:rsidR="004F29EA" w:rsidRPr="00EA1EDD" w:rsidRDefault="004F29EA" w:rsidP="000B0BE8">
      <w:pPr>
        <w:spacing w:before="100" w:beforeAutospacing="1" w:after="100" w:afterAutospacing="1" w:line="240" w:lineRule="auto"/>
        <w:rPr>
          <w:rFonts w:ascii="Times New Roman" w:eastAsia="Times New Roman" w:hAnsi="Times New Roman" w:cs="Times New Roman"/>
          <w:b/>
          <w:bCs/>
          <w:sz w:val="24"/>
          <w:szCs w:val="24"/>
        </w:rPr>
      </w:pPr>
    </w:p>
    <w:p w14:paraId="7EC1BCAE" w14:textId="3F9248D3" w:rsidR="000B0BE8" w:rsidRPr="00EA1EDD" w:rsidRDefault="000B0BE8" w:rsidP="004F29EA">
      <w:pPr>
        <w:spacing w:before="100" w:beforeAutospacing="1" w:after="100" w:afterAutospacing="1" w:line="360" w:lineRule="auto"/>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lastRenderedPageBreak/>
        <w:t>5.0. Toward a Resilient Digital Public Health Infrastructure</w:t>
      </w:r>
    </w:p>
    <w:p w14:paraId="69704CFB" w14:textId="6EA9A1D2"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As the acute phase of the COVID-19 pandemic fades, the focus must shift from emergency-driven innovation to long-term institutionalization. The rapid deployment of digital tools during the crisis revealed their transformative potential for disease surveillance and public health decision-making. However, many of these technologies were developed as stopgap solutions under crisis conditions. Without sustained investment, policy reform, and structural integration, the momentum of pandemic-era digital innovation could be lost. Building a resilient digital public health infrastructure requires deliberate and coordinated efforts to embed Health Information Technology (Health IT) as a foundational element of both national and global health systems.</w:t>
      </w:r>
      <w:r w:rsidR="00252003"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{"citationID":"Xy4F4uAT","properties":{"formattedCitation":"[39]","plainCitation":"[39]","noteIndex":0},"citationItems":[{"id":4372,"uris":["http://zotero.org/users/16652950/items/KGYCGYRG"],"itemData":{"id":4372,"type":"article-journal","abstract":"Objectives: The transformation of healthcare systems during crises, particularly demonstrated during the COVID-19 pandemic, emphasizes the urgent need for effective research methodologies to evaluate digital healthcare innovations. These methodologies are essential in addressing the rapid shift in healthcare service delivery modalities, responding to unprecedented challenges that have revealed both opportunities and barriers within the digital ecosystem. Methods: For this review, research was carried out on the Medline/PubMed, Scopus, and Google Scholar databases to locate articles published from 2015 to 2024, using the search terms digital health, digital technologies, management implications, and digital platforms. The inclusion criteria referred to studies that were directly related to the topic, available in the English language, and published in peer-reviewed scientific journals. The exclusion parameters were as follows: (a) articles not relevant to the topic as defined in the purpose of the review, (b) systematic reviews and meta-analyses, and (c) articles published in a language other than English. Results: Key findings indicate that, while digital health technologies have the potential to mitigate healthcare disparities, they often exacerbate existing inequities, especially among vulnerable populations lacking consistent access to technology. Furthermore, the shift towards digital platforms has revealed significant gaps in workforce training and support, which are essential for effective implementation. Conclusions: This review underscores the financial implications, with expenditures rising significantly due to the increased use of digital services, reflecting a broader trend noted in studies of related health conditions. Moreover, discussions on public health governance suggest a critical need for democratic frameworks to support such digital transformations effectively.","container-title":"Healthcare","DOI":"10.3390/healthcare13080889","ISSN":"2227-9032","issue":"8","journalAbbreviation":"Healthcare (Basel)","note":"PMID: 40281838\nPMCID: PMC12027120","page":"889","source":"PubMed Central","title":"Digital Healthcare Innovative Services in Times of Crisis: A Literature Review","title-short":"Digital Healthcare Innovative Services in Times of Crisis","volume":"13","author":[{"family":"Anastasiadou","given":"Olympia"},{"family":"Tsipouras","given":"Markos"},{"family":"Mpogiatzidis","given":"Panagiotis"},{"family":"Angelidis","given":"Pantelis"}],"issued":{"date-parts":[["2025",4,12]]}}}],"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[39]</w:t>
      </w:r>
      <w:r w:rsidR="00252003" w:rsidRPr="00EA1EDD">
        <w:rPr>
          <w:rFonts w:ascii="Times New Roman" w:eastAsia="Times New Roman" w:hAnsi="Times New Roman" w:cs="Times New Roman"/>
          <w:sz w:val="24"/>
          <w:szCs w:val="24"/>
        </w:rPr>
        <w:fldChar w:fldCharType="end"/>
      </w:r>
    </w:p>
    <w:p w14:paraId="14461712" w14:textId="36E268CC"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The first priority is to institutionalize digital surveillance platforms. During the pandemic, many countries rapidly created dashboards, data exchanges, and analytic systems tailored to immediate needs</w:t>
      </w:r>
      <w:r w:rsidR="00252003"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{"citationID":"aYdAHs5R","properties":{"formattedCitation":"[40,41]","plainCitation":"[40,41]","noteIndex":0},"citationItems":[{"id":1118,"uris":["http://zotero.org/users/16652950/items/IX7XLMV9"],"itemData":{"id":1118,"type":"article-journal","abstract":"Antimicrobial resistance is a growing global health problem, especially in the management of co-infections such as HIV, TB, and malaria. AMR occurs when a pathogen develops resistance against antimicrobial agents, which results in less effective treatments and contributes to increased morbidity and mortality. Co-infections further worsen this condition by introducing complex interactions among pathogens that complicate disease progression and treatment protocols. This review discusses the impact of AMR on co-infection from a multifaceted perspective, considering cases of HIV-TB, HIV-malaria, and TB-malaria. It considers the main factors contributing to the emergence and dissemination of resistant varieties: interactions between pathogens, horizontal gene transfer, and inappropriate antibiotic use. The study has highlighted that comprehensive management strategies, including antimicrobial stewardship, better diagnostics, vaccination, and addressing the basic underlying risks, such as poor sanitation and comorbid conditions, are urgently needed. Advanced diagnostic testing and strong infection control are crucial in lessening the burden of AMR. From a wider perspective, the paper calls for global collaboration in developing new antimicrobials and raising public awareness about using antibiotics judiciously. It concludes by stressing once more the need for integrating global health to address AMR and improve treatment outcomes to protect public health from the compounded threats of antimicrobial resistance and co-infections.","container-title":"International Journal of Pathogen Research","DOI":"10.9734/ijpr/2024/v13i6326","issue":"6","page":"117-128","source":"HAL Archives Ouvertes","title":"The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Kingsley"}],"issued":{"date-parts":[["2024",11]]}}},{"id":4375,"uris":["http://zotero.org/users/16652950/items/FK4LEPHE"],"itemData":{"id":4375,"type":"article-journal","abstract":"When addressing juvenile delinquencies in Nigeria, it is important to consider the roles and effects of parenting styles and family structures. Although, there are no universally accepted parenting styles, evidence and studies have pointed to some parenting styles that expose children to delinquent behaviours. We examined different parenting styles comprehensively in this article and how these styles can influence juvenile delinquencies. We also discussed the association between single-parenting and behavioural outcomes; accounting how single-parenting may increase risks of delinquencies. Furthermore, marital discord was discussed and social learning theory by Albert Bandura was adopted to buttress our positions. We concluded that parenting styles have roles in delinquencies and that while children raised by single parents may be vulnerable to delinquencies, the assumption may not always be true. This study posits that government and appropriate agencies should establish a functional child support systems across Nigeria and family institution should be paid more attention to.","container-title":"African Journal of Social Issues","DOI":"10.4314/ajosi.v7i1.8","ISSN":"2734-3324","issue":"1","language":"en","license":"Copyright (c) 2024","note":"number: 1","page":"116-132","source":"www.ajol.info","title":"Juvenile delinquency as a contemporary issue in Nigeria: understanding the impacts of parenting styles, single parenting and marital discord.","title-short":"Juvenile delinquency as a contemporary issue in Nigeria","volume":"7","author":[{"family":"Folorunsho","given":"Sunkanmi"},{"family":"Ajayi","given":"Victor"},{"family":"Abdulrazaq","given":"Oluwakemi"}],"issued":{"date-parts":[["2024",3,23]]}}}],"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[40,41]</w:t>
      </w:r>
      <w:r w:rsidR="00252003"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These ad hoc solutions must now be standardized, secured, and integrated into routine public health operations. Institutionalization involves more than technological upgrades</w:t>
      </w:r>
      <w:r w:rsidR="00252003"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{"citationID":"VtnUiM8b","properties":{"formattedCitation":"[42]","plainCitation":"[42]","noteIndex":0},"citationItems":[{"id":1364,"uris":["http://zotero.org/users/16652950/items/BNN8KN7E"],"itemData":{"id":1364,"type":"article-journal","abstract":"Vernonia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252003"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[42]</w:t>
      </w:r>
      <w:r w:rsidR="00252003"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It requires the development of formal governance frameworks that establish oversight responsibilities, data-sharing agreements, and ethical safeguards. Digital surveillance should be recognized as critical public health infrastructure, subject to the same strategic planning, regulatory oversight, and sustained funding as laboratory networks, emergency stockpiles, and hospital systems</w:t>
      </w:r>
      <w:r w:rsidR="002467D4"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{"citationID":"FxW7qBHK","properties":{"formattedCitation":"[43]","plainCitation":"[43]","noteIndex":0},"citationItems":[{"id":4377,"uris":["http://zotero.org/users/16652950/items/FENQQEJY"],"itemData":{"id":4377,"type":"article-journal","abstract":"Background: In order to prevent spread and improve control of infectious diseases, public health experts need to closely monitor human and animal populations. Infectious disease surveillance is an established, routine data collection process essential for early warning, rapid response, and disease control. The quantity of data potentially useful for early warning and surveillance has increased exponentially due to social media and other big data streams. Digital epidemiology is a novel discipline that includes harvesting, analysing, and interpreting data that were not initially collected for healthcare needs to enhance traditional surveillance. During the current COVID-19 pandemic, the importance of digital epidemiology complementing traditional public health approaches has been highlighted., Objective: The aim of this paper is to provide a comprehensive overview for the application of data and digital solutions to support surveillance strategies and draw implications for surveillance in the context of the COVID-19 pandemic and beyond., Methods: A search was conducted in PubMed databases. Articles published between January 2005 and May 2020 on the use of digital solutions to support surveillance strategies in pandemic settings and health emergencies were evaluated., Results: In this paper, we provide a comprehensive overview of digital epidemiology, available data sources, and components of 21st-century digital surveillance, early warning and response, outbreak management and control, and digital interventions., Conclusions: Our main purpose was to highlight the plausible use of new surveillance strategies, with implications for the COVID-19 pandemic strategies and then to identify opportunities and challenges for the successful development and implementation of digital solutions during non-emergency times of routine surveillance, with readiness for early-warning and response for future pandemics. The enhancement of traditional surveillance systems with novel digital surveillance methods opens a direction for the most effective framework for preparedness and response to future pandemics.","container-title":"Frontiers in Digital Health","DOI":"10.3389/fdgth.2021.707902","ISSN":"2673-253X","journalAbbreviation":"Front Digit Health","note":"PMID: 34713179\nPMCID: PMC8522016","page":"707902","source":"PubMed Central","title":"Data and Digital Solutions to Support Surveillance Strategies in the Context of the COVID-19 Pandemic","volume":"3","author":[{"family":"Kostkova","given":"Patty"},{"family":"Saigí-Rubió","given":"Francesc"},{"family":"Eguia","given":"Hans"},{"family":"Borbolla","given":"Damian"},{"family":"Verschuuren","given":"Marieke"},{"family":"Hamilton","given":"Clayton"},{"family":"Azzopardi-Muscat","given":"Natasha"},{"family":"Novillo-Ortiz","given":"David"}],"issued":{"date-parts":[["2021",8,6]]}}}],"schema":"https://github.com/citation-style-language/schema/raw/master/csl-citation.json"} </w:instrText>
      </w:r>
      <w:r w:rsidR="002467D4"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[43]</w:t>
      </w:r>
      <w:r w:rsidR="002467D4"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5FEFD7DE" w14:textId="5E88761C"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A second pillar of resilience lies in workforce development. The pandemic revealed a global shortage of professionals with the digital and analytical skills necessary to support advanced surveillance efforts. Building a workforce for digital epidemiology will require cross-disciplinary training programs that equip public health practitioners with expertise in data science, machine learning, informatics, and geospatial analysis. Public health must follow the lead of clinical medicine in developing hybrid professional roles—such as the clinician-informatician—who can navigate both technical and domain-specific knowledge. These professionals will serve as vital connectors between data infrastructure and public health action</w:t>
      </w:r>
      <w:r w:rsidR="002467D4"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{"citationID":"3Ges3FPW","properties":{"formattedCitation":"[44]","plainCitation":"[44]","noteIndex":0},"citationItems":[{"id":4383,"uris":["http://zotero.org/users/16652950/items/9CCQJEFU"],"itemData":{"id":4383,"type":"article-journal","abstract":"In the interconnected world, safeguarding global health security is vital for maintaining public health and economic upliftment of any nation. Emergency preparedness is considered as the key to control the emerging public health challenges at both ...","container-title":"The Indian Journal of Medical Research","DOI":"10.4103/ijmr.IJMR_653_21","issue":"3","language":"en","note":"PMID: 33906991","page":"287","source":"pmc.ncbi.nlm.nih.gov","title":"Emergency preparedness for public health threats, surveillance, modelling &amp; forecasting","volume":"153","author":[{"family":"Bedi","given":"Jasbir Singh"},{"family":"Vijay","given":"Deepthi"},{"family":"Dhaka","given":"Pankaj"},{"family":"Gill","given":"Jatinder Paul Singh"},{"family":"Barbuddhe","given":"Sukhadeo B."}],"issued":{"date-parts":[["2021",3]]}}}],"schema":"https://github.com/citation-style-language/schema/raw/master/csl-citation.json"} </w:instrText>
      </w:r>
      <w:r w:rsidR="002467D4"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[44]</w:t>
      </w:r>
      <w:r w:rsidR="002467D4"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F3940AF" w14:textId="3B49622E" w:rsidR="000B0BE8" w:rsidRPr="00EA1EDD" w:rsidRDefault="000B0BE8" w:rsidP="004F29EA">
      <w:pPr>
        <w:spacing w:before="100" w:beforeAutospacing="1" w:after="100" w:afterAutospacing="1" w:line="360" w:lineRule="auto"/>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lastRenderedPageBreak/>
        <w:t xml:space="preserve"> </w:t>
      </w:r>
      <w:r w:rsidRPr="00EA1EDD">
        <w:rPr>
          <w:rFonts w:ascii="Times New Roman" w:eastAsia="Times New Roman" w:hAnsi="Times New Roman" w:cs="Times New Roman"/>
          <w:sz w:val="24"/>
          <w:szCs w:val="24"/>
        </w:rPr>
        <w:tab/>
        <w:t xml:space="preserve">As depicted in Figure </w:t>
      </w:r>
      <w:r w:rsidR="00EA1EDD" w:rsidRPr="00EA1EDD">
        <w:rPr>
          <w:rFonts w:ascii="Times New Roman" w:eastAsia="Times New Roman" w:hAnsi="Times New Roman" w:cs="Times New Roman"/>
          <w:sz w:val="24"/>
          <w:szCs w:val="24"/>
        </w:rPr>
        <w:t>2</w:t>
      </w:r>
      <w:r w:rsidRPr="00EA1EDD">
        <w:rPr>
          <w:rFonts w:ascii="Times New Roman" w:eastAsia="Times New Roman" w:hAnsi="Times New Roman" w:cs="Times New Roman"/>
          <w:sz w:val="24"/>
          <w:szCs w:val="24"/>
        </w:rPr>
        <w:t>, the long-term sustainability of digital surveillance systems depends on four interdependent pillars: institutionalization, workforce development, long-term funding, and interoperability. Each of these components reinforces the system’s capacity to anticipate, detect, and respond to public health threats at scale. Together, they form the foundation for a modernized surveillance architecture that is not only responsive during emergencies but also durable and equitable in routine public health practice.</w:t>
      </w:r>
    </w:p>
    <w:p w14:paraId="49F4523C" w14:textId="1A2D9ABA" w:rsidR="00103130" w:rsidRPr="00EA1EDD" w:rsidRDefault="00782A74" w:rsidP="00103130">
      <w:pPr>
        <w:spacing w:before="100" w:beforeAutospacing="1" w:after="100" w:afterAutospacing="1" w:line="240" w:lineRule="auto"/>
        <w:rPr>
          <w:rFonts w:ascii="Times New Roman" w:eastAsia="Times New Roman" w:hAnsi="Times New Roman" w:cs="Times New Roman"/>
          <w:sz w:val="24"/>
          <w:szCs w:val="24"/>
        </w:rPr>
      </w:pPr>
      <w:r w:rsidRPr="00EA1EDD">
        <w:rPr>
          <w:rFonts w:ascii="Times New Roman" w:eastAsia="Times New Roman" w:hAnsi="Times New Roman" w:cs="Times New Roman"/>
          <w:noProof/>
          <w:sz w:val="24"/>
          <w:szCs w:val="24"/>
        </w:rPr>
        <w:drawing>
          <wp:inline distT="0" distB="0" distL="0" distR="0" wp14:anchorId="645CB376" wp14:editId="5BA06432">
            <wp:extent cx="367665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l 7, 2025, 11_35_2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1E1C61A7" w14:textId="3665F750" w:rsidR="0017520D" w:rsidRPr="00EA1EDD" w:rsidRDefault="0017520D" w:rsidP="0017520D">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Figure</w:t>
      </w:r>
      <w:r w:rsidR="00EA1EDD" w:rsidRPr="00EA1EDD">
        <w:rPr>
          <w:rFonts w:ascii="Times New Roman" w:eastAsia="Times New Roman" w:hAnsi="Times New Roman" w:cs="Times New Roman"/>
          <w:b/>
          <w:bCs/>
          <w:sz w:val="24"/>
          <w:szCs w:val="24"/>
        </w:rPr>
        <w:t xml:space="preserve"> 2</w:t>
      </w:r>
      <w:r w:rsidRPr="00EA1EDD">
        <w:rPr>
          <w:rFonts w:ascii="Times New Roman" w:eastAsia="Times New Roman" w:hAnsi="Times New Roman" w:cs="Times New Roman"/>
          <w:b/>
          <w:bCs/>
          <w:sz w:val="24"/>
          <w:szCs w:val="24"/>
        </w:rPr>
        <w:t xml:space="preserve">: </w:t>
      </w:r>
      <w:r w:rsidRPr="00EA1EDD">
        <w:rPr>
          <w:rFonts w:ascii="Times New Roman" w:eastAsia="Times New Roman" w:hAnsi="Times New Roman" w:cs="Times New Roman"/>
          <w:sz w:val="24"/>
          <w:szCs w:val="24"/>
        </w:rPr>
        <w:t>A circular conceptual framework illustrating the four foundational components of a resilient digital public health surveillance system: Institutionalization, Workforce Development, Long-term Funding, and Interoperability. These interconnected elements emphasize the need for structural, financial, and cross-border continuity to sustain digital health surveillance capacity beyond crisis periods.</w:t>
      </w:r>
      <w:r w:rsidR="000B0BE8"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i/>
          <w:iCs/>
          <w:sz w:val="24"/>
          <w:szCs w:val="24"/>
        </w:rPr>
        <w:t>Original figure created by the authors, informed by global digital health infrastructure guidelines and post-COVID policy recommendations.</w:t>
      </w:r>
    </w:p>
    <w:p w14:paraId="3CD9AB07" w14:textId="3EA5B0C3" w:rsidR="000B0BE8" w:rsidRPr="00EA1EDD"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 xml:space="preserve">Third, sustainable progress depends on long-term funding and coherent policy alignment. Digital health infrastructure cannot thrive on short-term, crisis-driven financial support. Governments must commit to stable, recurring budget allocations and pursue strategic public-private partnerships to fund infrastructure maintenance, strengthen cybersecurity, enhance platform interoperability, and support ongoing innovation. In parallel, policy frameworks must </w:t>
      </w:r>
      <w:r w:rsidRPr="00EA1EDD">
        <w:rPr>
          <w:rFonts w:ascii="Times New Roman" w:eastAsia="Times New Roman" w:hAnsi="Times New Roman" w:cs="Times New Roman"/>
          <w:sz w:val="24"/>
          <w:szCs w:val="24"/>
        </w:rPr>
        <w:lastRenderedPageBreak/>
        <w:t>be aligned to facilitate secure data exchange while upholding individual privacy rights. This is especially important in the context of transboundary health threats, where disjointed regulatory regimes can hinder timely response and coordination</w:t>
      </w:r>
      <w:r w:rsidR="006D5518"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{"citationID":"qAZAj54k","properties":{"formattedCitation":"[45]","plainCitation":"[45]","noteIndex":0},"citationItems":[{"id":4391,"uris":["http://zotero.org/users/16652950/items/XK52855E"],"itemData":{"id":4391,"type":"article-journal","container-title":"The Lancet. Global Health","DOI":"10.1016/S2214-109X(18)30386-3","ISSN":"2214-109X","journalAbbreviation":"Lancet Glob Health","note":"PMID: 30196093\nPMCID: PMC7734391","page":"e1196-e1252","source":"PubMed Central","title":"High-quality health systems in the Sustainable Development Goals era: time for a revolution","title-short":"High-quality health systems in the Sustainable Development Goals era","volume":"6","author":[{"family":"Kruk","given":"Margaret E"},{"family":"Gage","given":"Anna D"},{"family":"Arsenault","given":"Catherine"},{"family":"Jordan","given":"Keely"},{"family":"Leslie","given":"Hannah H"},{"family":"Roder-DeWan","given":"Sanam"},{"family":"Adeyi","given":"Olusoji"},{"family":"Barker","given":"Pierre"},{"family":"Daelmans","given":"Bernadette"},{"family":"Doubova","given":"Svetlana V"},{"family":"English","given":"Mike"},{"family":"Elorrio","given":"Ezequiel García"},{"family":"Guanais","given":"Frederico"},{"family":"Gureje","given":"Oye"},{"family":"Hirschhorn","given":"Lisa R"},{"family":"Jiang","given":"Lixin"},{"family":"Kelley","given":"Edward"},{"family":"Lemango","given":"Ephrem Tekle"},{"family":"Liljestrand","given":"Jerker"},{"family":"Malata","given":"Address"},{"family":"Marchant","given":"Tanya"},{"family":"Matsoso","given":"Malebona Precious"},{"family":"Meara","given":"John G"},{"family":"Mohanan","given":"Manoj"},{"family":"Ndiaye","given":"Youssoupha"},{"family":"Norheim","given":"Ole F"},{"family":"Reddy","given":"K Srinath"},{"family":"Rowe","given":"Alexander K"},{"family":"Salomon","given":"Joshua A"},{"family":"Thapa","given":"Gagan"},{"family":"Twum-Danso","given":"Nana A Y"},{"family":"Pate","given":"Muhammad"}],"issued":{"date-parts":[["2018"]]}}}],"schema":"https://github.com/citation-style-language/schema/raw/master/csl-citation.json"}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[45]</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582FAD2" w14:textId="59E9715C" w:rsidR="000B0BE8" w:rsidRPr="00EA1EDD"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Equally essential is the extension of interoperability beyond national borders. The global nature of infectious disease threats demands a transnational digital surveillance architecture capable of enabling real-time, cross-border data sharing and coordinated action</w:t>
      </w:r>
      <w:r w:rsidR="006D5518"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{"citationID":"OJNzqfNS","properties":{"formattedCitation":"[46]","plainCitation":"[46]","noteIndex":0},"citationItems":[{"id":2694,"uris":["http://zotero.org/users/16652950/items/QZIY76BU"],"itemData":{"id":2694,"type":"article-journal","abstract":"The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[46]</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 Achieving this vision requires the alignment of technical standards such as FHIR (Fast Healthcare Interoperability Resources) and SNOMED CT, as well as the development of legal agreements and ethical frameworks for cross-jurisdictional data governance. Platforms like the World Health Organization’s Epidemic Intelligence from Open Sources (EIOS) offer promising foundations for such global integration. The concept of a global digital public health commons—a federated yet interconnected network of national surveillance capacities—could significantly enhance early warning systems, reduce fragmentation, and improve the equity and efficacy of global health responses</w:t>
      </w:r>
      <w:r w:rsidR="006D5518"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{"citationID":"j93s0327","properties":{"formattedCitation":"[47]","plainCitation":"[47]","noteIndex":0},"citationItems":[{"id":4395,"uris":["http://zotero.org/users/16652950/items/EIS64S4W"],"itemData":{"id":4395,"type":"article-journal","abstract":"The rapid global spread of infectious diseases, epitomized by the recent COVID-19 pandemic, has highlighted the critical need for effective cross-border pandemic management strategies. Digital health passports (DHPs), which securely store and facilitate the sharing of critical health information, including vaccination records and test results, have emerged as a promising solution to enable safe travel and access to essential services and economic activities during pandemics. However, the implementation of DHPs faces several significant challenges, both related to geographical disparities and practical considerations, necessitating a comprehensive approach for successful global adoption. In this narrative review article, we identify and elaborate on the critical geographical and practical barriers that hinder global adoption and the effective utilization of DHPs. Geographical barriers are complex, encompassing disparities in vaccine access, regulatory inconsistencies, differences across countries in data security and users' privacy policies, challenges related to interoperability and standardization, and inadequacies in technological infrastructure and limited access to digital technologies. Practical challenges include the possibility of vaccine contraindications and breakthrough infections, uncertainties surrounding natural immunity, and limitations of standard tests in assessing infection risk. To address geographical disparities and enhance the functionality and interoperability of DHPs, we propose a framework that emphasizes international collaboration to achieve equitable access to vaccines and testing resources. Furthermore, we recommend international cooperation to establish unified vaccine regulatory frameworks, adopting globally accepted standards for data privacy and protection, implementing interoperability protocols, and taking steps to bridge the digital divide. Addressing practical challenges requires a meticulous approach to assessing individual risk and augmenting DHP implementation with rigorous health screenings and personal infection prevention measures. Collectively, these initiatives contribute to the development of robust and inclusive cross-border pandemic management strategies, ultimately promoting a safer and more interconnected global community in the face of current and future pandemics.","container-title":"Globalization and Health","DOI":"10.1186/s12992-023-00998-7","ISSN":"1744-8603","issue":"1","journalAbbreviation":"Globalization and Health","page":"98","source":"BioMed Central","title":"Geographical and practical challenges in the implementation of digital health passports for cross-border COVID-19 pandemic management: a narrative review and framework for solutions","title-short":"Geographical and practical challenges in the implementation of digital health passports for cross-border COVID-19 pandemic management","volume":"19","author":[{"family":"Towett","given":"Gideon"},{"family":"Snead","given":"R. Sterling"},{"family":"Grigoryan","given":"Knarik"},{"family":"Marczika","given":"Julia"}],"issued":{"date-parts":[["2023",12,8]]}}}],"schema":"https://github.com/citation-style-language/schema/raw/master/csl-citation.json"}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[47]</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0CDD0483" w14:textId="6A5CBDF6" w:rsidR="000B0BE8" w:rsidRPr="00EA1EDD" w:rsidRDefault="000B0BE8" w:rsidP="000B0BE8">
      <w:pPr>
        <w:spacing w:before="100" w:beforeAutospacing="1" w:after="100" w:afterAutospacing="1" w:line="360" w:lineRule="auto"/>
        <w:outlineLvl w:val="2"/>
        <w:rPr>
          <w:rFonts w:ascii="Times New Roman" w:eastAsia="Times New Roman" w:hAnsi="Times New Roman" w:cs="Times New Roman"/>
          <w:sz w:val="24"/>
          <w:szCs w:val="24"/>
        </w:rPr>
      </w:pPr>
      <w:r w:rsidRPr="00EA1EDD">
        <w:rPr>
          <w:rFonts w:ascii="Times New Roman" w:eastAsia="Times New Roman" w:hAnsi="Times New Roman" w:cs="Times New Roman"/>
          <w:sz w:val="24"/>
          <w:szCs w:val="24"/>
        </w:rPr>
        <w:t xml:space="preserve"> </w:t>
      </w:r>
      <w:r w:rsidRPr="00EA1EDD">
        <w:rPr>
          <w:rFonts w:ascii="Times New Roman" w:eastAsia="Times New Roman" w:hAnsi="Times New Roman" w:cs="Times New Roman"/>
          <w:sz w:val="24"/>
          <w:szCs w:val="24"/>
        </w:rPr>
        <w:tab/>
        <w:t>However, building this infrastructure is not only a technical endeavor. It is also a deeply political and ethical challenge. Trust must be cultivated among nations, and equity must be embedded in both design and implementation. Many low-resource countries face structural disadvantages in digital readiness, lacking the tools, infrastructure, and workforce needed to fully participate in a globally integrated system. Without deliberate efforts to address these digital divides, digital surveillance risks replicating or even amplifying the inequalities that public health systems seek to overcome</w:t>
      </w:r>
      <w:r w:rsidR="006D5518" w:rsidRPr="00EA1EDD">
        <w:rPr>
          <w:rFonts w:ascii="Times New Roman" w:eastAsia="Times New Roman" w:hAnsi="Times New Roman" w:cs="Times New Roman"/>
          <w:sz w:val="24"/>
          <w:szCs w:val="24"/>
        </w:rPr>
        <w:fldChar w:fldCharType="begin"/>
      </w:r>
      <w:r w:rsidR="00F05330" w:rsidRPr="00EA1EDD">
        <w:rPr>
          <w:rFonts w:ascii="Times New Roman" w:eastAsia="Times New Roman" w:hAnsi="Times New Roman" w:cs="Times New Roman"/>
          <w:sz w:val="24"/>
          <w:szCs w:val="24"/>
        </w:rPr>
        <w:instrText xml:space="preserve"> ADDIN ZOTERO_ITEM CSL_CITATION {"citationID":"l1RoZL5V","properties":{"formattedCitation":"[48]","plainCitation":"[48]","noteIndex":0},"citationItems":[{"id":4399,"uris":["http://zotero.org/users/16652950/items/5FAI9PN9"],"itemData":{"id":4399,"type":"article-journal","abstract":"This paper delves into the complexities of global AI regulation and governance, emphasizing the socio-economic repercussions of rapid AI development. It scrutinizes the challenges in creating effective governance structures amidst the AI race, considering diverse global perspectives and policies. The discourse moves beyond specific corporate examples, addressing broader implications and sector-wide impacts of AI on employment, truth discernment, and democratic stability. The analysis focuses on contrasting regulatory approaches across key regions—the United States, European Union, Asia, Africa, and the Americas and thus highlighting the variations and commonalities in strategies and implementations. This comparative study reveals the intricacies and hurdles in formulating a cohesive global policy for AI regulation. Central to the paper is the examination of the dynamic between rapid AI innovation and the slower pace of regulatory and ethical standard-setting. It critically evaluates the advantages and drawbacks of shifting regulatory responsibilities between government bodies and the private sector. In response to these challenges, the discussion proposes an innovative and integrated regulatory model. The model advocates for a collaborative network that blends governmental authority with industry expertise, aiming to establish adaptive, responsive regulations (called “dynamic laws”) that can evolve with technological advancements. The novel approach aims to bridge the gap between rapid AI advancements in the industry and the essential democratic processes of law-making.","container-title":"Discover Artificial Intelligence","DOI":"10.1007/s44163-024-00109-4","ISSN":"2731-0809","issue":"1","journalAbbreviation":"Discov Artif Intell","language":"en","page":"14","source":"Springer Link","title":"Managing the race to the moon: Global policy and governance in Artificial Intelligence regulation—A contemporary overview and an analysis of socioeconomic consequences","title-short":"Managing the race to the moon","volume":"4","author":[{"family":"Walter","given":"Yoshija"}],"issued":{"date-parts":[["2024",2,26]]}}}],"schema":"https://github.com/citation-style-language/schema/raw/master/csl-citation.json"} </w:instrText>
      </w:r>
      <w:r w:rsidR="006D5518" w:rsidRPr="00EA1EDD">
        <w:rPr>
          <w:rFonts w:ascii="Times New Roman" w:eastAsia="Times New Roman" w:hAnsi="Times New Roman" w:cs="Times New Roman"/>
          <w:sz w:val="24"/>
          <w:szCs w:val="24"/>
        </w:rPr>
        <w:fldChar w:fldCharType="separate"/>
      </w:r>
      <w:r w:rsidR="00F05330" w:rsidRPr="00EA1EDD">
        <w:rPr>
          <w:rFonts w:ascii="Times New Roman" w:hAnsi="Times New Roman" w:cs="Times New Roman"/>
          <w:sz w:val="24"/>
        </w:rPr>
        <w:t>[48]</w:t>
      </w:r>
      <w:r w:rsidR="006D5518" w:rsidRPr="00EA1EDD">
        <w:rPr>
          <w:rFonts w:ascii="Times New Roman" w:eastAsia="Times New Roman" w:hAnsi="Times New Roman" w:cs="Times New Roman"/>
          <w:sz w:val="24"/>
          <w:szCs w:val="24"/>
        </w:rPr>
        <w:fldChar w:fldCharType="end"/>
      </w:r>
      <w:r w:rsidRPr="00EA1EDD">
        <w:rPr>
          <w:rFonts w:ascii="Times New Roman" w:eastAsia="Times New Roman" w:hAnsi="Times New Roman" w:cs="Times New Roman"/>
          <w:sz w:val="24"/>
          <w:szCs w:val="24"/>
        </w:rPr>
        <w:t>.</w:t>
      </w:r>
    </w:p>
    <w:p w14:paraId="20F30EB4" w14:textId="7954ED37" w:rsidR="00103130" w:rsidRPr="00EA1EDD" w:rsidRDefault="000B0BE8" w:rsidP="000B0BE8">
      <w:pPr>
        <w:spacing w:before="100" w:beforeAutospacing="1" w:after="100" w:afterAutospacing="1" w:line="240" w:lineRule="auto"/>
        <w:outlineLvl w:val="2"/>
        <w:rPr>
          <w:rFonts w:ascii="Times New Roman" w:eastAsia="Times New Roman" w:hAnsi="Times New Roman" w:cs="Times New Roman"/>
          <w:b/>
          <w:bCs/>
          <w:sz w:val="24"/>
          <w:szCs w:val="24"/>
        </w:rPr>
      </w:pPr>
      <w:r w:rsidRPr="00EA1EDD">
        <w:rPr>
          <w:rFonts w:ascii="Times New Roman" w:eastAsia="Times New Roman" w:hAnsi="Times New Roman" w:cs="Times New Roman"/>
          <w:b/>
          <w:bCs/>
          <w:sz w:val="24"/>
          <w:szCs w:val="24"/>
        </w:rPr>
        <w:t>C</w:t>
      </w:r>
      <w:r w:rsidR="00103130" w:rsidRPr="00EA1EDD">
        <w:rPr>
          <w:rFonts w:ascii="Times New Roman" w:eastAsia="Times New Roman" w:hAnsi="Times New Roman" w:cs="Times New Roman"/>
          <w:b/>
          <w:bCs/>
          <w:sz w:val="24"/>
          <w:szCs w:val="24"/>
        </w:rPr>
        <w:t xml:space="preserve">onclusion </w:t>
      </w:r>
    </w:p>
    <w:p w14:paraId="264D4DFB" w14:textId="0E7FDBC9" w:rsidR="00B30BE1" w:rsidRPr="00EA1EDD" w:rsidRDefault="00B30BE1"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t xml:space="preserve"> </w:t>
      </w:r>
      <w:r w:rsidRPr="00EA1EDD">
        <w:rPr>
          <w:rFonts w:ascii="Times New Roman" w:hAnsi="Times New Roman" w:cs="Times New Roman"/>
          <w:sz w:val="24"/>
          <w:szCs w:val="24"/>
        </w:rPr>
        <w:tab/>
        <w:t xml:space="preserve">The COVID-19 pandemic did not simply disrupt global health systems; it redefined the infrastructure needed to sustain them. Digital innovation played an indispensable role in managing the crisis, from enabling real-time surveillance and predictive modeling to supporting coordinated public health responses. The lesson is clear: digital technologies are no longer optional enhancements. They are foundational components of 21st-century public health systems. However, technology alone cannot guarantee resilience. To ensure that digital tools serve all populations equitably, ethically, and effectively, strategic governance, sustained </w:t>
      </w:r>
      <w:r w:rsidRPr="00EA1EDD">
        <w:rPr>
          <w:rFonts w:ascii="Times New Roman" w:hAnsi="Times New Roman" w:cs="Times New Roman"/>
          <w:sz w:val="24"/>
          <w:szCs w:val="24"/>
        </w:rPr>
        <w:lastRenderedPageBreak/>
        <w:t>investment, and robust cross-sector collaboration are essential</w:t>
      </w:r>
      <w:r w:rsidR="006D5518" w:rsidRPr="00EA1EDD">
        <w:rPr>
          <w:rFonts w:ascii="Times New Roman" w:hAnsi="Times New Roman" w:cs="Times New Roman"/>
          <w:sz w:val="24"/>
          <w:szCs w:val="24"/>
        </w:rPr>
        <w:fldChar w:fldCharType="begin"/>
      </w:r>
      <w:r w:rsidR="00F05330" w:rsidRPr="00EA1EDD">
        <w:rPr>
          <w:rFonts w:ascii="Times New Roman" w:hAnsi="Times New Roman" w:cs="Times New Roman"/>
          <w:sz w:val="24"/>
          <w:szCs w:val="24"/>
        </w:rPr>
        <w:instrText xml:space="preserve"> ADDIN ZOTERO_ITEM CSL_CITATION {"citationID":"Uun0oDYT","properties":{"formattedCitation":"[49]","plainCitation":"[49]","noteIndex":0},"citationItems":[{"id":4401,"uris":["http://zotero.org/users/16652950/items/9XL24CDS"],"itemData":{"id":4401,"type":"article-journal","container-title":"Department of Sociology: Faculty Publications","source":"COinS","title":"Social Determinants of Health and Aging in Africa: Structural Inequality, Vulnerability, and the Future of Care","title-short":"Social Determinants of Health and Aging in Africa","URL":"https://digitalcommons.unl.edu/sociologyfacpub/867","author":[{"family":"Lukman","given":"Aremu"},{"family":"Folorunsho","given":"Sunkanmi"},{"family":"Taofeeq","given":"Abdulrauf"}],"issued":{"date-parts":[["2025",1,1]]}}}],"schema":"https://github.com/citation-style-language/schema/raw/master/csl-citation.json"} </w:instrText>
      </w:r>
      <w:r w:rsidR="006D5518" w:rsidRPr="00EA1EDD">
        <w:rPr>
          <w:rFonts w:ascii="Times New Roman" w:hAnsi="Times New Roman" w:cs="Times New Roman"/>
          <w:sz w:val="24"/>
          <w:szCs w:val="24"/>
        </w:rPr>
        <w:fldChar w:fldCharType="separate"/>
      </w:r>
      <w:r w:rsidR="00F05330" w:rsidRPr="00EA1EDD">
        <w:rPr>
          <w:rFonts w:ascii="Times New Roman" w:hAnsi="Times New Roman" w:cs="Times New Roman"/>
          <w:sz w:val="24"/>
        </w:rPr>
        <w:t>[49]</w:t>
      </w:r>
      <w:r w:rsidR="006D5518" w:rsidRPr="00EA1EDD">
        <w:rPr>
          <w:rFonts w:ascii="Times New Roman" w:hAnsi="Times New Roman" w:cs="Times New Roman"/>
          <w:sz w:val="24"/>
          <w:szCs w:val="24"/>
        </w:rPr>
        <w:fldChar w:fldCharType="end"/>
      </w:r>
      <w:r w:rsidRPr="00EA1EDD">
        <w:rPr>
          <w:rFonts w:ascii="Times New Roman" w:hAnsi="Times New Roman" w:cs="Times New Roman"/>
          <w:sz w:val="24"/>
          <w:szCs w:val="24"/>
        </w:rPr>
        <w:t>. Countries must move beyond fragmented, ad hoc innovation and instead build integrated, interoperable systems grounded in transparency, informed consent, and public trust. This includes addressing persistent global disparities in digital capacity and establishing reliable mechanisms for coordinated data sharing across borders.</w:t>
      </w:r>
    </w:p>
    <w:p w14:paraId="7EB560CF" w14:textId="625EE06D" w:rsidR="00B30BE1" w:rsidRPr="00EA1EDD" w:rsidRDefault="00B30BE1"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t xml:space="preserve"> </w:t>
      </w:r>
      <w:r w:rsidRPr="00EA1EDD">
        <w:rPr>
          <w:rFonts w:ascii="Times New Roman" w:hAnsi="Times New Roman" w:cs="Times New Roman"/>
          <w:sz w:val="24"/>
          <w:szCs w:val="24"/>
        </w:rPr>
        <w:tab/>
        <w:t>Pandemic preparedness must now be fundamentally reframed. Just as vaccines, diagnostics, and clinical infrastructure are viewed as essential elements of health security, so too must digital data systems be recognized as critical public health infrastructure</w:t>
      </w:r>
      <w:r w:rsidR="006D5518" w:rsidRPr="00EA1EDD">
        <w:rPr>
          <w:rFonts w:ascii="Times New Roman" w:hAnsi="Times New Roman" w:cs="Times New Roman"/>
          <w:sz w:val="24"/>
          <w:szCs w:val="24"/>
        </w:rPr>
        <w:fldChar w:fldCharType="begin"/>
      </w:r>
      <w:r w:rsidR="00F05330" w:rsidRPr="00EA1EDD">
        <w:rPr>
          <w:rFonts w:ascii="Times New Roman" w:hAnsi="Times New Roman" w:cs="Times New Roman"/>
          <w:sz w:val="24"/>
          <w:szCs w:val="24"/>
        </w:rPr>
        <w:instrText xml:space="preserve"> ADDIN ZOTERO_ITEM CSL_CITATION {"citationID":"7IfleIqy","properties":{"formattedCitation":"[50]","plainCitation":"[50]","noteIndex":0},"citationItems":[{"id":4386,"uris":["http://zotero.org/users/16652950/items/68TB5ECZ"],"itemData":{"id":4386,"type":"article-journal","abstract":"Despite extensive research on social determinants of health, gaps remain in understanding how race and disability intersect to shape health disparities among older adults. This essay examines how s...","archive_location":"world","container-title":"Journal of Aging &amp; Social Policy","language":"EN","license":"© 2025 Taylor &amp; Francis Group, LLC","note":"publisher: Routledge","source":"www.tandfonline.com","title":"The Role of Social Determinants of Health in Shaping Racial and Disability Disparities Among Older Adults in the United States","URL":"https://www.tandfonline.com/doi/abs/10.1080/08959420.2025.2528584","author":[{"family":"Folorunsho","given":"Sunkanmi"}],"accessed":{"date-parts":[["2025",7,9]]},"issued":{"date-parts":[["2025",7,4]]}}}],"schema":"https://github.com/citation-style-language/schema/raw/master/csl-citation.json"} </w:instrText>
      </w:r>
      <w:r w:rsidR="006D5518" w:rsidRPr="00EA1EDD">
        <w:rPr>
          <w:rFonts w:ascii="Times New Roman" w:hAnsi="Times New Roman" w:cs="Times New Roman"/>
          <w:sz w:val="24"/>
          <w:szCs w:val="24"/>
        </w:rPr>
        <w:fldChar w:fldCharType="separate"/>
      </w:r>
      <w:r w:rsidR="00F05330" w:rsidRPr="00EA1EDD">
        <w:rPr>
          <w:rFonts w:ascii="Times New Roman" w:hAnsi="Times New Roman" w:cs="Times New Roman"/>
          <w:sz w:val="24"/>
        </w:rPr>
        <w:t>[50]</w:t>
      </w:r>
      <w:r w:rsidR="006D5518" w:rsidRPr="00EA1EDD">
        <w:rPr>
          <w:rFonts w:ascii="Times New Roman" w:hAnsi="Times New Roman" w:cs="Times New Roman"/>
          <w:sz w:val="24"/>
          <w:szCs w:val="24"/>
        </w:rPr>
        <w:fldChar w:fldCharType="end"/>
      </w:r>
      <w:r w:rsidRPr="00EA1EDD">
        <w:rPr>
          <w:rFonts w:ascii="Times New Roman" w:hAnsi="Times New Roman" w:cs="Times New Roman"/>
          <w:sz w:val="24"/>
          <w:szCs w:val="24"/>
        </w:rPr>
        <w:t>. The crises of the future will test not only our clinical capabilities but also our digital readiness. Rewriting the code of preparedness requires designing systems that are as intelligent, inclusive, and adaptive as the public health challenges we are certain to face.</w:t>
      </w:r>
    </w:p>
    <w:p w14:paraId="07D53E70" w14:textId="1AC8F2CE" w:rsidR="0072225B" w:rsidRPr="00EA1EDD" w:rsidRDefault="0072225B" w:rsidP="00B30BE1">
      <w:pPr>
        <w:spacing w:line="360" w:lineRule="auto"/>
        <w:rPr>
          <w:rFonts w:ascii="Times New Roman" w:hAnsi="Times New Roman" w:cs="Times New Roman"/>
          <w:sz w:val="24"/>
          <w:szCs w:val="24"/>
        </w:rPr>
      </w:pPr>
    </w:p>
    <w:p w14:paraId="2A179171" w14:textId="65337643" w:rsidR="0072225B" w:rsidRPr="00EA1EDD" w:rsidRDefault="0072225B" w:rsidP="00B30BE1">
      <w:pPr>
        <w:spacing w:line="360" w:lineRule="auto"/>
        <w:rPr>
          <w:rFonts w:ascii="Times New Roman" w:hAnsi="Times New Roman" w:cs="Times New Roman"/>
          <w:sz w:val="24"/>
          <w:szCs w:val="24"/>
        </w:rPr>
      </w:pPr>
    </w:p>
    <w:p w14:paraId="024CDCDC" w14:textId="59C18257" w:rsidR="0072225B" w:rsidRPr="00EA1EDD" w:rsidRDefault="0072225B" w:rsidP="00B30BE1">
      <w:pPr>
        <w:spacing w:line="360" w:lineRule="auto"/>
        <w:rPr>
          <w:rFonts w:ascii="Times New Roman" w:hAnsi="Times New Roman" w:cs="Times New Roman"/>
          <w:sz w:val="24"/>
          <w:szCs w:val="24"/>
        </w:rPr>
      </w:pPr>
    </w:p>
    <w:p w14:paraId="6FB23A11" w14:textId="5AA8B221" w:rsidR="0072225B" w:rsidRPr="00EA1EDD" w:rsidRDefault="0072225B"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t>REFERENCES</w:t>
      </w:r>
    </w:p>
    <w:p w14:paraId="4D9BCF36" w14:textId="77777777" w:rsidR="00F05330" w:rsidRPr="00EA1EDD" w:rsidRDefault="0072225B" w:rsidP="00F05330">
      <w:pPr>
        <w:pStyle w:val="Bibliography"/>
        <w:rPr>
          <w:rFonts w:ascii="Times New Roman" w:hAnsi="Times New Roman" w:cs="Times New Roman"/>
          <w:sz w:val="24"/>
        </w:rPr>
      </w:pPr>
      <w:r w:rsidRPr="00EA1EDD">
        <w:fldChar w:fldCharType="begin"/>
      </w:r>
      <w:r w:rsidRPr="00EA1EDD">
        <w:instrText xml:space="preserve"> ADDIN ZOTERO_BIBL {"uncited":[],"omitted":[],"custom":[]} CSL_BIBLIOGRAPHY </w:instrText>
      </w:r>
      <w:r w:rsidRPr="00EA1EDD">
        <w:fldChar w:fldCharType="separate"/>
      </w:r>
      <w:r w:rsidR="00F05330" w:rsidRPr="00EA1EDD">
        <w:rPr>
          <w:rFonts w:ascii="Times New Roman" w:hAnsi="Times New Roman" w:cs="Times New Roman"/>
          <w:sz w:val="24"/>
        </w:rPr>
        <w:t xml:space="preserve">1. </w:t>
      </w:r>
      <w:r w:rsidR="00F05330" w:rsidRPr="00EA1EDD">
        <w:rPr>
          <w:rFonts w:ascii="Times New Roman" w:hAnsi="Times New Roman" w:cs="Times New Roman"/>
          <w:sz w:val="24"/>
        </w:rPr>
        <w:tab/>
        <w:t xml:space="preserve">Lau DT, Sosa P, Dasgupta N, He H. Impact of the COVID-19 Pandemic on Public Health Surveillance and Survey Data Collections in the United States. Am J Public Health. 2021 Dec;111(12):2118–21. </w:t>
      </w:r>
    </w:p>
    <w:p w14:paraId="6D69249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 </w:t>
      </w:r>
      <w:r w:rsidRPr="00EA1EDD">
        <w:rPr>
          <w:rFonts w:ascii="Times New Roman" w:hAnsi="Times New Roman" w:cs="Times New Roman"/>
          <w:sz w:val="24"/>
        </w:rPr>
        <w:tab/>
        <w:t>Public Health COVID-19 Impact Assessment: Lessons Learned and Compelling Needs - NAM [Internet]. [cited 2025 Jul 9]. Available from: https://nam.edu/perspectives/public-health-covid-19-impact-assessment-lessons-learned-and-compelling-needs/</w:t>
      </w:r>
    </w:p>
    <w:p w14:paraId="75AE3961"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 </w:t>
      </w:r>
      <w:r w:rsidRPr="00EA1EDD">
        <w:rPr>
          <w:rFonts w:ascii="Times New Roman" w:hAnsi="Times New Roman" w:cs="Times New Roman"/>
          <w:sz w:val="24"/>
        </w:rPr>
        <w:tab/>
        <w:t>Lederberg J. Summary and Assessment. In: Public Health Systems and Emerging Infections: Assessing the Capabilities of the Public and Private Sectors: Workshop Summary [Internet]. National Academies Press (US); 2000 [cited 2025 Jul 9]. Available from: https://www.ncbi.nlm.nih.gov/books/NBK100244/</w:t>
      </w:r>
    </w:p>
    <w:p w14:paraId="37DC2DC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 </w:t>
      </w:r>
      <w:r w:rsidRPr="00EA1EDD">
        <w:rPr>
          <w:rFonts w:ascii="Times New Roman" w:hAnsi="Times New Roman" w:cs="Times New Roman"/>
          <w:sz w:val="24"/>
        </w:rPr>
        <w:tab/>
        <w:t xml:space="preserve">Ahmed MM, Okesanya OJ, Olaleke NO, Adigun OA, Adebayo UO, Oso TA, et al. Integrating Digital Health Innovations to Achieve Universal Health Coverage: Promoting Health Outcomes and Quality Through Global Public Health Equity. Healthcare. 2025 May 5;13(9):1060. </w:t>
      </w:r>
    </w:p>
    <w:p w14:paraId="14D62383"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5. </w:t>
      </w:r>
      <w:r w:rsidRPr="00EA1EDD">
        <w:rPr>
          <w:rFonts w:ascii="Times New Roman" w:hAnsi="Times New Roman" w:cs="Times New Roman"/>
          <w:sz w:val="24"/>
        </w:rPr>
        <w:tab/>
        <w:t xml:space="preserve">Bajwa J, Munir U, Nori A, Williams B. Artificial intelligence in healthcare: transforming the practice of medicine. Future Healthc J. 2021 Jul;8(2):e188–94. </w:t>
      </w:r>
    </w:p>
    <w:p w14:paraId="761D0CBD"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lastRenderedPageBreak/>
        <w:t xml:space="preserve">6. </w:t>
      </w:r>
      <w:r w:rsidRPr="00EA1EDD">
        <w:rPr>
          <w:rFonts w:ascii="Times New Roman" w:hAnsi="Times New Roman" w:cs="Times New Roman"/>
          <w:sz w:val="24"/>
        </w:rPr>
        <w:tab/>
        <w:t xml:space="preserve">Ezenwaji CO, Alum EU, Ugwu OPC. The role of digital health in pandemic preparedness and response: securing global health? Glob Health Action. 17(1):2419694. </w:t>
      </w:r>
    </w:p>
    <w:p w14:paraId="537E98A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7. </w:t>
      </w:r>
      <w:r w:rsidRPr="00EA1EDD">
        <w:rPr>
          <w:rFonts w:ascii="Times New Roman" w:hAnsi="Times New Roman" w:cs="Times New Roman"/>
          <w:sz w:val="24"/>
        </w:rPr>
        <w:tab/>
        <w:t xml:space="preserve">Filip R, Gheorghita Puscaselu R, Anchidin-Norocel L, Dimian M, Savage WK. Global Challenges to Public Health Care Systems during the COVID-19 Pandemic: A Review of Pandemic Measures and Problems. J Pers Med. 2022 Aug 7;12(8):1295. </w:t>
      </w:r>
    </w:p>
    <w:p w14:paraId="3AB44C50"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8. </w:t>
      </w:r>
      <w:r w:rsidRPr="00EA1EDD">
        <w:rPr>
          <w:rFonts w:ascii="Times New Roman" w:hAnsi="Times New Roman" w:cs="Times New Roman"/>
          <w:sz w:val="24"/>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31E071A1"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9. </w:t>
      </w:r>
      <w:r w:rsidRPr="00EA1EDD">
        <w:rPr>
          <w:rFonts w:ascii="Times New Roman" w:hAnsi="Times New Roman" w:cs="Times New Roman"/>
          <w:sz w:val="24"/>
        </w:rPr>
        <w:tab/>
        <w:t xml:space="preserve">Satterfield BA, Dikilitas O, Kullo IJ. Leveraging the Electronic Health Record to Address the COVID-19 Pandemic. Mayo Clin Proc. 2021 Jun;96(6):1592–608. </w:t>
      </w:r>
    </w:p>
    <w:p w14:paraId="0A73FBC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10. </w:t>
      </w:r>
      <w:r w:rsidRPr="00EA1EDD">
        <w:rPr>
          <w:rFonts w:ascii="Times New Roman" w:hAnsi="Times New Roman" w:cs="Times New Roman"/>
          <w:sz w:val="24"/>
        </w:rPr>
        <w:tab/>
        <w:t xml:space="preserve">Tomines A, Readhead H, Readhead A, Teutsch S. Applications of Electronic Health Information in Public Health: Uses, Opportunities &amp; Barriers. EGEMS (Wash DC). 2013 Oct 28;1(2):1019. </w:t>
      </w:r>
    </w:p>
    <w:p w14:paraId="1E8F471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11. </w:t>
      </w:r>
      <w:r w:rsidRPr="00EA1EDD">
        <w:rPr>
          <w:rFonts w:ascii="Times New Roman" w:hAnsi="Times New Roman" w:cs="Times New Roman"/>
          <w:sz w:val="24"/>
        </w:rPr>
        <w:tab/>
        <w:t xml:space="preserve">Vos JFJ, Boonstra A, Kooistra A, Seelen M, van Offenbeek M. The influence of electronic health record use on collaboration among medical specialties. BMC Health Services Research. 2020 Jul 22;20(1):676. </w:t>
      </w:r>
    </w:p>
    <w:p w14:paraId="79A79EA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12. </w:t>
      </w:r>
      <w:r w:rsidRPr="00EA1EDD">
        <w:rPr>
          <w:rFonts w:ascii="Times New Roman" w:hAnsi="Times New Roman" w:cs="Times New Roman"/>
          <w:sz w:val="24"/>
        </w:rPr>
        <w:tab/>
        <w:t xml:space="preserve">Chow BWK, Lim YD, Poh RCH, Ko A, Hong GH, Zou SWL, et al. Use of a digital contact tracing system in Singapore to mitigate COVID-19 spread. BMC Public Health. 2023 Nov 16;23(1):2253. </w:t>
      </w:r>
    </w:p>
    <w:p w14:paraId="2E7EC104"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13. </w:t>
      </w:r>
      <w:r w:rsidRPr="00EA1EDD">
        <w:rPr>
          <w:rFonts w:ascii="Times New Roman" w:hAnsi="Times New Roman" w:cs="Times New Roman"/>
          <w:sz w:val="24"/>
        </w:rPr>
        <w:tab/>
        <w:t xml:space="preserve">Hogan K, Macedo B, Macha V, Barman A, Jiang X. Contact Tracing Apps: Lessons Learned on Privacy, Autonomy, and the Need for Detailed and Thoughtful Implementation. JMIR Med Inform. 2021 Jul 19;9(7):e27449. </w:t>
      </w:r>
    </w:p>
    <w:p w14:paraId="4FBF879A"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14. </w:t>
      </w:r>
      <w:r w:rsidRPr="00EA1EDD">
        <w:rPr>
          <w:rFonts w:ascii="Times New Roman" w:hAnsi="Times New Roman" w:cs="Times New Roman"/>
          <w:sz w:val="24"/>
        </w:rPr>
        <w:tab/>
        <w:t xml:space="preserve">Pandit JA, Radin JM, Quer G, Topol EJ. Smartphone apps in the COVID-19 pandemic. Nat Biotechnol. 2022 Jul;40(7):1013–22. </w:t>
      </w:r>
    </w:p>
    <w:p w14:paraId="01C1EDED"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15. </w:t>
      </w:r>
      <w:r w:rsidRPr="00EA1EDD">
        <w:rPr>
          <w:rFonts w:ascii="Times New Roman" w:hAnsi="Times New Roman" w:cs="Times New Roman"/>
          <w:sz w:val="24"/>
        </w:rPr>
        <w:tab/>
        <w:t xml:space="preserve">Almeman A. The digital transformation in pharmacy: embracing online platforms and the cosmeceutical paradigm shift. Journal of Health, Population and Nutrition. 2024 May 8;43(1):60. </w:t>
      </w:r>
    </w:p>
    <w:p w14:paraId="07D13B73"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16. </w:t>
      </w:r>
      <w:r w:rsidRPr="00EA1EDD">
        <w:rPr>
          <w:rFonts w:ascii="Times New Roman" w:hAnsi="Times New Roman" w:cs="Times New Roman"/>
          <w:sz w:val="24"/>
        </w:rPr>
        <w:tab/>
        <w:t xml:space="preserve">Asimakopoulos G, Antonopoulou H, Giotopoulos K, Halkiopoulos C. Impact of Information and Communication Technologies on Democratic Processes and Citizen Participation. Societies. 2025 Feb;15(2):40. </w:t>
      </w:r>
    </w:p>
    <w:p w14:paraId="00E24D8D"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17. </w:t>
      </w:r>
      <w:r w:rsidRPr="00EA1EDD">
        <w:rPr>
          <w:rFonts w:ascii="Times New Roman" w:hAnsi="Times New Roman" w:cs="Times New Roman"/>
          <w:sz w:val="24"/>
        </w:rPr>
        <w:tab/>
        <w:t xml:space="preserve">Junaid SB, Imam AA, Balogun AO, Silva LCD, Surakat YA, Kumar G, et al. Recent Advancements in Emerging Technologies for Healthcare Management Systems: A Survey. Healthcare. 2022 Oct 3;10(10):1940. </w:t>
      </w:r>
    </w:p>
    <w:p w14:paraId="04C5C91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lastRenderedPageBreak/>
        <w:t xml:space="preserve">18. </w:t>
      </w:r>
      <w:r w:rsidRPr="00EA1EDD">
        <w:rPr>
          <w:rFonts w:ascii="Times New Roman" w:hAnsi="Times New Roman" w:cs="Times New Roman"/>
          <w:sz w:val="24"/>
        </w:rPr>
        <w:tab/>
        <w:t xml:space="preserve">Zeng D, Cao Z, Neill DB. Artificial intelligence–enabled public health surveillance—from local detection to global epidemic monitoring and control. Artificial Intelligence in Medicine. 2020 Sep 11;437. </w:t>
      </w:r>
    </w:p>
    <w:p w14:paraId="32C1699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19. </w:t>
      </w:r>
      <w:r w:rsidRPr="00EA1EDD">
        <w:rPr>
          <w:rFonts w:ascii="Times New Roman" w:hAnsi="Times New Roman" w:cs="Times New Roman"/>
          <w:sz w:val="24"/>
        </w:rPr>
        <w:tab/>
        <w:t xml:space="preserve">Vorisek CN, Lehne M, Klopfenstein SAI, Mayer PJ, Bartschke A, Haese T, et al. Fast Healthcare Interoperability Resources (FHIR) for Interoperability in Health Research: Systematic Review. JMIR Med Inform. 2022 Jul 19;10(7):e35724. </w:t>
      </w:r>
    </w:p>
    <w:p w14:paraId="40FD385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20. </w:t>
      </w:r>
      <w:r w:rsidRPr="00EA1EDD">
        <w:rPr>
          <w:rFonts w:ascii="Times New Roman" w:hAnsi="Times New Roman" w:cs="Times New Roman"/>
          <w:sz w:val="24"/>
        </w:rPr>
        <w:tab/>
        <w:t xml:space="preserve">Torab-Miandoab A, Samad-Soltani T, Jodati A, Rezaei-Hachesu P. Interoperability of heterogeneous health information systems: a systematic literature review. BMC Med Inform Decis Mak. 2023 Jan 24;23:18. </w:t>
      </w:r>
    </w:p>
    <w:p w14:paraId="4D677FD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21. </w:t>
      </w:r>
      <w:r w:rsidRPr="00EA1EDD">
        <w:rPr>
          <w:rFonts w:ascii="Times New Roman" w:hAnsi="Times New Roman" w:cs="Times New Roman"/>
          <w:sz w:val="24"/>
        </w:rPr>
        <w:tab/>
        <w:t xml:space="preserve">Cao Z, Liu C, Peng C, Ran Y, Yao Y, Xiao G, et al. Ebola virus VP35 perturbs type I interferon signaling to facilitate viral replication. Virol Sin. 2023 Oct 13;38(6):922–30. </w:t>
      </w:r>
    </w:p>
    <w:p w14:paraId="16A0C004"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22. </w:t>
      </w:r>
      <w:r w:rsidRPr="00EA1EDD">
        <w:rPr>
          <w:rFonts w:ascii="Times New Roman" w:hAnsi="Times New Roman" w:cs="Times New Roman"/>
          <w:sz w:val="24"/>
        </w:rPr>
        <w:tab/>
        <w:t xml:space="preserve">Jahn B, Friedrich S, Behnke J, Engel J, Garczarek U, Münnich R, et al. On the role of data, statistics and decisions in a pandemic. AStA Adv Stat Anal. 2022 Sep 1;106(3):349–82. </w:t>
      </w:r>
    </w:p>
    <w:p w14:paraId="2FF3098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23. </w:t>
      </w:r>
      <w:r w:rsidRPr="00EA1EDD">
        <w:rPr>
          <w:rFonts w:ascii="Times New Roman" w:hAnsi="Times New Roman" w:cs="Times New Roman"/>
          <w:sz w:val="24"/>
        </w:rPr>
        <w:tab/>
        <w:t xml:space="preserve">Tsai CH, Eghdam A, Davoody N, Wright G, Flowerday S, Koch S. Effects of Electronic Health Record Implementation and Barriers to Adoption and Use: A Scoping Review and Qualitative Analysis of the Content. Life (Basel). 2020 Dec 4;10(12):327. </w:t>
      </w:r>
    </w:p>
    <w:p w14:paraId="19C27DF5"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24. </w:t>
      </w:r>
      <w:r w:rsidRPr="00EA1EDD">
        <w:rPr>
          <w:rFonts w:ascii="Times New Roman" w:hAnsi="Times New Roman" w:cs="Times New Roman"/>
          <w:sz w:val="24"/>
        </w:rPr>
        <w:tab/>
        <w:t xml:space="preserve">Evans RS. Electronic Health Records: Then, Now, and in the Future. Yearb Med Inform. 2016 May 20;(Suppl 1):S48–61. </w:t>
      </w:r>
    </w:p>
    <w:p w14:paraId="5566CCA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25. </w:t>
      </w:r>
      <w:r w:rsidRPr="00EA1EDD">
        <w:rPr>
          <w:rFonts w:ascii="Times New Roman" w:hAnsi="Times New Roman" w:cs="Times New Roman"/>
          <w:sz w:val="24"/>
        </w:rPr>
        <w:tab/>
        <w:t xml:space="preserve">Bernier A, Molnár-Gábor F, Knoppers BM. The international data governance landscape. J Law Biosci. 2022 Apr 4;9(1):lsac005. </w:t>
      </w:r>
    </w:p>
    <w:p w14:paraId="63C6531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26. </w:t>
      </w:r>
      <w:r w:rsidRPr="00EA1EDD">
        <w:rPr>
          <w:rFonts w:ascii="Times New Roman" w:hAnsi="Times New Roman" w:cs="Times New Roman"/>
          <w:sz w:val="24"/>
        </w:rPr>
        <w:tab/>
        <w:t xml:space="preserve">Tacconelli E, Gorska A, Carrara E, Davis RJ, Bonten M, Friedrich AW, et al. Challenges of data sharing in European Covid-19 projects: A learning opportunity for advancing pandemic preparedness and response. The Lancet Regional Health - Europe. 2022 Oct 1;21:100467. </w:t>
      </w:r>
    </w:p>
    <w:p w14:paraId="4A6FC366"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27. </w:t>
      </w:r>
      <w:r w:rsidRPr="00EA1EDD">
        <w:rPr>
          <w:rFonts w:ascii="Times New Roman" w:hAnsi="Times New Roman" w:cs="Times New Roman"/>
          <w:sz w:val="24"/>
        </w:rPr>
        <w:tab/>
        <w:t xml:space="preserve">Lal A, Abdalla SM, Chattu VK, Erondu NA, Lee TL, Singh S, et al. Pandemic preparedness and response: exploring the role of universal health coverage within the global health security architecture. Lancet Glob Health. 2022 Nov;10(11):e1675–83. </w:t>
      </w:r>
    </w:p>
    <w:p w14:paraId="3CA7F28D"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28. </w:t>
      </w:r>
      <w:r w:rsidRPr="00EA1EDD">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1210E48A"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29. </w:t>
      </w:r>
      <w:r w:rsidRPr="00EA1EDD">
        <w:rPr>
          <w:rFonts w:ascii="Times New Roman" w:hAnsi="Times New Roman" w:cs="Times New Roman"/>
          <w:sz w:val="24"/>
        </w:rPr>
        <w:tab/>
        <w:t xml:space="preserve">Donelle L, Comer L, Hiebert B, Hall J, Shelley JJ, Smith MJ, et al. Use of digital technologies for public health surveillance during the COVID-19 pandemic: A scoping review. Digit Health. 2023 May 17;9:20552076231173220. </w:t>
      </w:r>
    </w:p>
    <w:p w14:paraId="2D1C4964"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30. </w:t>
      </w:r>
      <w:r w:rsidRPr="00EA1EDD">
        <w:rPr>
          <w:rFonts w:ascii="Times New Roman" w:hAnsi="Times New Roman" w:cs="Times New Roman"/>
          <w:sz w:val="24"/>
        </w:rPr>
        <w:tab/>
        <w:t xml:space="preserve">Lawal OP, Igwe EP, Olosunde A, Chisom EP, Okeh DU, Olowookere AK, et al. Integrating Real-Time Data and Machine Learning in Predicting Infectious Disease Outbreaks: </w:t>
      </w:r>
      <w:r w:rsidRPr="00EA1EDD">
        <w:rPr>
          <w:rFonts w:ascii="Times New Roman" w:hAnsi="Times New Roman" w:cs="Times New Roman"/>
          <w:sz w:val="24"/>
        </w:rPr>
        <w:lastRenderedPageBreak/>
        <w:t xml:space="preserve">Enhancing Response Strategies in Sub-Saharan Africa. Asian Journal of Microbiology and Biotechnology. 2025 May 28;10(1):147–63. </w:t>
      </w:r>
    </w:p>
    <w:p w14:paraId="31385134"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31. </w:t>
      </w:r>
      <w:r w:rsidRPr="00EA1EDD">
        <w:rPr>
          <w:rFonts w:ascii="Times New Roman" w:hAnsi="Times New Roman" w:cs="Times New Roman"/>
          <w:sz w:val="24"/>
        </w:rPr>
        <w:tab/>
        <w:t xml:space="preserve">Hogan K, Macedo B, Macha V, Barman A, Jiang X. Contact Tracing Apps: Lessons Learned on Privacy, Autonomy, and the Need for Detailed and Thoughtful Implementation. JMIR Med Inform. 2021 Jul 19;9(7):e27449. </w:t>
      </w:r>
    </w:p>
    <w:p w14:paraId="5890037E"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32. </w:t>
      </w:r>
      <w:r w:rsidRPr="00EA1EDD">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27E2DD2E"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33. </w:t>
      </w:r>
      <w:r w:rsidRPr="00EA1EDD">
        <w:rPr>
          <w:rFonts w:ascii="Times New Roman" w:hAnsi="Times New Roman" w:cs="Times New Roman"/>
          <w:sz w:val="24"/>
        </w:rP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454BF07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34. </w:t>
      </w:r>
      <w:r w:rsidRPr="00EA1EDD">
        <w:rPr>
          <w:rFonts w:ascii="Times New Roman" w:hAnsi="Times New Roman" w:cs="Times New Roman"/>
          <w:sz w:val="24"/>
        </w:rPr>
        <w:tab/>
        <w:t xml:space="preserve">Seberger JS, Patil S. Post-COVID Public Health Surveillance and Privacy Expectations in the United States: Scenario-Based Interview Study. JMIR Mhealth Uhealth. 2021 Oct 5;9(10):e30871. </w:t>
      </w:r>
    </w:p>
    <w:p w14:paraId="0D5525B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35. </w:t>
      </w:r>
      <w:r w:rsidRPr="00EA1EDD">
        <w:rPr>
          <w:rFonts w:ascii="Times New Roman" w:hAnsi="Times New Roman" w:cs="Times New Roman"/>
          <w:sz w:val="24"/>
        </w:rPr>
        <w:tab/>
        <w:t xml:space="preserve">Wang X, Wu YC, Zhou M, Fu H. Beyond surveillance: privacy, ethics, and regulations in face recognition technology. Front Big Data. 2024 Jul 3;7:1337465. </w:t>
      </w:r>
    </w:p>
    <w:p w14:paraId="16952D42"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36. </w:t>
      </w:r>
      <w:r w:rsidRPr="00EA1EDD">
        <w:rPr>
          <w:rFonts w:ascii="Times New Roman" w:hAnsi="Times New Roman" w:cs="Times New Roman"/>
          <w:sz w:val="24"/>
        </w:rPr>
        <w:tab/>
        <w:t xml:space="preserve">Folorunsho S, Ajayi V, Sanmori M, Suleiman M, Abdullateef R, Abdulganiyu A. Access to and Utilization of Dental Care Services by Older Adults in Nigeria: Barriers and Facilitators. Special Care in Dentistry. 2025;45(3):e70040. </w:t>
      </w:r>
    </w:p>
    <w:p w14:paraId="73F60AE6"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37. </w:t>
      </w:r>
      <w:r w:rsidRPr="00EA1EDD">
        <w:rPr>
          <w:rFonts w:ascii="Times New Roman" w:hAnsi="Times New Roman" w:cs="Times New Roman"/>
          <w:sz w:val="24"/>
        </w:rPr>
        <w:tab/>
        <w:t>Bolgouras V, Zarras A, Leka C, Stylianou I, Farao A, Xenakis C. Eu regulatory ecosystem for ethical AI. AI Ethics [Internet]. 2025 Jun 2 [cited 2025 Jul 9]; Available from: https://doi.org/10.1007/s43681-025-00749-x</w:t>
      </w:r>
    </w:p>
    <w:p w14:paraId="410D162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38. </w:t>
      </w:r>
      <w:r w:rsidRPr="00EA1EDD">
        <w:rPr>
          <w:rFonts w:ascii="Times New Roman" w:hAnsi="Times New Roman" w:cs="Times New Roman"/>
          <w:sz w:val="24"/>
        </w:rPr>
        <w:tab/>
        <w:t xml:space="preserve">Wacksman J. Digitalization of contact tracing: balancing data privacy with public health benefit. Ethics Inf Technol. 2021;23(4):855–61. </w:t>
      </w:r>
    </w:p>
    <w:p w14:paraId="2E17FF6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39. </w:t>
      </w:r>
      <w:r w:rsidRPr="00EA1EDD">
        <w:rPr>
          <w:rFonts w:ascii="Times New Roman" w:hAnsi="Times New Roman" w:cs="Times New Roman"/>
          <w:sz w:val="24"/>
        </w:rPr>
        <w:tab/>
        <w:t xml:space="preserve">Anastasiadou O, Tsipouras M, Mpogiatzidis P, Angelidis P. Digital Healthcare Innovative Services in Times of Crisis: A Literature Review. Healthcare (Basel). 2025 Apr 12;13(8):889. </w:t>
      </w:r>
    </w:p>
    <w:p w14:paraId="69AF0550"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40. </w:t>
      </w:r>
      <w:r w:rsidRPr="00EA1EDD">
        <w:rPr>
          <w:rFonts w:ascii="Times New Roman" w:hAnsi="Times New Roman" w:cs="Times New Roman"/>
          <w:sz w:val="24"/>
        </w:rPr>
        <w:tab/>
        <w:t xml:space="preserve">Ayomide IT, Promise LO, Christopher AA, Okikiola PP, Esther AD, Favour AC, et al. The Impact of Antimicrobial Resistance on Co-INFECTIONS: Management Strategies for HIV, TB and Malaria. International Journal of Pathogen Research. 2024 Nov;13(6):117–28. </w:t>
      </w:r>
    </w:p>
    <w:p w14:paraId="7A6BAC8B"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41. </w:t>
      </w:r>
      <w:r w:rsidRPr="00EA1EDD">
        <w:rPr>
          <w:rFonts w:ascii="Times New Roman" w:hAnsi="Times New Roman" w:cs="Times New Roman"/>
          <w:sz w:val="24"/>
        </w:rPr>
        <w:tab/>
        <w:t xml:space="preserve">Folorunsho S, Ajayi V, Abdulrazaq O. Juvenile delinquency as a contemporary issue in Nigeria: understanding the impacts of parenting styles, single parenting and marital discord. African Journal of Social Issues. 2024 Mar 23;7(1):116–32. </w:t>
      </w:r>
    </w:p>
    <w:p w14:paraId="0FC75293"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lastRenderedPageBreak/>
        <w:t xml:space="preserve">42. </w:t>
      </w:r>
      <w:r w:rsidRPr="00EA1EDD">
        <w:rPr>
          <w:rFonts w:ascii="Times New Roman" w:hAnsi="Times New Roman" w:cs="Times New Roman"/>
          <w:sz w:val="24"/>
        </w:rP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6CB79177"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43. </w:t>
      </w:r>
      <w:r w:rsidRPr="00EA1EDD">
        <w:rPr>
          <w:rFonts w:ascii="Times New Roman" w:hAnsi="Times New Roman" w:cs="Times New Roman"/>
          <w:sz w:val="24"/>
        </w:rPr>
        <w:tab/>
        <w:t xml:space="preserve">Kostkova P, Saigí-Rubió F, Eguia H, Borbolla D, Verschuuren M, Hamilton C, et al. Data and Digital Solutions to Support Surveillance Strategies in the Context of the COVID-19 Pandemic. Front Digit Health. 2021 Aug 6;3:707902. </w:t>
      </w:r>
    </w:p>
    <w:p w14:paraId="595467AF"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44. </w:t>
      </w:r>
      <w:r w:rsidRPr="00EA1EDD">
        <w:rPr>
          <w:rFonts w:ascii="Times New Roman" w:hAnsi="Times New Roman" w:cs="Times New Roman"/>
          <w:sz w:val="24"/>
        </w:rPr>
        <w:tab/>
        <w:t xml:space="preserve">Bedi JS, Vijay D, Dhaka P, Gill JPS, Barbuddhe SB. Emergency preparedness for public health threats, surveillance, modelling &amp; forecasting. The Indian Journal of Medical Research. 2021 Mar;153(3):287. </w:t>
      </w:r>
    </w:p>
    <w:p w14:paraId="161A7C51"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45. </w:t>
      </w:r>
      <w:r w:rsidRPr="00EA1EDD">
        <w:rPr>
          <w:rFonts w:ascii="Times New Roman" w:hAnsi="Times New Roman" w:cs="Times New Roman"/>
          <w:sz w:val="24"/>
        </w:rPr>
        <w:tab/>
        <w:t xml:space="preserve">Kruk ME, Gage AD, Arsenault C, Jordan K, Leslie HH, Roder-DeWan S, et al. High-quality health systems in the Sustainable Development Goals era: time for a revolution. Lancet Glob Health. 2018;6:e1196–252. </w:t>
      </w:r>
    </w:p>
    <w:p w14:paraId="111FFDCE"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46. </w:t>
      </w:r>
      <w:r w:rsidRPr="00EA1EDD">
        <w:rPr>
          <w:rFonts w:ascii="Times New Roman" w:hAnsi="Times New Roman" w:cs="Times New Roman"/>
          <w:sz w:val="24"/>
        </w:rPr>
        <w:tab/>
        <w:t xml:space="preserve">Elechi KW, Igboaka CD, Tiamiyu BB, Ugbor MJE, Arthur C, Ezeh OM, et al. Phytochemical Screening of Ficus globosa Latex (Moraceae) as a Source of Novel Antimicrobial Compounds. Path of Science. 2025 Mar 31;11(3):9001–10. </w:t>
      </w:r>
    </w:p>
    <w:p w14:paraId="13587B2A"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47. </w:t>
      </w:r>
      <w:r w:rsidRPr="00EA1EDD">
        <w:rPr>
          <w:rFonts w:ascii="Times New Roman" w:hAnsi="Times New Roman" w:cs="Times New Roman"/>
          <w:sz w:val="24"/>
        </w:rPr>
        <w:tab/>
        <w:t xml:space="preserve">Towett G, Snead RS, Grigoryan K, Marczika J. Geographical and practical challenges in the implementation of digital health passports for cross-border COVID-19 pandemic management: a narrative review and framework for solutions. Globalization and Health. 2023 Dec 8;19(1):98. </w:t>
      </w:r>
    </w:p>
    <w:p w14:paraId="4479BDFE"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48. </w:t>
      </w:r>
      <w:r w:rsidRPr="00EA1EDD">
        <w:rPr>
          <w:rFonts w:ascii="Times New Roman" w:hAnsi="Times New Roman" w:cs="Times New Roman"/>
          <w:sz w:val="24"/>
        </w:rPr>
        <w:tab/>
        <w:t xml:space="preserve">Walter Y. Managing the race to the moon: Global policy and governance in Artificial Intelligence regulation—A contemporary overview and an analysis of socioeconomic consequences. Discov Artif Intell. 2024 Feb 26;4(1):14. </w:t>
      </w:r>
    </w:p>
    <w:p w14:paraId="0D7A9AE9"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49. </w:t>
      </w:r>
      <w:r w:rsidRPr="00EA1EDD">
        <w:rPr>
          <w:rFonts w:ascii="Times New Roman" w:hAnsi="Times New Roman" w:cs="Times New Roman"/>
          <w:sz w:val="24"/>
        </w:rPr>
        <w:tab/>
        <w:t>Lukman A, Folorunsho S, Taofeeq A. Social Determinants of Health and Aging in Africa: Structural Inequality, Vulnerability, and the Future of Care. Department of Sociology: Faculty Publications [Internet]. 2025 Jan 1; Available from: https://digitalcommons.unl.edu/sociologyfacpub/867</w:t>
      </w:r>
    </w:p>
    <w:p w14:paraId="339583C2" w14:textId="77777777" w:rsidR="00F05330" w:rsidRPr="00EA1EDD" w:rsidRDefault="00F05330" w:rsidP="00F05330">
      <w:pPr>
        <w:pStyle w:val="Bibliography"/>
        <w:rPr>
          <w:rFonts w:ascii="Times New Roman" w:hAnsi="Times New Roman" w:cs="Times New Roman"/>
          <w:sz w:val="24"/>
        </w:rPr>
      </w:pPr>
      <w:r w:rsidRPr="00EA1EDD">
        <w:rPr>
          <w:rFonts w:ascii="Times New Roman" w:hAnsi="Times New Roman" w:cs="Times New Roman"/>
          <w:sz w:val="24"/>
        </w:rPr>
        <w:t xml:space="preserve">50. </w:t>
      </w:r>
      <w:r w:rsidRPr="00EA1EDD">
        <w:rPr>
          <w:rFonts w:ascii="Times New Roman" w:hAnsi="Times New Roman" w:cs="Times New Roman"/>
          <w:sz w:val="24"/>
        </w:rPr>
        <w:tab/>
        <w:t>Folorunsho S. The Role of Social Determinants of Health in Shaping Racial and Disability Disparities Among Older Adults in the United States. Journal of Aging &amp; Social Policy [Internet]. 2025 Jul 4 [cited 2025 Jul 9]; Available from: https://www.tandfonline.com/doi/abs/10.1080/08959420.2025.2528584</w:t>
      </w:r>
    </w:p>
    <w:p w14:paraId="14C680C5" w14:textId="50685841" w:rsidR="0072225B" w:rsidRPr="00B30BE1" w:rsidRDefault="0072225B" w:rsidP="00B30BE1">
      <w:pPr>
        <w:spacing w:line="360" w:lineRule="auto"/>
        <w:rPr>
          <w:rFonts w:ascii="Times New Roman" w:hAnsi="Times New Roman" w:cs="Times New Roman"/>
          <w:sz w:val="24"/>
          <w:szCs w:val="24"/>
        </w:rPr>
      </w:pPr>
      <w:r w:rsidRPr="00EA1EDD">
        <w:rPr>
          <w:rFonts w:ascii="Times New Roman" w:hAnsi="Times New Roman" w:cs="Times New Roman"/>
          <w:sz w:val="24"/>
          <w:szCs w:val="24"/>
        </w:rPr>
        <w:fldChar w:fldCharType="end"/>
      </w:r>
    </w:p>
    <w:p w14:paraId="7EA26160" w14:textId="77777777" w:rsidR="00103130" w:rsidRPr="00F679F7" w:rsidRDefault="00103130">
      <w:pPr>
        <w:rPr>
          <w:rFonts w:ascii="Times New Roman" w:hAnsi="Times New Roman" w:cs="Times New Roman"/>
          <w:sz w:val="24"/>
          <w:szCs w:val="24"/>
        </w:rPr>
      </w:pPr>
    </w:p>
    <w:sectPr w:rsidR="00103130" w:rsidRPr="00F679F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FC36F" w14:textId="77777777" w:rsidR="008464BA" w:rsidRDefault="008464BA" w:rsidP="00A632BC">
      <w:pPr>
        <w:spacing w:after="0" w:line="240" w:lineRule="auto"/>
      </w:pPr>
      <w:r>
        <w:separator/>
      </w:r>
    </w:p>
  </w:endnote>
  <w:endnote w:type="continuationSeparator" w:id="0">
    <w:p w14:paraId="5F53E8D8" w14:textId="77777777" w:rsidR="008464BA" w:rsidRDefault="008464BA" w:rsidP="00A6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FC41" w14:textId="77777777" w:rsidR="00A632BC" w:rsidRDefault="00A63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0B502" w14:textId="77777777" w:rsidR="00A632BC" w:rsidRDefault="00A63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FA3D" w14:textId="77777777" w:rsidR="00A632BC" w:rsidRDefault="00A63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27087" w14:textId="77777777" w:rsidR="008464BA" w:rsidRDefault="008464BA" w:rsidP="00A632BC">
      <w:pPr>
        <w:spacing w:after="0" w:line="240" w:lineRule="auto"/>
      </w:pPr>
      <w:r>
        <w:separator/>
      </w:r>
    </w:p>
  </w:footnote>
  <w:footnote w:type="continuationSeparator" w:id="0">
    <w:p w14:paraId="5DCBC1B4" w14:textId="77777777" w:rsidR="008464BA" w:rsidRDefault="008464BA" w:rsidP="00A63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D85" w14:textId="69EDA138" w:rsidR="00A632BC" w:rsidRDefault="00A632BC">
    <w:pPr>
      <w:pStyle w:val="Header"/>
    </w:pPr>
    <w:r>
      <w:rPr>
        <w:noProof/>
      </w:rPr>
      <w:pict w14:anchorId="1EBA3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192C" w14:textId="5FA1C329" w:rsidR="00A632BC" w:rsidRDefault="00A632BC">
    <w:pPr>
      <w:pStyle w:val="Header"/>
    </w:pPr>
    <w:r>
      <w:rPr>
        <w:noProof/>
      </w:rPr>
      <w:pict w14:anchorId="5C6D1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E14A" w14:textId="542B4126" w:rsidR="00A632BC" w:rsidRDefault="00A632BC">
    <w:pPr>
      <w:pStyle w:val="Header"/>
    </w:pPr>
    <w:r>
      <w:rPr>
        <w:noProof/>
      </w:rPr>
      <w:pict w14:anchorId="3AAB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376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B75FEE"/>
    <w:multiLevelType w:val="multilevel"/>
    <w:tmpl w:val="B9186B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30"/>
    <w:rsid w:val="000B0BE8"/>
    <w:rsid w:val="00103130"/>
    <w:rsid w:val="0017520D"/>
    <w:rsid w:val="002467D4"/>
    <w:rsid w:val="00252003"/>
    <w:rsid w:val="0026451C"/>
    <w:rsid w:val="002665A8"/>
    <w:rsid w:val="002D6C28"/>
    <w:rsid w:val="003768A0"/>
    <w:rsid w:val="00437C5F"/>
    <w:rsid w:val="004600FA"/>
    <w:rsid w:val="004F29EA"/>
    <w:rsid w:val="00541131"/>
    <w:rsid w:val="0063323F"/>
    <w:rsid w:val="006B4242"/>
    <w:rsid w:val="006D5518"/>
    <w:rsid w:val="0072225B"/>
    <w:rsid w:val="00782A74"/>
    <w:rsid w:val="0079135E"/>
    <w:rsid w:val="008464BA"/>
    <w:rsid w:val="00966B6E"/>
    <w:rsid w:val="00A632BC"/>
    <w:rsid w:val="00B30BE1"/>
    <w:rsid w:val="00CC066B"/>
    <w:rsid w:val="00CE3FFF"/>
    <w:rsid w:val="00D0386D"/>
    <w:rsid w:val="00D91605"/>
    <w:rsid w:val="00DF21D0"/>
    <w:rsid w:val="00EA1EDD"/>
    <w:rsid w:val="00F05330"/>
    <w:rsid w:val="00F6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3F0CA"/>
  <w15:chartTrackingRefBased/>
  <w15:docId w15:val="{88C8E205-501C-4981-971D-A6C576942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031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313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031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130"/>
    <w:rPr>
      <w:b/>
      <w:bCs/>
    </w:rPr>
  </w:style>
  <w:style w:type="character" w:styleId="Emphasis">
    <w:name w:val="Emphasis"/>
    <w:basedOn w:val="DefaultParagraphFont"/>
    <w:uiPriority w:val="20"/>
    <w:qFormat/>
    <w:rsid w:val="00103130"/>
    <w:rPr>
      <w:i/>
      <w:iCs/>
    </w:rPr>
  </w:style>
  <w:style w:type="paragraph" w:styleId="ListParagraph">
    <w:name w:val="List Paragraph"/>
    <w:basedOn w:val="Normal"/>
    <w:uiPriority w:val="34"/>
    <w:qFormat/>
    <w:rsid w:val="00103130"/>
    <w:pPr>
      <w:ind w:left="720"/>
      <w:contextualSpacing/>
    </w:pPr>
  </w:style>
  <w:style w:type="paragraph" w:styleId="Bibliography">
    <w:name w:val="Bibliography"/>
    <w:basedOn w:val="Normal"/>
    <w:next w:val="Normal"/>
    <w:uiPriority w:val="37"/>
    <w:unhideWhenUsed/>
    <w:rsid w:val="0072225B"/>
    <w:pPr>
      <w:tabs>
        <w:tab w:val="left" w:pos="504"/>
      </w:tabs>
      <w:spacing w:after="240" w:line="240" w:lineRule="auto"/>
      <w:ind w:left="504" w:hanging="504"/>
    </w:pPr>
  </w:style>
  <w:style w:type="character" w:styleId="Hyperlink">
    <w:name w:val="Hyperlink"/>
    <w:basedOn w:val="DefaultParagraphFont"/>
    <w:uiPriority w:val="99"/>
    <w:unhideWhenUsed/>
    <w:rsid w:val="00EA1EDD"/>
    <w:rPr>
      <w:color w:val="0563C1" w:themeColor="hyperlink"/>
      <w:u w:val="single"/>
    </w:rPr>
  </w:style>
  <w:style w:type="character" w:styleId="UnresolvedMention">
    <w:name w:val="Unresolved Mention"/>
    <w:basedOn w:val="DefaultParagraphFont"/>
    <w:uiPriority w:val="99"/>
    <w:semiHidden/>
    <w:unhideWhenUsed/>
    <w:rsid w:val="00EA1EDD"/>
    <w:rPr>
      <w:color w:val="605E5C"/>
      <w:shd w:val="clear" w:color="auto" w:fill="E1DFDD"/>
    </w:rPr>
  </w:style>
  <w:style w:type="paragraph" w:styleId="Header">
    <w:name w:val="header"/>
    <w:basedOn w:val="Normal"/>
    <w:link w:val="HeaderChar"/>
    <w:uiPriority w:val="99"/>
    <w:unhideWhenUsed/>
    <w:rsid w:val="00A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2BC"/>
  </w:style>
  <w:style w:type="paragraph" w:styleId="Footer">
    <w:name w:val="footer"/>
    <w:basedOn w:val="Normal"/>
    <w:link w:val="FooterChar"/>
    <w:uiPriority w:val="99"/>
    <w:unhideWhenUsed/>
    <w:rsid w:val="00A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3735">
      <w:bodyDiv w:val="1"/>
      <w:marLeft w:val="0"/>
      <w:marRight w:val="0"/>
      <w:marTop w:val="0"/>
      <w:marBottom w:val="0"/>
      <w:divBdr>
        <w:top w:val="none" w:sz="0" w:space="0" w:color="auto"/>
        <w:left w:val="none" w:sz="0" w:space="0" w:color="auto"/>
        <w:bottom w:val="none" w:sz="0" w:space="0" w:color="auto"/>
        <w:right w:val="none" w:sz="0" w:space="0" w:color="auto"/>
      </w:divBdr>
    </w:div>
    <w:div w:id="207570230">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95124845">
      <w:bodyDiv w:val="1"/>
      <w:marLeft w:val="0"/>
      <w:marRight w:val="0"/>
      <w:marTop w:val="0"/>
      <w:marBottom w:val="0"/>
      <w:divBdr>
        <w:top w:val="none" w:sz="0" w:space="0" w:color="auto"/>
        <w:left w:val="none" w:sz="0" w:space="0" w:color="auto"/>
        <w:bottom w:val="none" w:sz="0" w:space="0" w:color="auto"/>
        <w:right w:val="none" w:sz="0" w:space="0" w:color="auto"/>
      </w:divBdr>
    </w:div>
    <w:div w:id="489954254">
      <w:bodyDiv w:val="1"/>
      <w:marLeft w:val="0"/>
      <w:marRight w:val="0"/>
      <w:marTop w:val="0"/>
      <w:marBottom w:val="0"/>
      <w:divBdr>
        <w:top w:val="none" w:sz="0" w:space="0" w:color="auto"/>
        <w:left w:val="none" w:sz="0" w:space="0" w:color="auto"/>
        <w:bottom w:val="none" w:sz="0" w:space="0" w:color="auto"/>
        <w:right w:val="none" w:sz="0" w:space="0" w:color="auto"/>
      </w:divBdr>
    </w:div>
    <w:div w:id="609706825">
      <w:bodyDiv w:val="1"/>
      <w:marLeft w:val="0"/>
      <w:marRight w:val="0"/>
      <w:marTop w:val="0"/>
      <w:marBottom w:val="0"/>
      <w:divBdr>
        <w:top w:val="none" w:sz="0" w:space="0" w:color="auto"/>
        <w:left w:val="none" w:sz="0" w:space="0" w:color="auto"/>
        <w:bottom w:val="none" w:sz="0" w:space="0" w:color="auto"/>
        <w:right w:val="none" w:sz="0" w:space="0" w:color="auto"/>
      </w:divBdr>
    </w:div>
    <w:div w:id="719743152">
      <w:bodyDiv w:val="1"/>
      <w:marLeft w:val="0"/>
      <w:marRight w:val="0"/>
      <w:marTop w:val="0"/>
      <w:marBottom w:val="0"/>
      <w:divBdr>
        <w:top w:val="none" w:sz="0" w:space="0" w:color="auto"/>
        <w:left w:val="none" w:sz="0" w:space="0" w:color="auto"/>
        <w:bottom w:val="none" w:sz="0" w:space="0" w:color="auto"/>
        <w:right w:val="none" w:sz="0" w:space="0" w:color="auto"/>
      </w:divBdr>
    </w:div>
    <w:div w:id="743262838">
      <w:bodyDiv w:val="1"/>
      <w:marLeft w:val="0"/>
      <w:marRight w:val="0"/>
      <w:marTop w:val="0"/>
      <w:marBottom w:val="0"/>
      <w:divBdr>
        <w:top w:val="none" w:sz="0" w:space="0" w:color="auto"/>
        <w:left w:val="none" w:sz="0" w:space="0" w:color="auto"/>
        <w:bottom w:val="none" w:sz="0" w:space="0" w:color="auto"/>
        <w:right w:val="none" w:sz="0" w:space="0" w:color="auto"/>
      </w:divBdr>
    </w:div>
    <w:div w:id="792136405">
      <w:bodyDiv w:val="1"/>
      <w:marLeft w:val="0"/>
      <w:marRight w:val="0"/>
      <w:marTop w:val="0"/>
      <w:marBottom w:val="0"/>
      <w:divBdr>
        <w:top w:val="none" w:sz="0" w:space="0" w:color="auto"/>
        <w:left w:val="none" w:sz="0" w:space="0" w:color="auto"/>
        <w:bottom w:val="none" w:sz="0" w:space="0" w:color="auto"/>
        <w:right w:val="none" w:sz="0" w:space="0" w:color="auto"/>
      </w:divBdr>
    </w:div>
    <w:div w:id="800415734">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55773172">
      <w:bodyDiv w:val="1"/>
      <w:marLeft w:val="0"/>
      <w:marRight w:val="0"/>
      <w:marTop w:val="0"/>
      <w:marBottom w:val="0"/>
      <w:divBdr>
        <w:top w:val="none" w:sz="0" w:space="0" w:color="auto"/>
        <w:left w:val="none" w:sz="0" w:space="0" w:color="auto"/>
        <w:bottom w:val="none" w:sz="0" w:space="0" w:color="auto"/>
        <w:right w:val="none" w:sz="0" w:space="0" w:color="auto"/>
      </w:divBdr>
    </w:div>
    <w:div w:id="877812768">
      <w:bodyDiv w:val="1"/>
      <w:marLeft w:val="0"/>
      <w:marRight w:val="0"/>
      <w:marTop w:val="0"/>
      <w:marBottom w:val="0"/>
      <w:divBdr>
        <w:top w:val="none" w:sz="0" w:space="0" w:color="auto"/>
        <w:left w:val="none" w:sz="0" w:space="0" w:color="auto"/>
        <w:bottom w:val="none" w:sz="0" w:space="0" w:color="auto"/>
        <w:right w:val="none" w:sz="0" w:space="0" w:color="auto"/>
      </w:divBdr>
    </w:div>
    <w:div w:id="890963039">
      <w:bodyDiv w:val="1"/>
      <w:marLeft w:val="0"/>
      <w:marRight w:val="0"/>
      <w:marTop w:val="0"/>
      <w:marBottom w:val="0"/>
      <w:divBdr>
        <w:top w:val="none" w:sz="0" w:space="0" w:color="auto"/>
        <w:left w:val="none" w:sz="0" w:space="0" w:color="auto"/>
        <w:bottom w:val="none" w:sz="0" w:space="0" w:color="auto"/>
        <w:right w:val="none" w:sz="0" w:space="0" w:color="auto"/>
      </w:divBdr>
    </w:div>
    <w:div w:id="933050620">
      <w:bodyDiv w:val="1"/>
      <w:marLeft w:val="0"/>
      <w:marRight w:val="0"/>
      <w:marTop w:val="0"/>
      <w:marBottom w:val="0"/>
      <w:divBdr>
        <w:top w:val="none" w:sz="0" w:space="0" w:color="auto"/>
        <w:left w:val="none" w:sz="0" w:space="0" w:color="auto"/>
        <w:bottom w:val="none" w:sz="0" w:space="0" w:color="auto"/>
        <w:right w:val="none" w:sz="0" w:space="0" w:color="auto"/>
      </w:divBdr>
    </w:div>
    <w:div w:id="963073692">
      <w:bodyDiv w:val="1"/>
      <w:marLeft w:val="0"/>
      <w:marRight w:val="0"/>
      <w:marTop w:val="0"/>
      <w:marBottom w:val="0"/>
      <w:divBdr>
        <w:top w:val="none" w:sz="0" w:space="0" w:color="auto"/>
        <w:left w:val="none" w:sz="0" w:space="0" w:color="auto"/>
        <w:bottom w:val="none" w:sz="0" w:space="0" w:color="auto"/>
        <w:right w:val="none" w:sz="0" w:space="0" w:color="auto"/>
      </w:divBdr>
    </w:div>
    <w:div w:id="1058284649">
      <w:bodyDiv w:val="1"/>
      <w:marLeft w:val="0"/>
      <w:marRight w:val="0"/>
      <w:marTop w:val="0"/>
      <w:marBottom w:val="0"/>
      <w:divBdr>
        <w:top w:val="none" w:sz="0" w:space="0" w:color="auto"/>
        <w:left w:val="none" w:sz="0" w:space="0" w:color="auto"/>
        <w:bottom w:val="none" w:sz="0" w:space="0" w:color="auto"/>
        <w:right w:val="none" w:sz="0" w:space="0" w:color="auto"/>
      </w:divBdr>
    </w:div>
    <w:div w:id="1178812716">
      <w:bodyDiv w:val="1"/>
      <w:marLeft w:val="0"/>
      <w:marRight w:val="0"/>
      <w:marTop w:val="0"/>
      <w:marBottom w:val="0"/>
      <w:divBdr>
        <w:top w:val="none" w:sz="0" w:space="0" w:color="auto"/>
        <w:left w:val="none" w:sz="0" w:space="0" w:color="auto"/>
        <w:bottom w:val="none" w:sz="0" w:space="0" w:color="auto"/>
        <w:right w:val="none" w:sz="0" w:space="0" w:color="auto"/>
      </w:divBdr>
    </w:div>
    <w:div w:id="1193037199">
      <w:bodyDiv w:val="1"/>
      <w:marLeft w:val="0"/>
      <w:marRight w:val="0"/>
      <w:marTop w:val="0"/>
      <w:marBottom w:val="0"/>
      <w:divBdr>
        <w:top w:val="none" w:sz="0" w:space="0" w:color="auto"/>
        <w:left w:val="none" w:sz="0" w:space="0" w:color="auto"/>
        <w:bottom w:val="none" w:sz="0" w:space="0" w:color="auto"/>
        <w:right w:val="none" w:sz="0" w:space="0" w:color="auto"/>
      </w:divBdr>
    </w:div>
    <w:div w:id="1207914717">
      <w:bodyDiv w:val="1"/>
      <w:marLeft w:val="0"/>
      <w:marRight w:val="0"/>
      <w:marTop w:val="0"/>
      <w:marBottom w:val="0"/>
      <w:divBdr>
        <w:top w:val="none" w:sz="0" w:space="0" w:color="auto"/>
        <w:left w:val="none" w:sz="0" w:space="0" w:color="auto"/>
        <w:bottom w:val="none" w:sz="0" w:space="0" w:color="auto"/>
        <w:right w:val="none" w:sz="0" w:space="0" w:color="auto"/>
      </w:divBdr>
    </w:div>
    <w:div w:id="1249079803">
      <w:bodyDiv w:val="1"/>
      <w:marLeft w:val="0"/>
      <w:marRight w:val="0"/>
      <w:marTop w:val="0"/>
      <w:marBottom w:val="0"/>
      <w:divBdr>
        <w:top w:val="none" w:sz="0" w:space="0" w:color="auto"/>
        <w:left w:val="none" w:sz="0" w:space="0" w:color="auto"/>
        <w:bottom w:val="none" w:sz="0" w:space="0" w:color="auto"/>
        <w:right w:val="none" w:sz="0" w:space="0" w:color="auto"/>
      </w:divBdr>
    </w:div>
    <w:div w:id="1256985352">
      <w:bodyDiv w:val="1"/>
      <w:marLeft w:val="0"/>
      <w:marRight w:val="0"/>
      <w:marTop w:val="0"/>
      <w:marBottom w:val="0"/>
      <w:divBdr>
        <w:top w:val="none" w:sz="0" w:space="0" w:color="auto"/>
        <w:left w:val="none" w:sz="0" w:space="0" w:color="auto"/>
        <w:bottom w:val="none" w:sz="0" w:space="0" w:color="auto"/>
        <w:right w:val="none" w:sz="0" w:space="0" w:color="auto"/>
      </w:divBdr>
    </w:div>
    <w:div w:id="1277520142">
      <w:bodyDiv w:val="1"/>
      <w:marLeft w:val="0"/>
      <w:marRight w:val="0"/>
      <w:marTop w:val="0"/>
      <w:marBottom w:val="0"/>
      <w:divBdr>
        <w:top w:val="none" w:sz="0" w:space="0" w:color="auto"/>
        <w:left w:val="none" w:sz="0" w:space="0" w:color="auto"/>
        <w:bottom w:val="none" w:sz="0" w:space="0" w:color="auto"/>
        <w:right w:val="none" w:sz="0" w:space="0" w:color="auto"/>
      </w:divBdr>
    </w:div>
    <w:div w:id="1311788393">
      <w:bodyDiv w:val="1"/>
      <w:marLeft w:val="0"/>
      <w:marRight w:val="0"/>
      <w:marTop w:val="0"/>
      <w:marBottom w:val="0"/>
      <w:divBdr>
        <w:top w:val="none" w:sz="0" w:space="0" w:color="auto"/>
        <w:left w:val="none" w:sz="0" w:space="0" w:color="auto"/>
        <w:bottom w:val="none" w:sz="0" w:space="0" w:color="auto"/>
        <w:right w:val="none" w:sz="0" w:space="0" w:color="auto"/>
      </w:divBdr>
    </w:div>
    <w:div w:id="1369138065">
      <w:bodyDiv w:val="1"/>
      <w:marLeft w:val="0"/>
      <w:marRight w:val="0"/>
      <w:marTop w:val="0"/>
      <w:marBottom w:val="0"/>
      <w:divBdr>
        <w:top w:val="none" w:sz="0" w:space="0" w:color="auto"/>
        <w:left w:val="none" w:sz="0" w:space="0" w:color="auto"/>
        <w:bottom w:val="none" w:sz="0" w:space="0" w:color="auto"/>
        <w:right w:val="none" w:sz="0" w:space="0" w:color="auto"/>
      </w:divBdr>
      <w:divsChild>
        <w:div w:id="11955297">
          <w:marLeft w:val="0"/>
          <w:marRight w:val="0"/>
          <w:marTop w:val="0"/>
          <w:marBottom w:val="0"/>
          <w:divBdr>
            <w:top w:val="none" w:sz="0" w:space="0" w:color="auto"/>
            <w:left w:val="none" w:sz="0" w:space="0" w:color="auto"/>
            <w:bottom w:val="none" w:sz="0" w:space="0" w:color="auto"/>
            <w:right w:val="none" w:sz="0" w:space="0" w:color="auto"/>
          </w:divBdr>
          <w:divsChild>
            <w:div w:id="1869684281">
              <w:marLeft w:val="0"/>
              <w:marRight w:val="0"/>
              <w:marTop w:val="0"/>
              <w:marBottom w:val="0"/>
              <w:divBdr>
                <w:top w:val="none" w:sz="0" w:space="0" w:color="auto"/>
                <w:left w:val="none" w:sz="0" w:space="0" w:color="auto"/>
                <w:bottom w:val="none" w:sz="0" w:space="0" w:color="auto"/>
                <w:right w:val="none" w:sz="0" w:space="0" w:color="auto"/>
              </w:divBdr>
              <w:divsChild>
                <w:div w:id="1657027598">
                  <w:marLeft w:val="0"/>
                  <w:marRight w:val="0"/>
                  <w:marTop w:val="0"/>
                  <w:marBottom w:val="0"/>
                  <w:divBdr>
                    <w:top w:val="none" w:sz="0" w:space="0" w:color="auto"/>
                    <w:left w:val="none" w:sz="0" w:space="0" w:color="auto"/>
                    <w:bottom w:val="none" w:sz="0" w:space="0" w:color="auto"/>
                    <w:right w:val="none" w:sz="0" w:space="0" w:color="auto"/>
                  </w:divBdr>
                  <w:divsChild>
                    <w:div w:id="742920759">
                      <w:marLeft w:val="-315"/>
                      <w:marRight w:val="0"/>
                      <w:marTop w:val="90"/>
                      <w:marBottom w:val="0"/>
                      <w:divBdr>
                        <w:top w:val="none" w:sz="0" w:space="0" w:color="auto"/>
                        <w:left w:val="single" w:sz="6" w:space="0" w:color="DADCE0"/>
                        <w:bottom w:val="none" w:sz="0" w:space="0" w:color="auto"/>
                        <w:right w:val="none" w:sz="0" w:space="0" w:color="auto"/>
                      </w:divBdr>
                      <w:divsChild>
                        <w:div w:id="121652330">
                          <w:marLeft w:val="0"/>
                          <w:marRight w:val="0"/>
                          <w:marTop w:val="0"/>
                          <w:marBottom w:val="0"/>
                          <w:divBdr>
                            <w:top w:val="none" w:sz="0" w:space="0" w:color="auto"/>
                            <w:left w:val="none" w:sz="0" w:space="0" w:color="auto"/>
                            <w:bottom w:val="none" w:sz="0" w:space="0" w:color="auto"/>
                            <w:right w:val="none" w:sz="0" w:space="0" w:color="auto"/>
                          </w:divBdr>
                          <w:divsChild>
                            <w:div w:id="1093861893">
                              <w:marLeft w:val="0"/>
                              <w:marRight w:val="0"/>
                              <w:marTop w:val="0"/>
                              <w:marBottom w:val="0"/>
                              <w:divBdr>
                                <w:top w:val="none" w:sz="0" w:space="0" w:color="auto"/>
                                <w:left w:val="none" w:sz="0" w:space="0" w:color="auto"/>
                                <w:bottom w:val="none" w:sz="0" w:space="0" w:color="auto"/>
                                <w:right w:val="none" w:sz="0" w:space="0" w:color="auto"/>
                              </w:divBdr>
                              <w:divsChild>
                                <w:div w:id="1939946996">
                                  <w:marLeft w:val="0"/>
                                  <w:marRight w:val="0"/>
                                  <w:marTop w:val="0"/>
                                  <w:marBottom w:val="0"/>
                                  <w:divBdr>
                                    <w:top w:val="none" w:sz="0" w:space="0" w:color="auto"/>
                                    <w:left w:val="none" w:sz="0" w:space="0" w:color="auto"/>
                                    <w:bottom w:val="none" w:sz="0" w:space="0" w:color="auto"/>
                                    <w:right w:val="none" w:sz="0" w:space="0" w:color="auto"/>
                                  </w:divBdr>
                                  <w:divsChild>
                                    <w:div w:id="1094668360">
                                      <w:marLeft w:val="0"/>
                                      <w:marRight w:val="0"/>
                                      <w:marTop w:val="0"/>
                                      <w:marBottom w:val="0"/>
                                      <w:divBdr>
                                        <w:top w:val="none" w:sz="0" w:space="0" w:color="auto"/>
                                        <w:left w:val="none" w:sz="0" w:space="0" w:color="auto"/>
                                        <w:bottom w:val="none" w:sz="0" w:space="0" w:color="auto"/>
                                        <w:right w:val="none" w:sz="0" w:space="0" w:color="auto"/>
                                      </w:divBdr>
                                      <w:divsChild>
                                        <w:div w:id="1765999277">
                                          <w:marLeft w:val="0"/>
                                          <w:marRight w:val="0"/>
                                          <w:marTop w:val="0"/>
                                          <w:marBottom w:val="0"/>
                                          <w:divBdr>
                                            <w:top w:val="none" w:sz="0" w:space="0" w:color="auto"/>
                                            <w:left w:val="none" w:sz="0" w:space="0" w:color="auto"/>
                                            <w:bottom w:val="none" w:sz="0" w:space="0" w:color="auto"/>
                                            <w:right w:val="none" w:sz="0" w:space="0" w:color="auto"/>
                                          </w:divBdr>
                                          <w:divsChild>
                                            <w:div w:id="861472778">
                                              <w:marLeft w:val="0"/>
                                              <w:marRight w:val="0"/>
                                              <w:marTop w:val="0"/>
                                              <w:marBottom w:val="0"/>
                                              <w:divBdr>
                                                <w:top w:val="none" w:sz="0" w:space="0" w:color="auto"/>
                                                <w:left w:val="none" w:sz="0" w:space="0" w:color="auto"/>
                                                <w:bottom w:val="none" w:sz="0" w:space="0" w:color="auto"/>
                                                <w:right w:val="none" w:sz="0" w:space="0" w:color="auto"/>
                                              </w:divBdr>
                                              <w:divsChild>
                                                <w:div w:id="8538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762746">
          <w:marLeft w:val="0"/>
          <w:marRight w:val="0"/>
          <w:marTop w:val="0"/>
          <w:marBottom w:val="0"/>
          <w:divBdr>
            <w:top w:val="none" w:sz="0" w:space="0" w:color="auto"/>
            <w:left w:val="none" w:sz="0" w:space="0" w:color="auto"/>
            <w:bottom w:val="none" w:sz="0" w:space="0" w:color="auto"/>
            <w:right w:val="none" w:sz="0" w:space="0" w:color="auto"/>
          </w:divBdr>
          <w:divsChild>
            <w:div w:id="1808664864">
              <w:marLeft w:val="0"/>
              <w:marRight w:val="0"/>
              <w:marTop w:val="90"/>
              <w:marBottom w:val="0"/>
              <w:divBdr>
                <w:top w:val="none" w:sz="0" w:space="0" w:color="auto"/>
                <w:left w:val="single" w:sz="6" w:space="15" w:color="DADCE0"/>
                <w:bottom w:val="none" w:sz="0" w:space="0" w:color="auto"/>
                <w:right w:val="none" w:sz="0" w:space="0" w:color="auto"/>
              </w:divBdr>
              <w:divsChild>
                <w:div w:id="1629051396">
                  <w:marLeft w:val="0"/>
                  <w:marRight w:val="0"/>
                  <w:marTop w:val="0"/>
                  <w:marBottom w:val="0"/>
                  <w:divBdr>
                    <w:top w:val="none" w:sz="0" w:space="0" w:color="auto"/>
                    <w:left w:val="none" w:sz="0" w:space="0" w:color="auto"/>
                    <w:bottom w:val="none" w:sz="0" w:space="0" w:color="auto"/>
                    <w:right w:val="none" w:sz="0" w:space="0" w:color="auto"/>
                  </w:divBdr>
                  <w:divsChild>
                    <w:div w:id="156650727">
                      <w:marLeft w:val="0"/>
                      <w:marRight w:val="0"/>
                      <w:marTop w:val="0"/>
                      <w:marBottom w:val="0"/>
                      <w:divBdr>
                        <w:top w:val="none" w:sz="0" w:space="0" w:color="auto"/>
                        <w:left w:val="none" w:sz="0" w:space="0" w:color="auto"/>
                        <w:bottom w:val="none" w:sz="0" w:space="0" w:color="auto"/>
                        <w:right w:val="none" w:sz="0" w:space="0" w:color="auto"/>
                      </w:divBdr>
                      <w:divsChild>
                        <w:div w:id="1482428330">
                          <w:marLeft w:val="0"/>
                          <w:marRight w:val="0"/>
                          <w:marTop w:val="0"/>
                          <w:marBottom w:val="0"/>
                          <w:divBdr>
                            <w:top w:val="none" w:sz="0" w:space="0" w:color="auto"/>
                            <w:left w:val="none" w:sz="0" w:space="0" w:color="auto"/>
                            <w:bottom w:val="none" w:sz="0" w:space="0" w:color="auto"/>
                            <w:right w:val="none" w:sz="0" w:space="0" w:color="auto"/>
                          </w:divBdr>
                          <w:divsChild>
                            <w:div w:id="356388360">
                              <w:marLeft w:val="0"/>
                              <w:marRight w:val="0"/>
                              <w:marTop w:val="0"/>
                              <w:marBottom w:val="0"/>
                              <w:divBdr>
                                <w:top w:val="none" w:sz="0" w:space="0" w:color="auto"/>
                                <w:left w:val="none" w:sz="0" w:space="0" w:color="auto"/>
                                <w:bottom w:val="none" w:sz="0" w:space="0" w:color="auto"/>
                                <w:right w:val="none" w:sz="0" w:space="0" w:color="auto"/>
                              </w:divBdr>
                              <w:divsChild>
                                <w:div w:id="328024049">
                                  <w:marLeft w:val="0"/>
                                  <w:marRight w:val="0"/>
                                  <w:marTop w:val="0"/>
                                  <w:marBottom w:val="0"/>
                                  <w:divBdr>
                                    <w:top w:val="none" w:sz="0" w:space="0" w:color="auto"/>
                                    <w:left w:val="none" w:sz="0" w:space="0" w:color="auto"/>
                                    <w:bottom w:val="none" w:sz="0" w:space="0" w:color="auto"/>
                                    <w:right w:val="none" w:sz="0" w:space="0" w:color="auto"/>
                                  </w:divBdr>
                                  <w:divsChild>
                                    <w:div w:id="1241059403">
                                      <w:marLeft w:val="0"/>
                                      <w:marRight w:val="0"/>
                                      <w:marTop w:val="0"/>
                                      <w:marBottom w:val="0"/>
                                      <w:divBdr>
                                        <w:top w:val="none" w:sz="0" w:space="0" w:color="auto"/>
                                        <w:left w:val="none" w:sz="0" w:space="0" w:color="auto"/>
                                        <w:bottom w:val="none" w:sz="0" w:space="0" w:color="auto"/>
                                        <w:right w:val="none" w:sz="0" w:space="0" w:color="auto"/>
                                      </w:divBdr>
                                      <w:divsChild>
                                        <w:div w:id="1795371697">
                                          <w:marLeft w:val="0"/>
                                          <w:marRight w:val="0"/>
                                          <w:marTop w:val="0"/>
                                          <w:marBottom w:val="0"/>
                                          <w:divBdr>
                                            <w:top w:val="none" w:sz="0" w:space="0" w:color="auto"/>
                                            <w:left w:val="none" w:sz="0" w:space="0" w:color="auto"/>
                                            <w:bottom w:val="none" w:sz="0" w:space="0" w:color="auto"/>
                                            <w:right w:val="none" w:sz="0" w:space="0" w:color="auto"/>
                                          </w:divBdr>
                                          <w:divsChild>
                                            <w:div w:id="897277177">
                                              <w:marLeft w:val="0"/>
                                              <w:marRight w:val="0"/>
                                              <w:marTop w:val="0"/>
                                              <w:marBottom w:val="0"/>
                                              <w:divBdr>
                                                <w:top w:val="none" w:sz="0" w:space="0" w:color="auto"/>
                                                <w:left w:val="none" w:sz="0" w:space="0" w:color="auto"/>
                                                <w:bottom w:val="none" w:sz="0" w:space="0" w:color="auto"/>
                                                <w:right w:val="none" w:sz="0" w:space="0" w:color="auto"/>
                                              </w:divBdr>
                                              <w:divsChild>
                                                <w:div w:id="725178779">
                                                  <w:marLeft w:val="0"/>
                                                  <w:marRight w:val="0"/>
                                                  <w:marTop w:val="120"/>
                                                  <w:marBottom w:val="0"/>
                                                  <w:divBdr>
                                                    <w:top w:val="none" w:sz="0" w:space="0" w:color="auto"/>
                                                    <w:left w:val="none" w:sz="0" w:space="0" w:color="auto"/>
                                                    <w:bottom w:val="none" w:sz="0" w:space="0" w:color="auto"/>
                                                    <w:right w:val="none" w:sz="0" w:space="0" w:color="auto"/>
                                                  </w:divBdr>
                                                  <w:divsChild>
                                                    <w:div w:id="1373847401">
                                                      <w:marLeft w:val="0"/>
                                                      <w:marRight w:val="0"/>
                                                      <w:marTop w:val="0"/>
                                                      <w:marBottom w:val="0"/>
                                                      <w:divBdr>
                                                        <w:top w:val="none" w:sz="0" w:space="0" w:color="auto"/>
                                                        <w:left w:val="none" w:sz="0" w:space="0" w:color="auto"/>
                                                        <w:bottom w:val="none" w:sz="0" w:space="0" w:color="auto"/>
                                                        <w:right w:val="none" w:sz="0" w:space="0" w:color="auto"/>
                                                      </w:divBdr>
                                                      <w:divsChild>
                                                        <w:div w:id="11766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543518">
      <w:bodyDiv w:val="1"/>
      <w:marLeft w:val="0"/>
      <w:marRight w:val="0"/>
      <w:marTop w:val="0"/>
      <w:marBottom w:val="0"/>
      <w:divBdr>
        <w:top w:val="none" w:sz="0" w:space="0" w:color="auto"/>
        <w:left w:val="none" w:sz="0" w:space="0" w:color="auto"/>
        <w:bottom w:val="none" w:sz="0" w:space="0" w:color="auto"/>
        <w:right w:val="none" w:sz="0" w:space="0" w:color="auto"/>
      </w:divBdr>
    </w:div>
    <w:div w:id="1399860307">
      <w:bodyDiv w:val="1"/>
      <w:marLeft w:val="0"/>
      <w:marRight w:val="0"/>
      <w:marTop w:val="0"/>
      <w:marBottom w:val="0"/>
      <w:divBdr>
        <w:top w:val="none" w:sz="0" w:space="0" w:color="auto"/>
        <w:left w:val="none" w:sz="0" w:space="0" w:color="auto"/>
        <w:bottom w:val="none" w:sz="0" w:space="0" w:color="auto"/>
        <w:right w:val="none" w:sz="0" w:space="0" w:color="auto"/>
      </w:divBdr>
    </w:div>
    <w:div w:id="1444764277">
      <w:bodyDiv w:val="1"/>
      <w:marLeft w:val="0"/>
      <w:marRight w:val="0"/>
      <w:marTop w:val="0"/>
      <w:marBottom w:val="0"/>
      <w:divBdr>
        <w:top w:val="none" w:sz="0" w:space="0" w:color="auto"/>
        <w:left w:val="none" w:sz="0" w:space="0" w:color="auto"/>
        <w:bottom w:val="none" w:sz="0" w:space="0" w:color="auto"/>
        <w:right w:val="none" w:sz="0" w:space="0" w:color="auto"/>
      </w:divBdr>
      <w:divsChild>
        <w:div w:id="6098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102578">
      <w:bodyDiv w:val="1"/>
      <w:marLeft w:val="0"/>
      <w:marRight w:val="0"/>
      <w:marTop w:val="0"/>
      <w:marBottom w:val="0"/>
      <w:divBdr>
        <w:top w:val="none" w:sz="0" w:space="0" w:color="auto"/>
        <w:left w:val="none" w:sz="0" w:space="0" w:color="auto"/>
        <w:bottom w:val="none" w:sz="0" w:space="0" w:color="auto"/>
        <w:right w:val="none" w:sz="0" w:space="0" w:color="auto"/>
      </w:divBdr>
    </w:div>
    <w:div w:id="1604534838">
      <w:bodyDiv w:val="1"/>
      <w:marLeft w:val="0"/>
      <w:marRight w:val="0"/>
      <w:marTop w:val="0"/>
      <w:marBottom w:val="0"/>
      <w:divBdr>
        <w:top w:val="none" w:sz="0" w:space="0" w:color="auto"/>
        <w:left w:val="none" w:sz="0" w:space="0" w:color="auto"/>
        <w:bottom w:val="none" w:sz="0" w:space="0" w:color="auto"/>
        <w:right w:val="none" w:sz="0" w:space="0" w:color="auto"/>
      </w:divBdr>
    </w:div>
    <w:div w:id="1652978267">
      <w:bodyDiv w:val="1"/>
      <w:marLeft w:val="0"/>
      <w:marRight w:val="0"/>
      <w:marTop w:val="0"/>
      <w:marBottom w:val="0"/>
      <w:divBdr>
        <w:top w:val="none" w:sz="0" w:space="0" w:color="auto"/>
        <w:left w:val="none" w:sz="0" w:space="0" w:color="auto"/>
        <w:bottom w:val="none" w:sz="0" w:space="0" w:color="auto"/>
        <w:right w:val="none" w:sz="0" w:space="0" w:color="auto"/>
      </w:divBdr>
      <w:divsChild>
        <w:div w:id="1953051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317064">
      <w:bodyDiv w:val="1"/>
      <w:marLeft w:val="0"/>
      <w:marRight w:val="0"/>
      <w:marTop w:val="0"/>
      <w:marBottom w:val="0"/>
      <w:divBdr>
        <w:top w:val="none" w:sz="0" w:space="0" w:color="auto"/>
        <w:left w:val="none" w:sz="0" w:space="0" w:color="auto"/>
        <w:bottom w:val="none" w:sz="0" w:space="0" w:color="auto"/>
        <w:right w:val="none" w:sz="0" w:space="0" w:color="auto"/>
      </w:divBdr>
    </w:div>
    <w:div w:id="1912346281">
      <w:bodyDiv w:val="1"/>
      <w:marLeft w:val="0"/>
      <w:marRight w:val="0"/>
      <w:marTop w:val="0"/>
      <w:marBottom w:val="0"/>
      <w:divBdr>
        <w:top w:val="none" w:sz="0" w:space="0" w:color="auto"/>
        <w:left w:val="none" w:sz="0" w:space="0" w:color="auto"/>
        <w:bottom w:val="none" w:sz="0" w:space="0" w:color="auto"/>
        <w:right w:val="none" w:sz="0" w:space="0" w:color="auto"/>
      </w:divBdr>
    </w:div>
    <w:div w:id="1957716179">
      <w:bodyDiv w:val="1"/>
      <w:marLeft w:val="0"/>
      <w:marRight w:val="0"/>
      <w:marTop w:val="0"/>
      <w:marBottom w:val="0"/>
      <w:divBdr>
        <w:top w:val="none" w:sz="0" w:space="0" w:color="auto"/>
        <w:left w:val="none" w:sz="0" w:space="0" w:color="auto"/>
        <w:bottom w:val="none" w:sz="0" w:space="0" w:color="auto"/>
        <w:right w:val="none" w:sz="0" w:space="0" w:color="auto"/>
      </w:divBdr>
    </w:div>
    <w:div w:id="1960647806">
      <w:bodyDiv w:val="1"/>
      <w:marLeft w:val="0"/>
      <w:marRight w:val="0"/>
      <w:marTop w:val="0"/>
      <w:marBottom w:val="0"/>
      <w:divBdr>
        <w:top w:val="none" w:sz="0" w:space="0" w:color="auto"/>
        <w:left w:val="none" w:sz="0" w:space="0" w:color="auto"/>
        <w:bottom w:val="none" w:sz="0" w:space="0" w:color="auto"/>
        <w:right w:val="none" w:sz="0" w:space="0" w:color="auto"/>
      </w:divBdr>
      <w:divsChild>
        <w:div w:id="540289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17</Pages>
  <Words>24244</Words>
  <Characters>138195</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1180</cp:lastModifiedBy>
  <cp:revision>13</cp:revision>
  <dcterms:created xsi:type="dcterms:W3CDTF">2025-07-08T18:48:00Z</dcterms:created>
  <dcterms:modified xsi:type="dcterms:W3CDTF">2025-07-10T14:04:00Z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id="x7tUJysR"/&gt;&lt;style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