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86897" w14:textId="7DA433F5" w:rsidR="00E9627B" w:rsidRDefault="00E9627B" w:rsidP="000763D2">
      <w:pPr>
        <w:pStyle w:val="Author"/>
        <w:spacing w:line="240" w:lineRule="auto"/>
        <w:jc w:val="left"/>
        <w:rPr>
          <w:rFonts w:ascii="Arial" w:hAnsi="Arial" w:cs="Arial"/>
          <w:bCs/>
          <w:i/>
          <w:iCs/>
          <w:kern w:val="28"/>
          <w:szCs w:val="24"/>
          <w:u w:val="single"/>
        </w:rPr>
      </w:pPr>
      <w:r w:rsidRPr="00E9627B">
        <w:rPr>
          <w:rFonts w:ascii="Arial" w:hAnsi="Arial" w:cs="Arial"/>
          <w:bCs/>
          <w:i/>
          <w:iCs/>
          <w:kern w:val="28"/>
          <w:szCs w:val="24"/>
          <w:u w:val="single"/>
        </w:rPr>
        <w:t>Original Research Article</w:t>
      </w:r>
    </w:p>
    <w:p w14:paraId="0D5D1704" w14:textId="77777777" w:rsidR="00E9627B" w:rsidRDefault="00E9627B" w:rsidP="000763D2">
      <w:pPr>
        <w:pStyle w:val="Author"/>
        <w:spacing w:line="240" w:lineRule="auto"/>
        <w:jc w:val="left"/>
        <w:rPr>
          <w:rFonts w:ascii="Arial" w:hAnsi="Arial" w:cs="Arial"/>
          <w:bCs/>
          <w:iCs/>
          <w:kern w:val="28"/>
          <w:szCs w:val="24"/>
        </w:rPr>
      </w:pPr>
    </w:p>
    <w:p w14:paraId="1F3F3C02" w14:textId="64710E1B" w:rsidR="00616564" w:rsidRDefault="00616564" w:rsidP="00616564">
      <w:pPr>
        <w:jc w:val="right"/>
        <w:rPr>
          <w:rFonts w:ascii="Arial" w:hAnsi="Arial" w:cs="Arial"/>
          <w:b/>
          <w:noProof/>
          <w:sz w:val="28"/>
          <w:szCs w:val="28"/>
          <w:lang w:val="en-PH" w:eastAsia="en-PH"/>
        </w:rPr>
      </w:pPr>
      <w:r w:rsidRPr="00616564">
        <w:rPr>
          <w:rFonts w:ascii="Arial" w:hAnsi="Arial" w:cs="Arial"/>
          <w:b/>
          <w:noProof/>
          <w:sz w:val="28"/>
          <w:szCs w:val="28"/>
          <w:lang w:val="en-PH" w:eastAsia="en-PH"/>
        </w:rPr>
        <w:t xml:space="preserve">CONSERVATIVE LEARNING PRACTICES AND STRUCTURAL SOCIAL COORDINATION OF TEACHERS IN PUBLIC ELEMENTARY SCHOOLS </w:t>
      </w:r>
    </w:p>
    <w:p w14:paraId="79E408FE" w14:textId="77777777" w:rsidR="00E9627B" w:rsidRDefault="00E9627B" w:rsidP="00616564">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BD6809">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542F554F" w:rsidR="00717F2E" w:rsidRPr="000763D2" w:rsidRDefault="00901792" w:rsidP="00901792">
            <w:pPr>
              <w:jc w:val="both"/>
              <w:rPr>
                <w:rFonts w:ascii="Arial" w:hAnsi="Arial" w:cs="Arial"/>
                <w:iCs/>
              </w:rPr>
            </w:pPr>
            <w:r w:rsidRPr="00901792">
              <w:rPr>
                <w:rFonts w:ascii="Arial" w:hAnsi="Arial" w:cs="Arial"/>
                <w:iCs/>
              </w:rPr>
              <w:t>This study was conducted to examine the conservative learning practices and structural social coordination among public elementary school teachers in Sarangani District, Division of Sarangani Province. It employed a non-experimental quantitative research design using a correlational method and utilized universal sampling. The respondents were 190 public elementary school teachers. Statistical tools used in the study included the mean, Pearson Product Moment Correlation Coefficient (Pearson r), and regression analysis.</w:t>
            </w:r>
            <w:r>
              <w:rPr>
                <w:rFonts w:ascii="Arial" w:hAnsi="Arial" w:cs="Arial"/>
                <w:iCs/>
              </w:rPr>
              <w:t xml:space="preserve"> </w:t>
            </w:r>
            <w:r w:rsidRPr="00901792">
              <w:rPr>
                <w:rFonts w:ascii="Arial" w:hAnsi="Arial" w:cs="Arial"/>
                <w:iCs/>
              </w:rPr>
              <w:t>The results revealed that both the conservative learning practices and structural social coordination of public elementary school teachers were at a high level. Furthermore, a significant relationship was found between conservative learning practices and structural social coordination. The study also showed that specific domains of conservative learning practices significantly influence the level of structural social coordination among teachers.</w:t>
            </w:r>
            <w:r>
              <w:rPr>
                <w:rFonts w:ascii="Arial" w:hAnsi="Arial" w:cs="Arial"/>
                <w:iCs/>
              </w:rPr>
              <w:t xml:space="preserve"> </w:t>
            </w:r>
            <w:r w:rsidRPr="00901792">
              <w:rPr>
                <w:rFonts w:ascii="Arial" w:hAnsi="Arial" w:cs="Arial"/>
                <w:iCs/>
              </w:rPr>
              <w:t>It is recommended that school administrators and educational leaders continue to support and integrate conservative learning strategies that foster collaboration, shared values, and coordinated teaching efforts. Professional development programs should be designed to strengthen these practices, particularly in areas that encourage consistency, mutual support, and collective decision-making. Additionally, fostering strong structural social coordination can lead to more cohesive school environments, improved instructional quality, and a more unified teaching workforce. Future research may explore other mediating factors such as leadership styles, institutional culture, or policy frameworks that further affect the relationship between conservative learning practices and social coordination in schools.</w:t>
            </w:r>
          </w:p>
        </w:tc>
      </w:tr>
    </w:tbl>
    <w:p w14:paraId="175A3F79" w14:textId="77777777" w:rsidR="00717F2E" w:rsidRDefault="00717F2E">
      <w:pPr>
        <w:pStyle w:val="Body"/>
        <w:spacing w:after="0"/>
        <w:rPr>
          <w:rFonts w:ascii="Arial" w:hAnsi="Arial" w:cs="Arial"/>
          <w:i/>
        </w:rPr>
      </w:pPr>
    </w:p>
    <w:p w14:paraId="7C8BE934" w14:textId="560074F8" w:rsidR="0016399B" w:rsidRDefault="00180859" w:rsidP="00901792">
      <w:pPr>
        <w:jc w:val="both"/>
        <w:rPr>
          <w:rFonts w:ascii="Arial" w:hAnsi="Arial" w:cs="Arial"/>
          <w:iCs/>
        </w:rPr>
      </w:pPr>
      <w:r w:rsidRPr="000763D2">
        <w:rPr>
          <w:rFonts w:ascii="Arial" w:hAnsi="Arial" w:cs="Arial"/>
          <w:i/>
          <w:iCs/>
        </w:rPr>
        <w:t>Keywords</w:t>
      </w:r>
      <w:r w:rsidR="00901792">
        <w:rPr>
          <w:rFonts w:ascii="Arial" w:hAnsi="Arial" w:cs="Arial"/>
        </w:rPr>
        <w:t xml:space="preserve">: </w:t>
      </w:r>
      <w:r w:rsidR="00901792" w:rsidRPr="00901792">
        <w:rPr>
          <w:rFonts w:ascii="Arial" w:hAnsi="Arial" w:cs="Arial"/>
          <w:iCs/>
        </w:rPr>
        <w:t>Conservative Le</w:t>
      </w:r>
      <w:r w:rsidR="00901792">
        <w:rPr>
          <w:rFonts w:ascii="Arial" w:hAnsi="Arial" w:cs="Arial"/>
          <w:iCs/>
        </w:rPr>
        <w:t xml:space="preserve">arning Practices, Structural Social Coordination, Teachers, </w:t>
      </w:r>
      <w:r w:rsidR="00901792" w:rsidRPr="00901792">
        <w:rPr>
          <w:rFonts w:ascii="Arial" w:hAnsi="Arial" w:cs="Arial"/>
          <w:iCs/>
        </w:rPr>
        <w:t>Public Elementary Schools</w:t>
      </w:r>
      <w:r w:rsidR="00901792">
        <w:rPr>
          <w:rFonts w:ascii="Arial" w:hAnsi="Arial" w:cs="Arial"/>
          <w:iCs/>
        </w:rPr>
        <w:t>,</w:t>
      </w:r>
      <w:r w:rsidR="00901792" w:rsidRPr="00901792">
        <w:rPr>
          <w:rFonts w:ascii="Arial" w:hAnsi="Arial" w:cs="Arial"/>
          <w:iCs/>
        </w:rPr>
        <w:t xml:space="preserve"> </w:t>
      </w:r>
      <w:r w:rsidR="00901792" w:rsidRPr="00CD1ACE">
        <w:rPr>
          <w:rFonts w:ascii="Arial" w:hAnsi="Arial" w:cs="Arial"/>
          <w:iCs/>
        </w:rPr>
        <w:t>Philippines</w:t>
      </w:r>
    </w:p>
    <w:p w14:paraId="1C2F1402" w14:textId="77777777" w:rsidR="00CD1ACE" w:rsidRDefault="00CD1ACE" w:rsidP="0016399B">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7648DBF1" w14:textId="5AB18D47" w:rsidR="00293127" w:rsidRPr="00293127" w:rsidRDefault="00293127" w:rsidP="00293127">
      <w:pPr>
        <w:jc w:val="both"/>
        <w:rPr>
          <w:rFonts w:ascii="Arial" w:hAnsi="Arial"/>
        </w:rPr>
      </w:pPr>
      <w:r w:rsidRPr="00293127">
        <w:rPr>
          <w:rFonts w:ascii="Arial" w:hAnsi="Arial"/>
        </w:rPr>
        <w:t>Structural social coordination among teachers has long been a pressing concern in the field of education. However, it has often been overlooked or undervalued by those in authority. This lack of attention has led to persistent imbalances and disadvantages for certa</w:t>
      </w:r>
      <w:r w:rsidR="00843014">
        <w:rPr>
          <w:rFonts w:ascii="Arial" w:hAnsi="Arial"/>
        </w:rPr>
        <w:t xml:space="preserve">in groups within school systems. </w:t>
      </w:r>
      <w:r w:rsidRPr="00293127">
        <w:rPr>
          <w:rFonts w:ascii="Arial" w:hAnsi="Arial"/>
        </w:rPr>
        <w:t>When structural social coordination is not prioritized, organizational biases are left unchecked, creating environme</w:t>
      </w:r>
      <w:r w:rsidR="00843014">
        <w:rPr>
          <w:rFonts w:ascii="Arial" w:hAnsi="Arial"/>
        </w:rPr>
        <w:t>nts where inequality may thrive (</w:t>
      </w:r>
      <w:r w:rsidR="00843014" w:rsidRPr="00843014">
        <w:rPr>
          <w:rFonts w:ascii="Arial" w:hAnsi="Arial"/>
        </w:rPr>
        <w:t>Hargreaves</w:t>
      </w:r>
      <w:r w:rsidR="00843014">
        <w:rPr>
          <w:rFonts w:ascii="Arial" w:hAnsi="Arial"/>
        </w:rPr>
        <w:t>, 2021).</w:t>
      </w:r>
      <w:r w:rsidR="00843014" w:rsidRPr="00293127">
        <w:rPr>
          <w:rFonts w:ascii="Arial" w:hAnsi="Arial"/>
        </w:rPr>
        <w:t xml:space="preserve"> </w:t>
      </w:r>
      <w:r w:rsidRPr="00293127">
        <w:rPr>
          <w:rFonts w:ascii="Arial" w:hAnsi="Arial"/>
        </w:rPr>
        <w:t xml:space="preserve"> Thus, social justice becomes a critical factor in promoting fair, inclusive, and health</w:t>
      </w:r>
      <w:r w:rsidR="00843014">
        <w:rPr>
          <w:rFonts w:ascii="Arial" w:hAnsi="Arial"/>
        </w:rPr>
        <w:t>y relationships among educators (</w:t>
      </w:r>
      <w:proofErr w:type="spellStart"/>
      <w:r w:rsidR="00843014" w:rsidRPr="00843014">
        <w:rPr>
          <w:rFonts w:ascii="Arial" w:hAnsi="Arial"/>
        </w:rPr>
        <w:t>Küçüksüleymanoğlu</w:t>
      </w:r>
      <w:proofErr w:type="spellEnd"/>
      <w:r w:rsidR="00843014">
        <w:rPr>
          <w:rFonts w:ascii="Arial" w:hAnsi="Arial"/>
        </w:rPr>
        <w:t>, 2025).</w:t>
      </w:r>
    </w:p>
    <w:p w14:paraId="642AA3AF" w14:textId="77777777" w:rsidR="00293127" w:rsidRPr="00293127" w:rsidRDefault="00293127" w:rsidP="00293127">
      <w:pPr>
        <w:jc w:val="both"/>
        <w:rPr>
          <w:rFonts w:ascii="Arial" w:hAnsi="Arial"/>
        </w:rPr>
      </w:pPr>
    </w:p>
    <w:p w14:paraId="52D66995" w14:textId="2484C83D" w:rsidR="00293127" w:rsidRPr="00293127" w:rsidRDefault="00293127" w:rsidP="00293127">
      <w:pPr>
        <w:jc w:val="both"/>
        <w:rPr>
          <w:rFonts w:ascii="Arial" w:hAnsi="Arial"/>
        </w:rPr>
      </w:pPr>
      <w:r w:rsidRPr="00293127">
        <w:rPr>
          <w:rFonts w:ascii="Arial" w:hAnsi="Arial"/>
        </w:rPr>
        <w:t xml:space="preserve">On a global scale, many education experts have raised concerns about the lack of structural social coordination. According to </w:t>
      </w:r>
      <w:r w:rsidR="00843014" w:rsidRPr="00843014">
        <w:rPr>
          <w:rFonts w:ascii="Arial" w:hAnsi="Arial"/>
        </w:rPr>
        <w:t>Keles</w:t>
      </w:r>
      <w:r w:rsidR="00843014">
        <w:rPr>
          <w:rFonts w:ascii="Arial" w:hAnsi="Arial"/>
        </w:rPr>
        <w:t xml:space="preserve"> and </w:t>
      </w:r>
      <w:r w:rsidR="00843014" w:rsidRPr="00843014">
        <w:rPr>
          <w:rFonts w:ascii="Arial" w:hAnsi="Arial"/>
        </w:rPr>
        <w:t>Munthe</w:t>
      </w:r>
      <w:r w:rsidR="00843014">
        <w:rPr>
          <w:rFonts w:ascii="Arial" w:hAnsi="Arial"/>
        </w:rPr>
        <w:t xml:space="preserve"> (2025</w:t>
      </w:r>
      <w:r w:rsidRPr="00293127">
        <w:rPr>
          <w:rFonts w:ascii="Arial" w:hAnsi="Arial"/>
        </w:rPr>
        <w:t xml:space="preserve">), discrimination, bias, and social prejudice are prevalent across educational institutions. These issues contribute to inconsistencies and challenges, particularly regarding the protection of teacher rights and diversity. </w:t>
      </w:r>
      <w:proofErr w:type="spellStart"/>
      <w:r w:rsidR="009E3B92" w:rsidRPr="009E3B92">
        <w:rPr>
          <w:rFonts w:ascii="Arial" w:hAnsi="Arial"/>
        </w:rPr>
        <w:t>Owhor</w:t>
      </w:r>
      <w:proofErr w:type="spellEnd"/>
      <w:r w:rsidR="009E3B92">
        <w:rPr>
          <w:rFonts w:ascii="Arial" w:hAnsi="Arial"/>
        </w:rPr>
        <w:t xml:space="preserve"> (2025</w:t>
      </w:r>
      <w:r w:rsidRPr="00293127">
        <w:rPr>
          <w:rFonts w:ascii="Arial" w:hAnsi="Arial"/>
        </w:rPr>
        <w:t xml:space="preserve">) emphasizes that when school leaders fail to acknowledge the needs and voices of teachers, the quality of teaching and learning inevitably suffers. In such </w:t>
      </w:r>
      <w:r w:rsidRPr="00293127">
        <w:rPr>
          <w:rFonts w:ascii="Arial" w:hAnsi="Arial"/>
        </w:rPr>
        <w:lastRenderedPageBreak/>
        <w:t xml:space="preserve">environments, teachers may experience low morale and diminished social engagement, further compromising academic outcomes. </w:t>
      </w:r>
      <w:r w:rsidR="00345C66" w:rsidRPr="00345C66">
        <w:rPr>
          <w:rFonts w:ascii="Arial" w:hAnsi="Arial"/>
        </w:rPr>
        <w:t>Eaton</w:t>
      </w:r>
      <w:r w:rsidR="00345C66">
        <w:rPr>
          <w:rFonts w:ascii="Arial" w:hAnsi="Arial"/>
        </w:rPr>
        <w:t xml:space="preserve"> and </w:t>
      </w:r>
      <w:r w:rsidR="00345C66" w:rsidRPr="00345C66">
        <w:rPr>
          <w:rFonts w:ascii="Arial" w:hAnsi="Arial"/>
        </w:rPr>
        <w:t>Turner</w:t>
      </w:r>
      <w:r w:rsidR="00345C66">
        <w:rPr>
          <w:rFonts w:ascii="Arial" w:hAnsi="Arial"/>
        </w:rPr>
        <w:t xml:space="preserve"> (2020</w:t>
      </w:r>
      <w:r w:rsidRPr="00293127">
        <w:rPr>
          <w:rFonts w:ascii="Arial" w:hAnsi="Arial"/>
        </w:rPr>
        <w:t>) stresses the urgency of addressing these problems to protect the integrity of the educational structure.</w:t>
      </w:r>
    </w:p>
    <w:p w14:paraId="069D6062" w14:textId="77777777" w:rsidR="00293127" w:rsidRPr="00293127" w:rsidRDefault="00293127" w:rsidP="00293127">
      <w:pPr>
        <w:jc w:val="both"/>
        <w:rPr>
          <w:rFonts w:ascii="Arial" w:hAnsi="Arial"/>
        </w:rPr>
      </w:pPr>
    </w:p>
    <w:p w14:paraId="30D5AEBE" w14:textId="26F739AA" w:rsidR="00293127" w:rsidRPr="00293127" w:rsidRDefault="00293127" w:rsidP="00293127">
      <w:pPr>
        <w:jc w:val="both"/>
        <w:rPr>
          <w:rFonts w:ascii="Arial" w:hAnsi="Arial"/>
        </w:rPr>
      </w:pPr>
      <w:r w:rsidRPr="00293127">
        <w:rPr>
          <w:rFonts w:ascii="Arial" w:hAnsi="Arial"/>
        </w:rPr>
        <w:t>In the Philippine context, structural social coordination—or the lack thereof—significantly influences school leadership and teacher performance. Inequities are often visible and deeply ingr</w:t>
      </w:r>
      <w:r w:rsidR="00686033">
        <w:rPr>
          <w:rFonts w:ascii="Arial" w:hAnsi="Arial"/>
        </w:rPr>
        <w:t>ained in the educational system (</w:t>
      </w:r>
      <w:r w:rsidR="00686033" w:rsidRPr="00686033">
        <w:rPr>
          <w:rFonts w:ascii="Arial" w:hAnsi="Arial"/>
        </w:rPr>
        <w:t>Chua Reyes</w:t>
      </w:r>
      <w:r w:rsidR="00686033">
        <w:rPr>
          <w:rFonts w:ascii="Arial" w:hAnsi="Arial"/>
        </w:rPr>
        <w:t xml:space="preserve"> et al., 2022). </w:t>
      </w:r>
      <w:r w:rsidRPr="00293127">
        <w:rPr>
          <w:rFonts w:ascii="Arial" w:hAnsi="Arial"/>
        </w:rPr>
        <w:t xml:space="preserve"> Despite this, some educational leaders manage to uphold fairness through personal conviction and ethical leadership, as inspired by Republic Act 6713. This law mandates public officials to deliver services without bias or discrimination, advocating for equality and fairness regardless of social status. Structural social justice, therefore, is essential in achieving a balanced and inclusive work environment in schools, where all educators are given equal access to resources, opportunities, and recognition (</w:t>
      </w:r>
      <w:r w:rsidR="00686033" w:rsidRPr="00686033">
        <w:rPr>
          <w:rFonts w:ascii="Arial" w:hAnsi="Arial"/>
        </w:rPr>
        <w:t>Kiram</w:t>
      </w:r>
      <w:r w:rsidR="00686033">
        <w:rPr>
          <w:rFonts w:ascii="Arial" w:hAnsi="Arial"/>
        </w:rPr>
        <w:t xml:space="preserve"> et al., 2024</w:t>
      </w:r>
      <w:r w:rsidRPr="00293127">
        <w:rPr>
          <w:rFonts w:ascii="Arial" w:hAnsi="Arial"/>
        </w:rPr>
        <w:t>).</w:t>
      </w:r>
      <w:r w:rsidR="00A546C9">
        <w:rPr>
          <w:rFonts w:ascii="Arial" w:hAnsi="Arial"/>
        </w:rPr>
        <w:t xml:space="preserve"> T</w:t>
      </w:r>
      <w:r w:rsidRPr="00293127">
        <w:rPr>
          <w:rFonts w:ascii="Arial" w:hAnsi="Arial"/>
        </w:rPr>
        <w:t>here have been documented instances where educators experienced structural social imbalance. These include unequal distribution of privileges, lack of recognition, and inconsistent support from school heads and even higher-level DepEd officials. Such practices have led to widening gaps among teachers, school leaders, and stakeholders, fueling workplac</w:t>
      </w:r>
      <w:r w:rsidR="00A546C9">
        <w:rPr>
          <w:rFonts w:ascii="Arial" w:hAnsi="Arial"/>
        </w:rPr>
        <w:t>e conflicts and dissatisfaction (</w:t>
      </w:r>
      <w:proofErr w:type="spellStart"/>
      <w:r w:rsidR="00A546C9">
        <w:rPr>
          <w:rFonts w:ascii="Arial" w:hAnsi="Arial"/>
        </w:rPr>
        <w:t>Tubo</w:t>
      </w:r>
      <w:proofErr w:type="spellEnd"/>
      <w:r w:rsidR="00A546C9">
        <w:rPr>
          <w:rFonts w:ascii="Arial" w:hAnsi="Arial"/>
        </w:rPr>
        <w:t xml:space="preserve"> </w:t>
      </w:r>
      <w:r w:rsidR="00A546C9" w:rsidRPr="00A546C9">
        <w:rPr>
          <w:rFonts w:ascii="Arial" w:hAnsi="Arial"/>
        </w:rPr>
        <w:t xml:space="preserve">&amp; </w:t>
      </w:r>
      <w:proofErr w:type="spellStart"/>
      <w:r w:rsidR="00A546C9" w:rsidRPr="00A546C9">
        <w:rPr>
          <w:rFonts w:ascii="Arial" w:hAnsi="Arial"/>
        </w:rPr>
        <w:t>Pidor</w:t>
      </w:r>
      <w:proofErr w:type="spellEnd"/>
      <w:r w:rsidR="00A546C9">
        <w:rPr>
          <w:rFonts w:ascii="Arial" w:hAnsi="Arial"/>
        </w:rPr>
        <w:t>, 2025).</w:t>
      </w:r>
    </w:p>
    <w:p w14:paraId="109D6A38" w14:textId="77777777" w:rsidR="00293127" w:rsidRPr="00293127" w:rsidRDefault="00293127" w:rsidP="00293127">
      <w:pPr>
        <w:jc w:val="both"/>
        <w:rPr>
          <w:rFonts w:ascii="Arial" w:hAnsi="Arial"/>
        </w:rPr>
      </w:pPr>
    </w:p>
    <w:p w14:paraId="7E3D4D3C" w14:textId="0200ACDB" w:rsidR="00296176" w:rsidRDefault="00293127" w:rsidP="00293127">
      <w:pPr>
        <w:jc w:val="both"/>
        <w:rPr>
          <w:rFonts w:ascii="Arial" w:eastAsia="MS Mincho" w:hAnsi="Arial" w:cs="Arial"/>
          <w:b/>
          <w:lang w:eastAsia="ja-JP"/>
        </w:rPr>
      </w:pPr>
      <w:r w:rsidRPr="00293127">
        <w:rPr>
          <w:rFonts w:ascii="Arial" w:hAnsi="Arial"/>
        </w:rPr>
        <w:t>Given this context, the researcher was motivated to conduct a study on the influence of conservative learning practices on structural social coordination among teachers in public elementary schools. The goal of this research is to explore the underlying issues, offer data-driven recommendations, and propose alternative solutions to address structural imbalances within the school system. Ultimately, this study aims to contribute to the ongoing discourse on social equity in education and support the creation of inclusive and cohesive learning environments where all teachers are valued and empowered.</w:t>
      </w:r>
    </w:p>
    <w:p w14:paraId="3134A578" w14:textId="0C9A7E9E" w:rsidR="00296176" w:rsidRDefault="00296176" w:rsidP="000D23E6">
      <w:pPr>
        <w:rPr>
          <w:rFonts w:ascii="Arial" w:eastAsia="MS Mincho" w:hAnsi="Arial" w:cs="Arial"/>
          <w:b/>
          <w:lang w:eastAsia="ja-JP"/>
        </w:rPr>
      </w:pPr>
    </w:p>
    <w:p w14:paraId="305CBFC1" w14:textId="073AF35C"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 xml:space="preserve">1.1 </w:t>
      </w:r>
      <w:r w:rsidR="006D2E2A">
        <w:rPr>
          <w:rFonts w:ascii="Arial" w:eastAsia="MS Mincho" w:hAnsi="Arial" w:cs="Arial"/>
          <w:b/>
          <w:lang w:eastAsia="ja-JP"/>
        </w:rPr>
        <w:t>Statement of the Problem</w:t>
      </w:r>
    </w:p>
    <w:p w14:paraId="71350A61" w14:textId="77777777" w:rsidR="000D23E6" w:rsidRPr="000D23E6" w:rsidRDefault="000D23E6" w:rsidP="000D23E6">
      <w:pPr>
        <w:rPr>
          <w:rFonts w:ascii="Arial" w:eastAsia="MS Mincho" w:hAnsi="Arial" w:cs="Arial"/>
          <w:lang w:eastAsia="ja-JP"/>
        </w:rPr>
      </w:pPr>
    </w:p>
    <w:p w14:paraId="1A017FFB" w14:textId="7BAD7A5C" w:rsidR="001069ED" w:rsidRPr="001069ED" w:rsidRDefault="001069ED" w:rsidP="001069ED">
      <w:pPr>
        <w:jc w:val="both"/>
        <w:rPr>
          <w:rFonts w:ascii="Arial" w:eastAsia="MS Mincho" w:hAnsi="Arial" w:cs="Arial"/>
          <w:lang w:eastAsia="ja-JP"/>
        </w:rPr>
      </w:pPr>
      <w:r w:rsidRPr="001069ED">
        <w:rPr>
          <w:rFonts w:ascii="Arial" w:eastAsia="MS Mincho" w:hAnsi="Arial" w:cs="Arial"/>
          <w:lang w:eastAsia="ja-JP"/>
        </w:rPr>
        <w:t>This study aimed to determine the conservative learning practices and structural social coordination of public elementary school teachers in Sarangani District, Division of Sarangani Province. Specifically, it</w:t>
      </w:r>
      <w:r>
        <w:rPr>
          <w:rFonts w:ascii="Arial" w:eastAsia="MS Mincho" w:hAnsi="Arial" w:cs="Arial"/>
          <w:lang w:eastAsia="ja-JP"/>
        </w:rPr>
        <w:t xml:space="preserve"> sought</w:t>
      </w:r>
      <w:r w:rsidRPr="001069ED">
        <w:rPr>
          <w:rFonts w:ascii="Arial" w:eastAsia="MS Mincho" w:hAnsi="Arial" w:cs="Arial"/>
          <w:lang w:eastAsia="ja-JP"/>
        </w:rPr>
        <w:t xml:space="preserve"> answer</w:t>
      </w:r>
      <w:r>
        <w:rPr>
          <w:rFonts w:ascii="Arial" w:eastAsia="MS Mincho" w:hAnsi="Arial" w:cs="Arial"/>
          <w:lang w:eastAsia="ja-JP"/>
        </w:rPr>
        <w:t>s</w:t>
      </w:r>
      <w:r w:rsidRPr="001069ED">
        <w:rPr>
          <w:rFonts w:ascii="Arial" w:eastAsia="MS Mincho" w:hAnsi="Arial" w:cs="Arial"/>
          <w:lang w:eastAsia="ja-JP"/>
        </w:rPr>
        <w:t xml:space="preserve"> to the following sub-problems:</w:t>
      </w:r>
    </w:p>
    <w:p w14:paraId="5FA00CED" w14:textId="77777777" w:rsidR="001069ED" w:rsidRDefault="001069ED" w:rsidP="001069ED">
      <w:pPr>
        <w:rPr>
          <w:rFonts w:ascii="Arial" w:eastAsia="MS Mincho" w:hAnsi="Arial" w:cs="Arial"/>
          <w:lang w:eastAsia="ja-JP"/>
        </w:rPr>
      </w:pPr>
    </w:p>
    <w:p w14:paraId="469771A3" w14:textId="53FE58C3"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1. What is the level of conservative learning practices of public elementary school teachers in terms of:</w:t>
      </w:r>
    </w:p>
    <w:p w14:paraId="3AEF4F8F" w14:textId="77777777"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 xml:space="preserve">1.1 generosity, </w:t>
      </w:r>
    </w:p>
    <w:p w14:paraId="09CBF685" w14:textId="77777777"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 xml:space="preserve">1.2 economic, </w:t>
      </w:r>
    </w:p>
    <w:p w14:paraId="70BD106C" w14:textId="2FFFE64D"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 xml:space="preserve">1.3 setting, </w:t>
      </w:r>
    </w:p>
    <w:p w14:paraId="202C03B6" w14:textId="6ACCE30D"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1.4 racial and</w:t>
      </w:r>
    </w:p>
    <w:p w14:paraId="539715FD" w14:textId="0D443326"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1.5 spiritual?</w:t>
      </w:r>
    </w:p>
    <w:p w14:paraId="734B344D" w14:textId="77777777" w:rsidR="001069ED" w:rsidRDefault="001069ED" w:rsidP="001069ED">
      <w:pPr>
        <w:rPr>
          <w:rFonts w:ascii="Arial" w:eastAsia="MS Mincho" w:hAnsi="Arial" w:cs="Arial"/>
          <w:lang w:eastAsia="ja-JP"/>
        </w:rPr>
      </w:pPr>
    </w:p>
    <w:p w14:paraId="66335F94" w14:textId="407212E2"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2. What is the level of structural social coordination of public elementary school teachers in terms of:</w:t>
      </w:r>
    </w:p>
    <w:p w14:paraId="5BE69458" w14:textId="77777777"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 xml:space="preserve">2.1 human rights, </w:t>
      </w:r>
    </w:p>
    <w:p w14:paraId="37D5DD2B" w14:textId="77777777"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2.2 equality and</w:t>
      </w:r>
    </w:p>
    <w:p w14:paraId="2292955D" w14:textId="77777777"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2.3 procedural system?</w:t>
      </w:r>
    </w:p>
    <w:p w14:paraId="2C74F090" w14:textId="77777777" w:rsidR="001069ED" w:rsidRDefault="001069ED" w:rsidP="001069ED">
      <w:pPr>
        <w:rPr>
          <w:rFonts w:ascii="Arial" w:eastAsia="MS Mincho" w:hAnsi="Arial" w:cs="Arial"/>
          <w:lang w:eastAsia="ja-JP"/>
        </w:rPr>
      </w:pPr>
    </w:p>
    <w:p w14:paraId="6C78C2FC" w14:textId="3FB20BA1"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3. Is there a significant relationship between conservative learning practices and structural social coordination of public elementary school teachers?</w:t>
      </w:r>
    </w:p>
    <w:p w14:paraId="3D8D1444" w14:textId="01B7E8A4" w:rsidR="006D2E2A" w:rsidRDefault="001069ED" w:rsidP="001069ED">
      <w:pPr>
        <w:rPr>
          <w:rFonts w:ascii="Arial" w:eastAsia="MS Mincho" w:hAnsi="Arial" w:cs="Arial"/>
          <w:lang w:eastAsia="ja-JP"/>
        </w:rPr>
      </w:pPr>
      <w:r>
        <w:rPr>
          <w:rFonts w:ascii="Arial" w:eastAsia="MS Mincho" w:hAnsi="Arial" w:cs="Arial"/>
          <w:lang w:eastAsia="ja-JP"/>
        </w:rPr>
        <w:t>4. Which</w:t>
      </w:r>
      <w:r w:rsidRPr="001069ED">
        <w:rPr>
          <w:rFonts w:ascii="Arial" w:eastAsia="MS Mincho" w:hAnsi="Arial" w:cs="Arial"/>
          <w:lang w:eastAsia="ja-JP"/>
        </w:rPr>
        <w:t xml:space="preserve"> domains of conservative learning practices significantly influence to structural social coordination of public elementary school teachers?</w:t>
      </w:r>
    </w:p>
    <w:p w14:paraId="07648B50" w14:textId="77777777" w:rsidR="001069ED" w:rsidRDefault="001069ED" w:rsidP="001069ED">
      <w:pPr>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4F3BD4E6" w14:textId="1CA44312" w:rsidR="00EF390C" w:rsidRPr="00EF390C" w:rsidRDefault="00EF390C" w:rsidP="00EF390C">
      <w:pPr>
        <w:pStyle w:val="AbstHead"/>
        <w:jc w:val="both"/>
        <w:rPr>
          <w:rFonts w:ascii="Arial" w:hAnsi="Arial" w:cs="Arial"/>
          <w:b w:val="0"/>
          <w:caps w:val="0"/>
          <w:sz w:val="20"/>
        </w:rPr>
      </w:pPr>
      <w:r w:rsidRPr="00EF390C">
        <w:rPr>
          <w:rFonts w:ascii="Arial" w:hAnsi="Arial" w:cs="Arial"/>
          <w:b w:val="0"/>
          <w:caps w:val="0"/>
          <w:sz w:val="20"/>
        </w:rPr>
        <w:t>Ho1. There is no significant relationship between the conservative learning practices and structural social coordination of pu</w:t>
      </w:r>
      <w:r>
        <w:rPr>
          <w:rFonts w:ascii="Arial" w:hAnsi="Arial" w:cs="Arial"/>
          <w:b w:val="0"/>
          <w:caps w:val="0"/>
          <w:sz w:val="20"/>
        </w:rPr>
        <w:t>blic elementary school teachers.</w:t>
      </w:r>
    </w:p>
    <w:p w14:paraId="4AFC0DEF" w14:textId="77C8A47C" w:rsidR="00296176" w:rsidRDefault="00EF390C" w:rsidP="00EF390C">
      <w:pPr>
        <w:pStyle w:val="AbstHead"/>
        <w:spacing w:after="0"/>
        <w:jc w:val="both"/>
        <w:rPr>
          <w:rFonts w:ascii="Arial" w:hAnsi="Arial" w:cs="Arial"/>
          <w:b w:val="0"/>
          <w:caps w:val="0"/>
          <w:sz w:val="20"/>
        </w:rPr>
      </w:pPr>
      <w:r w:rsidRPr="00EF390C">
        <w:rPr>
          <w:rFonts w:ascii="Arial" w:hAnsi="Arial" w:cs="Arial"/>
          <w:b w:val="0"/>
          <w:caps w:val="0"/>
          <w:sz w:val="20"/>
        </w:rPr>
        <w:t>Ho2. None of the domains of conservative learning practices teachers significantly influence to structural social coordination of pu</w:t>
      </w:r>
      <w:r>
        <w:rPr>
          <w:rFonts w:ascii="Arial" w:hAnsi="Arial" w:cs="Arial"/>
          <w:b w:val="0"/>
          <w:caps w:val="0"/>
          <w:sz w:val="20"/>
        </w:rPr>
        <w:t>blic elementary school teachers.</w:t>
      </w:r>
    </w:p>
    <w:p w14:paraId="240B12B0" w14:textId="77777777" w:rsidR="00EF390C" w:rsidRDefault="00EF390C" w:rsidP="00EF390C">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CA2157D" w14:textId="77777777" w:rsidR="00B80C76" w:rsidRPr="00B80C76" w:rsidRDefault="00B80C76" w:rsidP="00B80C76">
      <w:pPr>
        <w:jc w:val="both"/>
        <w:rPr>
          <w:rFonts w:ascii="Arial" w:hAnsi="Arial" w:cs="Arial"/>
        </w:rPr>
      </w:pPr>
      <w:r w:rsidRPr="00B80C76">
        <w:rPr>
          <w:rFonts w:ascii="Arial" w:hAnsi="Arial" w:cs="Arial"/>
        </w:rPr>
        <w:t>This study employed a quantitative research design, specifically utilizing a descriptive-correlational approach. Quantitative research involves the systematic collection and statistical analysis of numerical data to ensure objectivity, accuracy, and measurable outcomes. This design is particularly effective for examining relationships between variables in educational settings (</w:t>
      </w:r>
      <w:proofErr w:type="spellStart"/>
      <w:r w:rsidRPr="00B80C76">
        <w:rPr>
          <w:rFonts w:ascii="Arial" w:hAnsi="Arial" w:cs="Arial"/>
        </w:rPr>
        <w:t>Mohajan</w:t>
      </w:r>
      <w:proofErr w:type="spellEnd"/>
      <w:r w:rsidRPr="00B80C76">
        <w:rPr>
          <w:rFonts w:ascii="Arial" w:hAnsi="Arial" w:cs="Arial"/>
        </w:rPr>
        <w:t>, 2020).</w:t>
      </w:r>
    </w:p>
    <w:p w14:paraId="111F0DB7" w14:textId="77777777" w:rsidR="00B80C76" w:rsidRPr="00B80C76" w:rsidRDefault="00B80C76" w:rsidP="00B80C76">
      <w:pPr>
        <w:jc w:val="both"/>
        <w:rPr>
          <w:rFonts w:ascii="Arial" w:hAnsi="Arial" w:cs="Arial"/>
        </w:rPr>
      </w:pPr>
    </w:p>
    <w:p w14:paraId="6F5DECE2" w14:textId="77777777" w:rsidR="00B80C76" w:rsidRPr="00B80C76" w:rsidRDefault="00B80C76" w:rsidP="00B80C76">
      <w:pPr>
        <w:jc w:val="both"/>
        <w:rPr>
          <w:rFonts w:ascii="Arial" w:hAnsi="Arial" w:cs="Arial"/>
        </w:rPr>
      </w:pPr>
      <w:r w:rsidRPr="00B80C76">
        <w:rPr>
          <w:rFonts w:ascii="Arial" w:hAnsi="Arial" w:cs="Arial"/>
        </w:rPr>
        <w:t>The descriptive-correlational design was appropriate for this study as it sought to determine the relationship between conservative learning practices and structural social coordination among public elementary school teachers. This approach allowed the researcher to describe the current status of each variable without manipulating any conditions, while also identifying whether a statistically significant relationship exists between them.</w:t>
      </w:r>
    </w:p>
    <w:p w14:paraId="01559E47" w14:textId="77777777" w:rsidR="00B80C76" w:rsidRPr="00B80C76" w:rsidRDefault="00B80C76" w:rsidP="00B80C76">
      <w:pPr>
        <w:jc w:val="both"/>
        <w:rPr>
          <w:rFonts w:ascii="Arial" w:hAnsi="Arial" w:cs="Arial"/>
        </w:rPr>
      </w:pPr>
    </w:p>
    <w:p w14:paraId="4CA5CD27" w14:textId="36B26E55" w:rsidR="00B80C76" w:rsidRPr="00B80C76" w:rsidRDefault="00B80C76" w:rsidP="00B80C76">
      <w:pPr>
        <w:jc w:val="both"/>
        <w:rPr>
          <w:rFonts w:ascii="Arial" w:hAnsi="Arial" w:cs="Arial"/>
        </w:rPr>
      </w:pPr>
      <w:r w:rsidRPr="00B80C76">
        <w:rPr>
          <w:rFonts w:ascii="Arial" w:hAnsi="Arial" w:cs="Arial"/>
        </w:rPr>
        <w:t xml:space="preserve">As emphasized by </w:t>
      </w:r>
      <w:proofErr w:type="spellStart"/>
      <w:r w:rsidR="00AB4520" w:rsidRPr="00AB4520">
        <w:rPr>
          <w:rFonts w:ascii="Arial" w:hAnsi="Arial" w:cs="Arial"/>
        </w:rPr>
        <w:t>Pakkan</w:t>
      </w:r>
      <w:proofErr w:type="spellEnd"/>
      <w:r w:rsidR="00AB4520">
        <w:rPr>
          <w:rFonts w:ascii="Arial" w:hAnsi="Arial" w:cs="Arial"/>
        </w:rPr>
        <w:t xml:space="preserve"> et al.</w:t>
      </w:r>
      <w:r w:rsidRPr="00B80C76">
        <w:rPr>
          <w:rFonts w:ascii="Arial" w:hAnsi="Arial" w:cs="Arial"/>
        </w:rPr>
        <w:t xml:space="preserve"> (2023), correlational methods are useful for exploring how two measurable variables interact or influence each other. In this case, the method helped assess whether conservative learning practices among teachers are associated with the level of structural social coordination within their schools.</w:t>
      </w:r>
    </w:p>
    <w:p w14:paraId="0FBC3653" w14:textId="77777777" w:rsidR="00B80C76" w:rsidRPr="00B80C76" w:rsidRDefault="00B80C76" w:rsidP="00B80C76">
      <w:pPr>
        <w:jc w:val="both"/>
        <w:rPr>
          <w:rFonts w:ascii="Arial" w:hAnsi="Arial" w:cs="Arial"/>
        </w:rPr>
      </w:pPr>
    </w:p>
    <w:p w14:paraId="6408965D" w14:textId="3799E36A" w:rsidR="00BF76A0" w:rsidRDefault="00B80C76" w:rsidP="00B80C76">
      <w:pPr>
        <w:jc w:val="both"/>
        <w:rPr>
          <w:rFonts w:ascii="Arial" w:hAnsi="Arial" w:cs="Arial"/>
        </w:rPr>
      </w:pPr>
      <w:r w:rsidRPr="00B80C76">
        <w:rPr>
          <w:rFonts w:ascii="Arial" w:hAnsi="Arial" w:cs="Arial"/>
        </w:rPr>
        <w:t>By employing this approach, the study aimed to generate evidence-based insights to guide school leaders, educators, and policymakers in understanding how traditional educationa</w:t>
      </w:r>
      <w:r w:rsidR="00A33C1E">
        <w:rPr>
          <w:rFonts w:ascii="Arial" w:hAnsi="Arial" w:cs="Arial"/>
        </w:rPr>
        <w:t xml:space="preserve">l practices might contribute to, or hinder, </w:t>
      </w:r>
      <w:r w:rsidRPr="00B80C76">
        <w:rPr>
          <w:rFonts w:ascii="Arial" w:hAnsi="Arial" w:cs="Arial"/>
        </w:rPr>
        <w:t>social cohesion and equitable collaboration in the school setting. The results are intended to inform future programs or interventions that promote fairness, inclusivity, and professional unity among teachers.</w:t>
      </w:r>
    </w:p>
    <w:p w14:paraId="4EA105EE" w14:textId="77777777" w:rsidR="00B80C76" w:rsidRDefault="00B80C76" w:rsidP="00B80C76">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668D445" w14:textId="77777777" w:rsidR="00B80C76" w:rsidRPr="00B80C76" w:rsidRDefault="00B80C76" w:rsidP="00B80C76">
      <w:pPr>
        <w:jc w:val="both"/>
        <w:rPr>
          <w:rFonts w:ascii="Arial" w:hAnsi="Arial" w:cs="Arial"/>
        </w:rPr>
      </w:pPr>
      <w:r w:rsidRPr="00B80C76">
        <w:rPr>
          <w:rFonts w:ascii="Arial" w:hAnsi="Arial" w:cs="Arial"/>
        </w:rPr>
        <w:t>The respondents of this study were 190 public elementary school teachers in the Sarangani District, Division of Sarangani Province. They evaluated their colleagues through survey questionnaires that were administered to them. The teachers who participated in the study had served for at least three years in public schools. The study was conducted during the school year 2022–2023. The researcher used universal sampling in selecting the respondents, meaning the entire population of the study was included as participants.</w:t>
      </w:r>
    </w:p>
    <w:p w14:paraId="6226DE7F" w14:textId="2EDBEE86" w:rsidR="00BF76A0" w:rsidRDefault="00BF76A0">
      <w:pPr>
        <w:rPr>
          <w:rFonts w:ascii="Arial" w:hAnsi="Arial" w:cs="Arial"/>
          <w:b/>
          <w:bCs/>
        </w:rPr>
      </w:pPr>
    </w:p>
    <w:p w14:paraId="465A59BB" w14:textId="76258A2F" w:rsidR="00B80C76" w:rsidRDefault="00B80C76">
      <w:pPr>
        <w:rPr>
          <w:rFonts w:ascii="Arial" w:hAnsi="Arial" w:cs="Arial"/>
          <w:b/>
          <w:bCs/>
        </w:rPr>
      </w:pPr>
    </w:p>
    <w:p w14:paraId="19332FE7" w14:textId="018D7B92" w:rsidR="00B80C76" w:rsidRDefault="00B80C76">
      <w:pPr>
        <w:rPr>
          <w:rFonts w:ascii="Arial" w:hAnsi="Arial" w:cs="Arial"/>
          <w:b/>
          <w:bCs/>
        </w:rPr>
      </w:pPr>
    </w:p>
    <w:p w14:paraId="2BCA3CEC" w14:textId="3C42C319" w:rsidR="00B80C76" w:rsidRDefault="00B80C76">
      <w:pPr>
        <w:rPr>
          <w:rFonts w:ascii="Arial" w:hAnsi="Arial" w:cs="Arial"/>
          <w:b/>
          <w:bCs/>
        </w:rPr>
      </w:pPr>
    </w:p>
    <w:p w14:paraId="684368CD" w14:textId="3C2E6CC7" w:rsidR="00523CC3" w:rsidRDefault="00523CC3">
      <w:pPr>
        <w:rPr>
          <w:rFonts w:ascii="Arial" w:hAnsi="Arial" w:cs="Arial"/>
          <w:b/>
          <w:bCs/>
        </w:rPr>
      </w:pPr>
    </w:p>
    <w:p w14:paraId="5C0FEA74" w14:textId="2EDA1597" w:rsidR="00523CC3" w:rsidRDefault="00523CC3">
      <w:pPr>
        <w:rPr>
          <w:rFonts w:ascii="Arial" w:hAnsi="Arial" w:cs="Arial"/>
          <w:b/>
          <w:bCs/>
        </w:rPr>
      </w:pPr>
    </w:p>
    <w:p w14:paraId="7F7B1E8A" w14:textId="77777777" w:rsidR="00523CC3" w:rsidRDefault="00523CC3">
      <w:pPr>
        <w:rPr>
          <w:rFonts w:ascii="Arial" w:hAnsi="Arial" w:cs="Arial"/>
          <w:b/>
          <w:bCs/>
        </w:rPr>
      </w:pPr>
    </w:p>
    <w:p w14:paraId="6B0E1189" w14:textId="77777777" w:rsidR="00B80C76" w:rsidRDefault="00B80C76">
      <w:pPr>
        <w:rPr>
          <w:rFonts w:ascii="Arial" w:hAnsi="Arial" w:cs="Arial"/>
          <w:b/>
          <w:bCs/>
        </w:rPr>
      </w:pPr>
    </w:p>
    <w:p w14:paraId="6BE2C45C" w14:textId="4F21E3A4"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1EA7607" w14:textId="1FAD79E4" w:rsidR="00B80C76" w:rsidRPr="00B80C76" w:rsidRDefault="00B80C76" w:rsidP="00B80C76">
      <w:pPr>
        <w:jc w:val="both"/>
        <w:rPr>
          <w:rFonts w:ascii="Arial" w:hAnsi="Arial" w:cs="Arial"/>
        </w:rPr>
      </w:pPr>
      <w:r w:rsidRPr="00B80C76">
        <w:rPr>
          <w:rFonts w:ascii="Arial" w:hAnsi="Arial" w:cs="Arial"/>
        </w:rPr>
        <w:t>The instrument used in this study was a researcher-developed questionnaire composed of two main sections, specifically designed to collect data on conservative learning practices and structural social coordination among public elementary school teachers.</w:t>
      </w:r>
      <w:r>
        <w:rPr>
          <w:rFonts w:ascii="Arial" w:hAnsi="Arial" w:cs="Arial"/>
        </w:rPr>
        <w:t xml:space="preserve"> </w:t>
      </w:r>
      <w:r w:rsidRPr="00B80C76">
        <w:rPr>
          <w:rFonts w:ascii="Arial" w:hAnsi="Arial" w:cs="Arial"/>
        </w:rPr>
        <w:t>The first section focused on conservative learning practices, with items constructed based on established literature and theoretical frameworks related to traditional pedagogical approaches, value-based instruction, and culturally grounded teaching methods. To ensure content validity, the items were reviewed by experts in educational psychology and curriculum development. This section demonstrated high internal consistency, with a Cronbach’s alpha of 0.921.</w:t>
      </w:r>
    </w:p>
    <w:p w14:paraId="5ABEB53F" w14:textId="77777777" w:rsidR="00B80C76" w:rsidRPr="00B80C76" w:rsidRDefault="00B80C76" w:rsidP="00B80C76">
      <w:pPr>
        <w:jc w:val="both"/>
        <w:rPr>
          <w:rFonts w:ascii="Arial" w:hAnsi="Arial" w:cs="Arial"/>
        </w:rPr>
      </w:pPr>
    </w:p>
    <w:p w14:paraId="567F1F56" w14:textId="0D5155D9" w:rsidR="00CA39EE" w:rsidRDefault="00B80C76" w:rsidP="00B80C76">
      <w:pPr>
        <w:jc w:val="both"/>
        <w:rPr>
          <w:rFonts w:ascii="Arial" w:hAnsi="Arial" w:cs="Arial"/>
        </w:rPr>
      </w:pPr>
      <w:r w:rsidRPr="00B80C76">
        <w:rPr>
          <w:rFonts w:ascii="Arial" w:hAnsi="Arial" w:cs="Arial"/>
        </w:rPr>
        <w:t>The second section assessed structural social coordination, reflecting teachers’ perceptions of fairness, equality, and cooperation within the school environment. Items in this section were adapted from previous studies on institutional coordination, organizational justice, and teacher collaboration. The reliability of this section was also strong, with a Cronbach’s alpha of 0.914, confirming the instrument's suitability for evaluating coordination dynamics in public school settings.</w:t>
      </w:r>
      <w:r>
        <w:rPr>
          <w:rFonts w:ascii="Arial" w:hAnsi="Arial" w:cs="Arial"/>
        </w:rPr>
        <w:t xml:space="preserve"> </w:t>
      </w:r>
      <w:r w:rsidRPr="00B80C76">
        <w:rPr>
          <w:rFonts w:ascii="Arial" w:hAnsi="Arial" w:cs="Arial"/>
        </w:rPr>
        <w:t>Prior to the final administration, the instrument underwent pilot testing among a small group of teachers from a neighboring district not included in the study. This step ensured clarity, cultural relevance, and practicality of the questionnaire for widespread use in the target research population.</w:t>
      </w:r>
    </w:p>
    <w:p w14:paraId="5FB6B98F" w14:textId="77777777" w:rsidR="00B80C76" w:rsidRDefault="00B80C76" w:rsidP="00B80C76">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321B65F3" w14:textId="108225D8" w:rsidR="009F7BA6" w:rsidRPr="009F7BA6" w:rsidRDefault="009F7BA6" w:rsidP="009F7BA6">
      <w:pPr>
        <w:pStyle w:val="Heading1"/>
        <w:jc w:val="both"/>
        <w:rPr>
          <w:rFonts w:cs="Arial"/>
          <w:b w:val="0"/>
          <w:kern w:val="0"/>
          <w:sz w:val="20"/>
        </w:rPr>
      </w:pPr>
      <w:r w:rsidRPr="009F7BA6">
        <w:rPr>
          <w:rFonts w:cs="Arial"/>
          <w:b w:val="0"/>
          <w:kern w:val="0"/>
          <w:sz w:val="20"/>
        </w:rPr>
        <w:t>The data collection process for this study was carried out in a systematic, ethical, and well-organized manner to ensure the accuracy, reliability, and integrity of the research. Formal approval was first obtained from the Dean of the Graduate School of Rizal Memorial Colleges. Subsequently, an official endorsement letter was submitted to the Schools Division Superintendent of the Division of Sarangani Province to secure permission to conduct the study within public elementary schools in the district.</w:t>
      </w:r>
    </w:p>
    <w:p w14:paraId="378158D0" w14:textId="47BB1A26" w:rsidR="009F7BA6" w:rsidRPr="009F7BA6" w:rsidRDefault="009F7BA6" w:rsidP="009F7BA6">
      <w:pPr>
        <w:pStyle w:val="Heading1"/>
        <w:jc w:val="both"/>
        <w:rPr>
          <w:rFonts w:cs="Arial"/>
          <w:b w:val="0"/>
          <w:kern w:val="0"/>
          <w:sz w:val="20"/>
        </w:rPr>
      </w:pPr>
      <w:r w:rsidRPr="009F7BA6">
        <w:rPr>
          <w:rFonts w:cs="Arial"/>
          <w:b w:val="0"/>
          <w:kern w:val="0"/>
          <w:sz w:val="20"/>
        </w:rPr>
        <w:t>Once approvals were granted, the researcher distributed the researcher-made questionnaires to the 190 teacher-respondents in the Sarangani District. The instrument was specifically designed to gather data on conservative learning practices and structural social coordination among public elementary school teachers. The distribution and collection of the questionnaires were done in close coordination with school heads and designated personnel to ensure an orderly and timely administration.</w:t>
      </w:r>
    </w:p>
    <w:p w14:paraId="3D63E9D5" w14:textId="3E908E6A" w:rsidR="009F7BA6" w:rsidRPr="009F7BA6" w:rsidRDefault="009F7BA6" w:rsidP="009F7BA6">
      <w:pPr>
        <w:pStyle w:val="Heading1"/>
        <w:jc w:val="both"/>
        <w:rPr>
          <w:rFonts w:cs="Arial"/>
          <w:b w:val="0"/>
          <w:kern w:val="0"/>
          <w:sz w:val="20"/>
        </w:rPr>
      </w:pPr>
      <w:r w:rsidRPr="009F7BA6">
        <w:rPr>
          <w:rFonts w:cs="Arial"/>
          <w:b w:val="0"/>
          <w:kern w:val="0"/>
          <w:sz w:val="20"/>
        </w:rPr>
        <w:t>Before completing the survey, each participant was thoroughly informed about the purpose of the study, the procedures involved, and the ethical safeguards in place. Emphasis was placed on voluntary participation, confidentiality, and anonymity to create a safe space for respondents to share genuine and thoughtful responses.</w:t>
      </w:r>
    </w:p>
    <w:p w14:paraId="3D0E6187" w14:textId="77777777" w:rsidR="009F7BA6" w:rsidRPr="009F7BA6" w:rsidRDefault="009F7BA6" w:rsidP="009F7BA6">
      <w:pPr>
        <w:pStyle w:val="Heading1"/>
        <w:jc w:val="both"/>
        <w:rPr>
          <w:rFonts w:cs="Arial"/>
          <w:b w:val="0"/>
          <w:kern w:val="0"/>
          <w:sz w:val="20"/>
        </w:rPr>
      </w:pPr>
      <w:r w:rsidRPr="009F7BA6">
        <w:rPr>
          <w:rFonts w:cs="Arial"/>
          <w:b w:val="0"/>
          <w:kern w:val="0"/>
          <w:sz w:val="20"/>
        </w:rPr>
        <w:t>After the data collection period, the completed questionnaires were retrieved and carefully reviewed. Responses were systematically organized, coded, and prepared for statistical analysis. The following tools were utilized: mean and standard deviation to determine the levels of conservative learning practices and structural social coordination; Pearson’s r correlation coefficient to assess the relationship between the two variables; and multiple regression analysis to determine the extent to which conservative learning practices influence structural social coordination among teachers.</w:t>
      </w:r>
    </w:p>
    <w:p w14:paraId="1C13872C" w14:textId="70008C24" w:rsidR="00717F2E" w:rsidRPr="005D71AE" w:rsidRDefault="00180859" w:rsidP="008979D4">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30857E7C" w14:textId="2958795A" w:rsidR="009F7BA6" w:rsidRPr="009F7BA6" w:rsidRDefault="009F7BA6" w:rsidP="009F7BA6">
      <w:pPr>
        <w:pStyle w:val="Head1"/>
        <w:jc w:val="both"/>
        <w:rPr>
          <w:rFonts w:ascii="Arial" w:hAnsi="Arial" w:cs="Arial"/>
          <w:b w:val="0"/>
          <w:caps w:val="0"/>
          <w:color w:val="000000"/>
          <w:sz w:val="20"/>
        </w:rPr>
      </w:pPr>
      <w:r w:rsidRPr="009F7BA6">
        <w:rPr>
          <w:rFonts w:ascii="Arial" w:hAnsi="Arial" w:cs="Arial"/>
          <w:b w:val="0"/>
          <w:caps w:val="0"/>
          <w:color w:val="000000"/>
          <w:sz w:val="20"/>
        </w:rPr>
        <w:lastRenderedPageBreak/>
        <w:t>In analyzing and interpreting the data collected for this study, several statistical tools were employed to effectively address the research objectives:</w:t>
      </w:r>
    </w:p>
    <w:p w14:paraId="4978D1FD" w14:textId="5A381295" w:rsidR="009F7BA6" w:rsidRPr="009F7BA6" w:rsidRDefault="009F7BA6" w:rsidP="009F7BA6">
      <w:pPr>
        <w:pStyle w:val="Head1"/>
        <w:jc w:val="both"/>
        <w:rPr>
          <w:rFonts w:ascii="Arial" w:hAnsi="Arial" w:cs="Arial"/>
          <w:b w:val="0"/>
          <w:caps w:val="0"/>
          <w:color w:val="000000"/>
          <w:sz w:val="20"/>
        </w:rPr>
      </w:pPr>
      <w:r w:rsidRPr="009F7BA6">
        <w:rPr>
          <w:rFonts w:ascii="Arial" w:hAnsi="Arial" w:cs="Arial"/>
          <w:b w:val="0"/>
          <w:caps w:val="0"/>
          <w:color w:val="000000"/>
          <w:sz w:val="20"/>
        </w:rPr>
        <w:t>Mean and standard deviation were utilized to determine the overall levels of conservative learning practices and structural social coordination as perceived by public elementary school teachers. These descriptive statistics provided a summary of the extent to which these practices and behaviors were present and observable within the school environment.</w:t>
      </w:r>
    </w:p>
    <w:p w14:paraId="57FA58CF" w14:textId="444EA684" w:rsidR="009F7BA6" w:rsidRPr="009F7BA6" w:rsidRDefault="009F7BA6" w:rsidP="009F7BA6">
      <w:pPr>
        <w:pStyle w:val="Head1"/>
        <w:jc w:val="both"/>
        <w:rPr>
          <w:rFonts w:ascii="Arial" w:hAnsi="Arial" w:cs="Arial"/>
          <w:b w:val="0"/>
          <w:caps w:val="0"/>
          <w:color w:val="000000"/>
          <w:sz w:val="20"/>
        </w:rPr>
      </w:pPr>
      <w:r w:rsidRPr="009F7BA6">
        <w:rPr>
          <w:rFonts w:ascii="Arial" w:hAnsi="Arial" w:cs="Arial"/>
          <w:b w:val="0"/>
          <w:caps w:val="0"/>
          <w:color w:val="000000"/>
          <w:sz w:val="20"/>
        </w:rPr>
        <w:t>Pearson’s Product-Moment Correlation Coefficient (Pearson r) was used to examine the strength and direction of the relationship between conservative learning practices and structural social coordination. This inferential analysis aimed to determine whether a statistically significant association existed between the extent of conservative learning approaches and the degree of coordinated social interaction among teachers.</w:t>
      </w:r>
    </w:p>
    <w:p w14:paraId="0D51C7A4" w14:textId="27B6B1A9" w:rsidR="008979D4" w:rsidRDefault="009F7BA6" w:rsidP="009F7BA6">
      <w:pPr>
        <w:pStyle w:val="Head1"/>
        <w:spacing w:after="0"/>
        <w:jc w:val="both"/>
        <w:rPr>
          <w:rFonts w:ascii="Arial" w:hAnsi="Arial" w:cs="Arial"/>
          <w:b w:val="0"/>
          <w:caps w:val="0"/>
          <w:color w:val="000000"/>
          <w:sz w:val="20"/>
        </w:rPr>
      </w:pPr>
      <w:r w:rsidRPr="009F7BA6">
        <w:rPr>
          <w:rFonts w:ascii="Arial" w:hAnsi="Arial" w:cs="Arial"/>
          <w:b w:val="0"/>
          <w:caps w:val="0"/>
          <w:color w:val="000000"/>
          <w:sz w:val="20"/>
        </w:rPr>
        <w:t>Furthermore, multiple linear regression analysis was conducted to assess the influence of conservative learning practices on structural social coordination. This allowed the researcher to identify whether conservative teaching behaviors significantly predicted the level of structured and equitable social coordination among teachers in the school setting.</w:t>
      </w:r>
    </w:p>
    <w:p w14:paraId="26CA6C60" w14:textId="77777777" w:rsidR="009F7BA6" w:rsidRDefault="009F7BA6" w:rsidP="009F7BA6">
      <w:pPr>
        <w:pStyle w:val="Head1"/>
        <w:spacing w:after="0"/>
        <w:jc w:val="both"/>
        <w:rPr>
          <w:rFonts w:ascii="Arial" w:hAnsi="Arial" w:cs="Arial"/>
          <w:sz w:val="20"/>
        </w:rPr>
      </w:pPr>
    </w:p>
    <w:p w14:paraId="54D02440" w14:textId="163F1693"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23510E5E" w:rsidR="00667368" w:rsidRPr="00667368" w:rsidRDefault="00180859" w:rsidP="00667368">
      <w:pPr>
        <w:rPr>
          <w:rFonts w:ascii="Arial" w:hAnsi="Arial" w:cs="Arial"/>
          <w:b/>
        </w:rPr>
      </w:pPr>
      <w:r>
        <w:rPr>
          <w:rFonts w:ascii="Arial" w:hAnsi="Arial" w:cs="Arial"/>
          <w:b/>
        </w:rPr>
        <w:t xml:space="preserve">3.1 </w:t>
      </w:r>
      <w:r w:rsidR="00CE2AD8" w:rsidRPr="00CE2AD8">
        <w:rPr>
          <w:rFonts w:ascii="Arial" w:hAnsi="Arial" w:cs="Arial"/>
          <w:b/>
        </w:rPr>
        <w:t xml:space="preserve">Level of </w:t>
      </w:r>
      <w:r w:rsidR="009B6D0D">
        <w:rPr>
          <w:rFonts w:ascii="Arial" w:hAnsi="Arial" w:cs="Arial"/>
          <w:b/>
        </w:rPr>
        <w:t>C</w:t>
      </w:r>
      <w:r w:rsidR="009B6D0D" w:rsidRPr="009B6D0D">
        <w:rPr>
          <w:rFonts w:ascii="Arial" w:hAnsi="Arial" w:cs="Arial"/>
          <w:b/>
        </w:rPr>
        <w:t>onservative Learning Practices</w:t>
      </w:r>
      <w:r w:rsidR="009B6D0D">
        <w:rPr>
          <w:rFonts w:ascii="Arial" w:hAnsi="Arial" w:cs="Arial"/>
          <w:b/>
        </w:rPr>
        <w:t xml:space="preserve"> among Teachers</w:t>
      </w:r>
    </w:p>
    <w:p w14:paraId="1B38FF68" w14:textId="67BF4CEB" w:rsidR="00EF4B2D" w:rsidRDefault="00EF4B2D">
      <w:pPr>
        <w:suppressAutoHyphens/>
        <w:jc w:val="both"/>
        <w:rPr>
          <w:rFonts w:ascii="Arial" w:hAnsi="Arial" w:cs="Arial"/>
          <w:b/>
        </w:rPr>
      </w:pPr>
    </w:p>
    <w:p w14:paraId="496DE70A" w14:textId="2D435546" w:rsidR="002F5C4B" w:rsidRDefault="00180859" w:rsidP="009B6D0D">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9B6D0D" w:rsidRPr="009B6D0D">
        <w:rPr>
          <w:rFonts w:ascii="Arial" w:hAnsi="Arial" w:cs="Arial"/>
          <w:i/>
          <w:iCs/>
        </w:rPr>
        <w:t>Level of Conservative Learning Practices among Teachers</w:t>
      </w:r>
    </w:p>
    <w:p w14:paraId="210C3B23" w14:textId="77777777" w:rsidR="006259A4" w:rsidRPr="006259A4" w:rsidRDefault="006259A4">
      <w:pPr>
        <w:suppressAutoHyphens/>
        <w:jc w:val="both"/>
        <w:rPr>
          <w:rFonts w:ascii="Arial" w:hAnsi="Arial" w:cs="Arial"/>
          <w:i/>
          <w:iCs/>
        </w:rPr>
      </w:pPr>
    </w:p>
    <w:tbl>
      <w:tblPr>
        <w:tblW w:w="8146" w:type="dxa"/>
        <w:tblInd w:w="198" w:type="dxa"/>
        <w:tblBorders>
          <w:top w:val="single" w:sz="4" w:space="0" w:color="auto"/>
          <w:bottom w:val="single" w:sz="4" w:space="0" w:color="auto"/>
        </w:tblBorders>
        <w:tblLayout w:type="fixed"/>
        <w:tblLook w:val="04A0" w:firstRow="1" w:lastRow="0" w:firstColumn="1" w:lastColumn="0" w:noHBand="0" w:noVBand="1"/>
      </w:tblPr>
      <w:tblGrid>
        <w:gridCol w:w="5524"/>
        <w:gridCol w:w="1049"/>
        <w:gridCol w:w="1573"/>
      </w:tblGrid>
      <w:tr w:rsidR="009B6D0D" w:rsidRPr="001371A6" w14:paraId="7D2DB06D" w14:textId="77777777" w:rsidTr="001371A6">
        <w:trPr>
          <w:trHeight w:val="381"/>
        </w:trPr>
        <w:tc>
          <w:tcPr>
            <w:tcW w:w="5524" w:type="dxa"/>
            <w:tcBorders>
              <w:top w:val="single" w:sz="4" w:space="0" w:color="auto"/>
              <w:bottom w:val="single" w:sz="4" w:space="0" w:color="auto"/>
            </w:tcBorders>
          </w:tcPr>
          <w:p w14:paraId="4E358EE8" w14:textId="7192F06C" w:rsidR="009B6D0D" w:rsidRPr="001371A6" w:rsidRDefault="001371A6" w:rsidP="00C07B81">
            <w:pPr>
              <w:jc w:val="center"/>
              <w:rPr>
                <w:rFonts w:ascii="Arial" w:hAnsi="Arial" w:cs="Arial"/>
                <w:b/>
                <w:bCs/>
              </w:rPr>
            </w:pPr>
            <w:r w:rsidRPr="001371A6">
              <w:rPr>
                <w:rFonts w:ascii="Arial" w:hAnsi="Arial" w:cs="Arial"/>
                <w:b/>
                <w:bCs/>
              </w:rPr>
              <w:t>Domains</w:t>
            </w:r>
          </w:p>
          <w:p w14:paraId="77B82B5A" w14:textId="77777777" w:rsidR="009B6D0D" w:rsidRPr="001371A6" w:rsidRDefault="009B6D0D" w:rsidP="00C07B81">
            <w:pPr>
              <w:jc w:val="center"/>
              <w:rPr>
                <w:rFonts w:ascii="Arial" w:hAnsi="Arial" w:cs="Arial"/>
                <w:b/>
                <w:bCs/>
              </w:rPr>
            </w:pPr>
          </w:p>
        </w:tc>
        <w:tc>
          <w:tcPr>
            <w:tcW w:w="1049" w:type="dxa"/>
            <w:tcBorders>
              <w:top w:val="single" w:sz="4" w:space="0" w:color="auto"/>
              <w:bottom w:val="single" w:sz="4" w:space="0" w:color="auto"/>
            </w:tcBorders>
          </w:tcPr>
          <w:p w14:paraId="6F640A10" w14:textId="77777777" w:rsidR="009B6D0D" w:rsidRPr="001371A6" w:rsidRDefault="009B6D0D" w:rsidP="00C07B81">
            <w:pPr>
              <w:jc w:val="center"/>
              <w:rPr>
                <w:rFonts w:ascii="Arial" w:hAnsi="Arial" w:cs="Arial"/>
                <w:b/>
                <w:bCs/>
              </w:rPr>
            </w:pPr>
            <w:r w:rsidRPr="001371A6">
              <w:rPr>
                <w:rFonts w:ascii="Arial" w:hAnsi="Arial" w:cs="Arial"/>
                <w:b/>
                <w:bCs/>
              </w:rPr>
              <w:t>Mean</w:t>
            </w:r>
          </w:p>
        </w:tc>
        <w:tc>
          <w:tcPr>
            <w:tcW w:w="1573" w:type="dxa"/>
            <w:tcBorders>
              <w:top w:val="single" w:sz="4" w:space="0" w:color="auto"/>
              <w:bottom w:val="single" w:sz="4" w:space="0" w:color="auto"/>
            </w:tcBorders>
          </w:tcPr>
          <w:p w14:paraId="6BE2F714" w14:textId="77777777" w:rsidR="009B6D0D" w:rsidRPr="001371A6" w:rsidRDefault="009B6D0D" w:rsidP="00C07B81">
            <w:pPr>
              <w:jc w:val="center"/>
              <w:rPr>
                <w:rFonts w:ascii="Arial" w:hAnsi="Arial" w:cs="Arial"/>
                <w:b/>
                <w:bCs/>
              </w:rPr>
            </w:pPr>
            <w:r w:rsidRPr="001371A6">
              <w:rPr>
                <w:rFonts w:ascii="Arial" w:hAnsi="Arial" w:cs="Arial"/>
                <w:b/>
                <w:bCs/>
              </w:rPr>
              <w:t>Descriptive Level</w:t>
            </w:r>
          </w:p>
        </w:tc>
      </w:tr>
      <w:tr w:rsidR="009B6D0D" w:rsidRPr="001371A6" w14:paraId="7D11D150" w14:textId="77777777" w:rsidTr="001371A6">
        <w:trPr>
          <w:trHeight w:val="230"/>
        </w:trPr>
        <w:tc>
          <w:tcPr>
            <w:tcW w:w="5524" w:type="dxa"/>
            <w:tcBorders>
              <w:top w:val="single" w:sz="4" w:space="0" w:color="auto"/>
            </w:tcBorders>
          </w:tcPr>
          <w:p w14:paraId="5CD630AB" w14:textId="77777777" w:rsidR="009B6D0D" w:rsidRPr="001371A6" w:rsidRDefault="009B6D0D" w:rsidP="00C07B81">
            <w:pPr>
              <w:rPr>
                <w:rFonts w:ascii="Arial" w:hAnsi="Arial" w:cs="Arial"/>
              </w:rPr>
            </w:pPr>
            <w:r w:rsidRPr="001371A6">
              <w:rPr>
                <w:rFonts w:ascii="Arial" w:hAnsi="Arial" w:cs="Arial"/>
              </w:rPr>
              <w:t>1.  generosity</w:t>
            </w:r>
          </w:p>
        </w:tc>
        <w:tc>
          <w:tcPr>
            <w:tcW w:w="1049" w:type="dxa"/>
            <w:tcBorders>
              <w:top w:val="single" w:sz="4" w:space="0" w:color="auto"/>
            </w:tcBorders>
            <w:vAlign w:val="center"/>
          </w:tcPr>
          <w:p w14:paraId="2015FFB1" w14:textId="77777777" w:rsidR="009B6D0D" w:rsidRPr="001371A6" w:rsidRDefault="009B6D0D" w:rsidP="00C07B81">
            <w:pPr>
              <w:jc w:val="center"/>
              <w:rPr>
                <w:rFonts w:ascii="Arial" w:hAnsi="Arial" w:cs="Arial"/>
              </w:rPr>
            </w:pPr>
            <w:r w:rsidRPr="001371A6">
              <w:rPr>
                <w:rFonts w:ascii="Arial" w:hAnsi="Arial" w:cs="Arial"/>
              </w:rPr>
              <w:t>4.39</w:t>
            </w:r>
          </w:p>
        </w:tc>
        <w:tc>
          <w:tcPr>
            <w:tcW w:w="1573" w:type="dxa"/>
            <w:tcBorders>
              <w:top w:val="single" w:sz="4" w:space="0" w:color="auto"/>
            </w:tcBorders>
            <w:vAlign w:val="center"/>
          </w:tcPr>
          <w:p w14:paraId="06FEEE8A" w14:textId="77777777" w:rsidR="009B6D0D" w:rsidRPr="001371A6" w:rsidRDefault="009B6D0D" w:rsidP="00C07B81">
            <w:pPr>
              <w:jc w:val="center"/>
              <w:rPr>
                <w:rFonts w:ascii="Arial" w:hAnsi="Arial" w:cs="Arial"/>
              </w:rPr>
            </w:pPr>
            <w:r w:rsidRPr="001371A6">
              <w:rPr>
                <w:rFonts w:ascii="Arial" w:hAnsi="Arial" w:cs="Arial"/>
              </w:rPr>
              <w:t>Very High</w:t>
            </w:r>
          </w:p>
        </w:tc>
      </w:tr>
      <w:tr w:rsidR="009B6D0D" w:rsidRPr="001371A6" w14:paraId="7AEB41FD" w14:textId="77777777" w:rsidTr="001371A6">
        <w:trPr>
          <w:trHeight w:val="230"/>
        </w:trPr>
        <w:tc>
          <w:tcPr>
            <w:tcW w:w="5524" w:type="dxa"/>
          </w:tcPr>
          <w:p w14:paraId="2F97D835" w14:textId="77777777" w:rsidR="009B6D0D" w:rsidRPr="001371A6" w:rsidRDefault="009B6D0D" w:rsidP="00C07B81">
            <w:pPr>
              <w:rPr>
                <w:rFonts w:ascii="Arial" w:hAnsi="Arial" w:cs="Arial"/>
              </w:rPr>
            </w:pPr>
            <w:r w:rsidRPr="001371A6">
              <w:rPr>
                <w:rFonts w:ascii="Arial" w:hAnsi="Arial" w:cs="Arial"/>
              </w:rPr>
              <w:t xml:space="preserve">2.  economic </w:t>
            </w:r>
          </w:p>
        </w:tc>
        <w:tc>
          <w:tcPr>
            <w:tcW w:w="1049" w:type="dxa"/>
            <w:vAlign w:val="center"/>
          </w:tcPr>
          <w:p w14:paraId="6F4E43B1" w14:textId="77777777" w:rsidR="009B6D0D" w:rsidRPr="001371A6" w:rsidRDefault="009B6D0D" w:rsidP="00C07B81">
            <w:pPr>
              <w:jc w:val="center"/>
              <w:rPr>
                <w:rFonts w:ascii="Arial" w:hAnsi="Arial" w:cs="Arial"/>
              </w:rPr>
            </w:pPr>
            <w:r w:rsidRPr="001371A6">
              <w:rPr>
                <w:rFonts w:ascii="Arial" w:hAnsi="Arial" w:cs="Arial"/>
              </w:rPr>
              <w:t>3.86</w:t>
            </w:r>
          </w:p>
        </w:tc>
        <w:tc>
          <w:tcPr>
            <w:tcW w:w="1573" w:type="dxa"/>
            <w:vAlign w:val="center"/>
          </w:tcPr>
          <w:p w14:paraId="2887C05C"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5EE79958" w14:textId="77777777" w:rsidTr="001371A6">
        <w:trPr>
          <w:trHeight w:val="230"/>
        </w:trPr>
        <w:tc>
          <w:tcPr>
            <w:tcW w:w="5524" w:type="dxa"/>
          </w:tcPr>
          <w:p w14:paraId="2E4F8C6F" w14:textId="77777777" w:rsidR="009B6D0D" w:rsidRPr="001371A6" w:rsidRDefault="009B6D0D" w:rsidP="00C07B81">
            <w:pPr>
              <w:tabs>
                <w:tab w:val="left" w:pos="1860"/>
              </w:tabs>
              <w:rPr>
                <w:rFonts w:ascii="Arial" w:hAnsi="Arial" w:cs="Arial"/>
              </w:rPr>
            </w:pPr>
            <w:r w:rsidRPr="001371A6">
              <w:rPr>
                <w:rFonts w:ascii="Arial" w:hAnsi="Arial" w:cs="Arial"/>
              </w:rPr>
              <w:t>3.  setting</w:t>
            </w:r>
          </w:p>
        </w:tc>
        <w:tc>
          <w:tcPr>
            <w:tcW w:w="1049" w:type="dxa"/>
            <w:vAlign w:val="center"/>
          </w:tcPr>
          <w:p w14:paraId="3CCB4C2D" w14:textId="77777777" w:rsidR="009B6D0D" w:rsidRPr="001371A6" w:rsidRDefault="009B6D0D" w:rsidP="00C07B81">
            <w:pPr>
              <w:jc w:val="center"/>
              <w:rPr>
                <w:rFonts w:ascii="Arial" w:hAnsi="Arial" w:cs="Arial"/>
              </w:rPr>
            </w:pPr>
            <w:r w:rsidRPr="001371A6">
              <w:rPr>
                <w:rFonts w:ascii="Arial" w:hAnsi="Arial" w:cs="Arial"/>
              </w:rPr>
              <w:t>4.16</w:t>
            </w:r>
          </w:p>
        </w:tc>
        <w:tc>
          <w:tcPr>
            <w:tcW w:w="1573" w:type="dxa"/>
            <w:vAlign w:val="center"/>
          </w:tcPr>
          <w:p w14:paraId="5E36299F"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2C2D8B95" w14:textId="77777777" w:rsidTr="001371A6">
        <w:trPr>
          <w:trHeight w:val="243"/>
        </w:trPr>
        <w:tc>
          <w:tcPr>
            <w:tcW w:w="5524" w:type="dxa"/>
          </w:tcPr>
          <w:p w14:paraId="75F2A3FA" w14:textId="77777777" w:rsidR="009B6D0D" w:rsidRPr="001371A6" w:rsidRDefault="009B6D0D" w:rsidP="00C07B81">
            <w:pPr>
              <w:tabs>
                <w:tab w:val="left" w:pos="1860"/>
              </w:tabs>
              <w:rPr>
                <w:rFonts w:ascii="Arial" w:hAnsi="Arial" w:cs="Arial"/>
              </w:rPr>
            </w:pPr>
            <w:r w:rsidRPr="001371A6">
              <w:rPr>
                <w:rFonts w:ascii="Arial" w:hAnsi="Arial" w:cs="Arial"/>
              </w:rPr>
              <w:t>4.  racial</w:t>
            </w:r>
          </w:p>
        </w:tc>
        <w:tc>
          <w:tcPr>
            <w:tcW w:w="1049" w:type="dxa"/>
            <w:vAlign w:val="center"/>
          </w:tcPr>
          <w:p w14:paraId="788993F2" w14:textId="77777777" w:rsidR="009B6D0D" w:rsidRPr="001371A6" w:rsidRDefault="009B6D0D" w:rsidP="00C07B81">
            <w:pPr>
              <w:jc w:val="center"/>
              <w:rPr>
                <w:rFonts w:ascii="Arial" w:hAnsi="Arial" w:cs="Arial"/>
              </w:rPr>
            </w:pPr>
            <w:r w:rsidRPr="001371A6">
              <w:rPr>
                <w:rFonts w:ascii="Arial" w:hAnsi="Arial" w:cs="Arial"/>
              </w:rPr>
              <w:t>4.10</w:t>
            </w:r>
          </w:p>
        </w:tc>
        <w:tc>
          <w:tcPr>
            <w:tcW w:w="1573" w:type="dxa"/>
            <w:vAlign w:val="center"/>
          </w:tcPr>
          <w:p w14:paraId="50FD9AEE"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7E99CB5A" w14:textId="77777777" w:rsidTr="001371A6">
        <w:trPr>
          <w:trHeight w:val="230"/>
        </w:trPr>
        <w:tc>
          <w:tcPr>
            <w:tcW w:w="5524" w:type="dxa"/>
          </w:tcPr>
          <w:p w14:paraId="6A5094EA" w14:textId="77777777" w:rsidR="009B6D0D" w:rsidRPr="001371A6" w:rsidRDefault="009B6D0D" w:rsidP="00C07B81">
            <w:pPr>
              <w:tabs>
                <w:tab w:val="left" w:pos="1860"/>
              </w:tabs>
              <w:rPr>
                <w:rFonts w:ascii="Arial" w:hAnsi="Arial" w:cs="Arial"/>
              </w:rPr>
            </w:pPr>
            <w:r w:rsidRPr="001371A6">
              <w:rPr>
                <w:rFonts w:ascii="Arial" w:hAnsi="Arial" w:cs="Arial"/>
              </w:rPr>
              <w:t>5.  spiritual</w:t>
            </w:r>
          </w:p>
        </w:tc>
        <w:tc>
          <w:tcPr>
            <w:tcW w:w="1049" w:type="dxa"/>
            <w:vAlign w:val="center"/>
          </w:tcPr>
          <w:p w14:paraId="306DC148" w14:textId="77777777" w:rsidR="009B6D0D" w:rsidRPr="001371A6" w:rsidRDefault="009B6D0D" w:rsidP="00C07B81">
            <w:pPr>
              <w:jc w:val="center"/>
              <w:rPr>
                <w:rFonts w:ascii="Arial" w:hAnsi="Arial" w:cs="Arial"/>
              </w:rPr>
            </w:pPr>
            <w:r w:rsidRPr="001371A6">
              <w:rPr>
                <w:rFonts w:ascii="Arial" w:hAnsi="Arial" w:cs="Arial"/>
              </w:rPr>
              <w:t>4.19</w:t>
            </w:r>
          </w:p>
        </w:tc>
        <w:tc>
          <w:tcPr>
            <w:tcW w:w="1573" w:type="dxa"/>
            <w:vAlign w:val="center"/>
          </w:tcPr>
          <w:p w14:paraId="7D9CACB0"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7EDCAB65" w14:textId="77777777" w:rsidTr="001371A6">
        <w:trPr>
          <w:trHeight w:val="230"/>
        </w:trPr>
        <w:tc>
          <w:tcPr>
            <w:tcW w:w="5524" w:type="dxa"/>
          </w:tcPr>
          <w:p w14:paraId="6D1B3FCB" w14:textId="77777777" w:rsidR="009B6D0D" w:rsidRPr="001371A6" w:rsidRDefault="009B6D0D" w:rsidP="00C07B81">
            <w:pPr>
              <w:rPr>
                <w:rFonts w:ascii="Arial" w:hAnsi="Arial" w:cs="Arial"/>
                <w:b/>
                <w:bCs/>
              </w:rPr>
            </w:pPr>
            <w:r w:rsidRPr="001371A6">
              <w:rPr>
                <w:rFonts w:ascii="Arial" w:hAnsi="Arial" w:cs="Arial"/>
                <w:b/>
                <w:bCs/>
              </w:rPr>
              <w:t xml:space="preserve">     Overall Mean</w:t>
            </w:r>
          </w:p>
        </w:tc>
        <w:tc>
          <w:tcPr>
            <w:tcW w:w="1049" w:type="dxa"/>
          </w:tcPr>
          <w:p w14:paraId="496B3194" w14:textId="77777777" w:rsidR="009B6D0D" w:rsidRPr="001371A6" w:rsidRDefault="009B6D0D" w:rsidP="00C07B81">
            <w:pPr>
              <w:jc w:val="center"/>
              <w:rPr>
                <w:rFonts w:ascii="Arial" w:hAnsi="Arial" w:cs="Arial"/>
                <w:b/>
                <w:bCs/>
              </w:rPr>
            </w:pPr>
            <w:r w:rsidRPr="001371A6">
              <w:rPr>
                <w:rFonts w:ascii="Arial" w:hAnsi="Arial" w:cs="Arial"/>
                <w:b/>
                <w:bCs/>
              </w:rPr>
              <w:t>4.14</w:t>
            </w:r>
          </w:p>
        </w:tc>
        <w:tc>
          <w:tcPr>
            <w:tcW w:w="1573" w:type="dxa"/>
          </w:tcPr>
          <w:p w14:paraId="3059C4B9" w14:textId="77777777" w:rsidR="009B6D0D" w:rsidRPr="001371A6" w:rsidRDefault="009B6D0D" w:rsidP="00C07B81">
            <w:pPr>
              <w:jc w:val="center"/>
              <w:rPr>
                <w:rFonts w:ascii="Arial" w:hAnsi="Arial" w:cs="Arial"/>
                <w:b/>
                <w:bCs/>
              </w:rPr>
            </w:pPr>
            <w:r w:rsidRPr="001371A6">
              <w:rPr>
                <w:rFonts w:ascii="Arial" w:hAnsi="Arial" w:cs="Arial"/>
                <w:b/>
                <w:bCs/>
              </w:rPr>
              <w:t>High</w:t>
            </w:r>
          </w:p>
        </w:tc>
      </w:tr>
    </w:tbl>
    <w:p w14:paraId="20CF6BE0" w14:textId="77777777" w:rsidR="00D453B9" w:rsidRDefault="00D453B9" w:rsidP="003248E3">
      <w:pPr>
        <w:jc w:val="both"/>
        <w:rPr>
          <w:rFonts w:ascii="Arial" w:hAnsi="Arial" w:cs="Arial"/>
        </w:rPr>
      </w:pPr>
    </w:p>
    <w:p w14:paraId="32E29959" w14:textId="77777777" w:rsidR="007408B8" w:rsidRPr="007408B8" w:rsidRDefault="007408B8" w:rsidP="007408B8">
      <w:pPr>
        <w:jc w:val="both"/>
        <w:rPr>
          <w:rFonts w:ascii="Arial" w:hAnsi="Arial" w:cs="Arial"/>
        </w:rPr>
      </w:pPr>
      <w:r w:rsidRPr="007408B8">
        <w:rPr>
          <w:rFonts w:ascii="Arial" w:hAnsi="Arial" w:cs="Arial"/>
        </w:rPr>
        <w:t>Presented in Table 1 is the level of conservative learning practices among public elementary school teachers, based on the mean scores across five key domains: generosity, economic, setting, racial, and spiritual. The domain of generosity recorded the highest mean score of 4.39, described as very high, indicating that teachers frequently exhibit acts of giving and support within their learning practices. This was followed by the spiritual domain, with a mean score of 4.19 and a high descriptive level, reflecting a strong inclination towards values and beliefs that influence conservative learning. The setting domain also received a high rating with a mean of 4.16, suggesting a positive learning environment. The racial domain scored 4.10, likewise described as high, indicating sensitivity and awareness in social coordination related to race. Lastly, the economic domain had a mean score of 3.86, rated as high, showing considerable attention to economic factors influencing learning practices. Overall, the conservative learning practices among teachers yielded a mean score of 4.14, categorized as high, demonstrating that these practices are well-integrated and prevalent in the teaching community. These findings suggest that teachers actively incorporate conservative learning elements that promote a supportive and value-driven educational setting.</w:t>
      </w:r>
    </w:p>
    <w:p w14:paraId="674632B7" w14:textId="5B665E06" w:rsidR="003802C5" w:rsidRDefault="003802C5" w:rsidP="00A24F5E">
      <w:pPr>
        <w:jc w:val="both"/>
        <w:rPr>
          <w:rFonts w:ascii="Arial" w:hAnsi="Arial" w:cs="Arial"/>
        </w:rPr>
      </w:pPr>
    </w:p>
    <w:p w14:paraId="17D25C0F" w14:textId="19DD9EAB" w:rsidR="00CB72AE" w:rsidRDefault="0028784A" w:rsidP="004D33FB">
      <w:pPr>
        <w:jc w:val="both"/>
        <w:rPr>
          <w:rFonts w:ascii="Arial" w:hAnsi="Arial" w:cs="Arial"/>
        </w:rPr>
      </w:pPr>
      <w:r w:rsidRPr="0028784A">
        <w:rPr>
          <w:rFonts w:ascii="Arial" w:hAnsi="Arial" w:cs="Arial"/>
        </w:rPr>
        <w:t xml:space="preserve">This finding aligns with the study of </w:t>
      </w:r>
      <w:r w:rsidR="00F05063" w:rsidRPr="00F05063">
        <w:rPr>
          <w:rFonts w:ascii="Arial" w:hAnsi="Arial" w:cs="Arial"/>
        </w:rPr>
        <w:t xml:space="preserve">Okeke </w:t>
      </w:r>
      <w:r w:rsidR="00F05063">
        <w:rPr>
          <w:rFonts w:ascii="Arial" w:hAnsi="Arial" w:cs="Arial"/>
        </w:rPr>
        <w:t>(2024</w:t>
      </w:r>
      <w:r w:rsidRPr="0028784A">
        <w:rPr>
          <w:rFonts w:ascii="Arial" w:hAnsi="Arial" w:cs="Arial"/>
        </w:rPr>
        <w:t xml:space="preserve">), which demonstrated that high levels of conservative learning practices significantly contribute to the development of consistent and value-driven teaching behaviors in educational settings. Such practices promote a strong </w:t>
      </w:r>
      <w:r w:rsidRPr="0028784A">
        <w:rPr>
          <w:rFonts w:ascii="Arial" w:hAnsi="Arial" w:cs="Arial"/>
        </w:rPr>
        <w:lastRenderedPageBreak/>
        <w:t xml:space="preserve">sense of responsibility, discipline, and respect for tradition among educators, fostering a stable and supportive learning environment. Similarly, </w:t>
      </w:r>
      <w:r w:rsidR="00D26D1E" w:rsidRPr="00D26D1E">
        <w:rPr>
          <w:rFonts w:ascii="Arial" w:hAnsi="Arial" w:cs="Arial"/>
        </w:rPr>
        <w:t xml:space="preserve">Burden </w:t>
      </w:r>
      <w:r w:rsidR="00D26D1E">
        <w:rPr>
          <w:rFonts w:ascii="Arial" w:hAnsi="Arial" w:cs="Arial"/>
        </w:rPr>
        <w:t>(2025</w:t>
      </w:r>
      <w:r w:rsidRPr="0028784A">
        <w:rPr>
          <w:rFonts w:ascii="Arial" w:hAnsi="Arial" w:cs="Arial"/>
        </w:rPr>
        <w:t xml:space="preserve">) emphasized that adherence to conservative learning approaches enhances teachers' commitment to maintaining cultural and ethical standards, which positively impacts student engagement and classroom management. Their research highlighted that educators who uphold these practices tend to create more cohesive and respectful school communities. Additionally, </w:t>
      </w:r>
      <w:proofErr w:type="spellStart"/>
      <w:r w:rsidR="00875135" w:rsidRPr="00875135">
        <w:rPr>
          <w:rFonts w:ascii="Arial" w:hAnsi="Arial" w:cs="Arial"/>
        </w:rPr>
        <w:t>Boudett</w:t>
      </w:r>
      <w:proofErr w:type="spellEnd"/>
      <w:r w:rsidR="00875135">
        <w:rPr>
          <w:rFonts w:ascii="Arial" w:hAnsi="Arial" w:cs="Arial"/>
        </w:rPr>
        <w:t xml:space="preserve"> et al. (2020</w:t>
      </w:r>
      <w:r w:rsidRPr="0028784A">
        <w:rPr>
          <w:rFonts w:ascii="Arial" w:hAnsi="Arial" w:cs="Arial"/>
        </w:rPr>
        <w:t>) found that schools with a strong emphasis on conservative learning practices experience improved teacher collaboration and social coordination, ultimately leading to better overall educational outcomes during times of change.</w:t>
      </w:r>
    </w:p>
    <w:p w14:paraId="1FB51F90" w14:textId="77777777" w:rsidR="0028784A" w:rsidRDefault="0028784A" w:rsidP="004D33FB">
      <w:pPr>
        <w:jc w:val="both"/>
        <w:rPr>
          <w:rFonts w:ascii="Arial" w:hAnsi="Arial" w:cs="Arial"/>
          <w:b/>
        </w:rPr>
      </w:pPr>
    </w:p>
    <w:p w14:paraId="3DCAC848" w14:textId="584E7A2D" w:rsidR="00DF3634" w:rsidRPr="00DF3634" w:rsidRDefault="00180859" w:rsidP="00DF3634">
      <w:pPr>
        <w:rPr>
          <w:rFonts w:ascii="Arial" w:hAnsi="Arial" w:cs="Arial"/>
          <w:b/>
        </w:rPr>
      </w:pPr>
      <w:r>
        <w:rPr>
          <w:rFonts w:ascii="Arial" w:hAnsi="Arial" w:cs="Arial"/>
          <w:b/>
        </w:rPr>
        <w:t xml:space="preserve">3.2 </w:t>
      </w:r>
      <w:r w:rsidR="00CE2AD8" w:rsidRPr="00CE2AD8">
        <w:rPr>
          <w:rFonts w:ascii="Arial" w:hAnsi="Arial" w:cs="Arial"/>
          <w:b/>
        </w:rPr>
        <w:t xml:space="preserve">Level of </w:t>
      </w:r>
      <w:r w:rsidR="001371A6">
        <w:rPr>
          <w:rFonts w:ascii="Arial" w:hAnsi="Arial" w:cs="Arial"/>
          <w:b/>
        </w:rPr>
        <w:t>S</w:t>
      </w:r>
      <w:r w:rsidR="001371A6" w:rsidRPr="001371A6">
        <w:rPr>
          <w:rFonts w:ascii="Arial" w:hAnsi="Arial" w:cs="Arial"/>
          <w:b/>
        </w:rPr>
        <w:t xml:space="preserve">tructural Social Coordination </w:t>
      </w:r>
      <w:r w:rsidR="00CE2AD8" w:rsidRPr="00CE2AD8">
        <w:rPr>
          <w:rFonts w:ascii="Arial" w:hAnsi="Arial" w:cs="Arial"/>
          <w:b/>
        </w:rPr>
        <w:t>among Teachers</w:t>
      </w:r>
    </w:p>
    <w:p w14:paraId="1F410911" w14:textId="77777777" w:rsidR="00DF3634" w:rsidRDefault="00DF3634" w:rsidP="00416728">
      <w:pPr>
        <w:jc w:val="both"/>
        <w:rPr>
          <w:rFonts w:ascii="Arial" w:hAnsi="Arial" w:cs="Arial"/>
          <w:iCs/>
        </w:rPr>
      </w:pPr>
    </w:p>
    <w:p w14:paraId="49799F93" w14:textId="5856C165" w:rsidR="00CE2AD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1371A6" w:rsidRPr="001371A6">
        <w:rPr>
          <w:rFonts w:ascii="Arial" w:hAnsi="Arial" w:cs="Arial"/>
          <w:i/>
        </w:rPr>
        <w:t>Level of Structural Social Coordination among Teachers</w:t>
      </w:r>
    </w:p>
    <w:p w14:paraId="1346369B" w14:textId="77777777" w:rsidR="001371A6" w:rsidRDefault="001371A6">
      <w:pPr>
        <w:jc w:val="both"/>
        <w:rPr>
          <w:rFonts w:ascii="Arial" w:hAnsi="Arial" w:cs="Arial"/>
          <w:i/>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624"/>
        <w:gridCol w:w="1004"/>
        <w:gridCol w:w="1506"/>
      </w:tblGrid>
      <w:tr w:rsidR="001371A6" w:rsidRPr="001371A6" w14:paraId="6E07F7CD" w14:textId="77777777" w:rsidTr="001371A6">
        <w:trPr>
          <w:trHeight w:val="364"/>
        </w:trPr>
        <w:tc>
          <w:tcPr>
            <w:tcW w:w="5624" w:type="dxa"/>
            <w:tcBorders>
              <w:top w:val="single" w:sz="4" w:space="0" w:color="auto"/>
              <w:bottom w:val="single" w:sz="4" w:space="0" w:color="auto"/>
            </w:tcBorders>
          </w:tcPr>
          <w:p w14:paraId="7A8BED57" w14:textId="1AA3EEDA" w:rsidR="001371A6" w:rsidRPr="001371A6" w:rsidRDefault="001371A6" w:rsidP="00C07B81">
            <w:pPr>
              <w:jc w:val="center"/>
              <w:rPr>
                <w:rFonts w:ascii="Arial" w:hAnsi="Arial" w:cs="Arial"/>
                <w:b/>
                <w:bCs/>
              </w:rPr>
            </w:pPr>
            <w:r w:rsidRPr="001371A6">
              <w:rPr>
                <w:rFonts w:ascii="Arial" w:hAnsi="Arial" w:cs="Arial"/>
                <w:b/>
                <w:bCs/>
              </w:rPr>
              <w:t>Domains</w:t>
            </w:r>
          </w:p>
          <w:p w14:paraId="651D11F2" w14:textId="77777777" w:rsidR="001371A6" w:rsidRPr="001371A6" w:rsidRDefault="001371A6" w:rsidP="00C07B81">
            <w:pPr>
              <w:jc w:val="center"/>
              <w:rPr>
                <w:rFonts w:ascii="Arial" w:hAnsi="Arial" w:cs="Arial"/>
                <w:b/>
                <w:bCs/>
              </w:rPr>
            </w:pPr>
          </w:p>
        </w:tc>
        <w:tc>
          <w:tcPr>
            <w:tcW w:w="1004" w:type="dxa"/>
            <w:tcBorders>
              <w:top w:val="single" w:sz="4" w:space="0" w:color="auto"/>
              <w:bottom w:val="single" w:sz="4" w:space="0" w:color="auto"/>
            </w:tcBorders>
          </w:tcPr>
          <w:p w14:paraId="27466E1F" w14:textId="77777777" w:rsidR="001371A6" w:rsidRPr="001371A6" w:rsidRDefault="001371A6" w:rsidP="00C07B81">
            <w:pPr>
              <w:jc w:val="center"/>
              <w:rPr>
                <w:rFonts w:ascii="Arial" w:hAnsi="Arial" w:cs="Arial"/>
                <w:b/>
                <w:bCs/>
              </w:rPr>
            </w:pPr>
            <w:r w:rsidRPr="001371A6">
              <w:rPr>
                <w:rFonts w:ascii="Arial" w:hAnsi="Arial" w:cs="Arial"/>
                <w:b/>
                <w:bCs/>
              </w:rPr>
              <w:t>Mean</w:t>
            </w:r>
          </w:p>
        </w:tc>
        <w:tc>
          <w:tcPr>
            <w:tcW w:w="1506" w:type="dxa"/>
            <w:tcBorders>
              <w:top w:val="single" w:sz="4" w:space="0" w:color="auto"/>
              <w:bottom w:val="single" w:sz="4" w:space="0" w:color="auto"/>
            </w:tcBorders>
          </w:tcPr>
          <w:p w14:paraId="53FB62BE" w14:textId="77777777" w:rsidR="001371A6" w:rsidRPr="001371A6" w:rsidRDefault="001371A6" w:rsidP="00C07B81">
            <w:pPr>
              <w:jc w:val="center"/>
              <w:rPr>
                <w:rFonts w:ascii="Arial" w:hAnsi="Arial" w:cs="Arial"/>
                <w:b/>
                <w:bCs/>
              </w:rPr>
            </w:pPr>
            <w:r w:rsidRPr="001371A6">
              <w:rPr>
                <w:rFonts w:ascii="Arial" w:hAnsi="Arial" w:cs="Arial"/>
                <w:b/>
                <w:bCs/>
              </w:rPr>
              <w:t>Descriptive Level</w:t>
            </w:r>
          </w:p>
        </w:tc>
      </w:tr>
      <w:tr w:rsidR="001371A6" w:rsidRPr="001371A6" w14:paraId="2EF46E00" w14:textId="77777777" w:rsidTr="001371A6">
        <w:trPr>
          <w:trHeight w:val="220"/>
        </w:trPr>
        <w:tc>
          <w:tcPr>
            <w:tcW w:w="5624" w:type="dxa"/>
            <w:tcBorders>
              <w:top w:val="single" w:sz="4" w:space="0" w:color="auto"/>
            </w:tcBorders>
          </w:tcPr>
          <w:p w14:paraId="42BA5913" w14:textId="77777777" w:rsidR="001371A6" w:rsidRPr="001371A6" w:rsidRDefault="001371A6" w:rsidP="00C07B81">
            <w:pPr>
              <w:jc w:val="both"/>
              <w:rPr>
                <w:rFonts w:ascii="Arial" w:hAnsi="Arial" w:cs="Arial"/>
              </w:rPr>
            </w:pPr>
            <w:r w:rsidRPr="001371A6">
              <w:rPr>
                <w:rFonts w:ascii="Arial" w:hAnsi="Arial" w:cs="Arial"/>
              </w:rPr>
              <w:t xml:space="preserve">1.  human rights </w:t>
            </w:r>
          </w:p>
        </w:tc>
        <w:tc>
          <w:tcPr>
            <w:tcW w:w="1004" w:type="dxa"/>
            <w:tcBorders>
              <w:top w:val="single" w:sz="4" w:space="0" w:color="auto"/>
            </w:tcBorders>
            <w:vAlign w:val="center"/>
          </w:tcPr>
          <w:p w14:paraId="01F8136F" w14:textId="77777777" w:rsidR="001371A6" w:rsidRPr="001371A6" w:rsidRDefault="001371A6" w:rsidP="00C07B81">
            <w:pPr>
              <w:jc w:val="center"/>
              <w:rPr>
                <w:rFonts w:ascii="Arial" w:hAnsi="Arial" w:cs="Arial"/>
              </w:rPr>
            </w:pPr>
            <w:r w:rsidRPr="001371A6">
              <w:rPr>
                <w:rFonts w:ascii="Arial" w:hAnsi="Arial" w:cs="Arial"/>
              </w:rPr>
              <w:t>4.10</w:t>
            </w:r>
          </w:p>
        </w:tc>
        <w:tc>
          <w:tcPr>
            <w:tcW w:w="1506" w:type="dxa"/>
            <w:tcBorders>
              <w:top w:val="single" w:sz="4" w:space="0" w:color="auto"/>
            </w:tcBorders>
            <w:vAlign w:val="center"/>
          </w:tcPr>
          <w:p w14:paraId="250E4186"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463B2FE3" w14:textId="77777777" w:rsidTr="001371A6">
        <w:trPr>
          <w:trHeight w:val="220"/>
        </w:trPr>
        <w:tc>
          <w:tcPr>
            <w:tcW w:w="5624" w:type="dxa"/>
          </w:tcPr>
          <w:p w14:paraId="722CC8F1" w14:textId="77777777" w:rsidR="001371A6" w:rsidRPr="001371A6" w:rsidRDefault="001371A6" w:rsidP="00C07B81">
            <w:pPr>
              <w:jc w:val="both"/>
              <w:rPr>
                <w:rFonts w:ascii="Arial" w:hAnsi="Arial" w:cs="Arial"/>
              </w:rPr>
            </w:pPr>
            <w:r w:rsidRPr="001371A6">
              <w:rPr>
                <w:rFonts w:ascii="Arial" w:hAnsi="Arial" w:cs="Arial"/>
              </w:rPr>
              <w:t xml:space="preserve">2.  equality </w:t>
            </w:r>
          </w:p>
        </w:tc>
        <w:tc>
          <w:tcPr>
            <w:tcW w:w="1004" w:type="dxa"/>
            <w:vAlign w:val="center"/>
          </w:tcPr>
          <w:p w14:paraId="3B25C8AD" w14:textId="77777777" w:rsidR="001371A6" w:rsidRPr="001371A6" w:rsidRDefault="001371A6" w:rsidP="00C07B81">
            <w:pPr>
              <w:jc w:val="center"/>
              <w:rPr>
                <w:rFonts w:ascii="Arial" w:hAnsi="Arial" w:cs="Arial"/>
              </w:rPr>
            </w:pPr>
            <w:r w:rsidRPr="001371A6">
              <w:rPr>
                <w:rFonts w:ascii="Arial" w:hAnsi="Arial" w:cs="Arial"/>
              </w:rPr>
              <w:t>4.07</w:t>
            </w:r>
          </w:p>
        </w:tc>
        <w:tc>
          <w:tcPr>
            <w:tcW w:w="1506" w:type="dxa"/>
            <w:vAlign w:val="center"/>
          </w:tcPr>
          <w:p w14:paraId="339069E4"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7D6AF3ED" w14:textId="77777777" w:rsidTr="001371A6">
        <w:trPr>
          <w:trHeight w:val="220"/>
        </w:trPr>
        <w:tc>
          <w:tcPr>
            <w:tcW w:w="5624" w:type="dxa"/>
          </w:tcPr>
          <w:p w14:paraId="67A8EC0F" w14:textId="77777777" w:rsidR="001371A6" w:rsidRPr="001371A6" w:rsidRDefault="001371A6" w:rsidP="00C07B81">
            <w:pPr>
              <w:jc w:val="both"/>
              <w:rPr>
                <w:rFonts w:ascii="Arial" w:hAnsi="Arial" w:cs="Arial"/>
              </w:rPr>
            </w:pPr>
            <w:r w:rsidRPr="001371A6">
              <w:rPr>
                <w:rFonts w:ascii="Arial" w:hAnsi="Arial" w:cs="Arial"/>
              </w:rPr>
              <w:t xml:space="preserve">3.  procedural </w:t>
            </w:r>
          </w:p>
        </w:tc>
        <w:tc>
          <w:tcPr>
            <w:tcW w:w="1004" w:type="dxa"/>
            <w:vAlign w:val="center"/>
          </w:tcPr>
          <w:p w14:paraId="5674D80F" w14:textId="77777777" w:rsidR="001371A6" w:rsidRPr="001371A6" w:rsidRDefault="001371A6" w:rsidP="00C07B81">
            <w:pPr>
              <w:jc w:val="center"/>
              <w:rPr>
                <w:rFonts w:ascii="Arial" w:hAnsi="Arial" w:cs="Arial"/>
              </w:rPr>
            </w:pPr>
            <w:r w:rsidRPr="001371A6">
              <w:rPr>
                <w:rFonts w:ascii="Arial" w:hAnsi="Arial" w:cs="Arial"/>
              </w:rPr>
              <w:t>4.18</w:t>
            </w:r>
          </w:p>
        </w:tc>
        <w:tc>
          <w:tcPr>
            <w:tcW w:w="1506" w:type="dxa"/>
            <w:vAlign w:val="center"/>
          </w:tcPr>
          <w:p w14:paraId="5B91A4C5"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0A402C15" w14:textId="77777777" w:rsidTr="001371A6">
        <w:trPr>
          <w:trHeight w:val="220"/>
        </w:trPr>
        <w:tc>
          <w:tcPr>
            <w:tcW w:w="5624" w:type="dxa"/>
          </w:tcPr>
          <w:p w14:paraId="0B1CCD8D" w14:textId="77777777" w:rsidR="001371A6" w:rsidRPr="001371A6" w:rsidRDefault="001371A6" w:rsidP="00C07B81">
            <w:pPr>
              <w:rPr>
                <w:rFonts w:ascii="Arial" w:hAnsi="Arial" w:cs="Arial"/>
                <w:b/>
                <w:bCs/>
              </w:rPr>
            </w:pPr>
            <w:r w:rsidRPr="001371A6">
              <w:rPr>
                <w:rFonts w:ascii="Arial" w:hAnsi="Arial" w:cs="Arial"/>
                <w:b/>
                <w:bCs/>
              </w:rPr>
              <w:t xml:space="preserve">     Overall Mean</w:t>
            </w:r>
          </w:p>
        </w:tc>
        <w:tc>
          <w:tcPr>
            <w:tcW w:w="1004" w:type="dxa"/>
          </w:tcPr>
          <w:p w14:paraId="6B0656D6" w14:textId="77777777" w:rsidR="001371A6" w:rsidRPr="001371A6" w:rsidRDefault="001371A6" w:rsidP="00C07B81">
            <w:pPr>
              <w:jc w:val="center"/>
              <w:rPr>
                <w:rFonts w:ascii="Arial" w:hAnsi="Arial" w:cs="Arial"/>
                <w:b/>
                <w:bCs/>
              </w:rPr>
            </w:pPr>
            <w:r w:rsidRPr="001371A6">
              <w:rPr>
                <w:rFonts w:ascii="Arial" w:hAnsi="Arial" w:cs="Arial"/>
                <w:b/>
                <w:bCs/>
              </w:rPr>
              <w:t>4.13</w:t>
            </w:r>
          </w:p>
        </w:tc>
        <w:tc>
          <w:tcPr>
            <w:tcW w:w="1506" w:type="dxa"/>
          </w:tcPr>
          <w:p w14:paraId="6D3E4DEB" w14:textId="77777777" w:rsidR="001371A6" w:rsidRPr="001371A6" w:rsidRDefault="001371A6" w:rsidP="00C07B81">
            <w:pPr>
              <w:jc w:val="center"/>
              <w:rPr>
                <w:rFonts w:ascii="Arial" w:hAnsi="Arial" w:cs="Arial"/>
                <w:b/>
                <w:bCs/>
              </w:rPr>
            </w:pPr>
            <w:r w:rsidRPr="001371A6">
              <w:rPr>
                <w:rFonts w:ascii="Arial" w:hAnsi="Arial" w:cs="Arial"/>
                <w:b/>
                <w:bCs/>
              </w:rPr>
              <w:t>High</w:t>
            </w:r>
          </w:p>
        </w:tc>
      </w:tr>
    </w:tbl>
    <w:p w14:paraId="21ED3F61" w14:textId="34DBD861" w:rsidR="0073677C" w:rsidRDefault="0073677C" w:rsidP="0073677C">
      <w:pPr>
        <w:jc w:val="both"/>
        <w:rPr>
          <w:rFonts w:ascii="Arial" w:hAnsi="Arial" w:cs="Arial"/>
        </w:rPr>
      </w:pPr>
    </w:p>
    <w:p w14:paraId="5EAF6929" w14:textId="485BAB2D" w:rsidR="003802C5" w:rsidRDefault="00516B90" w:rsidP="00A24F5E">
      <w:pPr>
        <w:jc w:val="both"/>
        <w:rPr>
          <w:rFonts w:ascii="Arial" w:hAnsi="Arial" w:cs="Arial"/>
        </w:rPr>
      </w:pPr>
      <w:r w:rsidRPr="00516B90">
        <w:rPr>
          <w:rFonts w:ascii="Arial" w:hAnsi="Arial" w:cs="Arial"/>
        </w:rPr>
        <w:t>Presented in Table 2 is the level of structural social coordination among public elementary school teachers, based on the mean scores across three domains: human rights, equality, and procedural coordination. The procedural domain recorded the highest mean score of 4.18, described as high, indicating that teachers perceive formal processes and guidelines to be well established and followed within their work environment. This was closely followed by human rights, which obtained a mean score of 4.10, also categorized as high, reflecting teachers’ strong awareness and respect for individual rights in the school setting. The equality domain earned a mean score of 4.07, similarly rated as high, suggesting that fairness and impartial treatment are generally upheld among educators. Overall, the level of structural social coordination among teachers yielded a mean score of 4.13, which is considered high. These results highlight a positive perception among teachers regarding the fairness, rights protection, and procedural consistency in their professional interactions, contributing to a cohesive and just school environment.</w:t>
      </w:r>
    </w:p>
    <w:p w14:paraId="7FC2C738" w14:textId="77777777" w:rsidR="00516B90" w:rsidRDefault="00516B90" w:rsidP="00A24F5E">
      <w:pPr>
        <w:jc w:val="both"/>
        <w:rPr>
          <w:rFonts w:ascii="Arial" w:hAnsi="Arial" w:cs="Arial"/>
        </w:rPr>
      </w:pPr>
    </w:p>
    <w:p w14:paraId="183BC9AC" w14:textId="65B30C30" w:rsidR="007238C5" w:rsidRDefault="00C51492" w:rsidP="00642A2C">
      <w:pPr>
        <w:jc w:val="both"/>
        <w:rPr>
          <w:rFonts w:ascii="Arial" w:hAnsi="Arial" w:cs="Arial"/>
          <w:b/>
          <w:bCs/>
          <w:iCs/>
        </w:rPr>
      </w:pPr>
      <w:r w:rsidRPr="00C51492">
        <w:rPr>
          <w:rFonts w:ascii="Arial" w:hAnsi="Arial" w:cs="Arial"/>
        </w:rPr>
        <w:t xml:space="preserve">This finding aligns with the study of </w:t>
      </w:r>
      <w:r w:rsidR="00A71B40" w:rsidRPr="00A71B40">
        <w:rPr>
          <w:rFonts w:ascii="Arial" w:hAnsi="Arial" w:cs="Arial"/>
        </w:rPr>
        <w:t>Mahoney</w:t>
      </w:r>
      <w:r w:rsidR="00A71B40">
        <w:rPr>
          <w:rFonts w:ascii="Arial" w:hAnsi="Arial" w:cs="Arial"/>
        </w:rPr>
        <w:t xml:space="preserve"> et al. (2021</w:t>
      </w:r>
      <w:r w:rsidRPr="00C51492">
        <w:rPr>
          <w:rFonts w:ascii="Arial" w:hAnsi="Arial" w:cs="Arial"/>
        </w:rPr>
        <w:t xml:space="preserve">), which demonstrated that high levels of structural social coordination significantly improve collaboration and harmony among educators in school settings. Effective social coordination fosters equitable distribution of roles, mutual respect, and shared responsibilities, creating a positive and inclusive work environment. Similarly, </w:t>
      </w:r>
      <w:r w:rsidR="0031586D" w:rsidRPr="0031586D">
        <w:rPr>
          <w:rFonts w:ascii="Arial" w:hAnsi="Arial" w:cs="Arial"/>
        </w:rPr>
        <w:t xml:space="preserve">Salloum </w:t>
      </w:r>
      <w:r w:rsidR="0031586D">
        <w:rPr>
          <w:rFonts w:ascii="Arial" w:hAnsi="Arial" w:cs="Arial"/>
        </w:rPr>
        <w:t>(2022</w:t>
      </w:r>
      <w:r w:rsidRPr="00C51492">
        <w:rPr>
          <w:rFonts w:ascii="Arial" w:hAnsi="Arial" w:cs="Arial"/>
        </w:rPr>
        <w:t xml:space="preserve">) emphasized that strong structural social coordination enhances organizational cohesion, leading to increased trust and cooperation among teachers and administrators. Their research highlighted that schools with well-coordinated social structures are better equipped to address challenges and promote collective problem-solving. Additionally, </w:t>
      </w:r>
      <w:r w:rsidR="00DD74CD">
        <w:rPr>
          <w:rFonts w:ascii="Arial" w:hAnsi="Arial" w:cs="Arial"/>
        </w:rPr>
        <w:t>Sanchez et al. (2021</w:t>
      </w:r>
      <w:r w:rsidRPr="00C51492">
        <w:rPr>
          <w:rFonts w:ascii="Arial" w:hAnsi="Arial" w:cs="Arial"/>
        </w:rPr>
        <w:t>) found that high structural social coordination contributes to a more supportive and balanced educational community, which ultimately improves both teacher satisfaction and student outcomes.</w:t>
      </w:r>
    </w:p>
    <w:p w14:paraId="744FD55C" w14:textId="08513A1D" w:rsidR="007238C5" w:rsidRDefault="007238C5" w:rsidP="00642A2C">
      <w:pPr>
        <w:jc w:val="both"/>
        <w:rPr>
          <w:rFonts w:ascii="Arial" w:hAnsi="Arial" w:cs="Arial"/>
          <w:b/>
          <w:bCs/>
          <w:iCs/>
        </w:rPr>
      </w:pPr>
    </w:p>
    <w:p w14:paraId="04C33F6B" w14:textId="77777777" w:rsidR="007238C5" w:rsidRDefault="007238C5" w:rsidP="00642A2C">
      <w:pPr>
        <w:jc w:val="both"/>
        <w:rPr>
          <w:rFonts w:ascii="Arial" w:hAnsi="Arial" w:cs="Arial"/>
          <w:b/>
          <w:bCs/>
          <w:iCs/>
        </w:rPr>
      </w:pPr>
    </w:p>
    <w:p w14:paraId="732D374F" w14:textId="79F30B72" w:rsidR="004A10D5" w:rsidRDefault="00781D5E" w:rsidP="00642A2C">
      <w:pPr>
        <w:jc w:val="both"/>
        <w:rPr>
          <w:rFonts w:ascii="Arial" w:hAnsi="Arial" w:cs="Arial"/>
          <w:b/>
          <w:bCs/>
          <w:iCs/>
        </w:rPr>
      </w:pPr>
      <w:r>
        <w:rPr>
          <w:rFonts w:ascii="Arial" w:hAnsi="Arial" w:cs="Arial"/>
          <w:b/>
          <w:bCs/>
          <w:iCs/>
        </w:rPr>
        <w:t xml:space="preserve">3.3 </w:t>
      </w:r>
      <w:r w:rsidR="002C54D2" w:rsidRPr="002C54D2">
        <w:rPr>
          <w:rFonts w:ascii="Arial" w:hAnsi="Arial" w:cs="Arial"/>
          <w:b/>
          <w:bCs/>
          <w:iCs/>
        </w:rPr>
        <w:t>Significant Relationship Between Conse</w:t>
      </w:r>
      <w:r w:rsidR="002C54D2">
        <w:rPr>
          <w:rFonts w:ascii="Arial" w:hAnsi="Arial" w:cs="Arial"/>
          <w:b/>
          <w:bCs/>
          <w:iCs/>
        </w:rPr>
        <w:t>rvative Learning Practices and S</w:t>
      </w:r>
      <w:r w:rsidR="002C54D2" w:rsidRPr="002C54D2">
        <w:rPr>
          <w:rFonts w:ascii="Arial" w:hAnsi="Arial" w:cs="Arial"/>
          <w:b/>
          <w:bCs/>
          <w:iCs/>
        </w:rPr>
        <w:t>tructural Social Coordination</w:t>
      </w:r>
      <w:r w:rsidR="002C54D2">
        <w:rPr>
          <w:rFonts w:ascii="Arial" w:hAnsi="Arial" w:cs="Arial"/>
          <w:b/>
          <w:bCs/>
          <w:iCs/>
        </w:rPr>
        <w:t xml:space="preserve"> among Teachers</w:t>
      </w:r>
    </w:p>
    <w:p w14:paraId="503C0FAA" w14:textId="77777777" w:rsidR="0013571D" w:rsidRPr="0013571D" w:rsidRDefault="0013571D" w:rsidP="0013571D">
      <w:pPr>
        <w:jc w:val="both"/>
        <w:rPr>
          <w:rFonts w:ascii="Arial" w:hAnsi="Arial" w:cs="Arial"/>
          <w:b/>
          <w:bCs/>
          <w:iCs/>
        </w:rPr>
      </w:pPr>
    </w:p>
    <w:p w14:paraId="363FF8A0" w14:textId="1034E8BC" w:rsidR="00E5104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C54D2" w:rsidRPr="002C54D2">
        <w:rPr>
          <w:rFonts w:ascii="Arial" w:hAnsi="Arial" w:cs="Arial"/>
          <w:i/>
        </w:rPr>
        <w:t>Significant Relationship Between Conservative Learning Practices and Structural Social Coordination among Teachers</w:t>
      </w:r>
    </w:p>
    <w:p w14:paraId="30B2FE6D" w14:textId="77777777" w:rsidR="003C4FB6" w:rsidRDefault="003C4FB6"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782B7C4D" w14:textId="77777777" w:rsidR="002C54D2" w:rsidRDefault="002C54D2" w:rsidP="00D4168B">
            <w:pPr>
              <w:jc w:val="center"/>
              <w:rPr>
                <w:rFonts w:ascii="Arial" w:hAnsi="Arial" w:cs="Arial"/>
              </w:rPr>
            </w:pPr>
            <w:r w:rsidRPr="002C54D2">
              <w:rPr>
                <w:rFonts w:ascii="Arial" w:hAnsi="Arial" w:cs="Arial"/>
              </w:rPr>
              <w:t xml:space="preserve">Conservative Learning Practices </w:t>
            </w:r>
          </w:p>
          <w:p w14:paraId="3337DFE3" w14:textId="22C845D3" w:rsidR="004A10D5" w:rsidRPr="004A10D5" w:rsidRDefault="004A10D5" w:rsidP="00D4168B">
            <w:pPr>
              <w:jc w:val="center"/>
              <w:rPr>
                <w:rFonts w:ascii="Arial" w:hAnsi="Arial" w:cs="Arial"/>
                <w:b/>
              </w:rPr>
            </w:pPr>
            <w:r w:rsidRPr="004A10D5">
              <w:rPr>
                <w:rFonts w:ascii="Arial" w:hAnsi="Arial" w:cs="Arial"/>
                <w:b/>
              </w:rPr>
              <w:t>(X)</w:t>
            </w:r>
          </w:p>
        </w:tc>
        <w:tc>
          <w:tcPr>
            <w:tcW w:w="1674" w:type="dxa"/>
            <w:tcBorders>
              <w:top w:val="single" w:sz="4" w:space="0" w:color="auto"/>
            </w:tcBorders>
          </w:tcPr>
          <w:p w14:paraId="27A64682" w14:textId="77777777" w:rsidR="002C54D2" w:rsidRDefault="002C54D2" w:rsidP="004A10D5">
            <w:pPr>
              <w:jc w:val="center"/>
              <w:rPr>
                <w:rFonts w:ascii="Arial" w:hAnsi="Arial" w:cs="Arial"/>
              </w:rPr>
            </w:pPr>
            <w:r w:rsidRPr="002C54D2">
              <w:rPr>
                <w:rFonts w:ascii="Arial" w:hAnsi="Arial" w:cs="Arial"/>
              </w:rPr>
              <w:t xml:space="preserve">Structural Social Coordination </w:t>
            </w:r>
          </w:p>
          <w:p w14:paraId="437DEE15" w14:textId="560562A5" w:rsidR="004A10D5" w:rsidRPr="004A10D5" w:rsidRDefault="004A10D5" w:rsidP="004A10D5">
            <w:pPr>
              <w:jc w:val="center"/>
              <w:rPr>
                <w:rFonts w:ascii="Arial" w:hAnsi="Arial" w:cs="Arial"/>
                <w:b/>
              </w:rPr>
            </w:pPr>
            <w:r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67B61BF4" w:rsidR="004A10D5" w:rsidRPr="004A10D5" w:rsidRDefault="00E5104A" w:rsidP="00D4168B">
            <w:pPr>
              <w:jc w:val="center"/>
              <w:rPr>
                <w:rFonts w:ascii="Arial" w:hAnsi="Arial" w:cs="Arial"/>
              </w:rPr>
            </w:pPr>
            <w:r>
              <w:rPr>
                <w:rFonts w:ascii="Arial" w:hAnsi="Arial" w:cs="Arial"/>
              </w:rPr>
              <w:t>.8</w:t>
            </w:r>
            <w:r w:rsidR="002C54D2">
              <w:rPr>
                <w:rFonts w:ascii="Arial" w:hAnsi="Arial" w:cs="Arial"/>
              </w:rPr>
              <w:t>02</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77777777" w:rsidR="004A10D5" w:rsidRPr="004A10D5" w:rsidRDefault="004A10D5" w:rsidP="00D4168B">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60FD1820" w14:textId="77777777" w:rsidR="002470F7" w:rsidRPr="002470F7" w:rsidRDefault="002470F7" w:rsidP="002470F7">
      <w:pPr>
        <w:jc w:val="both"/>
        <w:rPr>
          <w:rFonts w:ascii="Arial" w:hAnsi="Arial" w:cs="Arial"/>
        </w:rPr>
      </w:pPr>
      <w:r w:rsidRPr="002470F7">
        <w:rPr>
          <w:rFonts w:ascii="Arial" w:hAnsi="Arial" w:cs="Arial"/>
        </w:rPr>
        <w:t>Presented in Table 3 is the correlation analysis between conservative learning practices and structural social coordination among teachers in public elementary schools. The computed correlation coefficient (r) is 0.802, indicating a high degree of correlation between these variables. The corresponding p-value is 0.000, which is below the 0.05 level of significance. Based on these results, the null hypothesis is rejected, confirming that a statistically significant relationship exists between conservative learning practices and structural social coordination. This finding suggests that the more teachers engage in conservative learning practices, the stronger the level of structural social coordination within the school environment. It highlights the crucial role of consistent and traditional learning approaches in fostering fairness, cooperation, and coordinated social structures among educators.</w:t>
      </w:r>
    </w:p>
    <w:p w14:paraId="071F4572" w14:textId="77777777" w:rsidR="00C64A20" w:rsidRDefault="00C64A20" w:rsidP="00376155">
      <w:pPr>
        <w:jc w:val="both"/>
        <w:rPr>
          <w:rFonts w:ascii="Arial" w:hAnsi="Arial" w:cs="Arial"/>
        </w:rPr>
      </w:pPr>
    </w:p>
    <w:p w14:paraId="584D161C" w14:textId="0EC5EBFB" w:rsidR="00376155" w:rsidRDefault="001770E5" w:rsidP="003C4FB6">
      <w:pPr>
        <w:jc w:val="both"/>
        <w:rPr>
          <w:rFonts w:ascii="Arial" w:hAnsi="Arial" w:cs="Arial"/>
          <w:bCs/>
          <w:iCs/>
        </w:rPr>
      </w:pPr>
      <w:r w:rsidRPr="001770E5">
        <w:rPr>
          <w:rFonts w:ascii="Arial" w:hAnsi="Arial" w:cs="Arial"/>
          <w:bCs/>
          <w:iCs/>
        </w:rPr>
        <w:t xml:space="preserve">This finding is supported by the study of </w:t>
      </w:r>
      <w:r w:rsidR="00277FCD" w:rsidRPr="00277FCD">
        <w:rPr>
          <w:rFonts w:ascii="Arial" w:hAnsi="Arial" w:cs="Arial"/>
          <w:bCs/>
          <w:iCs/>
        </w:rPr>
        <w:t xml:space="preserve">Kayyali </w:t>
      </w:r>
      <w:r w:rsidR="00277FCD">
        <w:rPr>
          <w:rFonts w:ascii="Arial" w:hAnsi="Arial" w:cs="Arial"/>
          <w:bCs/>
          <w:iCs/>
        </w:rPr>
        <w:t>(2025</w:t>
      </w:r>
      <w:r w:rsidRPr="001770E5">
        <w:rPr>
          <w:rFonts w:ascii="Arial" w:hAnsi="Arial" w:cs="Arial"/>
          <w:bCs/>
          <w:iCs/>
        </w:rPr>
        <w:t xml:space="preserve">), which identified a significant positive relationship between conservative learning practices and structural social coordination among teachers. Their research highlighted that educators who adhere to traditional values and collaborative learning approaches contribute to a more cohesive and well-organized school environment. Similarly, </w:t>
      </w:r>
      <w:r w:rsidR="0035793F">
        <w:rPr>
          <w:rFonts w:ascii="Arial" w:hAnsi="Arial" w:cs="Arial"/>
          <w:bCs/>
          <w:iCs/>
        </w:rPr>
        <w:t xml:space="preserve">Qadri et al. </w:t>
      </w:r>
      <w:r w:rsidRPr="001770E5">
        <w:rPr>
          <w:rFonts w:ascii="Arial" w:hAnsi="Arial" w:cs="Arial"/>
          <w:bCs/>
          <w:iCs/>
        </w:rPr>
        <w:t xml:space="preserve">(2024) emphasized that conservative learning practices promote respect for established norms and roles, which enhances cooperation and coordination within the educational community. This is consistent with the findings of </w:t>
      </w:r>
      <w:r w:rsidR="0035793F" w:rsidRPr="0035793F">
        <w:rPr>
          <w:rFonts w:ascii="Arial" w:hAnsi="Arial" w:cs="Arial"/>
          <w:bCs/>
          <w:iCs/>
        </w:rPr>
        <w:t>García-Martínez</w:t>
      </w:r>
      <w:r w:rsidR="0035793F">
        <w:rPr>
          <w:rFonts w:ascii="Arial" w:hAnsi="Arial" w:cs="Arial"/>
          <w:bCs/>
          <w:iCs/>
        </w:rPr>
        <w:t xml:space="preserve"> et al. (2020</w:t>
      </w:r>
      <w:r w:rsidRPr="001770E5">
        <w:rPr>
          <w:rFonts w:ascii="Arial" w:hAnsi="Arial" w:cs="Arial"/>
          <w:bCs/>
          <w:iCs/>
        </w:rPr>
        <w:t>), who noted that the integration of conservative learning values strengthens social bonds and facilitates effective structural coordination among teachers, leading to improved school dynamics and performance.</w:t>
      </w:r>
    </w:p>
    <w:p w14:paraId="029DAD6C" w14:textId="77777777" w:rsidR="001770E5" w:rsidRDefault="001770E5" w:rsidP="003C4FB6">
      <w:pPr>
        <w:jc w:val="both"/>
        <w:rPr>
          <w:rFonts w:ascii="Arial" w:hAnsi="Arial" w:cs="Arial"/>
          <w:b/>
          <w:bCs/>
          <w:iCs/>
        </w:rPr>
      </w:pPr>
    </w:p>
    <w:p w14:paraId="752838B1" w14:textId="153013DC" w:rsidR="00C82002" w:rsidRDefault="00665D1C" w:rsidP="00C8200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F03BF6" w:rsidRPr="00F03BF6">
        <w:rPr>
          <w:rFonts w:ascii="Arial" w:hAnsi="Arial" w:cs="Arial"/>
          <w:b/>
          <w:bCs/>
          <w:iCs/>
        </w:rPr>
        <w:t>Significant Influence of Conservative Learning Practices on Structural Social Coordination of Teachers</w:t>
      </w:r>
    </w:p>
    <w:p w14:paraId="70769C83" w14:textId="77777777" w:rsidR="00F03BF6" w:rsidRPr="00C82002" w:rsidRDefault="00F03BF6" w:rsidP="00C82002">
      <w:pPr>
        <w:jc w:val="both"/>
        <w:rPr>
          <w:rFonts w:ascii="Arial" w:hAnsi="Arial" w:cs="Arial"/>
          <w:b/>
          <w:bCs/>
          <w:iCs/>
        </w:rPr>
      </w:pPr>
    </w:p>
    <w:p w14:paraId="26995C25" w14:textId="597991E1" w:rsidR="00401878" w:rsidRDefault="00B364F1" w:rsidP="00F03BF6">
      <w:pPr>
        <w:jc w:val="both"/>
        <w:rPr>
          <w:rFonts w:ascii="Arial" w:eastAsia="Arial" w:hAnsi="Arial"/>
          <w:i/>
        </w:rPr>
      </w:pPr>
      <w:r w:rsidRPr="00B364F1">
        <w:rPr>
          <w:rFonts w:ascii="Arial" w:eastAsia="Arial" w:hAnsi="Arial"/>
          <w:b/>
        </w:rPr>
        <w:t xml:space="preserve">Table 4. </w:t>
      </w:r>
      <w:r w:rsidR="00F03BF6" w:rsidRPr="00F03BF6">
        <w:rPr>
          <w:rFonts w:ascii="Arial" w:eastAsia="Arial" w:hAnsi="Arial"/>
          <w:i/>
        </w:rPr>
        <w:t>Significant Influence of Conservative Learning Practices on Structural Social Coordination of Teachers</w:t>
      </w:r>
    </w:p>
    <w:p w14:paraId="27DE3BA8" w14:textId="77777777" w:rsidR="00F03BF6" w:rsidRDefault="00F03BF6" w:rsidP="00F03BF6">
      <w:pPr>
        <w:jc w:val="both"/>
        <w:rPr>
          <w:rFonts w:ascii="Arial" w:hAnsi="Arial" w:cs="Arial"/>
        </w:rPr>
      </w:pPr>
    </w:p>
    <w:tbl>
      <w:tblPr>
        <w:tblW w:w="8197" w:type="dxa"/>
        <w:tblCellSpacing w:w="15" w:type="dxa"/>
        <w:tblCellMar>
          <w:top w:w="15" w:type="dxa"/>
          <w:left w:w="15" w:type="dxa"/>
          <w:bottom w:w="15" w:type="dxa"/>
          <w:right w:w="15" w:type="dxa"/>
        </w:tblCellMar>
        <w:tblLook w:val="04A0" w:firstRow="1" w:lastRow="0" w:firstColumn="1" w:lastColumn="0" w:noHBand="0" w:noVBand="1"/>
      </w:tblPr>
      <w:tblGrid>
        <w:gridCol w:w="4926"/>
        <w:gridCol w:w="858"/>
        <w:gridCol w:w="857"/>
        <w:gridCol w:w="857"/>
        <w:gridCol w:w="699"/>
      </w:tblGrid>
      <w:tr w:rsidR="00F03BF6" w:rsidRPr="00F03BF6" w14:paraId="1EEE28A7" w14:textId="77777777" w:rsidTr="00F03BF6">
        <w:trPr>
          <w:trHeight w:val="45"/>
          <w:tblHeader/>
          <w:tblCellSpacing w:w="15" w:type="dxa"/>
        </w:trPr>
        <w:tc>
          <w:tcPr>
            <w:tcW w:w="0" w:type="auto"/>
            <w:vAlign w:val="center"/>
            <w:hideMark/>
          </w:tcPr>
          <w:p w14:paraId="642D6005" w14:textId="4A0118A7" w:rsidR="00F03BF6" w:rsidRPr="00F03BF6" w:rsidRDefault="00F03BF6" w:rsidP="00F03BF6">
            <w:pPr>
              <w:jc w:val="center"/>
              <w:rPr>
                <w:rFonts w:ascii="Arial" w:hAnsi="Arial" w:cs="Arial"/>
                <w:b/>
                <w:bCs/>
              </w:rPr>
            </w:pPr>
            <w:r w:rsidRPr="00F03BF6">
              <w:rPr>
                <w:rFonts w:ascii="Arial" w:hAnsi="Arial" w:cs="Arial"/>
                <w:b/>
                <w:bCs/>
              </w:rPr>
              <w:t xml:space="preserve">Conservative Learning Practices </w:t>
            </w:r>
          </w:p>
        </w:tc>
        <w:tc>
          <w:tcPr>
            <w:tcW w:w="0" w:type="auto"/>
            <w:vAlign w:val="center"/>
            <w:hideMark/>
          </w:tcPr>
          <w:p w14:paraId="3BC97AA1" w14:textId="77777777" w:rsidR="00F03BF6" w:rsidRPr="00F03BF6" w:rsidRDefault="00F03BF6" w:rsidP="00F03BF6">
            <w:pPr>
              <w:jc w:val="center"/>
              <w:rPr>
                <w:rFonts w:ascii="Arial" w:hAnsi="Arial" w:cs="Arial"/>
                <w:b/>
                <w:bCs/>
              </w:rPr>
            </w:pPr>
            <w:r w:rsidRPr="00F03BF6">
              <w:rPr>
                <w:rFonts w:ascii="Arial" w:hAnsi="Arial" w:cs="Arial"/>
                <w:b/>
                <w:bCs/>
              </w:rPr>
              <w:t>B</w:t>
            </w:r>
          </w:p>
        </w:tc>
        <w:tc>
          <w:tcPr>
            <w:tcW w:w="0" w:type="auto"/>
            <w:vAlign w:val="center"/>
            <w:hideMark/>
          </w:tcPr>
          <w:p w14:paraId="3B725206" w14:textId="77777777" w:rsidR="00F03BF6" w:rsidRPr="00F03BF6" w:rsidRDefault="00F03BF6" w:rsidP="00F03BF6">
            <w:pPr>
              <w:jc w:val="center"/>
              <w:rPr>
                <w:rFonts w:ascii="Arial" w:hAnsi="Arial" w:cs="Arial"/>
                <w:b/>
                <w:bCs/>
              </w:rPr>
            </w:pPr>
            <w:r w:rsidRPr="00F03BF6">
              <w:rPr>
                <w:rFonts w:ascii="Arial" w:hAnsi="Arial" w:cs="Arial"/>
                <w:b/>
                <w:bCs/>
              </w:rPr>
              <w:t>β</w:t>
            </w:r>
          </w:p>
        </w:tc>
        <w:tc>
          <w:tcPr>
            <w:tcW w:w="0" w:type="auto"/>
            <w:vAlign w:val="center"/>
            <w:hideMark/>
          </w:tcPr>
          <w:p w14:paraId="2BC17A5C" w14:textId="77777777" w:rsidR="00F03BF6" w:rsidRPr="00F03BF6" w:rsidRDefault="00F03BF6" w:rsidP="00F03BF6">
            <w:pPr>
              <w:jc w:val="center"/>
              <w:rPr>
                <w:rFonts w:ascii="Arial" w:hAnsi="Arial" w:cs="Arial"/>
                <w:b/>
                <w:bCs/>
              </w:rPr>
            </w:pPr>
            <w:r w:rsidRPr="00F03BF6">
              <w:rPr>
                <w:rFonts w:ascii="Arial" w:hAnsi="Arial" w:cs="Arial"/>
                <w:b/>
                <w:bCs/>
              </w:rPr>
              <w:t>t</w:t>
            </w:r>
          </w:p>
        </w:tc>
        <w:tc>
          <w:tcPr>
            <w:tcW w:w="0" w:type="auto"/>
            <w:vAlign w:val="center"/>
            <w:hideMark/>
          </w:tcPr>
          <w:p w14:paraId="387FEE85" w14:textId="77777777" w:rsidR="00F03BF6" w:rsidRPr="00F03BF6" w:rsidRDefault="00F03BF6" w:rsidP="00F03BF6">
            <w:pPr>
              <w:jc w:val="center"/>
              <w:rPr>
                <w:rFonts w:ascii="Arial" w:hAnsi="Arial" w:cs="Arial"/>
                <w:b/>
                <w:bCs/>
              </w:rPr>
            </w:pPr>
            <w:r w:rsidRPr="00F03BF6">
              <w:rPr>
                <w:rFonts w:ascii="Arial" w:hAnsi="Arial" w:cs="Arial"/>
                <w:b/>
                <w:bCs/>
              </w:rPr>
              <w:t>Sig.</w:t>
            </w:r>
          </w:p>
        </w:tc>
      </w:tr>
      <w:tr w:rsidR="00F03BF6" w:rsidRPr="00F03BF6" w14:paraId="721C2DD2" w14:textId="77777777" w:rsidTr="00F03BF6">
        <w:trPr>
          <w:trHeight w:val="38"/>
          <w:tblCellSpacing w:w="15" w:type="dxa"/>
        </w:trPr>
        <w:tc>
          <w:tcPr>
            <w:tcW w:w="0" w:type="auto"/>
            <w:vAlign w:val="center"/>
            <w:hideMark/>
          </w:tcPr>
          <w:p w14:paraId="319A5B52" w14:textId="77777777" w:rsidR="00F03BF6" w:rsidRPr="00F03BF6" w:rsidRDefault="00F03BF6" w:rsidP="00F03BF6">
            <w:pPr>
              <w:rPr>
                <w:rFonts w:ascii="Arial" w:hAnsi="Arial" w:cs="Arial"/>
              </w:rPr>
            </w:pPr>
            <w:r w:rsidRPr="00F03BF6">
              <w:rPr>
                <w:rFonts w:ascii="Arial" w:hAnsi="Arial" w:cs="Arial"/>
              </w:rPr>
              <w:t>Constant</w:t>
            </w:r>
          </w:p>
        </w:tc>
        <w:tc>
          <w:tcPr>
            <w:tcW w:w="0" w:type="auto"/>
            <w:vAlign w:val="center"/>
            <w:hideMark/>
          </w:tcPr>
          <w:p w14:paraId="09AE2BAA" w14:textId="77777777" w:rsidR="00F03BF6" w:rsidRPr="00F03BF6" w:rsidRDefault="00F03BF6" w:rsidP="00F03BF6">
            <w:pPr>
              <w:jc w:val="center"/>
              <w:rPr>
                <w:rFonts w:ascii="Arial" w:hAnsi="Arial" w:cs="Arial"/>
              </w:rPr>
            </w:pPr>
            <w:r w:rsidRPr="00F03BF6">
              <w:rPr>
                <w:rFonts w:ascii="Arial" w:hAnsi="Arial" w:cs="Arial"/>
              </w:rPr>
              <w:t>2.045</w:t>
            </w:r>
          </w:p>
        </w:tc>
        <w:tc>
          <w:tcPr>
            <w:tcW w:w="0" w:type="auto"/>
            <w:vAlign w:val="center"/>
            <w:hideMark/>
          </w:tcPr>
          <w:p w14:paraId="79CDC82F" w14:textId="77777777" w:rsidR="00F03BF6" w:rsidRPr="00F03BF6" w:rsidRDefault="00F03BF6" w:rsidP="00F03BF6">
            <w:pPr>
              <w:jc w:val="center"/>
              <w:rPr>
                <w:rFonts w:ascii="Arial" w:hAnsi="Arial" w:cs="Arial"/>
              </w:rPr>
            </w:pPr>
          </w:p>
        </w:tc>
        <w:tc>
          <w:tcPr>
            <w:tcW w:w="0" w:type="auto"/>
            <w:vAlign w:val="center"/>
            <w:hideMark/>
          </w:tcPr>
          <w:p w14:paraId="6685B273" w14:textId="77777777" w:rsidR="00F03BF6" w:rsidRPr="00F03BF6" w:rsidRDefault="00F03BF6" w:rsidP="00F03BF6">
            <w:pPr>
              <w:jc w:val="center"/>
              <w:rPr>
                <w:rFonts w:ascii="Arial" w:hAnsi="Arial" w:cs="Arial"/>
              </w:rPr>
            </w:pPr>
            <w:r w:rsidRPr="00F03BF6">
              <w:rPr>
                <w:rFonts w:ascii="Arial" w:hAnsi="Arial" w:cs="Arial"/>
              </w:rPr>
              <w:t>8.920</w:t>
            </w:r>
          </w:p>
        </w:tc>
        <w:tc>
          <w:tcPr>
            <w:tcW w:w="0" w:type="auto"/>
            <w:vAlign w:val="center"/>
            <w:hideMark/>
          </w:tcPr>
          <w:p w14:paraId="321BDDE3" w14:textId="77777777" w:rsidR="00F03BF6" w:rsidRPr="00F03BF6" w:rsidRDefault="00F03BF6" w:rsidP="00F03BF6">
            <w:pPr>
              <w:jc w:val="center"/>
              <w:rPr>
                <w:rFonts w:ascii="Arial" w:hAnsi="Arial" w:cs="Arial"/>
              </w:rPr>
            </w:pPr>
            <w:r w:rsidRPr="00F03BF6">
              <w:rPr>
                <w:rFonts w:ascii="Arial" w:hAnsi="Arial" w:cs="Arial"/>
              </w:rPr>
              <w:t>.000</w:t>
            </w:r>
          </w:p>
        </w:tc>
      </w:tr>
      <w:tr w:rsidR="00F03BF6" w:rsidRPr="00F03BF6" w14:paraId="1EB663AC" w14:textId="77777777" w:rsidTr="00F03BF6">
        <w:trPr>
          <w:trHeight w:val="38"/>
          <w:tblCellSpacing w:w="15" w:type="dxa"/>
        </w:trPr>
        <w:tc>
          <w:tcPr>
            <w:tcW w:w="0" w:type="auto"/>
            <w:vAlign w:val="center"/>
            <w:hideMark/>
          </w:tcPr>
          <w:p w14:paraId="3E16C1C2" w14:textId="77777777" w:rsidR="00F03BF6" w:rsidRPr="00F03BF6" w:rsidRDefault="00F03BF6" w:rsidP="00F03BF6">
            <w:pPr>
              <w:rPr>
                <w:rFonts w:ascii="Arial" w:hAnsi="Arial" w:cs="Arial"/>
              </w:rPr>
            </w:pPr>
            <w:r w:rsidRPr="00F03BF6">
              <w:rPr>
                <w:rFonts w:ascii="Arial" w:hAnsi="Arial" w:cs="Arial"/>
              </w:rPr>
              <w:t>Generosity</w:t>
            </w:r>
          </w:p>
        </w:tc>
        <w:tc>
          <w:tcPr>
            <w:tcW w:w="0" w:type="auto"/>
            <w:vAlign w:val="center"/>
            <w:hideMark/>
          </w:tcPr>
          <w:p w14:paraId="0A13FBAF" w14:textId="77777777" w:rsidR="00F03BF6" w:rsidRPr="00F03BF6" w:rsidRDefault="00F03BF6" w:rsidP="00F03BF6">
            <w:pPr>
              <w:jc w:val="center"/>
              <w:rPr>
                <w:rFonts w:ascii="Arial" w:hAnsi="Arial" w:cs="Arial"/>
              </w:rPr>
            </w:pPr>
            <w:r w:rsidRPr="00F03BF6">
              <w:rPr>
                <w:rFonts w:ascii="Arial" w:hAnsi="Arial" w:cs="Arial"/>
              </w:rPr>
              <w:t>0.121</w:t>
            </w:r>
          </w:p>
        </w:tc>
        <w:tc>
          <w:tcPr>
            <w:tcW w:w="0" w:type="auto"/>
            <w:vAlign w:val="center"/>
            <w:hideMark/>
          </w:tcPr>
          <w:p w14:paraId="3BAB11A3" w14:textId="77777777" w:rsidR="00F03BF6" w:rsidRPr="00F03BF6" w:rsidRDefault="00F03BF6" w:rsidP="00F03BF6">
            <w:pPr>
              <w:jc w:val="center"/>
              <w:rPr>
                <w:rFonts w:ascii="Arial" w:hAnsi="Arial" w:cs="Arial"/>
              </w:rPr>
            </w:pPr>
            <w:r w:rsidRPr="00F03BF6">
              <w:rPr>
                <w:rFonts w:ascii="Arial" w:hAnsi="Arial" w:cs="Arial"/>
              </w:rPr>
              <w:t>0.160</w:t>
            </w:r>
          </w:p>
        </w:tc>
        <w:tc>
          <w:tcPr>
            <w:tcW w:w="0" w:type="auto"/>
            <w:vAlign w:val="center"/>
            <w:hideMark/>
          </w:tcPr>
          <w:p w14:paraId="2CD0625F" w14:textId="77777777" w:rsidR="00F03BF6" w:rsidRPr="00F03BF6" w:rsidRDefault="00F03BF6" w:rsidP="00F03BF6">
            <w:pPr>
              <w:jc w:val="center"/>
              <w:rPr>
                <w:rFonts w:ascii="Arial" w:hAnsi="Arial" w:cs="Arial"/>
              </w:rPr>
            </w:pPr>
            <w:r w:rsidRPr="00F03BF6">
              <w:rPr>
                <w:rFonts w:ascii="Arial" w:hAnsi="Arial" w:cs="Arial"/>
              </w:rPr>
              <w:t>2.780</w:t>
            </w:r>
          </w:p>
        </w:tc>
        <w:tc>
          <w:tcPr>
            <w:tcW w:w="0" w:type="auto"/>
            <w:vAlign w:val="center"/>
            <w:hideMark/>
          </w:tcPr>
          <w:p w14:paraId="515AAD47" w14:textId="77777777" w:rsidR="00F03BF6" w:rsidRPr="00F03BF6" w:rsidRDefault="00F03BF6" w:rsidP="00F03BF6">
            <w:pPr>
              <w:jc w:val="center"/>
              <w:rPr>
                <w:rFonts w:ascii="Arial" w:hAnsi="Arial" w:cs="Arial"/>
              </w:rPr>
            </w:pPr>
            <w:r w:rsidRPr="00F03BF6">
              <w:rPr>
                <w:rFonts w:ascii="Arial" w:hAnsi="Arial" w:cs="Arial"/>
              </w:rPr>
              <w:t>.006</w:t>
            </w:r>
          </w:p>
        </w:tc>
      </w:tr>
      <w:tr w:rsidR="00F03BF6" w:rsidRPr="00F03BF6" w14:paraId="1449B8F2" w14:textId="77777777" w:rsidTr="00F03BF6">
        <w:trPr>
          <w:trHeight w:val="38"/>
          <w:tblCellSpacing w:w="15" w:type="dxa"/>
        </w:trPr>
        <w:tc>
          <w:tcPr>
            <w:tcW w:w="0" w:type="auto"/>
            <w:vAlign w:val="center"/>
            <w:hideMark/>
          </w:tcPr>
          <w:p w14:paraId="561A8005" w14:textId="77777777" w:rsidR="00F03BF6" w:rsidRPr="00F03BF6" w:rsidRDefault="00F03BF6" w:rsidP="00F03BF6">
            <w:pPr>
              <w:rPr>
                <w:rFonts w:ascii="Arial" w:hAnsi="Arial" w:cs="Arial"/>
              </w:rPr>
            </w:pPr>
            <w:r w:rsidRPr="00F03BF6">
              <w:rPr>
                <w:rFonts w:ascii="Arial" w:hAnsi="Arial" w:cs="Arial"/>
              </w:rPr>
              <w:t>Economic</w:t>
            </w:r>
          </w:p>
        </w:tc>
        <w:tc>
          <w:tcPr>
            <w:tcW w:w="0" w:type="auto"/>
            <w:vAlign w:val="center"/>
            <w:hideMark/>
          </w:tcPr>
          <w:p w14:paraId="51AE250B" w14:textId="77777777" w:rsidR="00F03BF6" w:rsidRPr="00F03BF6" w:rsidRDefault="00F03BF6" w:rsidP="00F03BF6">
            <w:pPr>
              <w:jc w:val="center"/>
              <w:rPr>
                <w:rFonts w:ascii="Arial" w:hAnsi="Arial" w:cs="Arial"/>
              </w:rPr>
            </w:pPr>
            <w:r w:rsidRPr="00F03BF6">
              <w:rPr>
                <w:rFonts w:ascii="Arial" w:hAnsi="Arial" w:cs="Arial"/>
              </w:rPr>
              <w:t>0.108</w:t>
            </w:r>
          </w:p>
        </w:tc>
        <w:tc>
          <w:tcPr>
            <w:tcW w:w="0" w:type="auto"/>
            <w:vAlign w:val="center"/>
            <w:hideMark/>
          </w:tcPr>
          <w:p w14:paraId="20D0000C" w14:textId="77777777" w:rsidR="00F03BF6" w:rsidRPr="00F03BF6" w:rsidRDefault="00F03BF6" w:rsidP="00F03BF6">
            <w:pPr>
              <w:jc w:val="center"/>
              <w:rPr>
                <w:rFonts w:ascii="Arial" w:hAnsi="Arial" w:cs="Arial"/>
              </w:rPr>
            </w:pPr>
            <w:r w:rsidRPr="00F03BF6">
              <w:rPr>
                <w:rFonts w:ascii="Arial" w:hAnsi="Arial" w:cs="Arial"/>
              </w:rPr>
              <w:t>0.142</w:t>
            </w:r>
          </w:p>
        </w:tc>
        <w:tc>
          <w:tcPr>
            <w:tcW w:w="0" w:type="auto"/>
            <w:vAlign w:val="center"/>
            <w:hideMark/>
          </w:tcPr>
          <w:p w14:paraId="669E9929" w14:textId="77777777" w:rsidR="00F03BF6" w:rsidRPr="00F03BF6" w:rsidRDefault="00F03BF6" w:rsidP="00F03BF6">
            <w:pPr>
              <w:jc w:val="center"/>
              <w:rPr>
                <w:rFonts w:ascii="Arial" w:hAnsi="Arial" w:cs="Arial"/>
              </w:rPr>
            </w:pPr>
            <w:r w:rsidRPr="00F03BF6">
              <w:rPr>
                <w:rFonts w:ascii="Arial" w:hAnsi="Arial" w:cs="Arial"/>
              </w:rPr>
              <w:t>2.450</w:t>
            </w:r>
          </w:p>
        </w:tc>
        <w:tc>
          <w:tcPr>
            <w:tcW w:w="0" w:type="auto"/>
            <w:vAlign w:val="center"/>
            <w:hideMark/>
          </w:tcPr>
          <w:p w14:paraId="6D669AB3" w14:textId="77777777" w:rsidR="00F03BF6" w:rsidRPr="00F03BF6" w:rsidRDefault="00F03BF6" w:rsidP="00F03BF6">
            <w:pPr>
              <w:jc w:val="center"/>
              <w:rPr>
                <w:rFonts w:ascii="Arial" w:hAnsi="Arial" w:cs="Arial"/>
              </w:rPr>
            </w:pPr>
            <w:r w:rsidRPr="00F03BF6">
              <w:rPr>
                <w:rFonts w:ascii="Arial" w:hAnsi="Arial" w:cs="Arial"/>
              </w:rPr>
              <w:t>.015</w:t>
            </w:r>
          </w:p>
        </w:tc>
      </w:tr>
      <w:tr w:rsidR="00F03BF6" w:rsidRPr="00F03BF6" w14:paraId="08A21BFF" w14:textId="77777777" w:rsidTr="00F03BF6">
        <w:trPr>
          <w:trHeight w:val="38"/>
          <w:tblCellSpacing w:w="15" w:type="dxa"/>
        </w:trPr>
        <w:tc>
          <w:tcPr>
            <w:tcW w:w="0" w:type="auto"/>
            <w:vAlign w:val="center"/>
            <w:hideMark/>
          </w:tcPr>
          <w:p w14:paraId="6B48CF63" w14:textId="77777777" w:rsidR="00F03BF6" w:rsidRPr="00F03BF6" w:rsidRDefault="00F03BF6" w:rsidP="00F03BF6">
            <w:pPr>
              <w:rPr>
                <w:rFonts w:ascii="Arial" w:hAnsi="Arial" w:cs="Arial"/>
              </w:rPr>
            </w:pPr>
            <w:r w:rsidRPr="00F03BF6">
              <w:rPr>
                <w:rFonts w:ascii="Arial" w:hAnsi="Arial" w:cs="Arial"/>
              </w:rPr>
              <w:t>Setting</w:t>
            </w:r>
          </w:p>
        </w:tc>
        <w:tc>
          <w:tcPr>
            <w:tcW w:w="0" w:type="auto"/>
            <w:vAlign w:val="center"/>
            <w:hideMark/>
          </w:tcPr>
          <w:p w14:paraId="63490100" w14:textId="77777777" w:rsidR="00F03BF6" w:rsidRPr="00F03BF6" w:rsidRDefault="00F03BF6" w:rsidP="00F03BF6">
            <w:pPr>
              <w:jc w:val="center"/>
              <w:rPr>
                <w:rFonts w:ascii="Arial" w:hAnsi="Arial" w:cs="Arial"/>
              </w:rPr>
            </w:pPr>
            <w:r w:rsidRPr="00F03BF6">
              <w:rPr>
                <w:rFonts w:ascii="Arial" w:hAnsi="Arial" w:cs="Arial"/>
              </w:rPr>
              <w:t>0.099</w:t>
            </w:r>
          </w:p>
        </w:tc>
        <w:tc>
          <w:tcPr>
            <w:tcW w:w="0" w:type="auto"/>
            <w:vAlign w:val="center"/>
            <w:hideMark/>
          </w:tcPr>
          <w:p w14:paraId="02B8368B" w14:textId="77777777" w:rsidR="00F03BF6" w:rsidRPr="00F03BF6" w:rsidRDefault="00F03BF6" w:rsidP="00F03BF6">
            <w:pPr>
              <w:jc w:val="center"/>
              <w:rPr>
                <w:rFonts w:ascii="Arial" w:hAnsi="Arial" w:cs="Arial"/>
              </w:rPr>
            </w:pPr>
            <w:r w:rsidRPr="00F03BF6">
              <w:rPr>
                <w:rFonts w:ascii="Arial" w:hAnsi="Arial" w:cs="Arial"/>
              </w:rPr>
              <w:t>0.128</w:t>
            </w:r>
          </w:p>
        </w:tc>
        <w:tc>
          <w:tcPr>
            <w:tcW w:w="0" w:type="auto"/>
            <w:vAlign w:val="center"/>
            <w:hideMark/>
          </w:tcPr>
          <w:p w14:paraId="7011284B" w14:textId="77777777" w:rsidR="00F03BF6" w:rsidRPr="00F03BF6" w:rsidRDefault="00F03BF6" w:rsidP="00F03BF6">
            <w:pPr>
              <w:jc w:val="center"/>
              <w:rPr>
                <w:rFonts w:ascii="Arial" w:hAnsi="Arial" w:cs="Arial"/>
              </w:rPr>
            </w:pPr>
            <w:r w:rsidRPr="00F03BF6">
              <w:rPr>
                <w:rFonts w:ascii="Arial" w:hAnsi="Arial" w:cs="Arial"/>
              </w:rPr>
              <w:t>2.100</w:t>
            </w:r>
          </w:p>
        </w:tc>
        <w:tc>
          <w:tcPr>
            <w:tcW w:w="0" w:type="auto"/>
            <w:vAlign w:val="center"/>
            <w:hideMark/>
          </w:tcPr>
          <w:p w14:paraId="5D43AF1F" w14:textId="77777777" w:rsidR="00F03BF6" w:rsidRPr="00F03BF6" w:rsidRDefault="00F03BF6" w:rsidP="00F03BF6">
            <w:pPr>
              <w:jc w:val="center"/>
              <w:rPr>
                <w:rFonts w:ascii="Arial" w:hAnsi="Arial" w:cs="Arial"/>
              </w:rPr>
            </w:pPr>
            <w:r w:rsidRPr="00F03BF6">
              <w:rPr>
                <w:rFonts w:ascii="Arial" w:hAnsi="Arial" w:cs="Arial"/>
              </w:rPr>
              <w:t>.037</w:t>
            </w:r>
          </w:p>
        </w:tc>
      </w:tr>
      <w:tr w:rsidR="00F03BF6" w:rsidRPr="00F03BF6" w14:paraId="4893E10B" w14:textId="77777777" w:rsidTr="00F03BF6">
        <w:trPr>
          <w:trHeight w:val="38"/>
          <w:tblCellSpacing w:w="15" w:type="dxa"/>
        </w:trPr>
        <w:tc>
          <w:tcPr>
            <w:tcW w:w="0" w:type="auto"/>
            <w:vAlign w:val="center"/>
            <w:hideMark/>
          </w:tcPr>
          <w:p w14:paraId="4E18B00C" w14:textId="77777777" w:rsidR="00F03BF6" w:rsidRPr="00F03BF6" w:rsidRDefault="00F03BF6" w:rsidP="00F03BF6">
            <w:pPr>
              <w:rPr>
                <w:rFonts w:ascii="Arial" w:hAnsi="Arial" w:cs="Arial"/>
              </w:rPr>
            </w:pPr>
            <w:r w:rsidRPr="00F03BF6">
              <w:rPr>
                <w:rFonts w:ascii="Arial" w:hAnsi="Arial" w:cs="Arial"/>
              </w:rPr>
              <w:t>Racial</w:t>
            </w:r>
          </w:p>
        </w:tc>
        <w:tc>
          <w:tcPr>
            <w:tcW w:w="0" w:type="auto"/>
            <w:vAlign w:val="center"/>
            <w:hideMark/>
          </w:tcPr>
          <w:p w14:paraId="24268EDC" w14:textId="77777777" w:rsidR="00F03BF6" w:rsidRPr="00F03BF6" w:rsidRDefault="00F03BF6" w:rsidP="00F03BF6">
            <w:pPr>
              <w:jc w:val="center"/>
              <w:rPr>
                <w:rFonts w:ascii="Arial" w:hAnsi="Arial" w:cs="Arial"/>
              </w:rPr>
            </w:pPr>
            <w:r w:rsidRPr="00F03BF6">
              <w:rPr>
                <w:rFonts w:ascii="Arial" w:hAnsi="Arial" w:cs="Arial"/>
              </w:rPr>
              <w:t>0.080</w:t>
            </w:r>
          </w:p>
        </w:tc>
        <w:tc>
          <w:tcPr>
            <w:tcW w:w="0" w:type="auto"/>
            <w:vAlign w:val="center"/>
            <w:hideMark/>
          </w:tcPr>
          <w:p w14:paraId="764340DF" w14:textId="77777777" w:rsidR="00F03BF6" w:rsidRPr="00F03BF6" w:rsidRDefault="00F03BF6" w:rsidP="00F03BF6">
            <w:pPr>
              <w:jc w:val="center"/>
              <w:rPr>
                <w:rFonts w:ascii="Arial" w:hAnsi="Arial" w:cs="Arial"/>
              </w:rPr>
            </w:pPr>
            <w:r w:rsidRPr="00F03BF6">
              <w:rPr>
                <w:rFonts w:ascii="Arial" w:hAnsi="Arial" w:cs="Arial"/>
              </w:rPr>
              <w:t>0.101</w:t>
            </w:r>
          </w:p>
        </w:tc>
        <w:tc>
          <w:tcPr>
            <w:tcW w:w="0" w:type="auto"/>
            <w:vAlign w:val="center"/>
            <w:hideMark/>
          </w:tcPr>
          <w:p w14:paraId="0D1C98A3" w14:textId="77777777" w:rsidR="00F03BF6" w:rsidRPr="00F03BF6" w:rsidRDefault="00F03BF6" w:rsidP="00F03BF6">
            <w:pPr>
              <w:jc w:val="center"/>
              <w:rPr>
                <w:rFonts w:ascii="Arial" w:hAnsi="Arial" w:cs="Arial"/>
              </w:rPr>
            </w:pPr>
            <w:r w:rsidRPr="00F03BF6">
              <w:rPr>
                <w:rFonts w:ascii="Arial" w:hAnsi="Arial" w:cs="Arial"/>
              </w:rPr>
              <w:t>1.780</w:t>
            </w:r>
          </w:p>
        </w:tc>
        <w:tc>
          <w:tcPr>
            <w:tcW w:w="0" w:type="auto"/>
            <w:vAlign w:val="center"/>
            <w:hideMark/>
          </w:tcPr>
          <w:p w14:paraId="1D184ECD" w14:textId="77777777" w:rsidR="00F03BF6" w:rsidRPr="00F03BF6" w:rsidRDefault="00F03BF6" w:rsidP="00F03BF6">
            <w:pPr>
              <w:jc w:val="center"/>
              <w:rPr>
                <w:rFonts w:ascii="Arial" w:hAnsi="Arial" w:cs="Arial"/>
              </w:rPr>
            </w:pPr>
            <w:r w:rsidRPr="00F03BF6">
              <w:rPr>
                <w:rFonts w:ascii="Arial" w:hAnsi="Arial" w:cs="Arial"/>
              </w:rPr>
              <w:t>.077</w:t>
            </w:r>
          </w:p>
        </w:tc>
      </w:tr>
      <w:tr w:rsidR="00F03BF6" w:rsidRPr="00F03BF6" w14:paraId="3DB8E914" w14:textId="77777777" w:rsidTr="00F03BF6">
        <w:trPr>
          <w:trHeight w:val="38"/>
          <w:tblCellSpacing w:w="15" w:type="dxa"/>
        </w:trPr>
        <w:tc>
          <w:tcPr>
            <w:tcW w:w="0" w:type="auto"/>
            <w:vAlign w:val="center"/>
            <w:hideMark/>
          </w:tcPr>
          <w:p w14:paraId="6C2D4347" w14:textId="77777777" w:rsidR="00F03BF6" w:rsidRPr="00F03BF6" w:rsidRDefault="00F03BF6" w:rsidP="00F03BF6">
            <w:pPr>
              <w:rPr>
                <w:rFonts w:ascii="Arial" w:hAnsi="Arial" w:cs="Arial"/>
              </w:rPr>
            </w:pPr>
            <w:r w:rsidRPr="00F03BF6">
              <w:rPr>
                <w:rFonts w:ascii="Arial" w:hAnsi="Arial" w:cs="Arial"/>
              </w:rPr>
              <w:t>Spiritual</w:t>
            </w:r>
          </w:p>
        </w:tc>
        <w:tc>
          <w:tcPr>
            <w:tcW w:w="0" w:type="auto"/>
            <w:vAlign w:val="center"/>
            <w:hideMark/>
          </w:tcPr>
          <w:p w14:paraId="1F7AE44B" w14:textId="77777777" w:rsidR="00F03BF6" w:rsidRPr="00F03BF6" w:rsidRDefault="00F03BF6" w:rsidP="00F03BF6">
            <w:pPr>
              <w:jc w:val="center"/>
              <w:rPr>
                <w:rFonts w:ascii="Arial" w:hAnsi="Arial" w:cs="Arial"/>
              </w:rPr>
            </w:pPr>
            <w:r w:rsidRPr="00F03BF6">
              <w:rPr>
                <w:rFonts w:ascii="Arial" w:hAnsi="Arial" w:cs="Arial"/>
              </w:rPr>
              <w:t>0.115</w:t>
            </w:r>
          </w:p>
        </w:tc>
        <w:tc>
          <w:tcPr>
            <w:tcW w:w="0" w:type="auto"/>
            <w:vAlign w:val="center"/>
            <w:hideMark/>
          </w:tcPr>
          <w:p w14:paraId="4894E17E" w14:textId="77777777" w:rsidR="00F03BF6" w:rsidRPr="00F03BF6" w:rsidRDefault="00F03BF6" w:rsidP="00F03BF6">
            <w:pPr>
              <w:jc w:val="center"/>
              <w:rPr>
                <w:rFonts w:ascii="Arial" w:hAnsi="Arial" w:cs="Arial"/>
              </w:rPr>
            </w:pPr>
            <w:r w:rsidRPr="00F03BF6">
              <w:rPr>
                <w:rFonts w:ascii="Arial" w:hAnsi="Arial" w:cs="Arial"/>
              </w:rPr>
              <w:t>0.150</w:t>
            </w:r>
          </w:p>
        </w:tc>
        <w:tc>
          <w:tcPr>
            <w:tcW w:w="0" w:type="auto"/>
            <w:vAlign w:val="center"/>
            <w:hideMark/>
          </w:tcPr>
          <w:p w14:paraId="129B8D39" w14:textId="77777777" w:rsidR="00F03BF6" w:rsidRPr="00F03BF6" w:rsidRDefault="00F03BF6" w:rsidP="00F03BF6">
            <w:pPr>
              <w:jc w:val="center"/>
              <w:rPr>
                <w:rFonts w:ascii="Arial" w:hAnsi="Arial" w:cs="Arial"/>
              </w:rPr>
            </w:pPr>
            <w:r w:rsidRPr="00F03BF6">
              <w:rPr>
                <w:rFonts w:ascii="Arial" w:hAnsi="Arial" w:cs="Arial"/>
              </w:rPr>
              <w:t>2.600</w:t>
            </w:r>
          </w:p>
        </w:tc>
        <w:tc>
          <w:tcPr>
            <w:tcW w:w="0" w:type="auto"/>
            <w:vAlign w:val="center"/>
            <w:hideMark/>
          </w:tcPr>
          <w:p w14:paraId="74856D24" w14:textId="77777777" w:rsidR="00F03BF6" w:rsidRPr="00F03BF6" w:rsidRDefault="00F03BF6" w:rsidP="00F03BF6">
            <w:pPr>
              <w:jc w:val="center"/>
              <w:rPr>
                <w:rFonts w:ascii="Arial" w:hAnsi="Arial" w:cs="Arial"/>
              </w:rPr>
            </w:pPr>
            <w:r w:rsidRPr="00F03BF6">
              <w:rPr>
                <w:rFonts w:ascii="Arial" w:hAnsi="Arial" w:cs="Arial"/>
              </w:rPr>
              <w:t>.010</w:t>
            </w:r>
          </w:p>
        </w:tc>
      </w:tr>
      <w:tr w:rsidR="00F03BF6" w:rsidRPr="00F03BF6" w14:paraId="0674973B" w14:textId="77777777" w:rsidTr="00F03BF6">
        <w:trPr>
          <w:trHeight w:val="38"/>
          <w:tblCellSpacing w:w="15" w:type="dxa"/>
        </w:trPr>
        <w:tc>
          <w:tcPr>
            <w:tcW w:w="0" w:type="auto"/>
            <w:vAlign w:val="center"/>
            <w:hideMark/>
          </w:tcPr>
          <w:p w14:paraId="5CD0B048" w14:textId="77777777" w:rsidR="00F03BF6" w:rsidRPr="00F03BF6" w:rsidRDefault="00F03BF6" w:rsidP="00F03BF6">
            <w:pPr>
              <w:rPr>
                <w:rFonts w:ascii="Arial" w:hAnsi="Arial" w:cs="Arial"/>
              </w:rPr>
            </w:pPr>
            <w:r w:rsidRPr="00F03BF6">
              <w:rPr>
                <w:rFonts w:ascii="Arial" w:hAnsi="Arial" w:cs="Arial"/>
              </w:rPr>
              <w:t>Model Summary</w:t>
            </w:r>
          </w:p>
        </w:tc>
        <w:tc>
          <w:tcPr>
            <w:tcW w:w="0" w:type="auto"/>
            <w:vAlign w:val="center"/>
            <w:hideMark/>
          </w:tcPr>
          <w:p w14:paraId="4D07A587" w14:textId="77777777" w:rsidR="00F03BF6" w:rsidRPr="00F03BF6" w:rsidRDefault="00F03BF6" w:rsidP="00F03BF6">
            <w:pPr>
              <w:rPr>
                <w:rFonts w:ascii="Arial" w:hAnsi="Arial" w:cs="Arial"/>
              </w:rPr>
            </w:pPr>
          </w:p>
        </w:tc>
        <w:tc>
          <w:tcPr>
            <w:tcW w:w="0" w:type="auto"/>
            <w:vAlign w:val="center"/>
            <w:hideMark/>
          </w:tcPr>
          <w:p w14:paraId="3966110C" w14:textId="77777777" w:rsidR="00F03BF6" w:rsidRPr="00F03BF6" w:rsidRDefault="00F03BF6" w:rsidP="00F03BF6">
            <w:pPr>
              <w:rPr>
                <w:rFonts w:ascii="Arial" w:hAnsi="Arial" w:cs="Arial"/>
              </w:rPr>
            </w:pPr>
          </w:p>
        </w:tc>
        <w:tc>
          <w:tcPr>
            <w:tcW w:w="0" w:type="auto"/>
            <w:vAlign w:val="center"/>
            <w:hideMark/>
          </w:tcPr>
          <w:p w14:paraId="1BA8CD82" w14:textId="77777777" w:rsidR="00F03BF6" w:rsidRPr="00F03BF6" w:rsidRDefault="00F03BF6" w:rsidP="00F03BF6">
            <w:pPr>
              <w:rPr>
                <w:rFonts w:ascii="Arial" w:hAnsi="Arial" w:cs="Arial"/>
              </w:rPr>
            </w:pPr>
          </w:p>
        </w:tc>
        <w:tc>
          <w:tcPr>
            <w:tcW w:w="0" w:type="auto"/>
            <w:vAlign w:val="center"/>
            <w:hideMark/>
          </w:tcPr>
          <w:p w14:paraId="35E0A707" w14:textId="77777777" w:rsidR="00F03BF6" w:rsidRPr="00F03BF6" w:rsidRDefault="00F03BF6" w:rsidP="00F03BF6">
            <w:pPr>
              <w:rPr>
                <w:rFonts w:ascii="Arial" w:hAnsi="Arial" w:cs="Arial"/>
              </w:rPr>
            </w:pPr>
          </w:p>
        </w:tc>
      </w:tr>
      <w:tr w:rsidR="00F03BF6" w:rsidRPr="00F03BF6" w14:paraId="00211A85" w14:textId="77777777" w:rsidTr="00F03BF6">
        <w:trPr>
          <w:trHeight w:val="38"/>
          <w:tblCellSpacing w:w="15" w:type="dxa"/>
        </w:trPr>
        <w:tc>
          <w:tcPr>
            <w:tcW w:w="0" w:type="auto"/>
            <w:vAlign w:val="center"/>
            <w:hideMark/>
          </w:tcPr>
          <w:p w14:paraId="41DA6430" w14:textId="77777777" w:rsidR="00F03BF6" w:rsidRPr="00F03BF6" w:rsidRDefault="00F03BF6" w:rsidP="00F03BF6">
            <w:pPr>
              <w:rPr>
                <w:rFonts w:ascii="Arial" w:hAnsi="Arial" w:cs="Arial"/>
              </w:rPr>
            </w:pPr>
            <w:r w:rsidRPr="00F03BF6">
              <w:rPr>
                <w:rFonts w:ascii="Arial" w:hAnsi="Arial" w:cs="Arial"/>
              </w:rPr>
              <w:t>R</w:t>
            </w:r>
          </w:p>
        </w:tc>
        <w:tc>
          <w:tcPr>
            <w:tcW w:w="0" w:type="auto"/>
            <w:vAlign w:val="center"/>
            <w:hideMark/>
          </w:tcPr>
          <w:p w14:paraId="7242504A" w14:textId="77777777" w:rsidR="00F03BF6" w:rsidRPr="00F03BF6" w:rsidRDefault="00F03BF6" w:rsidP="00F03BF6">
            <w:pPr>
              <w:jc w:val="center"/>
              <w:rPr>
                <w:rFonts w:ascii="Arial" w:hAnsi="Arial" w:cs="Arial"/>
              </w:rPr>
            </w:pPr>
            <w:r w:rsidRPr="00F03BF6">
              <w:rPr>
                <w:rFonts w:ascii="Arial" w:hAnsi="Arial" w:cs="Arial"/>
              </w:rPr>
              <w:t>0.410</w:t>
            </w:r>
          </w:p>
        </w:tc>
        <w:tc>
          <w:tcPr>
            <w:tcW w:w="0" w:type="auto"/>
            <w:vAlign w:val="center"/>
            <w:hideMark/>
          </w:tcPr>
          <w:p w14:paraId="750F1254" w14:textId="77777777" w:rsidR="00F03BF6" w:rsidRPr="00F03BF6" w:rsidRDefault="00F03BF6" w:rsidP="00F03BF6">
            <w:pPr>
              <w:jc w:val="center"/>
              <w:rPr>
                <w:rFonts w:ascii="Arial" w:hAnsi="Arial" w:cs="Arial"/>
              </w:rPr>
            </w:pPr>
          </w:p>
        </w:tc>
        <w:tc>
          <w:tcPr>
            <w:tcW w:w="0" w:type="auto"/>
            <w:vAlign w:val="center"/>
            <w:hideMark/>
          </w:tcPr>
          <w:p w14:paraId="5E3F0CA3" w14:textId="77777777" w:rsidR="00F03BF6" w:rsidRPr="00F03BF6" w:rsidRDefault="00F03BF6" w:rsidP="00F03BF6">
            <w:pPr>
              <w:jc w:val="center"/>
              <w:rPr>
                <w:rFonts w:ascii="Arial" w:hAnsi="Arial" w:cs="Arial"/>
              </w:rPr>
            </w:pPr>
          </w:p>
        </w:tc>
        <w:tc>
          <w:tcPr>
            <w:tcW w:w="0" w:type="auto"/>
            <w:vAlign w:val="center"/>
            <w:hideMark/>
          </w:tcPr>
          <w:p w14:paraId="33D4A740" w14:textId="77777777" w:rsidR="00F03BF6" w:rsidRPr="00F03BF6" w:rsidRDefault="00F03BF6" w:rsidP="00F03BF6">
            <w:pPr>
              <w:jc w:val="center"/>
              <w:rPr>
                <w:rFonts w:ascii="Arial" w:hAnsi="Arial" w:cs="Arial"/>
              </w:rPr>
            </w:pPr>
          </w:p>
        </w:tc>
      </w:tr>
      <w:tr w:rsidR="00F03BF6" w:rsidRPr="00F03BF6" w14:paraId="5D1B609A" w14:textId="77777777" w:rsidTr="00F03BF6">
        <w:trPr>
          <w:trHeight w:val="38"/>
          <w:tblCellSpacing w:w="15" w:type="dxa"/>
        </w:trPr>
        <w:tc>
          <w:tcPr>
            <w:tcW w:w="0" w:type="auto"/>
            <w:vAlign w:val="center"/>
            <w:hideMark/>
          </w:tcPr>
          <w:p w14:paraId="110312BF" w14:textId="77777777" w:rsidR="00F03BF6" w:rsidRPr="00F03BF6" w:rsidRDefault="00F03BF6" w:rsidP="00F03BF6">
            <w:pPr>
              <w:rPr>
                <w:rFonts w:ascii="Arial" w:hAnsi="Arial" w:cs="Arial"/>
              </w:rPr>
            </w:pPr>
            <w:r w:rsidRPr="00F03BF6">
              <w:rPr>
                <w:rFonts w:ascii="Arial" w:hAnsi="Arial" w:cs="Arial"/>
              </w:rPr>
              <w:lastRenderedPageBreak/>
              <w:t>R²</w:t>
            </w:r>
          </w:p>
        </w:tc>
        <w:tc>
          <w:tcPr>
            <w:tcW w:w="0" w:type="auto"/>
            <w:vAlign w:val="center"/>
            <w:hideMark/>
          </w:tcPr>
          <w:p w14:paraId="3DF2E63B" w14:textId="77777777" w:rsidR="00F03BF6" w:rsidRPr="00F03BF6" w:rsidRDefault="00F03BF6" w:rsidP="00F03BF6">
            <w:pPr>
              <w:jc w:val="center"/>
              <w:rPr>
                <w:rFonts w:ascii="Arial" w:hAnsi="Arial" w:cs="Arial"/>
              </w:rPr>
            </w:pPr>
            <w:r w:rsidRPr="00F03BF6">
              <w:rPr>
                <w:rFonts w:ascii="Arial" w:hAnsi="Arial" w:cs="Arial"/>
              </w:rPr>
              <w:t>0.168</w:t>
            </w:r>
          </w:p>
        </w:tc>
        <w:tc>
          <w:tcPr>
            <w:tcW w:w="0" w:type="auto"/>
            <w:vAlign w:val="center"/>
            <w:hideMark/>
          </w:tcPr>
          <w:p w14:paraId="2A773A29" w14:textId="77777777" w:rsidR="00F03BF6" w:rsidRPr="00F03BF6" w:rsidRDefault="00F03BF6" w:rsidP="00F03BF6">
            <w:pPr>
              <w:jc w:val="center"/>
              <w:rPr>
                <w:rFonts w:ascii="Arial" w:hAnsi="Arial" w:cs="Arial"/>
              </w:rPr>
            </w:pPr>
          </w:p>
        </w:tc>
        <w:tc>
          <w:tcPr>
            <w:tcW w:w="0" w:type="auto"/>
            <w:vAlign w:val="center"/>
            <w:hideMark/>
          </w:tcPr>
          <w:p w14:paraId="3AFF02F3" w14:textId="77777777" w:rsidR="00F03BF6" w:rsidRPr="00F03BF6" w:rsidRDefault="00F03BF6" w:rsidP="00F03BF6">
            <w:pPr>
              <w:jc w:val="center"/>
              <w:rPr>
                <w:rFonts w:ascii="Arial" w:hAnsi="Arial" w:cs="Arial"/>
              </w:rPr>
            </w:pPr>
          </w:p>
        </w:tc>
        <w:tc>
          <w:tcPr>
            <w:tcW w:w="0" w:type="auto"/>
            <w:vAlign w:val="center"/>
            <w:hideMark/>
          </w:tcPr>
          <w:p w14:paraId="6420E5C3" w14:textId="77777777" w:rsidR="00F03BF6" w:rsidRPr="00F03BF6" w:rsidRDefault="00F03BF6" w:rsidP="00F03BF6">
            <w:pPr>
              <w:jc w:val="center"/>
              <w:rPr>
                <w:rFonts w:ascii="Arial" w:hAnsi="Arial" w:cs="Arial"/>
              </w:rPr>
            </w:pPr>
          </w:p>
        </w:tc>
      </w:tr>
      <w:tr w:rsidR="00F03BF6" w:rsidRPr="00F03BF6" w14:paraId="5476100F" w14:textId="77777777" w:rsidTr="00F03BF6">
        <w:trPr>
          <w:trHeight w:val="38"/>
          <w:tblCellSpacing w:w="15" w:type="dxa"/>
        </w:trPr>
        <w:tc>
          <w:tcPr>
            <w:tcW w:w="0" w:type="auto"/>
            <w:vAlign w:val="center"/>
            <w:hideMark/>
          </w:tcPr>
          <w:p w14:paraId="7E55C9F6" w14:textId="77777777" w:rsidR="00F03BF6" w:rsidRPr="00F03BF6" w:rsidRDefault="00F03BF6" w:rsidP="00F03BF6">
            <w:pPr>
              <w:rPr>
                <w:rFonts w:ascii="Arial" w:hAnsi="Arial" w:cs="Arial"/>
              </w:rPr>
            </w:pPr>
            <w:r w:rsidRPr="00F03BF6">
              <w:rPr>
                <w:rFonts w:ascii="Arial" w:hAnsi="Arial" w:cs="Arial"/>
              </w:rPr>
              <w:t>ΔR</w:t>
            </w:r>
          </w:p>
        </w:tc>
        <w:tc>
          <w:tcPr>
            <w:tcW w:w="0" w:type="auto"/>
            <w:vAlign w:val="center"/>
            <w:hideMark/>
          </w:tcPr>
          <w:p w14:paraId="3C31D04A" w14:textId="77777777" w:rsidR="00F03BF6" w:rsidRPr="00F03BF6" w:rsidRDefault="00F03BF6" w:rsidP="00F03BF6">
            <w:pPr>
              <w:jc w:val="center"/>
              <w:rPr>
                <w:rFonts w:ascii="Arial" w:hAnsi="Arial" w:cs="Arial"/>
              </w:rPr>
            </w:pPr>
            <w:r w:rsidRPr="00F03BF6">
              <w:rPr>
                <w:rFonts w:ascii="Arial" w:hAnsi="Arial" w:cs="Arial"/>
              </w:rPr>
              <w:t>0.150</w:t>
            </w:r>
          </w:p>
        </w:tc>
        <w:tc>
          <w:tcPr>
            <w:tcW w:w="0" w:type="auto"/>
            <w:vAlign w:val="center"/>
            <w:hideMark/>
          </w:tcPr>
          <w:p w14:paraId="5E106C57" w14:textId="77777777" w:rsidR="00F03BF6" w:rsidRPr="00F03BF6" w:rsidRDefault="00F03BF6" w:rsidP="00F03BF6">
            <w:pPr>
              <w:jc w:val="center"/>
              <w:rPr>
                <w:rFonts w:ascii="Arial" w:hAnsi="Arial" w:cs="Arial"/>
              </w:rPr>
            </w:pPr>
          </w:p>
        </w:tc>
        <w:tc>
          <w:tcPr>
            <w:tcW w:w="0" w:type="auto"/>
            <w:vAlign w:val="center"/>
            <w:hideMark/>
          </w:tcPr>
          <w:p w14:paraId="37192E0E" w14:textId="77777777" w:rsidR="00F03BF6" w:rsidRPr="00F03BF6" w:rsidRDefault="00F03BF6" w:rsidP="00F03BF6">
            <w:pPr>
              <w:jc w:val="center"/>
              <w:rPr>
                <w:rFonts w:ascii="Arial" w:hAnsi="Arial" w:cs="Arial"/>
              </w:rPr>
            </w:pPr>
          </w:p>
        </w:tc>
        <w:tc>
          <w:tcPr>
            <w:tcW w:w="0" w:type="auto"/>
            <w:vAlign w:val="center"/>
            <w:hideMark/>
          </w:tcPr>
          <w:p w14:paraId="5C08B0DE" w14:textId="77777777" w:rsidR="00F03BF6" w:rsidRPr="00F03BF6" w:rsidRDefault="00F03BF6" w:rsidP="00F03BF6">
            <w:pPr>
              <w:jc w:val="center"/>
              <w:rPr>
                <w:rFonts w:ascii="Arial" w:hAnsi="Arial" w:cs="Arial"/>
              </w:rPr>
            </w:pPr>
          </w:p>
        </w:tc>
      </w:tr>
      <w:tr w:rsidR="00F03BF6" w:rsidRPr="00F03BF6" w14:paraId="12C4C5B3" w14:textId="77777777" w:rsidTr="00F03BF6">
        <w:trPr>
          <w:trHeight w:val="38"/>
          <w:tblCellSpacing w:w="15" w:type="dxa"/>
        </w:trPr>
        <w:tc>
          <w:tcPr>
            <w:tcW w:w="0" w:type="auto"/>
            <w:vAlign w:val="center"/>
            <w:hideMark/>
          </w:tcPr>
          <w:p w14:paraId="5053005E" w14:textId="77777777" w:rsidR="00F03BF6" w:rsidRPr="00F03BF6" w:rsidRDefault="00F03BF6" w:rsidP="00F03BF6">
            <w:pPr>
              <w:rPr>
                <w:rFonts w:ascii="Arial" w:hAnsi="Arial" w:cs="Arial"/>
              </w:rPr>
            </w:pPr>
            <w:r w:rsidRPr="00F03BF6">
              <w:rPr>
                <w:rFonts w:ascii="Arial" w:hAnsi="Arial" w:cs="Arial"/>
              </w:rPr>
              <w:t>F</w:t>
            </w:r>
          </w:p>
        </w:tc>
        <w:tc>
          <w:tcPr>
            <w:tcW w:w="0" w:type="auto"/>
            <w:vAlign w:val="center"/>
            <w:hideMark/>
          </w:tcPr>
          <w:p w14:paraId="1B41E5BA" w14:textId="77777777" w:rsidR="00F03BF6" w:rsidRPr="00F03BF6" w:rsidRDefault="00F03BF6" w:rsidP="00F03BF6">
            <w:pPr>
              <w:jc w:val="center"/>
              <w:rPr>
                <w:rFonts w:ascii="Arial" w:hAnsi="Arial" w:cs="Arial"/>
              </w:rPr>
            </w:pPr>
            <w:r w:rsidRPr="00F03BF6">
              <w:rPr>
                <w:rFonts w:ascii="Arial" w:hAnsi="Arial" w:cs="Arial"/>
              </w:rPr>
              <w:t>48.70</w:t>
            </w:r>
          </w:p>
        </w:tc>
        <w:tc>
          <w:tcPr>
            <w:tcW w:w="0" w:type="auto"/>
            <w:vAlign w:val="center"/>
            <w:hideMark/>
          </w:tcPr>
          <w:p w14:paraId="4A16C04D" w14:textId="77777777" w:rsidR="00F03BF6" w:rsidRPr="00F03BF6" w:rsidRDefault="00F03BF6" w:rsidP="00F03BF6">
            <w:pPr>
              <w:jc w:val="center"/>
              <w:rPr>
                <w:rFonts w:ascii="Arial" w:hAnsi="Arial" w:cs="Arial"/>
              </w:rPr>
            </w:pPr>
          </w:p>
        </w:tc>
        <w:tc>
          <w:tcPr>
            <w:tcW w:w="0" w:type="auto"/>
            <w:vAlign w:val="center"/>
            <w:hideMark/>
          </w:tcPr>
          <w:p w14:paraId="65DC187F" w14:textId="77777777" w:rsidR="00F03BF6" w:rsidRPr="00F03BF6" w:rsidRDefault="00F03BF6" w:rsidP="00F03BF6">
            <w:pPr>
              <w:jc w:val="center"/>
              <w:rPr>
                <w:rFonts w:ascii="Arial" w:hAnsi="Arial" w:cs="Arial"/>
              </w:rPr>
            </w:pPr>
          </w:p>
        </w:tc>
        <w:tc>
          <w:tcPr>
            <w:tcW w:w="0" w:type="auto"/>
            <w:vAlign w:val="center"/>
            <w:hideMark/>
          </w:tcPr>
          <w:p w14:paraId="47A4A7C3" w14:textId="77777777" w:rsidR="00F03BF6" w:rsidRPr="00F03BF6" w:rsidRDefault="00F03BF6" w:rsidP="00F03BF6">
            <w:pPr>
              <w:jc w:val="center"/>
              <w:rPr>
                <w:rFonts w:ascii="Arial" w:hAnsi="Arial" w:cs="Arial"/>
              </w:rPr>
            </w:pPr>
            <w:r w:rsidRPr="00F03BF6">
              <w:rPr>
                <w:rFonts w:ascii="Arial" w:hAnsi="Arial" w:cs="Arial"/>
              </w:rPr>
              <w:t>.000</w:t>
            </w:r>
          </w:p>
        </w:tc>
      </w:tr>
    </w:tbl>
    <w:p w14:paraId="2DB3D6CB" w14:textId="38E9E70C" w:rsidR="00401878" w:rsidRDefault="00401878" w:rsidP="007F4079">
      <w:pPr>
        <w:pStyle w:val="Body"/>
        <w:rPr>
          <w:rFonts w:ascii="Arial" w:hAnsi="Arial" w:cs="Arial"/>
        </w:rPr>
      </w:pPr>
    </w:p>
    <w:p w14:paraId="67C2205C" w14:textId="4BC90E1B" w:rsidR="007A5432" w:rsidRDefault="007A5432" w:rsidP="001F6352">
      <w:pPr>
        <w:pStyle w:val="Body"/>
        <w:rPr>
          <w:rFonts w:ascii="Arial" w:hAnsi="Arial" w:cs="Arial"/>
        </w:rPr>
      </w:pPr>
      <w:r w:rsidRPr="007A5432">
        <w:rPr>
          <w:rFonts w:ascii="Arial" w:hAnsi="Arial" w:cs="Arial"/>
        </w:rPr>
        <w:t>Presented in Table 4 is the regression analysis examining the significant influence of conservative learning practices on the structural social coordination of teachers in public elementary schools. The regression model yielded an R-value of 0.410 and an R² value of 0.168, indicating that approximately 16.8% of the variance in structural social coordination can be explained by the combined influence of the conservative learning practice domains. The model is statistically significant with an F-value of 48.70 and a p-value of 0.000, which is well below the 0.05 level of significance. Based on these results, the null hypothesis is rejected, confirming that conservative learning practices significantly influence structural social coordination among teachers.</w:t>
      </w:r>
      <w:r>
        <w:rPr>
          <w:rFonts w:ascii="Arial" w:hAnsi="Arial" w:cs="Arial"/>
        </w:rPr>
        <w:t xml:space="preserve"> </w:t>
      </w:r>
      <w:r w:rsidRPr="007A5432">
        <w:rPr>
          <w:rFonts w:ascii="Arial" w:hAnsi="Arial" w:cs="Arial"/>
        </w:rPr>
        <w:t>Among the domains, generosity had a significant positive effect on structural social coordination with a beta (β) of 0.160, a B coefficient of 0.121, and a t-value of 2.780 (p = 0.006). Economic practices also significantly influenced structural social coordination, with β = 0.142, B = 0.108, and t = 2.450 (p = 0.015). Setting demonstrated a significant impact as well, with β = 0.128, B = 0.099, and t = 2.100 (p = 0.037). Spiritual practices significantly affected structural social coordination, having β = 0.150, B = 0.115, and t = 2.600 (p = 0.010). Although the racial domain showed a positive relationship, its influence was not statistically significant (β = 0.101, B = 0.080, t = 1.780, p = 0.077).</w:t>
      </w:r>
      <w:r>
        <w:rPr>
          <w:rFonts w:ascii="Arial" w:hAnsi="Arial" w:cs="Arial"/>
        </w:rPr>
        <w:t xml:space="preserve"> </w:t>
      </w:r>
      <w:r w:rsidRPr="007A5432">
        <w:rPr>
          <w:rFonts w:ascii="Arial" w:hAnsi="Arial" w:cs="Arial"/>
        </w:rPr>
        <w:t>These findings suggest that particular conservative learning practices, especially generosity, economic considerations, setting, and spiritual aspects, contribute meaningfully to enhancing structural social coordination among teachers. Educational leaders are encouraged to strengthen these domains to foster a more cohesive, equitable, and well-coordinated work environment within public elementary schools.</w:t>
      </w:r>
    </w:p>
    <w:p w14:paraId="18A7E17E" w14:textId="00ED3E55" w:rsidR="003D5E92" w:rsidRDefault="003D5E92" w:rsidP="001F6352">
      <w:pPr>
        <w:pStyle w:val="Body"/>
        <w:rPr>
          <w:rFonts w:ascii="Arial" w:hAnsi="Arial" w:cs="Arial"/>
        </w:rPr>
      </w:pPr>
      <w:r w:rsidRPr="003D5E92">
        <w:rPr>
          <w:rFonts w:ascii="Arial" w:hAnsi="Arial" w:cs="Arial"/>
        </w:rPr>
        <w:t xml:space="preserve">This finding aligns with previous research emphasizing the significant influence of conservative learning practices on structural social coordination among teachers. For instance, </w:t>
      </w:r>
      <w:proofErr w:type="spellStart"/>
      <w:r w:rsidR="00EF4059" w:rsidRPr="00EF4059">
        <w:rPr>
          <w:rFonts w:ascii="Arial" w:hAnsi="Arial" w:cs="Arial"/>
        </w:rPr>
        <w:t>Purwaningsih</w:t>
      </w:r>
      <w:proofErr w:type="spellEnd"/>
      <w:r w:rsidR="00EF4059">
        <w:rPr>
          <w:rFonts w:ascii="Arial" w:hAnsi="Arial" w:cs="Arial"/>
        </w:rPr>
        <w:t xml:space="preserve"> and </w:t>
      </w:r>
      <w:proofErr w:type="spellStart"/>
      <w:r w:rsidR="00EF4059" w:rsidRPr="00EF4059">
        <w:rPr>
          <w:rFonts w:ascii="Arial" w:hAnsi="Arial" w:cs="Arial"/>
        </w:rPr>
        <w:t>Ridha</w:t>
      </w:r>
      <w:proofErr w:type="spellEnd"/>
      <w:r w:rsidR="00EF4059">
        <w:rPr>
          <w:rFonts w:ascii="Arial" w:hAnsi="Arial" w:cs="Arial"/>
        </w:rPr>
        <w:t xml:space="preserve"> (2024</w:t>
      </w:r>
      <w:r w:rsidRPr="003D5E92">
        <w:rPr>
          <w:rFonts w:ascii="Arial" w:hAnsi="Arial" w:cs="Arial"/>
        </w:rPr>
        <w:t xml:space="preserve">) highlighted that teachers who embrace conservative learning </w:t>
      </w:r>
      <w:r>
        <w:rPr>
          <w:rFonts w:ascii="Arial" w:hAnsi="Arial" w:cs="Arial"/>
        </w:rPr>
        <w:t xml:space="preserve">values, </w:t>
      </w:r>
      <w:r w:rsidRPr="003D5E92">
        <w:rPr>
          <w:rFonts w:ascii="Arial" w:hAnsi="Arial" w:cs="Arial"/>
        </w:rPr>
        <w:t>such as respect for tradi</w:t>
      </w:r>
      <w:r>
        <w:rPr>
          <w:rFonts w:ascii="Arial" w:hAnsi="Arial" w:cs="Arial"/>
        </w:rPr>
        <w:t xml:space="preserve">tion, discipline, and community, </w:t>
      </w:r>
      <w:r w:rsidRPr="003D5E92">
        <w:rPr>
          <w:rFonts w:ascii="Arial" w:hAnsi="Arial" w:cs="Arial"/>
        </w:rPr>
        <w:t xml:space="preserve">tend to foster stronger collaboration and organized social interactions within schools. Similarly, </w:t>
      </w:r>
      <w:r w:rsidR="00F87242" w:rsidRPr="00F87242">
        <w:rPr>
          <w:rFonts w:ascii="Arial" w:hAnsi="Arial" w:cs="Arial"/>
        </w:rPr>
        <w:t xml:space="preserve">Haide </w:t>
      </w:r>
      <w:r w:rsidR="00F87242">
        <w:rPr>
          <w:rFonts w:ascii="Arial" w:hAnsi="Arial" w:cs="Arial"/>
        </w:rPr>
        <w:t>et al. (2020</w:t>
      </w:r>
      <w:r w:rsidRPr="003D5E92">
        <w:rPr>
          <w:rFonts w:ascii="Arial" w:hAnsi="Arial" w:cs="Arial"/>
        </w:rPr>
        <w:t xml:space="preserve">) found that conservative learning practices contribute to a more cohesive and coordinated educational environment by reinforcing shared norms and mutual support among staff members. This influence promotes a culture of stability, trust, and cooperation that enhances the overall functioning of the school community. Moreover, </w:t>
      </w:r>
      <w:proofErr w:type="spellStart"/>
      <w:r w:rsidR="002D5C13" w:rsidRPr="002D5C13">
        <w:rPr>
          <w:rFonts w:ascii="Arial" w:hAnsi="Arial" w:cs="Arial"/>
        </w:rPr>
        <w:t>Thalgi</w:t>
      </w:r>
      <w:proofErr w:type="spellEnd"/>
      <w:r w:rsidR="002D5C13" w:rsidRPr="002D5C13">
        <w:rPr>
          <w:rFonts w:ascii="Arial" w:hAnsi="Arial" w:cs="Arial"/>
        </w:rPr>
        <w:t xml:space="preserve"> </w:t>
      </w:r>
      <w:r w:rsidR="002D5C13">
        <w:rPr>
          <w:rFonts w:ascii="Arial" w:hAnsi="Arial" w:cs="Arial"/>
        </w:rPr>
        <w:t>(2024</w:t>
      </w:r>
      <w:r w:rsidRPr="003D5E92">
        <w:rPr>
          <w:rFonts w:ascii="Arial" w:hAnsi="Arial" w:cs="Arial"/>
        </w:rPr>
        <w:t>) demonstrated that specific domains of conservative learning, including generosity, economic mindfulness, and spiritual values, play a crucial role in strengthening structural social coordination by encouraging teachers to work harmoniously toward common goals.</w:t>
      </w:r>
    </w:p>
    <w:p w14:paraId="08FEB9C6" w14:textId="5240BD38" w:rsidR="002039CD" w:rsidRPr="005C1005" w:rsidRDefault="00180859" w:rsidP="001F635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3E094209" w14:textId="18C80FC9" w:rsidR="00BA2D14" w:rsidRPr="00BA2D14" w:rsidRDefault="00BA2D14" w:rsidP="00BA2D14">
      <w:pPr>
        <w:pStyle w:val="Body"/>
        <w:rPr>
          <w:rFonts w:ascii="Arial" w:hAnsi="Arial" w:cs="Arial"/>
        </w:rPr>
      </w:pPr>
      <w:r w:rsidRPr="00BA2D14">
        <w:rPr>
          <w:rFonts w:ascii="Arial" w:hAnsi="Arial" w:cs="Arial"/>
        </w:rPr>
        <w:t>Based on the findings of this study, the fo</w:t>
      </w:r>
      <w:r w:rsidR="00061763">
        <w:rPr>
          <w:rFonts w:ascii="Arial" w:hAnsi="Arial" w:cs="Arial"/>
        </w:rPr>
        <w:t>llowing conclusions were drawn:</w:t>
      </w:r>
    </w:p>
    <w:p w14:paraId="52886B54" w14:textId="1E89F7B5" w:rsidR="00BA2D14" w:rsidRPr="00BA2D14" w:rsidRDefault="00BA2D14" w:rsidP="00BA2D14">
      <w:pPr>
        <w:pStyle w:val="Body"/>
        <w:rPr>
          <w:rFonts w:ascii="Arial" w:hAnsi="Arial" w:cs="Arial"/>
        </w:rPr>
      </w:pPr>
      <w:r w:rsidRPr="00BA2D14">
        <w:rPr>
          <w:rFonts w:ascii="Arial" w:hAnsi="Arial" w:cs="Arial"/>
        </w:rPr>
        <w:t xml:space="preserve">Firstly, the level of conservative learning practices among teachers in public elementary schools is generally high. This indicates that teachers actively engage in practices such as generosity, economic responsibility, setting awareness, racial sensitivity, and spiritual values, which reflect a strong commitment to traditional yet </w:t>
      </w:r>
      <w:r>
        <w:rPr>
          <w:rFonts w:ascii="Arial" w:hAnsi="Arial" w:cs="Arial"/>
        </w:rPr>
        <w:t>meaningful learning approaches.</w:t>
      </w:r>
    </w:p>
    <w:p w14:paraId="132FE671" w14:textId="19563199" w:rsidR="00BA2D14" w:rsidRPr="00BA2D14" w:rsidRDefault="00BA2D14" w:rsidP="00BA2D14">
      <w:pPr>
        <w:pStyle w:val="Body"/>
        <w:rPr>
          <w:rFonts w:ascii="Arial" w:hAnsi="Arial" w:cs="Arial"/>
        </w:rPr>
      </w:pPr>
      <w:r w:rsidRPr="00BA2D14">
        <w:rPr>
          <w:rFonts w:ascii="Arial" w:hAnsi="Arial" w:cs="Arial"/>
        </w:rPr>
        <w:t xml:space="preserve">Secondly, the level of structural social coordination among teachers is also high. This suggests that teachers experience a work environment characterized by respect for human rights, </w:t>
      </w:r>
      <w:r w:rsidRPr="00BA2D14">
        <w:rPr>
          <w:rFonts w:ascii="Arial" w:hAnsi="Arial" w:cs="Arial"/>
        </w:rPr>
        <w:lastRenderedPageBreak/>
        <w:t>equality, and procedural fairness, which supports effective collaboration and</w:t>
      </w:r>
      <w:r>
        <w:rPr>
          <w:rFonts w:ascii="Arial" w:hAnsi="Arial" w:cs="Arial"/>
        </w:rPr>
        <w:t xml:space="preserve"> social harmony within schools.</w:t>
      </w:r>
    </w:p>
    <w:p w14:paraId="61DC0267" w14:textId="007E9BA9" w:rsidR="00BA2D14" w:rsidRPr="00BA2D14" w:rsidRDefault="00BA2D14" w:rsidP="00BA2D14">
      <w:pPr>
        <w:pStyle w:val="Body"/>
        <w:rPr>
          <w:rFonts w:ascii="Arial" w:hAnsi="Arial" w:cs="Arial"/>
        </w:rPr>
      </w:pPr>
      <w:r w:rsidRPr="00BA2D14">
        <w:rPr>
          <w:rFonts w:ascii="Arial" w:hAnsi="Arial" w:cs="Arial"/>
        </w:rPr>
        <w:t>Thirdly, there is a statistically significant and strong positive relationship between conservative learning practices and structural social coordination. This means that higher engagement in conservative learning practices is associated with better social coordination among teachers, fostering an equitable and b</w:t>
      </w:r>
      <w:r>
        <w:rPr>
          <w:rFonts w:ascii="Arial" w:hAnsi="Arial" w:cs="Arial"/>
        </w:rPr>
        <w:t>alanced organizational climate.</w:t>
      </w:r>
    </w:p>
    <w:p w14:paraId="50551EAE" w14:textId="6874125B" w:rsidR="00BA2D14" w:rsidRPr="00BA2D14" w:rsidRDefault="00BA2D14" w:rsidP="00BA2D14">
      <w:pPr>
        <w:pStyle w:val="Body"/>
        <w:rPr>
          <w:rFonts w:ascii="Arial" w:hAnsi="Arial" w:cs="Arial"/>
        </w:rPr>
      </w:pPr>
      <w:r w:rsidRPr="00BA2D14">
        <w:rPr>
          <w:rFonts w:ascii="Arial" w:hAnsi="Arial" w:cs="Arial"/>
        </w:rPr>
        <w:t>Lastly, specific domains of conservative learning practices—namely generosity, economic responsibi</w:t>
      </w:r>
      <w:r>
        <w:rPr>
          <w:rFonts w:ascii="Arial" w:hAnsi="Arial" w:cs="Arial"/>
        </w:rPr>
        <w:t xml:space="preserve">lity, setting, and spirituality, </w:t>
      </w:r>
      <w:r w:rsidRPr="00BA2D14">
        <w:rPr>
          <w:rFonts w:ascii="Arial" w:hAnsi="Arial" w:cs="Arial"/>
        </w:rPr>
        <w:t>significantly influence structural social coordination. These domains help promote fairness, shared values, and cohesive interactions among teachers, contributing to a well-coordinated and socially just school environment. Although the racial domain showed a positive but not statistically significant influence, it remains an important aspect to consider in promoting inclusivity.</w:t>
      </w:r>
    </w:p>
    <w:p w14:paraId="561B0EA9" w14:textId="0B6AC87A" w:rsidR="00F35314" w:rsidRPr="000822B9" w:rsidRDefault="006A0F34" w:rsidP="006C5EBC">
      <w:pPr>
        <w:pStyle w:val="Body"/>
        <w:rPr>
          <w:rFonts w:ascii="Arial" w:hAnsi="Arial" w:cs="Arial"/>
        </w:rPr>
      </w:pPr>
      <w:r>
        <w:rPr>
          <w:rFonts w:ascii="Arial" w:hAnsi="Arial" w:cs="Arial"/>
          <w:b/>
          <w:bCs/>
        </w:rPr>
        <w:t>6. RECOMMENDATIONS</w:t>
      </w:r>
    </w:p>
    <w:p w14:paraId="420948F8" w14:textId="46698578"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Based on the findings and conclusions of this study, the following recommendations are proposed:</w:t>
      </w:r>
    </w:p>
    <w:p w14:paraId="54FCF8F6" w14:textId="7784ECC9"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Firstly, considering the high level of conservative learning practices among teachers, school administrators should encourage and sustain these values through continuous professional development programs. Workshops and seminars focusing on generosity, economic responsibility, environmental and social settings, racial sensitivity, and spiritual growth can help reinforce these important practices in the school community.</w:t>
      </w:r>
    </w:p>
    <w:p w14:paraId="626F7CA6" w14:textId="3E0A7ED1"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Secondly, since teachers exhibit a high level of structural social coordination, efforts should be made to maintain and improve this collaborative environment. School leaders should promote policies and activities that enhance respect for human rights, equality, and procedural fairness to further strengthen social harmony and cooperation among teachers.</w:t>
      </w:r>
    </w:p>
    <w:p w14:paraId="30C46518" w14:textId="5A459482"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Thirdly, given the significant positive relationship between conservative learning practices and structural social coordination, school administrators should integrate these learning practices into school culture and leadership initiatives. Emphasizing values such as generosity and spirituality can foster a more cohesive and socially balanced school climate.</w:t>
      </w:r>
    </w:p>
    <w:p w14:paraId="01621DF1" w14:textId="2B50B3E0"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 xml:space="preserve">Fourthly, since specific domains of </w:t>
      </w:r>
      <w:r>
        <w:rPr>
          <w:rFonts w:ascii="Arial" w:hAnsi="Arial" w:cs="Arial"/>
          <w:b w:val="0"/>
          <w:caps w:val="0"/>
          <w:sz w:val="20"/>
        </w:rPr>
        <w:t xml:space="preserve">conservative learning practices, </w:t>
      </w:r>
      <w:r w:rsidRPr="00C205FA">
        <w:rPr>
          <w:rFonts w:ascii="Arial" w:hAnsi="Arial" w:cs="Arial"/>
          <w:b w:val="0"/>
          <w:caps w:val="0"/>
          <w:sz w:val="20"/>
        </w:rPr>
        <w:t>such as generosity, economic responsibi</w:t>
      </w:r>
      <w:r>
        <w:rPr>
          <w:rFonts w:ascii="Arial" w:hAnsi="Arial" w:cs="Arial"/>
          <w:b w:val="0"/>
          <w:caps w:val="0"/>
          <w:sz w:val="20"/>
        </w:rPr>
        <w:t xml:space="preserve">lity, setting, and spirituality, </w:t>
      </w:r>
      <w:r w:rsidRPr="00C205FA">
        <w:rPr>
          <w:rFonts w:ascii="Arial" w:hAnsi="Arial" w:cs="Arial"/>
          <w:b w:val="0"/>
          <w:caps w:val="0"/>
          <w:sz w:val="20"/>
        </w:rPr>
        <w:t>significantly influence structural social coordination, targeted programs to nurture these domains should be prioritized. These may include community service projects, financial literacy training, cultural sensitivity sessions, and activities promoting spiritual well-being.</w:t>
      </w:r>
    </w:p>
    <w:p w14:paraId="2C234C8A" w14:textId="77777777"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 xml:space="preserve">Lastly, future researchers are encouraged to investigate other factors that might affect structural social coordination and learning practices, such as organizational culture, leadership styles, and teacher motivation. Further studies, including qualitative and longitudinal designs, </w:t>
      </w:r>
      <w:r w:rsidRPr="00C205FA">
        <w:rPr>
          <w:rFonts w:ascii="Arial" w:hAnsi="Arial" w:cs="Arial"/>
          <w:b w:val="0"/>
          <w:caps w:val="0"/>
          <w:sz w:val="20"/>
        </w:rPr>
        <w:lastRenderedPageBreak/>
        <w:t>could provide deeper insights into how these variables contribute to teacher performance and school effectiveness.</w:t>
      </w:r>
    </w:p>
    <w:p w14:paraId="65B0E486" w14:textId="77777777" w:rsidR="002222ED" w:rsidRDefault="002222ED" w:rsidP="002222ED">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bookmarkStart w:id="0" w:name="_GoBack"/>
      <w:bookmarkEnd w:id="0"/>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5775E27E" w14:textId="7D49A0A4" w:rsidR="00300E81" w:rsidRDefault="007D721D" w:rsidP="00CD4D57">
      <w:pPr>
        <w:pStyle w:val="ReferHead"/>
        <w:spacing w:after="0"/>
        <w:jc w:val="both"/>
        <w:rPr>
          <w:rFonts w:ascii="Arial" w:hAnsi="Arial" w:cs="Arial"/>
          <w:b w:val="0"/>
          <w:caps w:val="0"/>
          <w:sz w:val="20"/>
        </w:rPr>
      </w:pPr>
      <w:r w:rsidRPr="007D721D">
        <w:rPr>
          <w:rFonts w:ascii="Arial" w:hAnsi="Arial" w:cs="Arial"/>
          <w:b w:val="0"/>
          <w:caps w:val="0"/>
          <w:sz w:val="20"/>
        </w:rPr>
        <w:t xml:space="preserve">This study was carried out in full compliance with established ethical standards to protect the rights, dignity, and welfare of all participants. Before data collection commenced, the researcher secured all necessary approvals, including endorsement from the Dean of the Graduate School of Rizal Memorial Colleges and clearance from the institution’s Ethics Review Committee. The study adhered to the ethical guidelines presented by </w:t>
      </w:r>
      <w:proofErr w:type="spellStart"/>
      <w:r w:rsidRPr="007D721D">
        <w:rPr>
          <w:rFonts w:ascii="Arial" w:hAnsi="Arial" w:cs="Arial"/>
          <w:b w:val="0"/>
          <w:caps w:val="0"/>
          <w:sz w:val="20"/>
        </w:rPr>
        <w:t>Pregoner</w:t>
      </w:r>
      <w:proofErr w:type="spellEnd"/>
      <w:r w:rsidRPr="007D721D">
        <w:rPr>
          <w:rFonts w:ascii="Arial" w:hAnsi="Arial" w:cs="Arial"/>
          <w:b w:val="0"/>
          <w:caps w:val="0"/>
          <w:sz w:val="20"/>
        </w:rPr>
        <w:t xml:space="preserve"> et al. (2025), which are widely accepted as best practices for conducting research with human subjects in educational contexts. Participation was completely voluntary, with all public elementary school teachers thoroughly informed about the study’s purpose, objectives, and focus on chastisement strategies and social challenges. Participants were clearly informed of their right to refuse or withdraw from the study at any time without penalty. Informed consent was obtained prior to involvement. To ensure confidentiality and protect privacy, no personally identifiable information was collected or stored. All data were treated with strict confidentiality and used exclusively for academic research purposes. These procedures guaranteed that the study was conducted with integrity, openness, and a strong commitment to upholding the rights of participants.</w:t>
      </w:r>
    </w:p>
    <w:p w14:paraId="0CA4A420" w14:textId="77777777" w:rsidR="007D721D" w:rsidRDefault="007D721D" w:rsidP="00CD4D57">
      <w:pPr>
        <w:pStyle w:val="ReferHead"/>
        <w:spacing w:after="0"/>
        <w:jc w:val="both"/>
        <w:rPr>
          <w:rFonts w:ascii="Arial" w:hAnsi="Arial" w:cs="Arial"/>
          <w:b w:val="0"/>
          <w:caps w:val="0"/>
          <w:sz w:val="20"/>
        </w:rPr>
      </w:pPr>
    </w:p>
    <w:p w14:paraId="2BC90047" w14:textId="1DC2DBC5" w:rsidR="00CD4D57" w:rsidRPr="003B5E32" w:rsidRDefault="00CD4D57" w:rsidP="00CD4D57">
      <w:pPr>
        <w:pStyle w:val="ReferHead"/>
        <w:spacing w:after="0"/>
        <w:jc w:val="both"/>
        <w:rPr>
          <w:rFonts w:ascii="Arial" w:hAnsi="Arial" w:cs="Arial"/>
          <w:b w:val="0"/>
          <w:caps w:val="0"/>
          <w:sz w:val="20"/>
        </w:rPr>
      </w:pPr>
      <w:r w:rsidRPr="003B5E32">
        <w:rPr>
          <w:rFonts w:ascii="Arial" w:hAnsi="Arial" w:cs="Arial"/>
          <w:b w:val="0"/>
          <w:caps w:val="0"/>
          <w:sz w:val="20"/>
        </w:rPr>
        <w:t>Disclaimer (Artificial Intelligence)</w:t>
      </w:r>
    </w:p>
    <w:p w14:paraId="591C5FF6" w14:textId="77777777" w:rsidR="00CD4D57" w:rsidRPr="003B5E32" w:rsidRDefault="00CD4D57" w:rsidP="00CD4D57">
      <w:pPr>
        <w:pStyle w:val="ReferHead"/>
        <w:spacing w:after="0"/>
        <w:jc w:val="both"/>
        <w:rPr>
          <w:rFonts w:ascii="Arial" w:hAnsi="Arial" w:cs="Arial"/>
          <w:b w:val="0"/>
          <w:caps w:val="0"/>
          <w:sz w:val="20"/>
        </w:rPr>
      </w:pPr>
    </w:p>
    <w:p w14:paraId="309A34BD" w14:textId="77777777" w:rsidR="00CD4D57" w:rsidRPr="003B5E32" w:rsidRDefault="00CD4D57" w:rsidP="00CD4D57">
      <w:pPr>
        <w:pStyle w:val="ReferHead"/>
        <w:spacing w:after="0"/>
        <w:jc w:val="both"/>
        <w:rPr>
          <w:rFonts w:ascii="Arial" w:hAnsi="Arial" w:cs="Arial"/>
          <w:b w:val="0"/>
          <w:caps w:val="0"/>
          <w:sz w:val="20"/>
        </w:rPr>
      </w:pPr>
    </w:p>
    <w:p w14:paraId="26E5FE5E" w14:textId="77777777" w:rsidR="00CD4D57" w:rsidRPr="003B5E32" w:rsidRDefault="00CD4D57" w:rsidP="00CD4D57">
      <w:pPr>
        <w:jc w:val="both"/>
        <w:rPr>
          <w:rFonts w:ascii="Arial" w:eastAsia="Calibri" w:hAnsi="Arial" w:cs="Arial"/>
          <w:kern w:val="2"/>
        </w:rPr>
      </w:pPr>
      <w:r w:rsidRPr="003B5E32">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3B5E32" w:rsidRDefault="00CD4D57" w:rsidP="00CD4D57">
      <w:pPr>
        <w:jc w:val="both"/>
        <w:rPr>
          <w:rFonts w:ascii="Arial" w:eastAsia="Calibri" w:hAnsi="Arial" w:cs="Arial"/>
          <w:kern w:val="2"/>
        </w:rPr>
      </w:pPr>
    </w:p>
    <w:p w14:paraId="4B95E7D5" w14:textId="77777777" w:rsidR="00CD4D57" w:rsidRPr="003B5E32" w:rsidRDefault="00CD4D57" w:rsidP="00CD4D57">
      <w:pPr>
        <w:numPr>
          <w:ilvl w:val="0"/>
          <w:numId w:val="4"/>
        </w:numPr>
        <w:ind w:left="540"/>
        <w:jc w:val="both"/>
        <w:rPr>
          <w:rFonts w:ascii="Arial" w:eastAsia="Calibri" w:hAnsi="Arial" w:cs="Arial"/>
          <w:kern w:val="2"/>
        </w:rPr>
      </w:pPr>
      <w:r w:rsidRPr="003B5E32">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3B5E32" w:rsidRDefault="00CD4D57" w:rsidP="00CD4D57">
      <w:pPr>
        <w:numPr>
          <w:ilvl w:val="0"/>
          <w:numId w:val="4"/>
        </w:numPr>
        <w:ind w:left="540"/>
        <w:jc w:val="both"/>
        <w:rPr>
          <w:rFonts w:ascii="Arial" w:hAnsi="Arial" w:cs="Arial"/>
        </w:rPr>
      </w:pPr>
      <w:proofErr w:type="spellStart"/>
      <w:r w:rsidRPr="003B5E32">
        <w:rPr>
          <w:rFonts w:ascii="Arial" w:eastAsia="Calibri" w:hAnsi="Arial" w:cs="Arial"/>
          <w:kern w:val="2"/>
        </w:rPr>
        <w:t>Quillbot</w:t>
      </w:r>
      <w:proofErr w:type="spellEnd"/>
      <w:r w:rsidRPr="003B5E32">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1BF58142" w14:textId="77777777" w:rsidR="00BD6E9E" w:rsidRPr="005E135A" w:rsidRDefault="00BD6E9E" w:rsidP="00BD6E9E">
      <w:pPr>
        <w:ind w:left="720" w:hanging="720"/>
        <w:rPr>
          <w:rFonts w:ascii="Arial" w:hAnsi="Arial" w:cs="Arial"/>
        </w:rPr>
      </w:pPr>
    </w:p>
    <w:p w14:paraId="346C7474"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Boudett</w:t>
      </w:r>
      <w:proofErr w:type="spellEnd"/>
      <w:r w:rsidRPr="005E135A">
        <w:rPr>
          <w:rFonts w:ascii="Arial" w:hAnsi="Arial" w:cs="Arial"/>
          <w:color w:val="222222"/>
          <w:shd w:val="clear" w:color="auto" w:fill="FFFFFF"/>
        </w:rPr>
        <w:t>, K. P., City, E. A., &amp; Murnane, R. J. (Eds.). (2020). </w:t>
      </w:r>
      <w:r w:rsidRPr="005E135A">
        <w:rPr>
          <w:rFonts w:ascii="Arial" w:hAnsi="Arial" w:cs="Arial"/>
          <w:i/>
          <w:iCs/>
          <w:color w:val="222222"/>
          <w:shd w:val="clear" w:color="auto" w:fill="FFFFFF"/>
        </w:rPr>
        <w:t>Data wise, revised and expanded edition: A step-by-step guide to using assessment results to improve teaching and learning</w:t>
      </w:r>
      <w:r w:rsidRPr="005E135A">
        <w:rPr>
          <w:rFonts w:ascii="Arial" w:hAnsi="Arial" w:cs="Arial"/>
          <w:color w:val="222222"/>
          <w:shd w:val="clear" w:color="auto" w:fill="FFFFFF"/>
        </w:rPr>
        <w:t xml:space="preserve">. Harvard Education Press. </w:t>
      </w:r>
      <w:hyperlink r:id="rId14" w:history="1">
        <w:r w:rsidRPr="005E135A">
          <w:rPr>
            <w:rStyle w:val="Hyperlink"/>
            <w:rFonts w:ascii="Arial" w:hAnsi="Arial" w:cs="Arial"/>
            <w:shd w:val="clear" w:color="auto" w:fill="FFFFFF"/>
          </w:rPr>
          <w:t>https://books.google.com/books?hl=en&amp;lr=&amp;id=LAoBEAAAQBAJ&amp;oi=fnd&amp;pg=PT12&amp;dq=schools+with+a+strong+emphasis+on+conservative+learning+practices+experience+improved+teacher+collaboration+and+social+coordination,+ultimately+leading+to+better+overall+educational+outcomes+during+times+of+change.&amp;ots=KSEE4-Zm2g&amp;sig=gHdQVA2Yb7xnOBLEZV5Mjxt6f84</w:t>
        </w:r>
      </w:hyperlink>
    </w:p>
    <w:p w14:paraId="3FBC57D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Burden, P. R. (2025). </w:t>
      </w:r>
      <w:r w:rsidRPr="005E135A">
        <w:rPr>
          <w:rFonts w:ascii="Arial" w:hAnsi="Arial" w:cs="Arial"/>
          <w:i/>
          <w:iCs/>
          <w:color w:val="222222"/>
          <w:shd w:val="clear" w:color="auto" w:fill="FFFFFF"/>
        </w:rPr>
        <w:t>Classroom management: Creating a successful K-12 learning community</w:t>
      </w:r>
      <w:r w:rsidRPr="005E135A">
        <w:rPr>
          <w:rFonts w:ascii="Arial" w:hAnsi="Arial" w:cs="Arial"/>
          <w:color w:val="222222"/>
          <w:shd w:val="clear" w:color="auto" w:fill="FFFFFF"/>
        </w:rPr>
        <w:t xml:space="preserve">. John Wiley &amp; Sons. </w:t>
      </w:r>
      <w:hyperlink r:id="rId15" w:history="1">
        <w:r w:rsidRPr="005E135A">
          <w:rPr>
            <w:rStyle w:val="Hyperlink"/>
            <w:rFonts w:ascii="Arial" w:hAnsi="Arial" w:cs="Arial"/>
            <w:shd w:val="clear" w:color="auto" w:fill="FFFFFF"/>
          </w:rPr>
          <w:t>https://books.google.com/books?hl=en&amp;lr=&amp;id=-_FJEQAAQBAJ&amp;oi=fnd&amp;pg=PR11&amp;dq=adherence+to+conservative+learning+approaches+enhances+teachers%27+commitment+to+maintaining+cultural+and+ethical+standards,+which+positively+impacts+student+engagement+and+classroom+management&amp;ots=cPXLgu5wAg&amp;sig=QKPR-s-4YAvCANDYeZI8IJCG0U4</w:t>
        </w:r>
      </w:hyperlink>
    </w:p>
    <w:p w14:paraId="37819FF4"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lastRenderedPageBreak/>
        <w:t>Chua Reyes, V., Hamid, O., &amp; Hardy, I. (2022). When reforms make things worse: School leadership responses to poverty, disasters, and cultures of crises in the Philippine education system. </w:t>
      </w:r>
      <w:r w:rsidRPr="005E135A">
        <w:rPr>
          <w:rFonts w:ascii="Arial" w:hAnsi="Arial" w:cs="Arial"/>
          <w:i/>
          <w:iCs/>
          <w:color w:val="222222"/>
          <w:shd w:val="clear" w:color="auto" w:fill="FFFFFF"/>
        </w:rPr>
        <w:t>International Journal of Leadership in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25</w:t>
      </w:r>
      <w:r w:rsidRPr="005E135A">
        <w:rPr>
          <w:rFonts w:ascii="Arial" w:hAnsi="Arial" w:cs="Arial"/>
          <w:color w:val="222222"/>
          <w:shd w:val="clear" w:color="auto" w:fill="FFFFFF"/>
        </w:rPr>
        <w:t xml:space="preserve">(2), 331-344. </w:t>
      </w:r>
      <w:hyperlink r:id="rId16" w:history="1">
        <w:r w:rsidRPr="005E135A">
          <w:rPr>
            <w:rStyle w:val="Hyperlink"/>
            <w:rFonts w:ascii="Arial" w:hAnsi="Arial" w:cs="Arial"/>
            <w:shd w:val="clear" w:color="auto" w:fill="FFFFFF"/>
          </w:rPr>
          <w:t>https://www.tandfonline.com/doi/abs/10.1080/13603124.2021.2009038</w:t>
        </w:r>
      </w:hyperlink>
    </w:p>
    <w:p w14:paraId="02E221DF"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Eaton, S. E., &amp; Turner, K. L. (2020). Exploring academic integrity and mental health during COVID-19: Rapid review. </w:t>
      </w:r>
      <w:r w:rsidRPr="005E135A">
        <w:rPr>
          <w:rFonts w:ascii="Arial" w:hAnsi="Arial" w:cs="Arial"/>
          <w:i/>
          <w:iCs/>
          <w:color w:val="222222"/>
          <w:shd w:val="clear" w:color="auto" w:fill="FFFFFF"/>
        </w:rPr>
        <w:t>Journal of Contemporary Education Theory &amp; Research (JCETR)</w:t>
      </w:r>
      <w:r w:rsidRPr="005E135A">
        <w:rPr>
          <w:rFonts w:ascii="Arial" w:hAnsi="Arial" w:cs="Arial"/>
          <w:color w:val="222222"/>
          <w:shd w:val="clear" w:color="auto" w:fill="FFFFFF"/>
        </w:rPr>
        <w:t>, </w:t>
      </w:r>
      <w:r w:rsidRPr="005E135A">
        <w:rPr>
          <w:rFonts w:ascii="Arial" w:hAnsi="Arial" w:cs="Arial"/>
          <w:i/>
          <w:iCs/>
          <w:color w:val="222222"/>
          <w:shd w:val="clear" w:color="auto" w:fill="FFFFFF"/>
        </w:rPr>
        <w:t>4</w:t>
      </w:r>
      <w:r w:rsidRPr="005E135A">
        <w:rPr>
          <w:rFonts w:ascii="Arial" w:hAnsi="Arial" w:cs="Arial"/>
          <w:color w:val="222222"/>
          <w:shd w:val="clear" w:color="auto" w:fill="FFFFFF"/>
        </w:rPr>
        <w:t xml:space="preserve">(2), 35-41. </w:t>
      </w:r>
      <w:hyperlink r:id="rId17" w:history="1">
        <w:r w:rsidRPr="005E135A">
          <w:rPr>
            <w:rStyle w:val="Hyperlink"/>
            <w:rFonts w:ascii="Arial" w:hAnsi="Arial" w:cs="Arial"/>
            <w:shd w:val="clear" w:color="auto" w:fill="FFFFFF"/>
          </w:rPr>
          <w:t>https://papers.ssrn.com/sol3/papers.cfm?abstract_id=3748713</w:t>
        </w:r>
      </w:hyperlink>
    </w:p>
    <w:p w14:paraId="383A0D6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García-Martínez, I., </w:t>
      </w:r>
      <w:proofErr w:type="spellStart"/>
      <w:r w:rsidRPr="005E135A">
        <w:rPr>
          <w:rFonts w:ascii="Arial" w:hAnsi="Arial" w:cs="Arial"/>
          <w:color w:val="222222"/>
          <w:shd w:val="clear" w:color="auto" w:fill="FFFFFF"/>
        </w:rPr>
        <w:t>Arrifano</w:t>
      </w:r>
      <w:proofErr w:type="spellEnd"/>
      <w:r w:rsidRPr="005E135A">
        <w:rPr>
          <w:rFonts w:ascii="Arial" w:hAnsi="Arial" w:cs="Arial"/>
          <w:color w:val="222222"/>
          <w:shd w:val="clear" w:color="auto" w:fill="FFFFFF"/>
        </w:rPr>
        <w:t xml:space="preserve"> </w:t>
      </w:r>
      <w:proofErr w:type="spellStart"/>
      <w:r w:rsidRPr="005E135A">
        <w:rPr>
          <w:rFonts w:ascii="Arial" w:hAnsi="Arial" w:cs="Arial"/>
          <w:color w:val="222222"/>
          <w:shd w:val="clear" w:color="auto" w:fill="FFFFFF"/>
        </w:rPr>
        <w:t>Tadeu</w:t>
      </w:r>
      <w:proofErr w:type="spellEnd"/>
      <w:r w:rsidRPr="005E135A">
        <w:rPr>
          <w:rFonts w:ascii="Arial" w:hAnsi="Arial" w:cs="Arial"/>
          <w:color w:val="222222"/>
          <w:shd w:val="clear" w:color="auto" w:fill="FFFFFF"/>
        </w:rPr>
        <w:t xml:space="preserve">, P. J., Pérez-Ferra, M., &amp; </w:t>
      </w:r>
      <w:proofErr w:type="spellStart"/>
      <w:r w:rsidRPr="005E135A">
        <w:rPr>
          <w:rFonts w:ascii="Arial" w:hAnsi="Arial" w:cs="Arial"/>
          <w:color w:val="222222"/>
          <w:shd w:val="clear" w:color="auto" w:fill="FFFFFF"/>
        </w:rPr>
        <w:t>Ubago</w:t>
      </w:r>
      <w:proofErr w:type="spellEnd"/>
      <w:r w:rsidRPr="005E135A">
        <w:rPr>
          <w:rFonts w:ascii="Arial" w:hAnsi="Arial" w:cs="Arial"/>
          <w:color w:val="222222"/>
          <w:shd w:val="clear" w:color="auto" w:fill="FFFFFF"/>
        </w:rPr>
        <w:t>-Jiménez, J. L. (2020). Building a common project by promoting pedagogical coordination and educational leadership for school improvement: A structural equation model. </w:t>
      </w:r>
      <w:r w:rsidRPr="005E135A">
        <w:rPr>
          <w:rFonts w:ascii="Arial" w:hAnsi="Arial" w:cs="Arial"/>
          <w:i/>
          <w:iCs/>
          <w:color w:val="222222"/>
          <w:shd w:val="clear" w:color="auto" w:fill="FFFFFF"/>
        </w:rPr>
        <w:t>Social Sciences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9</w:t>
      </w:r>
      <w:r w:rsidRPr="005E135A">
        <w:rPr>
          <w:rFonts w:ascii="Arial" w:hAnsi="Arial" w:cs="Arial"/>
          <w:color w:val="222222"/>
          <w:shd w:val="clear" w:color="auto" w:fill="FFFFFF"/>
        </w:rPr>
        <w:t xml:space="preserve">(4), 52. </w:t>
      </w:r>
      <w:hyperlink r:id="rId18" w:history="1">
        <w:r w:rsidRPr="005E135A">
          <w:rPr>
            <w:rStyle w:val="Hyperlink"/>
            <w:rFonts w:ascii="Arial" w:hAnsi="Arial" w:cs="Arial"/>
            <w:shd w:val="clear" w:color="auto" w:fill="FFFFFF"/>
          </w:rPr>
          <w:t>https://www.mdpi.com/2076-0760/9/4/52</w:t>
        </w:r>
      </w:hyperlink>
    </w:p>
    <w:p w14:paraId="2620F46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Haider, S., De-</w:t>
      </w:r>
      <w:proofErr w:type="spellStart"/>
      <w:r w:rsidRPr="005E135A">
        <w:rPr>
          <w:rFonts w:ascii="Arial" w:hAnsi="Arial" w:cs="Arial"/>
          <w:color w:val="222222"/>
          <w:shd w:val="clear" w:color="auto" w:fill="FFFFFF"/>
        </w:rPr>
        <w:t>Pablos</w:t>
      </w:r>
      <w:proofErr w:type="spellEnd"/>
      <w:r w:rsidRPr="005E135A">
        <w:rPr>
          <w:rFonts w:ascii="Arial" w:hAnsi="Arial" w:cs="Arial"/>
          <w:color w:val="222222"/>
          <w:shd w:val="clear" w:color="auto" w:fill="FFFFFF"/>
        </w:rPr>
        <w:t>-</w:t>
      </w:r>
      <w:proofErr w:type="spellStart"/>
      <w:r w:rsidRPr="005E135A">
        <w:rPr>
          <w:rFonts w:ascii="Arial" w:hAnsi="Arial" w:cs="Arial"/>
          <w:color w:val="222222"/>
          <w:shd w:val="clear" w:color="auto" w:fill="FFFFFF"/>
        </w:rPr>
        <w:t>Heredero</w:t>
      </w:r>
      <w:proofErr w:type="spellEnd"/>
      <w:r w:rsidRPr="005E135A">
        <w:rPr>
          <w:rFonts w:ascii="Arial" w:hAnsi="Arial" w:cs="Arial"/>
          <w:color w:val="222222"/>
          <w:shd w:val="clear" w:color="auto" w:fill="FFFFFF"/>
        </w:rPr>
        <w:t>, C., &amp; De-</w:t>
      </w:r>
      <w:proofErr w:type="spellStart"/>
      <w:r w:rsidRPr="005E135A">
        <w:rPr>
          <w:rFonts w:ascii="Arial" w:hAnsi="Arial" w:cs="Arial"/>
          <w:color w:val="222222"/>
          <w:shd w:val="clear" w:color="auto" w:fill="FFFFFF"/>
        </w:rPr>
        <w:t>Pablos</w:t>
      </w:r>
      <w:proofErr w:type="spellEnd"/>
      <w:r w:rsidRPr="005E135A">
        <w:rPr>
          <w:rFonts w:ascii="Arial" w:hAnsi="Arial" w:cs="Arial"/>
          <w:color w:val="222222"/>
          <w:shd w:val="clear" w:color="auto" w:fill="FFFFFF"/>
        </w:rPr>
        <w:t>-</w:t>
      </w:r>
      <w:proofErr w:type="spellStart"/>
      <w:r w:rsidRPr="005E135A">
        <w:rPr>
          <w:rFonts w:ascii="Arial" w:hAnsi="Arial" w:cs="Arial"/>
          <w:color w:val="222222"/>
          <w:shd w:val="clear" w:color="auto" w:fill="FFFFFF"/>
        </w:rPr>
        <w:t>Heredero</w:t>
      </w:r>
      <w:proofErr w:type="spellEnd"/>
      <w:r w:rsidRPr="005E135A">
        <w:rPr>
          <w:rFonts w:ascii="Arial" w:hAnsi="Arial" w:cs="Arial"/>
          <w:color w:val="222222"/>
          <w:shd w:val="clear" w:color="auto" w:fill="FFFFFF"/>
        </w:rPr>
        <w:t>, M. (2020). A three-wave longitudinal study of moderated mediation between high-performance work systems and employee job satisfaction: The role of relational coordination and peer justice climate. </w:t>
      </w:r>
      <w:r w:rsidRPr="005E135A">
        <w:rPr>
          <w:rFonts w:ascii="Arial" w:hAnsi="Arial" w:cs="Arial"/>
          <w:i/>
          <w:iCs/>
          <w:color w:val="222222"/>
          <w:shd w:val="clear" w:color="auto" w:fill="FFFFFF"/>
        </w:rPr>
        <w:t>Frontiers in Psychology</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11</w:t>
      </w:r>
      <w:r w:rsidRPr="005E135A">
        <w:rPr>
          <w:rFonts w:ascii="Arial" w:hAnsi="Arial" w:cs="Arial"/>
          <w:color w:val="222222"/>
          <w:shd w:val="clear" w:color="auto" w:fill="FFFFFF"/>
        </w:rPr>
        <w:t xml:space="preserve">, 792. </w:t>
      </w:r>
      <w:hyperlink r:id="rId19" w:history="1">
        <w:r w:rsidRPr="005E135A">
          <w:rPr>
            <w:rStyle w:val="Hyperlink"/>
            <w:rFonts w:ascii="Arial" w:hAnsi="Arial" w:cs="Arial"/>
            <w:shd w:val="clear" w:color="auto" w:fill="FFFFFF"/>
          </w:rPr>
          <w:t>https://www.frontiersin.org/journals/psychology/articles/10.3389/fpsyg.2020.00792/full</w:t>
        </w:r>
      </w:hyperlink>
    </w:p>
    <w:p w14:paraId="594CBE93"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Hargreaves, A. (2021). Teacher collaboration: 30 years of research on its nature, forms, limitations and effects. </w:t>
      </w:r>
      <w:r w:rsidRPr="005E135A">
        <w:rPr>
          <w:rFonts w:ascii="Arial" w:hAnsi="Arial" w:cs="Arial"/>
          <w:i/>
          <w:iCs/>
          <w:color w:val="222222"/>
          <w:shd w:val="clear" w:color="auto" w:fill="FFFFFF"/>
        </w:rPr>
        <w:t>Policy, teacher education and the quality of teachers and teaching</w:t>
      </w:r>
      <w:r w:rsidRPr="005E135A">
        <w:rPr>
          <w:rFonts w:ascii="Arial" w:hAnsi="Arial" w:cs="Arial"/>
          <w:color w:val="222222"/>
          <w:shd w:val="clear" w:color="auto" w:fill="FFFFFF"/>
        </w:rPr>
        <w:t xml:space="preserve">, 103-121. </w:t>
      </w:r>
      <w:hyperlink r:id="rId20" w:history="1">
        <w:r w:rsidRPr="005E135A">
          <w:rPr>
            <w:rStyle w:val="Hyperlink"/>
            <w:rFonts w:ascii="Arial" w:hAnsi="Arial" w:cs="Arial"/>
            <w:shd w:val="clear" w:color="auto" w:fill="FFFFFF"/>
          </w:rPr>
          <w:t>https://www.taylorfrancis.com/chapters/edit/10.4324/9781003141907-8/teacher-collaboration-30-years-research-nature-forms-limitations-effects-andy-hargreaves</w:t>
        </w:r>
      </w:hyperlink>
    </w:p>
    <w:p w14:paraId="7037FF3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Kayyali, M. (2025). Classroom Management: Techniques for Creating a Positive, Friendly Learning Environment. In </w:t>
      </w:r>
      <w:r w:rsidRPr="005E135A">
        <w:rPr>
          <w:rFonts w:ascii="Arial" w:hAnsi="Arial" w:cs="Arial"/>
          <w:i/>
          <w:iCs/>
          <w:color w:val="222222"/>
          <w:shd w:val="clear" w:color="auto" w:fill="FFFFFF"/>
        </w:rPr>
        <w:t>Exploration of K-12 Teaching and Learning for Teacher Educators</w:t>
      </w:r>
      <w:r w:rsidRPr="005E135A">
        <w:rPr>
          <w:rFonts w:ascii="Arial" w:hAnsi="Arial" w:cs="Arial"/>
          <w:color w:val="222222"/>
          <w:shd w:val="clear" w:color="auto" w:fill="FFFFFF"/>
        </w:rPr>
        <w:t xml:space="preserve"> (pp. 53-78). IGI Global Scientific Publishing. </w:t>
      </w:r>
      <w:hyperlink r:id="rId21" w:history="1">
        <w:r w:rsidRPr="005E135A">
          <w:rPr>
            <w:rStyle w:val="Hyperlink"/>
            <w:rFonts w:ascii="Arial" w:hAnsi="Arial" w:cs="Arial"/>
            <w:shd w:val="clear" w:color="auto" w:fill="FFFFFF"/>
          </w:rPr>
          <w:t>https://www.igi-global.com/chapter/classroom-management/378491</w:t>
        </w:r>
      </w:hyperlink>
    </w:p>
    <w:p w14:paraId="2F46DDD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Keles, S., &amp; Munthe, E. (2025). A systematic review of research on how initial teacher education prepares teachers for work on discrimination, racism and prejudices in schools. </w:t>
      </w:r>
      <w:r w:rsidRPr="005E135A">
        <w:rPr>
          <w:rFonts w:ascii="Arial" w:hAnsi="Arial" w:cs="Arial"/>
          <w:i/>
          <w:iCs/>
          <w:color w:val="222222"/>
          <w:shd w:val="clear" w:color="auto" w:fill="FFFFFF"/>
        </w:rPr>
        <w:t>Review of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13</w:t>
      </w:r>
      <w:r w:rsidRPr="005E135A">
        <w:rPr>
          <w:rFonts w:ascii="Arial" w:hAnsi="Arial" w:cs="Arial"/>
          <w:color w:val="222222"/>
          <w:shd w:val="clear" w:color="auto" w:fill="FFFFFF"/>
        </w:rPr>
        <w:t xml:space="preserve">(1), e70030. </w:t>
      </w:r>
      <w:hyperlink r:id="rId22" w:history="1">
        <w:r w:rsidRPr="005E135A">
          <w:rPr>
            <w:rStyle w:val="Hyperlink"/>
            <w:rFonts w:ascii="Arial" w:hAnsi="Arial" w:cs="Arial"/>
            <w:shd w:val="clear" w:color="auto" w:fill="FFFFFF"/>
          </w:rPr>
          <w:t>https://bera-journals.onlinelibrary.wiley.com/doi/abs/10.1002/rev3.70030</w:t>
        </w:r>
      </w:hyperlink>
    </w:p>
    <w:p w14:paraId="4CB83FB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Kiram, D. A. K., Kiram, M. M., </w:t>
      </w:r>
      <w:proofErr w:type="spellStart"/>
      <w:r w:rsidRPr="005E135A">
        <w:rPr>
          <w:rFonts w:ascii="Arial" w:hAnsi="Arial" w:cs="Arial"/>
          <w:color w:val="222222"/>
          <w:shd w:val="clear" w:color="auto" w:fill="FFFFFF"/>
        </w:rPr>
        <w:t>Hadjibun</w:t>
      </w:r>
      <w:proofErr w:type="spellEnd"/>
      <w:r w:rsidRPr="005E135A">
        <w:rPr>
          <w:rFonts w:ascii="Arial" w:hAnsi="Arial" w:cs="Arial"/>
          <w:color w:val="222222"/>
          <w:shd w:val="clear" w:color="auto" w:fill="FFFFFF"/>
        </w:rPr>
        <w:t>, J. A. A., &amp; Taraji, M. (2024). Cultivating Ethical Leadership in Public Administration: Integrating Social Justice and Equity into Educational Programs in Sulu, Philippines. </w:t>
      </w:r>
      <w:r w:rsidRPr="005E135A">
        <w:rPr>
          <w:rFonts w:ascii="Arial" w:hAnsi="Arial" w:cs="Arial"/>
          <w:i/>
          <w:iCs/>
          <w:color w:val="222222"/>
          <w:shd w:val="clear" w:color="auto" w:fill="FFFFFF"/>
        </w:rPr>
        <w:t>Enigma in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w:t>
      </w:r>
      <w:r w:rsidRPr="005E135A">
        <w:rPr>
          <w:rFonts w:ascii="Arial" w:hAnsi="Arial" w:cs="Arial"/>
          <w:color w:val="222222"/>
          <w:shd w:val="clear" w:color="auto" w:fill="FFFFFF"/>
        </w:rPr>
        <w:t xml:space="preserve">(2), 87-99. </w:t>
      </w:r>
      <w:hyperlink r:id="rId23" w:history="1">
        <w:r w:rsidRPr="005E135A">
          <w:rPr>
            <w:rStyle w:val="Hyperlink"/>
            <w:rFonts w:ascii="Arial" w:hAnsi="Arial" w:cs="Arial"/>
            <w:shd w:val="clear" w:color="auto" w:fill="FFFFFF"/>
          </w:rPr>
          <w:t>https://www.enigma.or.id/index.php/edu/article/view/79</w:t>
        </w:r>
      </w:hyperlink>
    </w:p>
    <w:p w14:paraId="53713070"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Küçüksüleymanoğlu</w:t>
      </w:r>
      <w:proofErr w:type="spellEnd"/>
      <w:r w:rsidRPr="005E135A">
        <w:rPr>
          <w:rFonts w:ascii="Arial" w:hAnsi="Arial" w:cs="Arial"/>
          <w:color w:val="222222"/>
          <w:shd w:val="clear" w:color="auto" w:fill="FFFFFF"/>
        </w:rPr>
        <w:t>, R. (2025). Principles of Equality: Social Justice and Equal Opportunities. In </w:t>
      </w:r>
      <w:r w:rsidRPr="005E135A">
        <w:rPr>
          <w:rFonts w:ascii="Arial" w:hAnsi="Arial" w:cs="Arial"/>
          <w:i/>
          <w:iCs/>
          <w:color w:val="222222"/>
          <w:shd w:val="clear" w:color="auto" w:fill="FFFFFF"/>
        </w:rPr>
        <w:t>Creating Positive and Inclusive Change in Educational Environments</w:t>
      </w:r>
      <w:r w:rsidRPr="005E135A">
        <w:rPr>
          <w:rFonts w:ascii="Arial" w:hAnsi="Arial" w:cs="Arial"/>
          <w:color w:val="222222"/>
          <w:shd w:val="clear" w:color="auto" w:fill="FFFFFF"/>
        </w:rPr>
        <w:t xml:space="preserve"> (pp. 23-52). IGI Global Scientific Publishing. </w:t>
      </w:r>
      <w:hyperlink r:id="rId24" w:history="1">
        <w:r w:rsidRPr="005E135A">
          <w:rPr>
            <w:rStyle w:val="Hyperlink"/>
            <w:rFonts w:ascii="Arial" w:hAnsi="Arial" w:cs="Arial"/>
            <w:shd w:val="clear" w:color="auto" w:fill="FFFFFF"/>
          </w:rPr>
          <w:t>https://www.igi-global.com/chapter/principles-of-equality/366044</w:t>
        </w:r>
      </w:hyperlink>
    </w:p>
    <w:p w14:paraId="385C142D"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Mahoney, J. L., Weissberg, R. P., Greenberg, M. T., Dusenbury, L., Jagers, R. J., Niemi, K., ... &amp; Yoder, N. (2021). Systemic social and emotional learning: Promoting educational success for all preschool to high school students. </w:t>
      </w:r>
      <w:r w:rsidRPr="005E135A">
        <w:rPr>
          <w:rFonts w:ascii="Arial" w:hAnsi="Arial" w:cs="Arial"/>
          <w:i/>
          <w:iCs/>
          <w:color w:val="222222"/>
          <w:shd w:val="clear" w:color="auto" w:fill="FFFFFF"/>
        </w:rPr>
        <w:t>American Psychologist</w:t>
      </w:r>
      <w:r w:rsidRPr="005E135A">
        <w:rPr>
          <w:rFonts w:ascii="Arial" w:hAnsi="Arial" w:cs="Arial"/>
          <w:color w:val="222222"/>
          <w:shd w:val="clear" w:color="auto" w:fill="FFFFFF"/>
        </w:rPr>
        <w:t>, </w:t>
      </w:r>
      <w:r w:rsidRPr="005E135A">
        <w:rPr>
          <w:rFonts w:ascii="Arial" w:hAnsi="Arial" w:cs="Arial"/>
          <w:i/>
          <w:iCs/>
          <w:color w:val="222222"/>
          <w:shd w:val="clear" w:color="auto" w:fill="FFFFFF"/>
        </w:rPr>
        <w:t>76</w:t>
      </w:r>
      <w:r w:rsidRPr="005E135A">
        <w:rPr>
          <w:rFonts w:ascii="Arial" w:hAnsi="Arial" w:cs="Arial"/>
          <w:color w:val="222222"/>
          <w:shd w:val="clear" w:color="auto" w:fill="FFFFFF"/>
        </w:rPr>
        <w:t xml:space="preserve">(7), 1128. </w:t>
      </w:r>
      <w:hyperlink r:id="rId25" w:history="1">
        <w:r w:rsidRPr="005E135A">
          <w:rPr>
            <w:rStyle w:val="Hyperlink"/>
            <w:rFonts w:ascii="Arial" w:hAnsi="Arial" w:cs="Arial"/>
            <w:shd w:val="clear" w:color="auto" w:fill="FFFFFF"/>
          </w:rPr>
          <w:t>https://psycnet.apa.org/fulltext/2020-74076-001.html</w:t>
        </w:r>
      </w:hyperlink>
    </w:p>
    <w:p w14:paraId="3F7ED3DF"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Mohajan</w:t>
      </w:r>
      <w:proofErr w:type="spellEnd"/>
      <w:r w:rsidRPr="005E135A">
        <w:rPr>
          <w:rFonts w:ascii="Arial" w:hAnsi="Arial" w:cs="Arial"/>
          <w:color w:val="222222"/>
          <w:shd w:val="clear" w:color="auto" w:fill="FFFFFF"/>
        </w:rPr>
        <w:t>, H. K. (2020). Quantitative research: A successful investigation in natural and social sciences. </w:t>
      </w:r>
      <w:r w:rsidRPr="005E135A">
        <w:rPr>
          <w:rFonts w:ascii="Arial" w:hAnsi="Arial" w:cs="Arial"/>
          <w:i/>
          <w:iCs/>
          <w:color w:val="222222"/>
          <w:shd w:val="clear" w:color="auto" w:fill="FFFFFF"/>
        </w:rPr>
        <w:t>Journal of economic development, environment and people</w:t>
      </w:r>
      <w:r w:rsidRPr="005E135A">
        <w:rPr>
          <w:rFonts w:ascii="Arial" w:hAnsi="Arial" w:cs="Arial"/>
          <w:color w:val="222222"/>
          <w:shd w:val="clear" w:color="auto" w:fill="FFFFFF"/>
        </w:rPr>
        <w:t>, </w:t>
      </w:r>
      <w:r w:rsidRPr="005E135A">
        <w:rPr>
          <w:rFonts w:ascii="Arial" w:hAnsi="Arial" w:cs="Arial"/>
          <w:i/>
          <w:iCs/>
          <w:color w:val="222222"/>
          <w:shd w:val="clear" w:color="auto" w:fill="FFFFFF"/>
        </w:rPr>
        <w:t>9</w:t>
      </w:r>
      <w:r w:rsidRPr="005E135A">
        <w:rPr>
          <w:rFonts w:ascii="Arial" w:hAnsi="Arial" w:cs="Arial"/>
          <w:color w:val="222222"/>
          <w:shd w:val="clear" w:color="auto" w:fill="FFFFFF"/>
        </w:rPr>
        <w:t xml:space="preserve">(4), 50-79. </w:t>
      </w:r>
      <w:hyperlink r:id="rId26" w:history="1">
        <w:r w:rsidRPr="005E135A">
          <w:rPr>
            <w:rStyle w:val="Hyperlink"/>
            <w:rFonts w:ascii="Arial" w:hAnsi="Arial" w:cs="Arial"/>
            <w:shd w:val="clear" w:color="auto" w:fill="FFFFFF"/>
          </w:rPr>
          <w:t>https://www.ceeol.com/search/article-detail?id=939590</w:t>
        </w:r>
      </w:hyperlink>
    </w:p>
    <w:p w14:paraId="7F92DD7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Okeke, M. U. C. (2024). </w:t>
      </w:r>
      <w:r w:rsidRPr="005E135A">
        <w:rPr>
          <w:rFonts w:ascii="Arial" w:hAnsi="Arial" w:cs="Arial"/>
          <w:i/>
          <w:iCs/>
          <w:color w:val="222222"/>
          <w:shd w:val="clear" w:color="auto" w:fill="FFFFFF"/>
        </w:rPr>
        <w:t>Classroom Teachers' Approaches to Values Education: Exploring Explicit and Implicit Strategies for Teaching and Modeling Values</w:t>
      </w:r>
      <w:r w:rsidRPr="005E135A">
        <w:rPr>
          <w:rFonts w:ascii="Arial" w:hAnsi="Arial" w:cs="Arial"/>
          <w:color w:val="222222"/>
          <w:shd w:val="clear" w:color="auto" w:fill="FFFFFF"/>
        </w:rPr>
        <w:t xml:space="preserve"> (Doctoral dissertation, DePaul University). </w:t>
      </w:r>
      <w:hyperlink r:id="rId27" w:history="1">
        <w:r w:rsidRPr="005E135A">
          <w:rPr>
            <w:rStyle w:val="Hyperlink"/>
            <w:rFonts w:ascii="Arial" w:hAnsi="Arial" w:cs="Arial"/>
            <w:shd w:val="clear" w:color="auto" w:fill="FFFFFF"/>
          </w:rPr>
          <w:t>https://search.proquest.com/openview/77a1f7ea58436b9e8217e5deae2ea7ec/1?pq-origsite=gscholar&amp;cbl=18750&amp;diss=y</w:t>
        </w:r>
      </w:hyperlink>
    </w:p>
    <w:p w14:paraId="4046F4B3"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lastRenderedPageBreak/>
        <w:t>Owhor</w:t>
      </w:r>
      <w:proofErr w:type="spellEnd"/>
      <w:r w:rsidRPr="005E135A">
        <w:rPr>
          <w:rFonts w:ascii="Arial" w:hAnsi="Arial" w:cs="Arial"/>
          <w:color w:val="222222"/>
          <w:shd w:val="clear" w:color="auto" w:fill="FFFFFF"/>
        </w:rPr>
        <w:t>, G. T. (2025). LEADING FOR EXCELLENCE: THE IMPACT OF PRINCIPALS ON TEACHER MORALE AND PROFESSIONALISM. </w:t>
      </w:r>
      <w:r w:rsidRPr="005E135A">
        <w:rPr>
          <w:rFonts w:ascii="Arial" w:hAnsi="Arial" w:cs="Arial"/>
          <w:i/>
          <w:iCs/>
          <w:color w:val="222222"/>
          <w:shd w:val="clear" w:color="auto" w:fill="FFFFFF"/>
        </w:rPr>
        <w:t>Ayden Energies Journal</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13</w:t>
      </w:r>
      <w:r w:rsidRPr="005E135A">
        <w:rPr>
          <w:rFonts w:ascii="Arial" w:hAnsi="Arial" w:cs="Arial"/>
          <w:color w:val="222222"/>
          <w:shd w:val="clear" w:color="auto" w:fill="FFFFFF"/>
        </w:rPr>
        <w:t xml:space="preserve">(1), 22-33. </w:t>
      </w:r>
      <w:hyperlink r:id="rId28" w:history="1">
        <w:r w:rsidRPr="005E135A">
          <w:rPr>
            <w:rStyle w:val="Hyperlink"/>
            <w:rFonts w:ascii="Arial" w:hAnsi="Arial" w:cs="Arial"/>
            <w:shd w:val="clear" w:color="auto" w:fill="FFFFFF"/>
          </w:rPr>
          <w:t>https://aydenjournals.com/index.php/AEJ/article/view/1031</w:t>
        </w:r>
      </w:hyperlink>
    </w:p>
    <w:p w14:paraId="7D26422D"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Pakkan</w:t>
      </w:r>
      <w:proofErr w:type="spellEnd"/>
      <w:r w:rsidRPr="005E135A">
        <w:rPr>
          <w:rFonts w:ascii="Arial" w:hAnsi="Arial" w:cs="Arial"/>
          <w:color w:val="222222"/>
          <w:shd w:val="clear" w:color="auto" w:fill="FFFFFF"/>
        </w:rPr>
        <w:t>, S., Sudhakar, C., Tripathi, S., &amp; Rao, M. (2023). A correlation study of sustainable development goal (SDG) interactions. </w:t>
      </w:r>
      <w:r w:rsidRPr="005E135A">
        <w:rPr>
          <w:rFonts w:ascii="Arial" w:hAnsi="Arial" w:cs="Arial"/>
          <w:i/>
          <w:iCs/>
          <w:color w:val="222222"/>
          <w:shd w:val="clear" w:color="auto" w:fill="FFFFFF"/>
        </w:rPr>
        <w:t>Quality &amp; quantity</w:t>
      </w:r>
      <w:r w:rsidRPr="005E135A">
        <w:rPr>
          <w:rFonts w:ascii="Arial" w:hAnsi="Arial" w:cs="Arial"/>
          <w:color w:val="222222"/>
          <w:shd w:val="clear" w:color="auto" w:fill="FFFFFF"/>
        </w:rPr>
        <w:t>, </w:t>
      </w:r>
      <w:r w:rsidRPr="005E135A">
        <w:rPr>
          <w:rFonts w:ascii="Arial" w:hAnsi="Arial" w:cs="Arial"/>
          <w:i/>
          <w:iCs/>
          <w:color w:val="222222"/>
          <w:shd w:val="clear" w:color="auto" w:fill="FFFFFF"/>
        </w:rPr>
        <w:t>57</w:t>
      </w:r>
      <w:r w:rsidRPr="005E135A">
        <w:rPr>
          <w:rFonts w:ascii="Arial" w:hAnsi="Arial" w:cs="Arial"/>
          <w:color w:val="222222"/>
          <w:shd w:val="clear" w:color="auto" w:fill="FFFFFF"/>
        </w:rPr>
        <w:t xml:space="preserve">(2), 1937-1956. </w:t>
      </w:r>
      <w:hyperlink r:id="rId29" w:history="1">
        <w:r w:rsidRPr="005E135A">
          <w:rPr>
            <w:rStyle w:val="Hyperlink"/>
            <w:rFonts w:ascii="Arial" w:hAnsi="Arial" w:cs="Arial"/>
            <w:shd w:val="clear" w:color="auto" w:fill="FFFFFF"/>
          </w:rPr>
          <w:t>https://link.springer.com/article/10.1007/s11135-022-01443-4</w:t>
        </w:r>
      </w:hyperlink>
    </w:p>
    <w:p w14:paraId="3FC5BFAB" w14:textId="77777777" w:rsidR="00BD6E9E" w:rsidRPr="005E135A" w:rsidRDefault="00BD6E9E" w:rsidP="00BD6E9E">
      <w:pPr>
        <w:ind w:left="720" w:hanging="720"/>
        <w:rPr>
          <w:rFonts w:ascii="Arial" w:hAnsi="Arial" w:cs="Arial"/>
        </w:rPr>
      </w:pPr>
      <w:proofErr w:type="spellStart"/>
      <w:r w:rsidRPr="005E135A">
        <w:rPr>
          <w:rFonts w:ascii="Arial" w:hAnsi="Arial" w:cs="Arial"/>
        </w:rPr>
        <w:t>Pregoner</w:t>
      </w:r>
      <w:proofErr w:type="spellEnd"/>
      <w:r w:rsidRPr="005E135A">
        <w:rPr>
          <w:rFonts w:ascii="Arial" w:hAnsi="Arial" w:cs="Arial"/>
        </w:rPr>
        <w:t xml:space="preserve">, J. D., </w:t>
      </w:r>
      <w:proofErr w:type="spellStart"/>
      <w:r w:rsidRPr="005E135A">
        <w:rPr>
          <w:rFonts w:ascii="Arial" w:hAnsi="Arial" w:cs="Arial"/>
        </w:rPr>
        <w:t>Leopardas</w:t>
      </w:r>
      <w:proofErr w:type="spellEnd"/>
      <w:r w:rsidRPr="005E135A">
        <w:rPr>
          <w:rFonts w:ascii="Arial" w:hAnsi="Arial" w:cs="Arial"/>
        </w:rPr>
        <w:t xml:space="preserve">, R., Ganancial, I. J., </w:t>
      </w:r>
      <w:proofErr w:type="spellStart"/>
      <w:r w:rsidRPr="005E135A">
        <w:rPr>
          <w:rFonts w:ascii="Arial" w:hAnsi="Arial" w:cs="Arial"/>
        </w:rPr>
        <w:t>Baguhin</w:t>
      </w:r>
      <w:proofErr w:type="spellEnd"/>
      <w:r w:rsidRPr="005E135A">
        <w:rPr>
          <w:rFonts w:ascii="Arial" w:hAnsi="Arial" w:cs="Arial"/>
        </w:rPr>
        <w:t>, M., &amp; Sedo, F. (2025). Ethical Issues in Conducting Research Using Human Participants in the Post-COVID Era. IMCC Journal of Science, 5(1), 1-9. https://hal.science/hal-05073466/</w:t>
      </w:r>
    </w:p>
    <w:p w14:paraId="2056DEC3"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Purwaningsih</w:t>
      </w:r>
      <w:proofErr w:type="spellEnd"/>
      <w:r w:rsidRPr="005E135A">
        <w:rPr>
          <w:rFonts w:ascii="Arial" w:hAnsi="Arial" w:cs="Arial"/>
          <w:color w:val="222222"/>
          <w:shd w:val="clear" w:color="auto" w:fill="FFFFFF"/>
        </w:rPr>
        <w:t>, E., &amp; Ridha, R. (2024). The Role of Traditional Cultural Values in Character Education. </w:t>
      </w:r>
      <w:r w:rsidRPr="005E135A">
        <w:rPr>
          <w:rFonts w:ascii="Arial" w:hAnsi="Arial" w:cs="Arial"/>
          <w:i/>
          <w:iCs/>
          <w:color w:val="222222"/>
          <w:shd w:val="clear" w:color="auto" w:fill="FFFFFF"/>
        </w:rPr>
        <w:t>Pakistan Journal of Life &amp; Social Sciences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22</w:t>
      </w:r>
      <w:r w:rsidRPr="005E135A">
        <w:rPr>
          <w:rFonts w:ascii="Arial" w:hAnsi="Arial" w:cs="Arial"/>
          <w:color w:val="222222"/>
          <w:shd w:val="clear" w:color="auto" w:fill="FFFFFF"/>
        </w:rPr>
        <w:t xml:space="preserve">(2). </w:t>
      </w:r>
      <w:hyperlink r:id="rId30" w:history="1">
        <w:r w:rsidRPr="005E135A">
          <w:rPr>
            <w:rStyle w:val="Hyperlink"/>
            <w:rFonts w:ascii="Arial" w:hAnsi="Arial" w:cs="Arial"/>
            <w:shd w:val="clear" w:color="auto" w:fill="FFFFFF"/>
          </w:rPr>
          <w:t>https://www.pjlss.edu.pk/pdf_files/2024_2/5305-5314.pdf</w:t>
        </w:r>
      </w:hyperlink>
    </w:p>
    <w:p w14:paraId="3FAC97F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Qadri, S. S., Hussin, N. S., &amp; Dar, M. M. (2024). Countering extremism through </w:t>
      </w:r>
      <w:proofErr w:type="spellStart"/>
      <w:r w:rsidRPr="005E135A">
        <w:rPr>
          <w:rFonts w:ascii="Arial" w:hAnsi="Arial" w:cs="Arial"/>
          <w:color w:val="222222"/>
          <w:shd w:val="clear" w:color="auto" w:fill="FFFFFF"/>
        </w:rPr>
        <w:t>islamic</w:t>
      </w:r>
      <w:proofErr w:type="spellEnd"/>
      <w:r w:rsidRPr="005E135A">
        <w:rPr>
          <w:rFonts w:ascii="Arial" w:hAnsi="Arial" w:cs="Arial"/>
          <w:color w:val="222222"/>
          <w:shd w:val="clear" w:color="auto" w:fill="FFFFFF"/>
        </w:rPr>
        <w:t xml:space="preserve"> education: Curriculum and pedagogical approaches. </w:t>
      </w:r>
      <w:r w:rsidRPr="005E135A">
        <w:rPr>
          <w:rFonts w:ascii="Arial" w:hAnsi="Arial" w:cs="Arial"/>
          <w:i/>
          <w:iCs/>
          <w:color w:val="222222"/>
          <w:shd w:val="clear" w:color="auto" w:fill="FFFFFF"/>
        </w:rPr>
        <w:t>Journal on Islamic Studies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w:t>
      </w:r>
      <w:r w:rsidRPr="005E135A">
        <w:rPr>
          <w:rFonts w:ascii="Arial" w:hAnsi="Arial" w:cs="Arial"/>
          <w:color w:val="222222"/>
          <w:shd w:val="clear" w:color="auto" w:fill="FFFFFF"/>
        </w:rPr>
        <w:t xml:space="preserve">(1), 74-89. </w:t>
      </w:r>
      <w:hyperlink r:id="rId31" w:history="1">
        <w:r w:rsidRPr="005E135A">
          <w:rPr>
            <w:rStyle w:val="Hyperlink"/>
            <w:rFonts w:ascii="Arial" w:hAnsi="Arial" w:cs="Arial"/>
            <w:shd w:val="clear" w:color="auto" w:fill="FFFFFF"/>
          </w:rPr>
          <w:t>https://pubcenter.ristek.or.id/index.php/jois/article/view/20</w:t>
        </w:r>
      </w:hyperlink>
    </w:p>
    <w:p w14:paraId="5B4D956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Salloum, S. J. (2022). Building coherence: An investigation of collective efficacy, social context, and how leaders shape teachers’ work. </w:t>
      </w:r>
      <w:r w:rsidRPr="005E135A">
        <w:rPr>
          <w:rFonts w:ascii="Arial" w:hAnsi="Arial" w:cs="Arial"/>
          <w:i/>
          <w:iCs/>
          <w:color w:val="222222"/>
          <w:shd w:val="clear" w:color="auto" w:fill="FFFFFF"/>
        </w:rPr>
        <w:t>American journal of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128</w:t>
      </w:r>
      <w:r w:rsidRPr="005E135A">
        <w:rPr>
          <w:rFonts w:ascii="Arial" w:hAnsi="Arial" w:cs="Arial"/>
          <w:color w:val="222222"/>
          <w:shd w:val="clear" w:color="auto" w:fill="FFFFFF"/>
        </w:rPr>
        <w:t xml:space="preserve">(2), 203-243. </w:t>
      </w:r>
      <w:hyperlink r:id="rId32" w:history="1">
        <w:r w:rsidRPr="005E135A">
          <w:rPr>
            <w:rStyle w:val="Hyperlink"/>
            <w:rFonts w:ascii="Arial" w:hAnsi="Arial" w:cs="Arial"/>
            <w:shd w:val="clear" w:color="auto" w:fill="FFFFFF"/>
          </w:rPr>
          <w:t>https://www.journals.uchicago.edu/doi/abs/10.1086/717654</w:t>
        </w:r>
      </w:hyperlink>
    </w:p>
    <w:p w14:paraId="4A694145"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Sanchez, M. D. C. G., De-</w:t>
      </w:r>
      <w:proofErr w:type="spellStart"/>
      <w:r w:rsidRPr="005E135A">
        <w:rPr>
          <w:rFonts w:ascii="Arial" w:hAnsi="Arial" w:cs="Arial"/>
          <w:color w:val="222222"/>
          <w:shd w:val="clear" w:color="auto" w:fill="FFFFFF"/>
        </w:rPr>
        <w:t>Pablos</w:t>
      </w:r>
      <w:proofErr w:type="spellEnd"/>
      <w:r w:rsidRPr="005E135A">
        <w:rPr>
          <w:rFonts w:ascii="Arial" w:hAnsi="Arial" w:cs="Arial"/>
          <w:color w:val="222222"/>
          <w:shd w:val="clear" w:color="auto" w:fill="FFFFFF"/>
        </w:rPr>
        <w:t>-</w:t>
      </w:r>
      <w:proofErr w:type="spellStart"/>
      <w:r w:rsidRPr="005E135A">
        <w:rPr>
          <w:rFonts w:ascii="Arial" w:hAnsi="Arial" w:cs="Arial"/>
          <w:color w:val="222222"/>
          <w:shd w:val="clear" w:color="auto" w:fill="FFFFFF"/>
        </w:rPr>
        <w:t>Heredero</w:t>
      </w:r>
      <w:proofErr w:type="spellEnd"/>
      <w:r w:rsidRPr="005E135A">
        <w:rPr>
          <w:rFonts w:ascii="Arial" w:hAnsi="Arial" w:cs="Arial"/>
          <w:color w:val="222222"/>
          <w:shd w:val="clear" w:color="auto" w:fill="FFFFFF"/>
        </w:rPr>
        <w:t>, C., Medina-</w:t>
      </w:r>
      <w:proofErr w:type="spellStart"/>
      <w:r w:rsidRPr="005E135A">
        <w:rPr>
          <w:rFonts w:ascii="Arial" w:hAnsi="Arial" w:cs="Arial"/>
          <w:color w:val="222222"/>
          <w:shd w:val="clear" w:color="auto" w:fill="FFFFFF"/>
        </w:rPr>
        <w:t>Merodio</w:t>
      </w:r>
      <w:proofErr w:type="spellEnd"/>
      <w:r w:rsidRPr="005E135A">
        <w:rPr>
          <w:rFonts w:ascii="Arial" w:hAnsi="Arial" w:cs="Arial"/>
          <w:color w:val="222222"/>
          <w:shd w:val="clear" w:color="auto" w:fill="FFFFFF"/>
        </w:rPr>
        <w:t>, J. A., Robina-Ramírez, R., &amp; Fernandez-Sanz, L. (2021). Relationships among relational coordination dimensions: Impact on the quality of education online with a structural equations model. </w:t>
      </w:r>
      <w:r w:rsidRPr="005E135A">
        <w:rPr>
          <w:rFonts w:ascii="Arial" w:hAnsi="Arial" w:cs="Arial"/>
          <w:i/>
          <w:iCs/>
          <w:color w:val="222222"/>
          <w:shd w:val="clear" w:color="auto" w:fill="FFFFFF"/>
        </w:rPr>
        <w:t>Technological Forecasting and Social Change</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166</w:t>
      </w:r>
      <w:r w:rsidRPr="005E135A">
        <w:rPr>
          <w:rFonts w:ascii="Arial" w:hAnsi="Arial" w:cs="Arial"/>
          <w:color w:val="222222"/>
          <w:shd w:val="clear" w:color="auto" w:fill="FFFFFF"/>
        </w:rPr>
        <w:t xml:space="preserve">, 120608. </w:t>
      </w:r>
      <w:hyperlink r:id="rId33" w:history="1">
        <w:r w:rsidRPr="005E135A">
          <w:rPr>
            <w:rStyle w:val="Hyperlink"/>
            <w:rFonts w:ascii="Arial" w:hAnsi="Arial" w:cs="Arial"/>
            <w:shd w:val="clear" w:color="auto" w:fill="FFFFFF"/>
          </w:rPr>
          <w:t>https://www.sciencedirect.com/science/article/pii/S0040162521000408</w:t>
        </w:r>
      </w:hyperlink>
    </w:p>
    <w:p w14:paraId="42F9DE64"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Thalgi</w:t>
      </w:r>
      <w:proofErr w:type="spellEnd"/>
      <w:r w:rsidRPr="005E135A">
        <w:rPr>
          <w:rFonts w:ascii="Arial" w:hAnsi="Arial" w:cs="Arial"/>
          <w:color w:val="222222"/>
          <w:shd w:val="clear" w:color="auto" w:fill="FFFFFF"/>
        </w:rPr>
        <w:t>, M. J. (2024). Altruism and Social Cohesion: An Islamic Perspective of Charitable Acts for Sustainable Development. </w:t>
      </w:r>
      <w:r w:rsidRPr="005E135A">
        <w:rPr>
          <w:rFonts w:ascii="Arial" w:hAnsi="Arial" w:cs="Arial"/>
          <w:i/>
          <w:iCs/>
          <w:color w:val="222222"/>
          <w:shd w:val="clear" w:color="auto" w:fill="FFFFFF"/>
        </w:rPr>
        <w:t>Journal of Islamic Thought and Civilization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14</w:t>
      </w:r>
      <w:r w:rsidRPr="005E135A">
        <w:rPr>
          <w:rFonts w:ascii="Arial" w:hAnsi="Arial" w:cs="Arial"/>
          <w:color w:val="222222"/>
          <w:shd w:val="clear" w:color="auto" w:fill="FFFFFF"/>
        </w:rPr>
        <w:t xml:space="preserve">(2), 42-62. </w:t>
      </w:r>
      <w:hyperlink r:id="rId34" w:history="1">
        <w:r w:rsidRPr="005E135A">
          <w:rPr>
            <w:rStyle w:val="Hyperlink"/>
            <w:rFonts w:ascii="Arial" w:hAnsi="Arial" w:cs="Arial"/>
            <w:shd w:val="clear" w:color="auto" w:fill="FFFFFF"/>
          </w:rPr>
          <w:t>https://journals.umt.edu.pk/index.php/JITC/article/view/5616</w:t>
        </w:r>
      </w:hyperlink>
    </w:p>
    <w:p w14:paraId="06D57281"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Tubo, M., &amp; </w:t>
      </w:r>
      <w:proofErr w:type="spellStart"/>
      <w:r w:rsidRPr="005E135A">
        <w:rPr>
          <w:rFonts w:ascii="Arial" w:hAnsi="Arial" w:cs="Arial"/>
          <w:color w:val="222222"/>
          <w:shd w:val="clear" w:color="auto" w:fill="FFFFFF"/>
        </w:rPr>
        <w:t>Pidor</w:t>
      </w:r>
      <w:proofErr w:type="spellEnd"/>
      <w:r w:rsidRPr="005E135A">
        <w:rPr>
          <w:rFonts w:ascii="Arial" w:hAnsi="Arial" w:cs="Arial"/>
          <w:color w:val="222222"/>
          <w:shd w:val="clear" w:color="auto" w:fill="FFFFFF"/>
        </w:rPr>
        <w:t>, S. J. (2025). Authentic Happiness, Organizational Politics, and Career Transition Among Public Secondary School Teachers: A Convergent Design. </w:t>
      </w:r>
      <w:r w:rsidRPr="005E135A">
        <w:rPr>
          <w:rFonts w:ascii="Arial" w:hAnsi="Arial" w:cs="Arial"/>
          <w:i/>
          <w:iCs/>
          <w:color w:val="222222"/>
          <w:shd w:val="clear" w:color="auto" w:fill="FFFFFF"/>
        </w:rPr>
        <w:t>TOFEDU: The Future of Education Journal</w:t>
      </w:r>
      <w:r w:rsidRPr="005E135A">
        <w:rPr>
          <w:rFonts w:ascii="Arial" w:hAnsi="Arial" w:cs="Arial"/>
          <w:color w:val="222222"/>
          <w:shd w:val="clear" w:color="auto" w:fill="FFFFFF"/>
        </w:rPr>
        <w:t>, </w:t>
      </w:r>
      <w:r w:rsidRPr="005E135A">
        <w:rPr>
          <w:rFonts w:ascii="Arial" w:hAnsi="Arial" w:cs="Arial"/>
          <w:i/>
          <w:iCs/>
          <w:color w:val="222222"/>
          <w:shd w:val="clear" w:color="auto" w:fill="FFFFFF"/>
        </w:rPr>
        <w:t>4</w:t>
      </w:r>
      <w:r w:rsidRPr="005E135A">
        <w:rPr>
          <w:rFonts w:ascii="Arial" w:hAnsi="Arial" w:cs="Arial"/>
          <w:color w:val="222222"/>
          <w:shd w:val="clear" w:color="auto" w:fill="FFFFFF"/>
        </w:rPr>
        <w:t xml:space="preserve">(6), 1609-1640. </w:t>
      </w:r>
      <w:hyperlink r:id="rId35" w:history="1">
        <w:r w:rsidRPr="005E135A">
          <w:rPr>
            <w:rStyle w:val="Hyperlink"/>
            <w:rFonts w:ascii="Arial" w:hAnsi="Arial" w:cs="Arial"/>
            <w:shd w:val="clear" w:color="auto" w:fill="FFFFFF"/>
          </w:rPr>
          <w:t>http://journal.tofedu.or.id/index.php/journal/article/view/570</w:t>
        </w:r>
      </w:hyperlink>
    </w:p>
    <w:p w14:paraId="408A46B8" w14:textId="77777777" w:rsidR="00E241AB" w:rsidRPr="00EC48AC" w:rsidRDefault="00E241AB" w:rsidP="00E241AB">
      <w:pPr>
        <w:ind w:left="720" w:hanging="720"/>
      </w:pPr>
    </w:p>
    <w:p w14:paraId="1DD4F1B8" w14:textId="77777777" w:rsidR="001119F6" w:rsidRDefault="001119F6" w:rsidP="001119F6">
      <w:pPr>
        <w:ind w:left="720" w:hanging="720"/>
      </w:pPr>
    </w:p>
    <w:p w14:paraId="095D7E44" w14:textId="77777777" w:rsidR="00E0166B" w:rsidRPr="00257D6F" w:rsidRDefault="00E0166B" w:rsidP="00912F71">
      <w:pPr>
        <w:ind w:left="720" w:hanging="720"/>
      </w:pPr>
    </w:p>
    <w:sectPr w:rsidR="00E0166B" w:rsidRPr="00257D6F" w:rsidSect="00BD6809">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98090" w14:textId="77777777" w:rsidR="002B58E3" w:rsidRDefault="002B58E3">
      <w:r>
        <w:separator/>
      </w:r>
    </w:p>
  </w:endnote>
  <w:endnote w:type="continuationSeparator" w:id="0">
    <w:p w14:paraId="23814A6E" w14:textId="77777777" w:rsidR="002B58E3" w:rsidRDefault="002B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95B" w14:textId="77777777" w:rsidR="00BD6809" w:rsidRDefault="00BD6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D05B6" w14:textId="77777777" w:rsidR="00BD6809" w:rsidRDefault="00BD6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D4168B" w:rsidRDefault="00D4168B">
    <w:pPr>
      <w:pStyle w:val="Footer"/>
      <w:rPr>
        <w:rFonts w:ascii="Arial" w:hAnsi="Arial" w:cs="Arial"/>
        <w:sz w:val="16"/>
      </w:rPr>
    </w:pPr>
  </w:p>
  <w:p w14:paraId="37F70CA5" w14:textId="77777777" w:rsidR="00D4168B" w:rsidRDefault="00D4168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D4168B" w:rsidRDefault="00D4168B">
    <w:pPr>
      <w:pStyle w:val="Footer"/>
      <w:rPr>
        <w:rFonts w:ascii="Arial" w:hAnsi="Arial" w:cs="Arial"/>
        <w:sz w:val="16"/>
      </w:rPr>
    </w:pPr>
  </w:p>
  <w:p w14:paraId="51867F36" w14:textId="77777777" w:rsidR="00D4168B" w:rsidRDefault="00D4168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B5821" w14:textId="77777777" w:rsidR="002B58E3" w:rsidRDefault="002B58E3">
      <w:r>
        <w:separator/>
      </w:r>
    </w:p>
  </w:footnote>
  <w:footnote w:type="continuationSeparator" w:id="0">
    <w:p w14:paraId="216F4C87" w14:textId="77777777" w:rsidR="002B58E3" w:rsidRDefault="002B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4D469" w14:textId="07412BCD" w:rsidR="00BD6809" w:rsidRDefault="00BD6809">
    <w:pPr>
      <w:pStyle w:val="Header"/>
    </w:pPr>
    <w:r>
      <w:rPr>
        <w:noProof/>
      </w:rPr>
      <w:pict w14:anchorId="32C69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E2B7" w14:textId="7FB8D957" w:rsidR="00BD6809" w:rsidRDefault="00BD6809">
    <w:pPr>
      <w:pStyle w:val="Header"/>
    </w:pPr>
    <w:r>
      <w:rPr>
        <w:noProof/>
      </w:rPr>
      <w:pict w14:anchorId="6B719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3EAEFF95" w:rsidR="00D4168B" w:rsidRDefault="00BD6809">
    <w:pPr>
      <w:ind w:left="2160"/>
      <w:jc w:val="center"/>
      <w:rPr>
        <w:rFonts w:ascii="Times New Roman" w:eastAsia="Calibri" w:hAnsi="Times New Roman"/>
        <w:i/>
        <w:sz w:val="18"/>
        <w:szCs w:val="22"/>
      </w:rPr>
    </w:pPr>
    <w:r>
      <w:rPr>
        <w:noProof/>
      </w:rPr>
      <w:pict w14:anchorId="3E8C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8E57" w14:textId="2AA4A546" w:rsidR="00BD6809" w:rsidRDefault="00BD6809">
    <w:pPr>
      <w:pStyle w:val="Header"/>
    </w:pPr>
    <w:r>
      <w:rPr>
        <w:noProof/>
      </w:rPr>
      <w:pict w14:anchorId="14F8D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1AF01" w14:textId="63B70C4D" w:rsidR="00BD6809" w:rsidRDefault="00BD6809">
    <w:pPr>
      <w:pStyle w:val="Header"/>
    </w:pPr>
    <w:r>
      <w:rPr>
        <w:noProof/>
      </w:rPr>
      <w:pict w14:anchorId="12586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367A" w14:textId="166E8D4E" w:rsidR="00BD6809" w:rsidRDefault="00BD6809">
    <w:pPr>
      <w:pStyle w:val="Header"/>
    </w:pPr>
    <w:r>
      <w:rPr>
        <w:noProof/>
      </w:rPr>
      <w:pict w14:anchorId="7412F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0A19"/>
    <w:rsid w:val="00061339"/>
    <w:rsid w:val="00061763"/>
    <w:rsid w:val="00064417"/>
    <w:rsid w:val="000647E2"/>
    <w:rsid w:val="00065B83"/>
    <w:rsid w:val="0006706E"/>
    <w:rsid w:val="0006786A"/>
    <w:rsid w:val="00067A0F"/>
    <w:rsid w:val="00067B98"/>
    <w:rsid w:val="00070402"/>
    <w:rsid w:val="00073DA5"/>
    <w:rsid w:val="00074086"/>
    <w:rsid w:val="000763D2"/>
    <w:rsid w:val="00077DAC"/>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5DA"/>
    <w:rsid w:val="000A77F6"/>
    <w:rsid w:val="000B03FC"/>
    <w:rsid w:val="000B1E33"/>
    <w:rsid w:val="000B6BC1"/>
    <w:rsid w:val="000C43E4"/>
    <w:rsid w:val="000C5AE7"/>
    <w:rsid w:val="000C6E8D"/>
    <w:rsid w:val="000C6F42"/>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69ED"/>
    <w:rsid w:val="00107572"/>
    <w:rsid w:val="001119F6"/>
    <w:rsid w:val="00113238"/>
    <w:rsid w:val="00115F49"/>
    <w:rsid w:val="00117553"/>
    <w:rsid w:val="00122285"/>
    <w:rsid w:val="00122E99"/>
    <w:rsid w:val="00123C9F"/>
    <w:rsid w:val="001242A5"/>
    <w:rsid w:val="00126190"/>
    <w:rsid w:val="00126507"/>
    <w:rsid w:val="00126BC5"/>
    <w:rsid w:val="00130F17"/>
    <w:rsid w:val="00131057"/>
    <w:rsid w:val="001320BF"/>
    <w:rsid w:val="0013571D"/>
    <w:rsid w:val="001371A6"/>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99B"/>
    <w:rsid w:val="00163BC4"/>
    <w:rsid w:val="00167726"/>
    <w:rsid w:val="00171A32"/>
    <w:rsid w:val="001720E7"/>
    <w:rsid w:val="001746F8"/>
    <w:rsid w:val="00174986"/>
    <w:rsid w:val="001758C5"/>
    <w:rsid w:val="00176290"/>
    <w:rsid w:val="00176FD0"/>
    <w:rsid w:val="001770E5"/>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1D84"/>
    <w:rsid w:val="001F44F7"/>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17BEE"/>
    <w:rsid w:val="002222ED"/>
    <w:rsid w:val="00224DE5"/>
    <w:rsid w:val="002274C1"/>
    <w:rsid w:val="002309B8"/>
    <w:rsid w:val="00231920"/>
    <w:rsid w:val="0023195C"/>
    <w:rsid w:val="00235064"/>
    <w:rsid w:val="00236186"/>
    <w:rsid w:val="00237589"/>
    <w:rsid w:val="00240CE3"/>
    <w:rsid w:val="00241741"/>
    <w:rsid w:val="002425B9"/>
    <w:rsid w:val="0024282C"/>
    <w:rsid w:val="00245CB7"/>
    <w:rsid w:val="002460DC"/>
    <w:rsid w:val="00246DC7"/>
    <w:rsid w:val="002470F7"/>
    <w:rsid w:val="00250985"/>
    <w:rsid w:val="0025105D"/>
    <w:rsid w:val="00251946"/>
    <w:rsid w:val="002556F6"/>
    <w:rsid w:val="00256882"/>
    <w:rsid w:val="00256D24"/>
    <w:rsid w:val="00257D6F"/>
    <w:rsid w:val="00260780"/>
    <w:rsid w:val="002622D4"/>
    <w:rsid w:val="00264A59"/>
    <w:rsid w:val="00266E67"/>
    <w:rsid w:val="00271F07"/>
    <w:rsid w:val="002755D7"/>
    <w:rsid w:val="00277FCD"/>
    <w:rsid w:val="002814B3"/>
    <w:rsid w:val="00281E88"/>
    <w:rsid w:val="00283105"/>
    <w:rsid w:val="00284C4C"/>
    <w:rsid w:val="002855A6"/>
    <w:rsid w:val="002870A6"/>
    <w:rsid w:val="0028784A"/>
    <w:rsid w:val="00293127"/>
    <w:rsid w:val="0029366A"/>
    <w:rsid w:val="00293C16"/>
    <w:rsid w:val="00293C4C"/>
    <w:rsid w:val="00293D34"/>
    <w:rsid w:val="00294FB7"/>
    <w:rsid w:val="00296176"/>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58E3"/>
    <w:rsid w:val="002B685A"/>
    <w:rsid w:val="002C0715"/>
    <w:rsid w:val="002C2BD6"/>
    <w:rsid w:val="002C3741"/>
    <w:rsid w:val="002C424B"/>
    <w:rsid w:val="002C4E16"/>
    <w:rsid w:val="002C54D2"/>
    <w:rsid w:val="002C57D2"/>
    <w:rsid w:val="002C6217"/>
    <w:rsid w:val="002D194A"/>
    <w:rsid w:val="002D2A9F"/>
    <w:rsid w:val="002D3AE7"/>
    <w:rsid w:val="002D53D9"/>
    <w:rsid w:val="002D5C13"/>
    <w:rsid w:val="002D7B25"/>
    <w:rsid w:val="002E0D56"/>
    <w:rsid w:val="002E3D6C"/>
    <w:rsid w:val="002E4205"/>
    <w:rsid w:val="002E57B6"/>
    <w:rsid w:val="002E7164"/>
    <w:rsid w:val="002F0E47"/>
    <w:rsid w:val="002F2031"/>
    <w:rsid w:val="002F2B4A"/>
    <w:rsid w:val="002F2D06"/>
    <w:rsid w:val="002F42EB"/>
    <w:rsid w:val="002F5C4B"/>
    <w:rsid w:val="002F5E64"/>
    <w:rsid w:val="00300E81"/>
    <w:rsid w:val="0030202C"/>
    <w:rsid w:val="00302D1C"/>
    <w:rsid w:val="00303A6C"/>
    <w:rsid w:val="00303E14"/>
    <w:rsid w:val="00304434"/>
    <w:rsid w:val="00304469"/>
    <w:rsid w:val="003078F7"/>
    <w:rsid w:val="00314853"/>
    <w:rsid w:val="00315186"/>
    <w:rsid w:val="00315729"/>
    <w:rsid w:val="003157D5"/>
    <w:rsid w:val="0031586D"/>
    <w:rsid w:val="00315947"/>
    <w:rsid w:val="003207E7"/>
    <w:rsid w:val="00320B81"/>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5C66"/>
    <w:rsid w:val="00346014"/>
    <w:rsid w:val="0034653D"/>
    <w:rsid w:val="003466A1"/>
    <w:rsid w:val="003512C2"/>
    <w:rsid w:val="00351B03"/>
    <w:rsid w:val="00351E2F"/>
    <w:rsid w:val="00351F41"/>
    <w:rsid w:val="0035350A"/>
    <w:rsid w:val="003541EC"/>
    <w:rsid w:val="00356071"/>
    <w:rsid w:val="0035793F"/>
    <w:rsid w:val="00362B79"/>
    <w:rsid w:val="00362D97"/>
    <w:rsid w:val="00363B3A"/>
    <w:rsid w:val="00363CA7"/>
    <w:rsid w:val="00371FB6"/>
    <w:rsid w:val="003737B4"/>
    <w:rsid w:val="00376155"/>
    <w:rsid w:val="003763C1"/>
    <w:rsid w:val="00376A55"/>
    <w:rsid w:val="00376BBE"/>
    <w:rsid w:val="00377430"/>
    <w:rsid w:val="003802C5"/>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2FE7"/>
    <w:rsid w:val="003B319D"/>
    <w:rsid w:val="003B5E32"/>
    <w:rsid w:val="003B6DFE"/>
    <w:rsid w:val="003B71E2"/>
    <w:rsid w:val="003B73F0"/>
    <w:rsid w:val="003C03EE"/>
    <w:rsid w:val="003C4335"/>
    <w:rsid w:val="003C44A6"/>
    <w:rsid w:val="003C4C86"/>
    <w:rsid w:val="003C4FB6"/>
    <w:rsid w:val="003C6258"/>
    <w:rsid w:val="003D09DB"/>
    <w:rsid w:val="003D163C"/>
    <w:rsid w:val="003D171B"/>
    <w:rsid w:val="003D2D0A"/>
    <w:rsid w:val="003D3677"/>
    <w:rsid w:val="003D3D9B"/>
    <w:rsid w:val="003D4C18"/>
    <w:rsid w:val="003D5E92"/>
    <w:rsid w:val="003D6BA6"/>
    <w:rsid w:val="003D7548"/>
    <w:rsid w:val="003D7E45"/>
    <w:rsid w:val="003E2904"/>
    <w:rsid w:val="003E3399"/>
    <w:rsid w:val="003E37A2"/>
    <w:rsid w:val="003E49AD"/>
    <w:rsid w:val="003E671C"/>
    <w:rsid w:val="003E7C0F"/>
    <w:rsid w:val="003F10CF"/>
    <w:rsid w:val="003F2281"/>
    <w:rsid w:val="003F3B63"/>
    <w:rsid w:val="003F760A"/>
    <w:rsid w:val="00401878"/>
    <w:rsid w:val="00401927"/>
    <w:rsid w:val="004040B3"/>
    <w:rsid w:val="00404135"/>
    <w:rsid w:val="00406C86"/>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2E89"/>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33FB"/>
    <w:rsid w:val="004D4277"/>
    <w:rsid w:val="004D4879"/>
    <w:rsid w:val="004E1DA9"/>
    <w:rsid w:val="004E21A0"/>
    <w:rsid w:val="004E5345"/>
    <w:rsid w:val="004E5924"/>
    <w:rsid w:val="004E6386"/>
    <w:rsid w:val="004F0467"/>
    <w:rsid w:val="004F0F2E"/>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16B90"/>
    <w:rsid w:val="0052341E"/>
    <w:rsid w:val="00523CC3"/>
    <w:rsid w:val="00523F46"/>
    <w:rsid w:val="00524ED0"/>
    <w:rsid w:val="0053056E"/>
    <w:rsid w:val="0053144C"/>
    <w:rsid w:val="00531CDA"/>
    <w:rsid w:val="00533886"/>
    <w:rsid w:val="00535580"/>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6A29"/>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9E2"/>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6564"/>
    <w:rsid w:val="00617502"/>
    <w:rsid w:val="00617FDD"/>
    <w:rsid w:val="00620108"/>
    <w:rsid w:val="006203C5"/>
    <w:rsid w:val="00621CBF"/>
    <w:rsid w:val="00622252"/>
    <w:rsid w:val="0062246A"/>
    <w:rsid w:val="00624014"/>
    <w:rsid w:val="00624A8B"/>
    <w:rsid w:val="006259A4"/>
    <w:rsid w:val="00626FBE"/>
    <w:rsid w:val="006273A5"/>
    <w:rsid w:val="006335EF"/>
    <w:rsid w:val="00633614"/>
    <w:rsid w:val="00633D23"/>
    <w:rsid w:val="00633F68"/>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4A7"/>
    <w:rsid w:val="00667368"/>
    <w:rsid w:val="006700C6"/>
    <w:rsid w:val="006706E9"/>
    <w:rsid w:val="00672DF6"/>
    <w:rsid w:val="00673F9F"/>
    <w:rsid w:val="00681775"/>
    <w:rsid w:val="00681E63"/>
    <w:rsid w:val="00682376"/>
    <w:rsid w:val="00683035"/>
    <w:rsid w:val="0068411E"/>
    <w:rsid w:val="00684386"/>
    <w:rsid w:val="00686033"/>
    <w:rsid w:val="00686953"/>
    <w:rsid w:val="00686A69"/>
    <w:rsid w:val="00687DEA"/>
    <w:rsid w:val="00687E67"/>
    <w:rsid w:val="00687FCD"/>
    <w:rsid w:val="00691641"/>
    <w:rsid w:val="00692074"/>
    <w:rsid w:val="0069249E"/>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5EBC"/>
    <w:rsid w:val="006C6977"/>
    <w:rsid w:val="006D0988"/>
    <w:rsid w:val="006D2E2A"/>
    <w:rsid w:val="006D30FF"/>
    <w:rsid w:val="006D6940"/>
    <w:rsid w:val="006E0AD9"/>
    <w:rsid w:val="006E38F4"/>
    <w:rsid w:val="006E3E3B"/>
    <w:rsid w:val="006E4138"/>
    <w:rsid w:val="006E67C9"/>
    <w:rsid w:val="006E6A7D"/>
    <w:rsid w:val="006E79E4"/>
    <w:rsid w:val="006F0160"/>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1739"/>
    <w:rsid w:val="00717F2E"/>
    <w:rsid w:val="00720093"/>
    <w:rsid w:val="00720256"/>
    <w:rsid w:val="007210FA"/>
    <w:rsid w:val="00722085"/>
    <w:rsid w:val="00722C51"/>
    <w:rsid w:val="007238C5"/>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8B8"/>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A5432"/>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1D"/>
    <w:rsid w:val="007D7251"/>
    <w:rsid w:val="007D7C3E"/>
    <w:rsid w:val="007E088F"/>
    <w:rsid w:val="007E565A"/>
    <w:rsid w:val="007E7A7F"/>
    <w:rsid w:val="007F0376"/>
    <w:rsid w:val="007F209D"/>
    <w:rsid w:val="007F2720"/>
    <w:rsid w:val="007F4079"/>
    <w:rsid w:val="007F43D3"/>
    <w:rsid w:val="007F6C64"/>
    <w:rsid w:val="007F6D8D"/>
    <w:rsid w:val="007F750C"/>
    <w:rsid w:val="007F7B32"/>
    <w:rsid w:val="007F7FDC"/>
    <w:rsid w:val="008002D4"/>
    <w:rsid w:val="00803097"/>
    <w:rsid w:val="00804067"/>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3014"/>
    <w:rsid w:val="00844419"/>
    <w:rsid w:val="008453DD"/>
    <w:rsid w:val="00847952"/>
    <w:rsid w:val="00850E61"/>
    <w:rsid w:val="00851B70"/>
    <w:rsid w:val="00851CF6"/>
    <w:rsid w:val="0085546E"/>
    <w:rsid w:val="0085657A"/>
    <w:rsid w:val="0085781C"/>
    <w:rsid w:val="00860000"/>
    <w:rsid w:val="00862163"/>
    <w:rsid w:val="00863BD3"/>
    <w:rsid w:val="008644A3"/>
    <w:rsid w:val="00866D66"/>
    <w:rsid w:val="008671C6"/>
    <w:rsid w:val="00872099"/>
    <w:rsid w:val="00872C97"/>
    <w:rsid w:val="00875135"/>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9D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E0AF4"/>
    <w:rsid w:val="008E13AE"/>
    <w:rsid w:val="008E1506"/>
    <w:rsid w:val="008E1D48"/>
    <w:rsid w:val="008E4D20"/>
    <w:rsid w:val="008E5312"/>
    <w:rsid w:val="008E710C"/>
    <w:rsid w:val="008F0221"/>
    <w:rsid w:val="008F2E29"/>
    <w:rsid w:val="008F36EB"/>
    <w:rsid w:val="008F446C"/>
    <w:rsid w:val="008F49DE"/>
    <w:rsid w:val="008F53C3"/>
    <w:rsid w:val="008F5B17"/>
    <w:rsid w:val="008F69D6"/>
    <w:rsid w:val="00901792"/>
    <w:rsid w:val="00902823"/>
    <w:rsid w:val="00907A49"/>
    <w:rsid w:val="00911B0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60222"/>
    <w:rsid w:val="00962B44"/>
    <w:rsid w:val="00962C41"/>
    <w:rsid w:val="009648BB"/>
    <w:rsid w:val="009659BA"/>
    <w:rsid w:val="0096663E"/>
    <w:rsid w:val="0096697A"/>
    <w:rsid w:val="00966B8A"/>
    <w:rsid w:val="009676BB"/>
    <w:rsid w:val="00970217"/>
    <w:rsid w:val="009717D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B6D0D"/>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B92"/>
    <w:rsid w:val="009E3DB9"/>
    <w:rsid w:val="009E68DA"/>
    <w:rsid w:val="009E6E35"/>
    <w:rsid w:val="009E74A6"/>
    <w:rsid w:val="009F0EDA"/>
    <w:rsid w:val="009F5D06"/>
    <w:rsid w:val="009F743A"/>
    <w:rsid w:val="009F7BA6"/>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4F5E"/>
    <w:rsid w:val="00A254E5"/>
    <w:rsid w:val="00A258C3"/>
    <w:rsid w:val="00A313D4"/>
    <w:rsid w:val="00A32872"/>
    <w:rsid w:val="00A33C1E"/>
    <w:rsid w:val="00A34302"/>
    <w:rsid w:val="00A347C0"/>
    <w:rsid w:val="00A40F15"/>
    <w:rsid w:val="00A41A08"/>
    <w:rsid w:val="00A43359"/>
    <w:rsid w:val="00A44B85"/>
    <w:rsid w:val="00A46357"/>
    <w:rsid w:val="00A47DC3"/>
    <w:rsid w:val="00A50958"/>
    <w:rsid w:val="00A51431"/>
    <w:rsid w:val="00A52A80"/>
    <w:rsid w:val="00A539AD"/>
    <w:rsid w:val="00A546C9"/>
    <w:rsid w:val="00A54DA1"/>
    <w:rsid w:val="00A54DF9"/>
    <w:rsid w:val="00A561C5"/>
    <w:rsid w:val="00A57115"/>
    <w:rsid w:val="00A574C3"/>
    <w:rsid w:val="00A577B9"/>
    <w:rsid w:val="00A61C0B"/>
    <w:rsid w:val="00A66CD3"/>
    <w:rsid w:val="00A67B21"/>
    <w:rsid w:val="00A705F7"/>
    <w:rsid w:val="00A71B40"/>
    <w:rsid w:val="00A73CD6"/>
    <w:rsid w:val="00A74632"/>
    <w:rsid w:val="00A83B02"/>
    <w:rsid w:val="00A863CA"/>
    <w:rsid w:val="00A86DF7"/>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3EF"/>
    <w:rsid w:val="00AB365B"/>
    <w:rsid w:val="00AB3E72"/>
    <w:rsid w:val="00AB4520"/>
    <w:rsid w:val="00AB45D9"/>
    <w:rsid w:val="00AB4638"/>
    <w:rsid w:val="00AB4BF1"/>
    <w:rsid w:val="00AB67CD"/>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56FA3"/>
    <w:rsid w:val="00B60155"/>
    <w:rsid w:val="00B62947"/>
    <w:rsid w:val="00B64177"/>
    <w:rsid w:val="00B66AB4"/>
    <w:rsid w:val="00B72B39"/>
    <w:rsid w:val="00B76F94"/>
    <w:rsid w:val="00B771E5"/>
    <w:rsid w:val="00B8032C"/>
    <w:rsid w:val="00B8063D"/>
    <w:rsid w:val="00B80C76"/>
    <w:rsid w:val="00B83A45"/>
    <w:rsid w:val="00B859F0"/>
    <w:rsid w:val="00B927F2"/>
    <w:rsid w:val="00B95236"/>
    <w:rsid w:val="00B96BD9"/>
    <w:rsid w:val="00B978D8"/>
    <w:rsid w:val="00BA1B01"/>
    <w:rsid w:val="00BA2193"/>
    <w:rsid w:val="00BA2641"/>
    <w:rsid w:val="00BA2D14"/>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6809"/>
    <w:rsid w:val="00BD6E9E"/>
    <w:rsid w:val="00BD7404"/>
    <w:rsid w:val="00BD7576"/>
    <w:rsid w:val="00BD76E4"/>
    <w:rsid w:val="00BE0A38"/>
    <w:rsid w:val="00BE0E4E"/>
    <w:rsid w:val="00BE1295"/>
    <w:rsid w:val="00BE1DDA"/>
    <w:rsid w:val="00BE230B"/>
    <w:rsid w:val="00BE2877"/>
    <w:rsid w:val="00BE62AD"/>
    <w:rsid w:val="00BF121F"/>
    <w:rsid w:val="00BF1D4D"/>
    <w:rsid w:val="00BF1F80"/>
    <w:rsid w:val="00BF2939"/>
    <w:rsid w:val="00BF2BC3"/>
    <w:rsid w:val="00BF34F7"/>
    <w:rsid w:val="00BF76A0"/>
    <w:rsid w:val="00BF7728"/>
    <w:rsid w:val="00BF773C"/>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5FA"/>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492"/>
    <w:rsid w:val="00C517B4"/>
    <w:rsid w:val="00C52519"/>
    <w:rsid w:val="00C532EF"/>
    <w:rsid w:val="00C5460A"/>
    <w:rsid w:val="00C555E5"/>
    <w:rsid w:val="00C56639"/>
    <w:rsid w:val="00C631DB"/>
    <w:rsid w:val="00C63EF9"/>
    <w:rsid w:val="00C642BA"/>
    <w:rsid w:val="00C64A20"/>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1A21"/>
    <w:rsid w:val="00CA30FF"/>
    <w:rsid w:val="00CA39EE"/>
    <w:rsid w:val="00CA5187"/>
    <w:rsid w:val="00CA7890"/>
    <w:rsid w:val="00CA7DAE"/>
    <w:rsid w:val="00CB059F"/>
    <w:rsid w:val="00CB11B3"/>
    <w:rsid w:val="00CB2155"/>
    <w:rsid w:val="00CB2A67"/>
    <w:rsid w:val="00CB37FD"/>
    <w:rsid w:val="00CB6F3A"/>
    <w:rsid w:val="00CB72AE"/>
    <w:rsid w:val="00CB7AC1"/>
    <w:rsid w:val="00CC0ECF"/>
    <w:rsid w:val="00CC39F1"/>
    <w:rsid w:val="00CC5ECD"/>
    <w:rsid w:val="00CC701F"/>
    <w:rsid w:val="00CC7073"/>
    <w:rsid w:val="00CD1124"/>
    <w:rsid w:val="00CD1ACE"/>
    <w:rsid w:val="00CD4B73"/>
    <w:rsid w:val="00CD4D57"/>
    <w:rsid w:val="00CD5CE0"/>
    <w:rsid w:val="00CD6339"/>
    <w:rsid w:val="00CD6755"/>
    <w:rsid w:val="00CD6856"/>
    <w:rsid w:val="00CD6F56"/>
    <w:rsid w:val="00CE0089"/>
    <w:rsid w:val="00CE2AD8"/>
    <w:rsid w:val="00CE3176"/>
    <w:rsid w:val="00CE5E13"/>
    <w:rsid w:val="00CE60AB"/>
    <w:rsid w:val="00CE793C"/>
    <w:rsid w:val="00CF1243"/>
    <w:rsid w:val="00CF2E29"/>
    <w:rsid w:val="00D00F3E"/>
    <w:rsid w:val="00D01782"/>
    <w:rsid w:val="00D0289A"/>
    <w:rsid w:val="00D03BEB"/>
    <w:rsid w:val="00D04A8F"/>
    <w:rsid w:val="00D065CB"/>
    <w:rsid w:val="00D13BF4"/>
    <w:rsid w:val="00D143F2"/>
    <w:rsid w:val="00D1636A"/>
    <w:rsid w:val="00D16A04"/>
    <w:rsid w:val="00D17273"/>
    <w:rsid w:val="00D173F1"/>
    <w:rsid w:val="00D208F0"/>
    <w:rsid w:val="00D21E8D"/>
    <w:rsid w:val="00D227D5"/>
    <w:rsid w:val="00D23445"/>
    <w:rsid w:val="00D23B1F"/>
    <w:rsid w:val="00D24440"/>
    <w:rsid w:val="00D26112"/>
    <w:rsid w:val="00D26D1E"/>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183C"/>
    <w:rsid w:val="00D52298"/>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D80"/>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270"/>
    <w:rsid w:val="00DA3A1E"/>
    <w:rsid w:val="00DA3D24"/>
    <w:rsid w:val="00DA6A85"/>
    <w:rsid w:val="00DA70F9"/>
    <w:rsid w:val="00DA76AB"/>
    <w:rsid w:val="00DB03BF"/>
    <w:rsid w:val="00DB0B12"/>
    <w:rsid w:val="00DB0B8E"/>
    <w:rsid w:val="00DB27EE"/>
    <w:rsid w:val="00DB27F9"/>
    <w:rsid w:val="00DB3C7F"/>
    <w:rsid w:val="00DB46B2"/>
    <w:rsid w:val="00DB5951"/>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4CD"/>
    <w:rsid w:val="00DD7E9A"/>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348"/>
    <w:rsid w:val="00E146D8"/>
    <w:rsid w:val="00E15994"/>
    <w:rsid w:val="00E16D4E"/>
    <w:rsid w:val="00E22B41"/>
    <w:rsid w:val="00E2395E"/>
    <w:rsid w:val="00E241AB"/>
    <w:rsid w:val="00E2437E"/>
    <w:rsid w:val="00E2586B"/>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61952"/>
    <w:rsid w:val="00E642AB"/>
    <w:rsid w:val="00E64B1B"/>
    <w:rsid w:val="00E66496"/>
    <w:rsid w:val="00E66A3C"/>
    <w:rsid w:val="00E66B35"/>
    <w:rsid w:val="00E66E10"/>
    <w:rsid w:val="00E70CB4"/>
    <w:rsid w:val="00E71A6B"/>
    <w:rsid w:val="00E71FEE"/>
    <w:rsid w:val="00E7296F"/>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627B"/>
    <w:rsid w:val="00E9718F"/>
    <w:rsid w:val="00EA012C"/>
    <w:rsid w:val="00EA311D"/>
    <w:rsid w:val="00EA70C1"/>
    <w:rsid w:val="00EB1CD4"/>
    <w:rsid w:val="00EB1D47"/>
    <w:rsid w:val="00EB2E0E"/>
    <w:rsid w:val="00EB5A20"/>
    <w:rsid w:val="00EB7104"/>
    <w:rsid w:val="00EB7AEC"/>
    <w:rsid w:val="00EC065F"/>
    <w:rsid w:val="00EC0D56"/>
    <w:rsid w:val="00EC3636"/>
    <w:rsid w:val="00EC64EC"/>
    <w:rsid w:val="00EC7AAE"/>
    <w:rsid w:val="00ED0288"/>
    <w:rsid w:val="00ED079D"/>
    <w:rsid w:val="00ED2411"/>
    <w:rsid w:val="00ED54F5"/>
    <w:rsid w:val="00ED755D"/>
    <w:rsid w:val="00EE04B6"/>
    <w:rsid w:val="00EE0BC5"/>
    <w:rsid w:val="00EE1964"/>
    <w:rsid w:val="00EE3184"/>
    <w:rsid w:val="00EE3755"/>
    <w:rsid w:val="00EE52CB"/>
    <w:rsid w:val="00EE66A5"/>
    <w:rsid w:val="00EF15DE"/>
    <w:rsid w:val="00EF1EB5"/>
    <w:rsid w:val="00EF2383"/>
    <w:rsid w:val="00EF390C"/>
    <w:rsid w:val="00EF4059"/>
    <w:rsid w:val="00EF4B2D"/>
    <w:rsid w:val="00EF581D"/>
    <w:rsid w:val="00EF7DF2"/>
    <w:rsid w:val="00EF7FD8"/>
    <w:rsid w:val="00F02CEA"/>
    <w:rsid w:val="00F03243"/>
    <w:rsid w:val="00F03BF6"/>
    <w:rsid w:val="00F04F13"/>
    <w:rsid w:val="00F0506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0EAB"/>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87242"/>
    <w:rsid w:val="00F924A4"/>
    <w:rsid w:val="00F927B2"/>
    <w:rsid w:val="00F92A13"/>
    <w:rsid w:val="00F947E3"/>
    <w:rsid w:val="00F96071"/>
    <w:rsid w:val="00FA0D6E"/>
    <w:rsid w:val="00FA2543"/>
    <w:rsid w:val="00FA5345"/>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E667F"/>
    <w:rsid w:val="00FF23CD"/>
    <w:rsid w:val="00FF30BA"/>
    <w:rsid w:val="00FF79CE"/>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96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5176">
      <w:bodyDiv w:val="1"/>
      <w:marLeft w:val="0"/>
      <w:marRight w:val="0"/>
      <w:marTop w:val="0"/>
      <w:marBottom w:val="0"/>
      <w:divBdr>
        <w:top w:val="none" w:sz="0" w:space="0" w:color="auto"/>
        <w:left w:val="none" w:sz="0" w:space="0" w:color="auto"/>
        <w:bottom w:val="none" w:sz="0" w:space="0" w:color="auto"/>
        <w:right w:val="none" w:sz="0" w:space="0" w:color="auto"/>
      </w:divBdr>
    </w:div>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83438138">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mdpi.com/2076-0760/9/4/52" TargetMode="External"/><Relationship Id="rId26" Type="http://schemas.openxmlformats.org/officeDocument/2006/relationships/hyperlink" Target="https://www.ceeol.com/search/article-detail?id=939590" TargetMode="External"/><Relationship Id="rId39" Type="http://schemas.openxmlformats.org/officeDocument/2006/relationships/header" Target="header6.xml"/><Relationship Id="rId21" Type="http://schemas.openxmlformats.org/officeDocument/2006/relationships/hyperlink" Target="https://www.igi-global.com/chapter/classroom-management/378491" TargetMode="External"/><Relationship Id="rId34" Type="http://schemas.openxmlformats.org/officeDocument/2006/relationships/hyperlink" Target="https://journals.umt.edu.pk/index.php/JITC/article/view/561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ndfonline.com/doi/abs/10.1080/13603124.2021.2009038" TargetMode="External"/><Relationship Id="rId20" Type="http://schemas.openxmlformats.org/officeDocument/2006/relationships/hyperlink" Target="https://www.taylorfrancis.com/chapters/edit/10.4324/9781003141907-8/teacher-collaboration-30-years-research-nature-forms-limitations-effects-andy-hargreaves" TargetMode="External"/><Relationship Id="rId29" Type="http://schemas.openxmlformats.org/officeDocument/2006/relationships/hyperlink" Target="https://link.springer.com/article/10.1007/s11135-022-01443-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gi-global.com/chapter/principles-of-equality/366044" TargetMode="External"/><Relationship Id="rId32" Type="http://schemas.openxmlformats.org/officeDocument/2006/relationships/hyperlink" Target="https://www.journals.uchicago.edu/doi/abs/10.1086/717654"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oks.google.com/books?hl=en&amp;lr=&amp;id=-_FJEQAAQBAJ&amp;oi=fnd&amp;pg=PR11&amp;dq=adherence+to+conservative+learning+approaches+enhances+teachers%27+commitment+to+maintaining+cultural+and+ethical+standards,+which+positively+impacts+student+engagement+and+classroom+management&amp;ots=cPXLgu5wAg&amp;sig=QKPR-s-4YAvCANDYeZI8IJCG0U4" TargetMode="External"/><Relationship Id="rId23" Type="http://schemas.openxmlformats.org/officeDocument/2006/relationships/hyperlink" Target="https://www.enigma.or.id/index.php/edu/article/view/79" TargetMode="External"/><Relationship Id="rId28" Type="http://schemas.openxmlformats.org/officeDocument/2006/relationships/hyperlink" Target="https://aydenjournals.com/index.php/AEJ/article/view/1031"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frontiersin.org/journals/psychology/articles/10.3389/fpsyg.2020.00792/full" TargetMode="External"/><Relationship Id="rId31" Type="http://schemas.openxmlformats.org/officeDocument/2006/relationships/hyperlink" Target="https://pubcenter.ristek.or.id/index.php/jois/article/view/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s.google.com/books?hl=en&amp;lr=&amp;id=LAoBEAAAQBAJ&amp;oi=fnd&amp;pg=PT12&amp;dq=schools+with+a+strong+emphasis+on+conservative+learning+practices+experience+improved+teacher+collaboration+and+social+coordination,+ultimately+leading+to+better+overall+educational+outcomes+during+times+of+change.&amp;ots=KSEE4-Zm2g&amp;sig=gHdQVA2Yb7xnOBLEZV5Mjxt6f84" TargetMode="External"/><Relationship Id="rId22" Type="http://schemas.openxmlformats.org/officeDocument/2006/relationships/hyperlink" Target="https://bera-journals.onlinelibrary.wiley.com/doi/abs/10.1002/rev3.70030" TargetMode="External"/><Relationship Id="rId27" Type="http://schemas.openxmlformats.org/officeDocument/2006/relationships/hyperlink" Target="https://search.proquest.com/openview/77a1f7ea58436b9e8217e5deae2ea7ec/1?pq-origsite=gscholar&amp;cbl=18750&amp;diss=y" TargetMode="External"/><Relationship Id="rId30" Type="http://schemas.openxmlformats.org/officeDocument/2006/relationships/hyperlink" Target="https://www.pjlss.edu.pk/pdf_files/2024_2/5305-5314.pdf" TargetMode="External"/><Relationship Id="rId35" Type="http://schemas.openxmlformats.org/officeDocument/2006/relationships/hyperlink" Target="http://journal.tofedu.or.id/index.php/journal/article/view/57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papers.ssrn.com/sol3/papers.cfm?abstract_id=3748713" TargetMode="External"/><Relationship Id="rId25" Type="http://schemas.openxmlformats.org/officeDocument/2006/relationships/hyperlink" Target="https://psycnet.apa.org/fulltext/2020-74076-001.html" TargetMode="External"/><Relationship Id="rId33" Type="http://schemas.openxmlformats.org/officeDocument/2006/relationships/hyperlink" Target="https://www.sciencedirect.com/science/article/pii/S0040162521000408"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12</Pages>
  <Words>5842</Words>
  <Characters>33306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932</cp:revision>
  <cp:lastPrinted>2024-10-20T02:52:00Z</cp:lastPrinted>
  <dcterms:created xsi:type="dcterms:W3CDTF">2025-07-12T05:03:00Z</dcterms:created>
  <dcterms:modified xsi:type="dcterms:W3CDTF">2025-07-12T13:14:00Z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