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5F118" w14:textId="77777777" w:rsidR="008A2D28" w:rsidRPr="008A2D28" w:rsidRDefault="008A2D28" w:rsidP="008A2D28">
      <w:pPr>
        <w:pStyle w:val="Author"/>
        <w:jc w:val="left"/>
        <w:rPr>
          <w:rFonts w:ascii="Arial" w:hAnsi="Arial" w:cs="Arial"/>
          <w:bCs/>
          <w:i/>
          <w:iCs/>
          <w:kern w:val="28"/>
          <w:szCs w:val="24"/>
          <w:u w:val="single"/>
        </w:rPr>
      </w:pPr>
      <w:r w:rsidRPr="008A2D28">
        <w:rPr>
          <w:rFonts w:ascii="Arial" w:hAnsi="Arial" w:cs="Arial"/>
          <w:bCs/>
          <w:i/>
          <w:iCs/>
          <w:kern w:val="28"/>
          <w:szCs w:val="24"/>
          <w:u w:val="single"/>
        </w:rPr>
        <w:t>Original Research Article</w:t>
      </w:r>
    </w:p>
    <w:p w14:paraId="2397B113" w14:textId="77777777" w:rsidR="008A2D28" w:rsidRDefault="008A2D28" w:rsidP="000763D2">
      <w:pPr>
        <w:pStyle w:val="Author"/>
        <w:spacing w:line="240" w:lineRule="auto"/>
        <w:jc w:val="left"/>
        <w:rPr>
          <w:rFonts w:ascii="Arial" w:hAnsi="Arial" w:cs="Arial"/>
          <w:bCs/>
          <w:iCs/>
          <w:kern w:val="28"/>
          <w:szCs w:val="24"/>
        </w:rPr>
      </w:pPr>
    </w:p>
    <w:p w14:paraId="1F3F3C02" w14:textId="3D15C699" w:rsidR="00616564" w:rsidRDefault="00F53BB9" w:rsidP="00F53BB9">
      <w:pPr>
        <w:jc w:val="right"/>
        <w:rPr>
          <w:rFonts w:ascii="Arial" w:hAnsi="Arial" w:cs="Arial"/>
          <w:b/>
          <w:noProof/>
          <w:sz w:val="28"/>
          <w:szCs w:val="28"/>
          <w:lang w:val="en-PH" w:eastAsia="en-PH"/>
        </w:rPr>
      </w:pPr>
      <w:r w:rsidRPr="00F53BB9">
        <w:rPr>
          <w:rFonts w:ascii="Arial" w:hAnsi="Arial" w:cs="Arial"/>
          <w:b/>
          <w:noProof/>
          <w:sz w:val="28"/>
          <w:szCs w:val="28"/>
          <w:lang w:val="en-PH" w:eastAsia="en-PH"/>
        </w:rPr>
        <w:t>BUILDING RESILIENCE AND WORKING ENGAGEMENT OF</w:t>
      </w:r>
      <w:r w:rsidR="008236B8">
        <w:rPr>
          <w:rFonts w:ascii="Arial" w:hAnsi="Arial" w:cs="Arial"/>
          <w:b/>
          <w:noProof/>
          <w:sz w:val="28"/>
          <w:szCs w:val="28"/>
          <w:lang w:val="en-PH" w:eastAsia="en-PH"/>
        </w:rPr>
        <w:t xml:space="preserve"> </w:t>
      </w:r>
      <w:r w:rsidRPr="00F53BB9">
        <w:rPr>
          <w:rFonts w:ascii="Arial" w:hAnsi="Arial" w:cs="Arial"/>
          <w:b/>
          <w:noProof/>
          <w:sz w:val="28"/>
          <w:szCs w:val="28"/>
          <w:lang w:val="en-PH" w:eastAsia="en-PH"/>
        </w:rPr>
        <w:t>TEACHERS IN PUBLIC ELEMENTARY SCHOOLS</w:t>
      </w:r>
    </w:p>
    <w:p w14:paraId="092C4726" w14:textId="77777777" w:rsidR="008A2D28" w:rsidRDefault="008A2D28" w:rsidP="00F53BB9">
      <w:pPr>
        <w:jc w:val="right"/>
        <w:rPr>
          <w:rFonts w:ascii="Arial" w:hAnsi="Arial" w:cs="Arial"/>
          <w:b/>
          <w:noProof/>
          <w:sz w:val="28"/>
          <w:szCs w:val="28"/>
          <w:lang w:val="en-PH" w:eastAsia="en-PH"/>
        </w:rPr>
      </w:pPr>
    </w:p>
    <w:p w14:paraId="46B3DCDD" w14:textId="77777777" w:rsidR="00717F2E" w:rsidRDefault="00180859">
      <w:pPr>
        <w:pStyle w:val="Affiliation"/>
        <w:spacing w:line="240" w:lineRule="auto"/>
        <w:jc w:val="left"/>
        <w:rPr>
          <w:rFonts w:ascii="Arial" w:hAnsi="Arial" w:cs="Arial"/>
          <w:i/>
        </w:rPr>
        <w:sectPr w:rsidR="00717F2E" w:rsidSect="00471AEB">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53C1B489" w:rsidR="00717F2E" w:rsidRPr="000763D2" w:rsidRDefault="00F168B9" w:rsidP="00691958">
            <w:pPr>
              <w:jc w:val="both"/>
              <w:rPr>
                <w:rFonts w:ascii="Arial" w:hAnsi="Arial" w:cs="Arial"/>
                <w:iCs/>
              </w:rPr>
            </w:pPr>
            <w:r w:rsidRPr="00F168B9">
              <w:rPr>
                <w:rFonts w:ascii="Arial" w:hAnsi="Arial" w:cs="Arial"/>
                <w:iCs/>
              </w:rPr>
              <w:t xml:space="preserve">This study described the building resilience on public school teachers' working engagement of teachers in public elementary schools. This study used the non-experimental quantitative research design utilizing correlational method. The respondents of this study were composed of 132 teachers in public elementary school using the universal sampling. The data analysis utilized the mean, </w:t>
            </w:r>
            <w:proofErr w:type="spellStart"/>
            <w:r w:rsidRPr="00F168B9">
              <w:rPr>
                <w:rFonts w:ascii="Arial" w:hAnsi="Arial" w:cs="Arial"/>
                <w:iCs/>
              </w:rPr>
              <w:t>pearson</w:t>
            </w:r>
            <w:proofErr w:type="spellEnd"/>
            <w:r w:rsidRPr="00F168B9">
              <w:rPr>
                <w:rFonts w:ascii="Arial" w:hAnsi="Arial" w:cs="Arial"/>
                <w:iCs/>
              </w:rPr>
              <w:t xml:space="preserve"> r and regression analysis. The findings revealed that the building resilience at work of teachers </w:t>
            </w:r>
            <w:r w:rsidR="00691958">
              <w:rPr>
                <w:rFonts w:ascii="Arial" w:hAnsi="Arial" w:cs="Arial"/>
                <w:iCs/>
              </w:rPr>
              <w:t xml:space="preserve">and </w:t>
            </w:r>
            <w:r w:rsidRPr="00F168B9">
              <w:rPr>
                <w:rFonts w:ascii="Arial" w:hAnsi="Arial" w:cs="Arial"/>
                <w:iCs/>
              </w:rPr>
              <w:t xml:space="preserve">working engagement of teachers in public elementary schools were </w:t>
            </w:r>
            <w:r w:rsidR="00691958">
              <w:rPr>
                <w:rFonts w:ascii="Arial" w:hAnsi="Arial" w:cs="Arial"/>
                <w:iCs/>
              </w:rPr>
              <w:t xml:space="preserve">high and </w:t>
            </w:r>
            <w:r w:rsidRPr="00F168B9">
              <w:rPr>
                <w:rFonts w:ascii="Arial" w:hAnsi="Arial" w:cs="Arial"/>
                <w:iCs/>
              </w:rPr>
              <w:t xml:space="preserve">manifested oftentimes. It was found out that there was a significant relationship between building resilience and working engagement of teachers in public elementary schools. It shown further that the domains of building resilience </w:t>
            </w:r>
            <w:proofErr w:type="gramStart"/>
            <w:r w:rsidRPr="00F168B9">
              <w:rPr>
                <w:rFonts w:ascii="Arial" w:hAnsi="Arial" w:cs="Arial"/>
                <w:iCs/>
              </w:rPr>
              <w:t>was</w:t>
            </w:r>
            <w:proofErr w:type="gramEnd"/>
            <w:r w:rsidRPr="00F168B9">
              <w:rPr>
                <w:rFonts w:ascii="Arial" w:hAnsi="Arial" w:cs="Arial"/>
                <w:iCs/>
              </w:rPr>
              <w:t xml:space="preserve"> significantly influenced the working engagement of teachers in public elementary schools. Based on the findings, public school teachers should improve the building resilience and working engagement to ensure a healthy work-life balance, providing meaningful work that aligns with organizational goals, and fostering open communication channels for regular feedback are crucial. Implementing well-being initiatives, encouraging innovation and creativity, and regularly monitoring and adjusting strategies based on employee feedback are also essential. By adopting these recommendations, organizations can create a supportive, empowering, and thriving workplace culture that benefits both employees and the organization.</w:t>
            </w:r>
          </w:p>
        </w:tc>
      </w:tr>
    </w:tbl>
    <w:p w14:paraId="175A3F79" w14:textId="77777777" w:rsidR="00717F2E" w:rsidRDefault="00717F2E">
      <w:pPr>
        <w:pStyle w:val="Body"/>
        <w:spacing w:after="0"/>
        <w:rPr>
          <w:rFonts w:ascii="Arial" w:hAnsi="Arial" w:cs="Arial"/>
          <w:i/>
        </w:rPr>
      </w:pPr>
    </w:p>
    <w:p w14:paraId="7C8BE934" w14:textId="3FEFB094" w:rsidR="0016399B" w:rsidRDefault="00180859" w:rsidP="00F168B9">
      <w:pPr>
        <w:jc w:val="both"/>
        <w:rPr>
          <w:rFonts w:ascii="Arial" w:hAnsi="Arial" w:cs="Arial"/>
          <w:iCs/>
        </w:rPr>
      </w:pPr>
      <w:r w:rsidRPr="000763D2">
        <w:rPr>
          <w:rFonts w:ascii="Arial" w:hAnsi="Arial" w:cs="Arial"/>
          <w:i/>
          <w:iCs/>
        </w:rPr>
        <w:t>Keywords</w:t>
      </w:r>
      <w:r w:rsidR="00901792">
        <w:rPr>
          <w:rFonts w:ascii="Arial" w:hAnsi="Arial" w:cs="Arial"/>
        </w:rPr>
        <w:t xml:space="preserve">: </w:t>
      </w:r>
      <w:r w:rsidR="00F168B9">
        <w:rPr>
          <w:rFonts w:ascii="Arial" w:hAnsi="Arial" w:cs="Arial"/>
          <w:iCs/>
        </w:rPr>
        <w:t xml:space="preserve">Building Resilience, Working Engagement, Teachers, </w:t>
      </w:r>
      <w:r w:rsidR="00F168B9" w:rsidRPr="00F168B9">
        <w:rPr>
          <w:rFonts w:ascii="Arial" w:hAnsi="Arial" w:cs="Arial"/>
          <w:iCs/>
        </w:rPr>
        <w:t>Public Elementary Schools</w:t>
      </w:r>
      <w:r w:rsidR="00F168B9">
        <w:rPr>
          <w:rFonts w:ascii="Arial" w:hAnsi="Arial" w:cs="Arial"/>
          <w:iCs/>
        </w:rPr>
        <w:t>,</w:t>
      </w:r>
      <w:r w:rsidR="00901792" w:rsidRPr="00901792">
        <w:rPr>
          <w:rFonts w:ascii="Arial" w:hAnsi="Arial" w:cs="Arial"/>
          <w:iCs/>
        </w:rPr>
        <w:t xml:space="preserve"> </w:t>
      </w:r>
      <w:r w:rsidR="00901792" w:rsidRPr="00CD1ACE">
        <w:rPr>
          <w:rFonts w:ascii="Arial" w:hAnsi="Arial" w:cs="Arial"/>
          <w:iCs/>
        </w:rPr>
        <w:t>Philippines</w:t>
      </w:r>
    </w:p>
    <w:p w14:paraId="1C2F1402" w14:textId="77777777" w:rsidR="00CD1ACE" w:rsidRDefault="00CD1ACE" w:rsidP="0016399B">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rsidP="009860AC">
      <w:pPr>
        <w:pStyle w:val="AbstHead"/>
        <w:spacing w:after="0"/>
        <w:jc w:val="both"/>
        <w:rPr>
          <w:rFonts w:ascii="Arial" w:hAnsi="Arial" w:cs="Arial"/>
          <w:sz w:val="20"/>
        </w:rPr>
      </w:pPr>
    </w:p>
    <w:p w14:paraId="699B4D50" w14:textId="77777777" w:rsidR="007E624B" w:rsidRDefault="00467207" w:rsidP="00467207">
      <w:pPr>
        <w:jc w:val="both"/>
        <w:rPr>
          <w:rFonts w:ascii="Arial" w:hAnsi="Arial"/>
        </w:rPr>
      </w:pPr>
      <w:r w:rsidRPr="00467207">
        <w:rPr>
          <w:rFonts w:ascii="Arial" w:hAnsi="Arial"/>
        </w:rPr>
        <w:t>Teacher resilience has emerged as a significant area of research in recent years. While the daily challenges and stressors faced by teac</w:t>
      </w:r>
      <w:r w:rsidR="003F461D">
        <w:rPr>
          <w:rFonts w:ascii="Arial" w:hAnsi="Arial"/>
        </w:rPr>
        <w:t xml:space="preserve">hers have long been documented, </w:t>
      </w:r>
      <w:r w:rsidRPr="00467207">
        <w:rPr>
          <w:rFonts w:ascii="Arial" w:hAnsi="Arial"/>
        </w:rPr>
        <w:t xml:space="preserve">more recent studies have shifted focus toward understanding what sustains teachers and enables them not merely to survive, </w:t>
      </w:r>
      <w:r w:rsidR="003F461D">
        <w:rPr>
          <w:rFonts w:ascii="Arial" w:hAnsi="Arial"/>
        </w:rPr>
        <w:t xml:space="preserve">but to thrive in the profession. </w:t>
      </w:r>
      <w:r w:rsidRPr="00467207">
        <w:rPr>
          <w:rFonts w:ascii="Arial" w:hAnsi="Arial"/>
        </w:rPr>
        <w:t>This shift is especially relevant in the context of increasing global concern over the ret</w:t>
      </w:r>
      <w:r w:rsidR="007E624B">
        <w:rPr>
          <w:rFonts w:ascii="Arial" w:hAnsi="Arial"/>
        </w:rPr>
        <w:t>ention of early-career teachers (D</w:t>
      </w:r>
      <w:r w:rsidR="007E624B" w:rsidRPr="007E624B">
        <w:rPr>
          <w:rFonts w:ascii="Arial" w:hAnsi="Arial"/>
        </w:rPr>
        <w:t>uan</w:t>
      </w:r>
      <w:r w:rsidR="007E624B">
        <w:rPr>
          <w:rFonts w:ascii="Arial" w:hAnsi="Arial"/>
        </w:rPr>
        <w:t xml:space="preserve"> et al., 2023).</w:t>
      </w:r>
    </w:p>
    <w:p w14:paraId="60B59EE0" w14:textId="3752412E" w:rsidR="003F461D" w:rsidRPr="00467207" w:rsidRDefault="007E624B" w:rsidP="00467207">
      <w:pPr>
        <w:jc w:val="both"/>
        <w:rPr>
          <w:rFonts w:ascii="Arial" w:hAnsi="Arial"/>
        </w:rPr>
      </w:pPr>
      <w:r>
        <w:rPr>
          <w:rFonts w:ascii="Arial" w:hAnsi="Arial"/>
        </w:rPr>
        <w:t xml:space="preserve"> </w:t>
      </w:r>
    </w:p>
    <w:p w14:paraId="1CEE6A30" w14:textId="6E92EEBF" w:rsidR="00467207" w:rsidRDefault="00467207" w:rsidP="00467207">
      <w:pPr>
        <w:jc w:val="both"/>
        <w:rPr>
          <w:rFonts w:ascii="Arial" w:hAnsi="Arial"/>
        </w:rPr>
      </w:pPr>
      <w:r w:rsidRPr="00467207">
        <w:rPr>
          <w:rFonts w:ascii="Arial" w:hAnsi="Arial"/>
        </w:rPr>
        <w:t>Initially, the term resilience was used to describe an individual’s ability to adap</w:t>
      </w:r>
      <w:r w:rsidR="003F461D">
        <w:rPr>
          <w:rFonts w:ascii="Arial" w:hAnsi="Arial"/>
        </w:rPr>
        <w:t>t</w:t>
      </w:r>
      <w:r w:rsidR="007E624B">
        <w:rPr>
          <w:rFonts w:ascii="Arial" w:hAnsi="Arial"/>
        </w:rPr>
        <w:t xml:space="preserve"> and succeed despite adversity (</w:t>
      </w:r>
      <w:proofErr w:type="spellStart"/>
      <w:r w:rsidR="007E624B" w:rsidRPr="007E624B">
        <w:rPr>
          <w:rFonts w:ascii="Arial" w:hAnsi="Arial"/>
        </w:rPr>
        <w:t>Grygorenko</w:t>
      </w:r>
      <w:proofErr w:type="spellEnd"/>
      <w:r w:rsidR="007E624B">
        <w:rPr>
          <w:rFonts w:ascii="Arial" w:hAnsi="Arial"/>
        </w:rPr>
        <w:t xml:space="preserve"> </w:t>
      </w:r>
      <w:r w:rsidR="007E624B" w:rsidRPr="007E624B">
        <w:rPr>
          <w:rFonts w:ascii="Arial" w:hAnsi="Arial"/>
        </w:rPr>
        <w:t xml:space="preserve">&amp; </w:t>
      </w:r>
      <w:proofErr w:type="spellStart"/>
      <w:r w:rsidR="007E624B" w:rsidRPr="007E624B">
        <w:rPr>
          <w:rFonts w:ascii="Arial" w:hAnsi="Arial"/>
        </w:rPr>
        <w:t>Naydonova</w:t>
      </w:r>
      <w:proofErr w:type="spellEnd"/>
      <w:r w:rsidR="007E624B">
        <w:rPr>
          <w:rFonts w:ascii="Arial" w:hAnsi="Arial"/>
        </w:rPr>
        <w:t xml:space="preserve">, 2023). </w:t>
      </w:r>
      <w:r w:rsidRPr="00467207">
        <w:rPr>
          <w:rFonts w:ascii="Arial" w:hAnsi="Arial"/>
        </w:rPr>
        <w:t>However, subsequent research has emphasized that resilience is not merely a personal trait but a complex and dynamic process shaped by the interaction betw</w:t>
      </w:r>
      <w:r w:rsidR="003F461D">
        <w:rPr>
          <w:rFonts w:ascii="Arial" w:hAnsi="Arial"/>
        </w:rPr>
        <w:t xml:space="preserve">een risk and protective factors. </w:t>
      </w:r>
      <w:r w:rsidRPr="00467207">
        <w:rPr>
          <w:rFonts w:ascii="Arial" w:hAnsi="Arial"/>
        </w:rPr>
        <w:t xml:space="preserve">This perspective recognizes the influence of individual, relational, and contextual variables </w:t>
      </w:r>
      <w:r w:rsidR="007E624B">
        <w:rPr>
          <w:rFonts w:ascii="Arial" w:hAnsi="Arial"/>
        </w:rPr>
        <w:t>in fostering teacher resilience (</w:t>
      </w:r>
      <w:r w:rsidR="007E624B" w:rsidRPr="007E624B">
        <w:rPr>
          <w:rFonts w:ascii="Arial" w:hAnsi="Arial"/>
        </w:rPr>
        <w:t>Collette</w:t>
      </w:r>
      <w:r w:rsidR="007E624B">
        <w:rPr>
          <w:rFonts w:ascii="Arial" w:hAnsi="Arial"/>
        </w:rPr>
        <w:t xml:space="preserve"> </w:t>
      </w:r>
      <w:r w:rsidR="007E624B" w:rsidRPr="007E624B">
        <w:rPr>
          <w:rFonts w:ascii="Arial" w:hAnsi="Arial"/>
        </w:rPr>
        <w:t>&amp; Ungar</w:t>
      </w:r>
      <w:r w:rsidR="007E624B">
        <w:rPr>
          <w:rFonts w:ascii="Arial" w:hAnsi="Arial"/>
        </w:rPr>
        <w:t>, 2020).</w:t>
      </w:r>
    </w:p>
    <w:p w14:paraId="502AA4F0" w14:textId="77777777" w:rsidR="003F461D" w:rsidRDefault="003F461D" w:rsidP="00467207">
      <w:pPr>
        <w:jc w:val="both"/>
        <w:rPr>
          <w:rFonts w:ascii="Arial" w:hAnsi="Arial"/>
        </w:rPr>
      </w:pPr>
    </w:p>
    <w:p w14:paraId="2C886E2C" w14:textId="40C36255" w:rsidR="00467207" w:rsidRPr="00467207" w:rsidRDefault="00467207" w:rsidP="00467207">
      <w:pPr>
        <w:jc w:val="both"/>
        <w:rPr>
          <w:rFonts w:ascii="Arial" w:hAnsi="Arial"/>
        </w:rPr>
      </w:pPr>
      <w:r w:rsidRPr="00467207">
        <w:rPr>
          <w:rFonts w:ascii="Arial" w:hAnsi="Arial"/>
        </w:rPr>
        <w:t>Public school teachers play a crucial role in shaping the educational landscape and cultivating the next generation of professionals</w:t>
      </w:r>
      <w:r w:rsidR="003F461D">
        <w:rPr>
          <w:rFonts w:ascii="Arial" w:hAnsi="Arial"/>
        </w:rPr>
        <w:t xml:space="preserve">, leaders, and engaged citizens. </w:t>
      </w:r>
      <w:r w:rsidRPr="00467207">
        <w:rPr>
          <w:rFonts w:ascii="Arial" w:hAnsi="Arial"/>
        </w:rPr>
        <w:t>Their level of work engagement and professional performance directly influences student outcomes, classroom dynamics, a</w:t>
      </w:r>
      <w:r w:rsidR="003F461D">
        <w:rPr>
          <w:rFonts w:ascii="Arial" w:hAnsi="Arial"/>
        </w:rPr>
        <w:t xml:space="preserve">nd overall school effectiveness. </w:t>
      </w:r>
      <w:r w:rsidRPr="00467207">
        <w:rPr>
          <w:rFonts w:ascii="Arial" w:hAnsi="Arial"/>
        </w:rPr>
        <w:t>Despite their importance, teachers face significant challenges that impact their engagement, jo</w:t>
      </w:r>
      <w:r w:rsidR="003F461D">
        <w:rPr>
          <w:rFonts w:ascii="Arial" w:hAnsi="Arial"/>
        </w:rPr>
        <w:t xml:space="preserve">b satisfaction, and </w:t>
      </w:r>
      <w:proofErr w:type="spellStart"/>
      <w:r w:rsidR="003F461D">
        <w:rPr>
          <w:rFonts w:ascii="Arial" w:hAnsi="Arial"/>
        </w:rPr>
        <w:t>performanc</w:t>
      </w:r>
      <w:proofErr w:type="spellEnd"/>
      <w:r w:rsidR="003F461D">
        <w:rPr>
          <w:rFonts w:ascii="Arial" w:hAnsi="Arial"/>
        </w:rPr>
        <w:t xml:space="preserve">. </w:t>
      </w:r>
      <w:r w:rsidRPr="00467207">
        <w:rPr>
          <w:rFonts w:ascii="Arial" w:hAnsi="Arial"/>
        </w:rPr>
        <w:t xml:space="preserve"> Addressing these </w:t>
      </w:r>
      <w:r w:rsidRPr="00467207">
        <w:rPr>
          <w:rFonts w:ascii="Arial" w:hAnsi="Arial"/>
        </w:rPr>
        <w:lastRenderedPageBreak/>
        <w:t>challenges is vital to improving teacher re</w:t>
      </w:r>
      <w:r w:rsidR="007E624B">
        <w:rPr>
          <w:rFonts w:ascii="Arial" w:hAnsi="Arial"/>
        </w:rPr>
        <w:t>tention and educational quality (</w:t>
      </w:r>
      <w:r w:rsidR="007E624B" w:rsidRPr="007E624B">
        <w:rPr>
          <w:rFonts w:ascii="Arial" w:hAnsi="Arial"/>
        </w:rPr>
        <w:t>Hussein</w:t>
      </w:r>
      <w:r w:rsidR="007E624B">
        <w:rPr>
          <w:rFonts w:ascii="Arial" w:hAnsi="Arial"/>
        </w:rPr>
        <w:t xml:space="preserve"> </w:t>
      </w:r>
      <w:r w:rsidR="007E624B" w:rsidRPr="007E624B">
        <w:rPr>
          <w:rFonts w:ascii="Arial" w:hAnsi="Arial"/>
        </w:rPr>
        <w:t>&amp; Barakat</w:t>
      </w:r>
      <w:r w:rsidR="007E624B">
        <w:rPr>
          <w:rFonts w:ascii="Arial" w:hAnsi="Arial"/>
        </w:rPr>
        <w:t>, 2025).</w:t>
      </w:r>
    </w:p>
    <w:p w14:paraId="08F7625B" w14:textId="77777777" w:rsidR="00467207" w:rsidRPr="00467207" w:rsidRDefault="00467207" w:rsidP="00467207">
      <w:pPr>
        <w:jc w:val="both"/>
        <w:rPr>
          <w:rFonts w:ascii="Arial" w:hAnsi="Arial"/>
        </w:rPr>
      </w:pPr>
    </w:p>
    <w:p w14:paraId="52453BEB" w14:textId="5C601F0C" w:rsidR="00467207" w:rsidRPr="00467207" w:rsidRDefault="00467207" w:rsidP="00467207">
      <w:pPr>
        <w:jc w:val="both"/>
        <w:rPr>
          <w:rFonts w:ascii="Arial" w:hAnsi="Arial"/>
        </w:rPr>
      </w:pPr>
      <w:r w:rsidRPr="00467207">
        <w:rPr>
          <w:rFonts w:ascii="Arial" w:hAnsi="Arial"/>
        </w:rPr>
        <w:t xml:space="preserve">Globally, concerns about teacher work engagement are rising. In the United </w:t>
      </w:r>
      <w:r w:rsidR="003F461D">
        <w:rPr>
          <w:rFonts w:ascii="Arial" w:hAnsi="Arial"/>
        </w:rPr>
        <w:t xml:space="preserve">States, for instance, educators, particularly in urban schools, </w:t>
      </w:r>
      <w:r w:rsidRPr="00467207">
        <w:rPr>
          <w:rFonts w:ascii="Arial" w:hAnsi="Arial"/>
        </w:rPr>
        <w:t>often lack sufficient preparation to meet the diverse academic, linguistic, psychological, and emotional needs of stude</w:t>
      </w:r>
      <w:r w:rsidR="003F461D">
        <w:rPr>
          <w:rFonts w:ascii="Arial" w:hAnsi="Arial"/>
        </w:rPr>
        <w:t xml:space="preserve">nts. </w:t>
      </w:r>
      <w:r w:rsidRPr="00467207">
        <w:rPr>
          <w:rFonts w:ascii="Arial" w:hAnsi="Arial"/>
        </w:rPr>
        <w:t>This issue extends beyond the U.S., affecting countries across Asia, Sub-Saharan Africa, and the Western world, where teachers in public schools often face resource cons</w:t>
      </w:r>
      <w:r w:rsidR="003F461D">
        <w:rPr>
          <w:rFonts w:ascii="Arial" w:hAnsi="Arial"/>
        </w:rPr>
        <w:t>t</w:t>
      </w:r>
      <w:r w:rsidR="00765EBA">
        <w:rPr>
          <w:rFonts w:ascii="Arial" w:hAnsi="Arial"/>
        </w:rPr>
        <w:t xml:space="preserve">raints and systemic challenges. </w:t>
      </w:r>
      <w:r w:rsidRPr="00467207">
        <w:rPr>
          <w:rFonts w:ascii="Arial" w:hAnsi="Arial"/>
        </w:rPr>
        <w:t>Engaged teachers are more likely to deliver high-quality, student-centered instruction. They exhibit creativity, enthusiasm, and a strong</w:t>
      </w:r>
      <w:r w:rsidR="00765EBA">
        <w:rPr>
          <w:rFonts w:ascii="Arial" w:hAnsi="Arial"/>
        </w:rPr>
        <w:t xml:space="preserve"> commitment to student success (</w:t>
      </w:r>
      <w:r w:rsidR="00765EBA" w:rsidRPr="00765EBA">
        <w:rPr>
          <w:rFonts w:ascii="Arial" w:hAnsi="Arial"/>
        </w:rPr>
        <w:t xml:space="preserve">Wiggan </w:t>
      </w:r>
      <w:r w:rsidR="00765EBA">
        <w:rPr>
          <w:rFonts w:ascii="Arial" w:hAnsi="Arial"/>
        </w:rPr>
        <w:t xml:space="preserve">et al., 2021). </w:t>
      </w:r>
      <w:r w:rsidRPr="00467207">
        <w:rPr>
          <w:rFonts w:ascii="Arial" w:hAnsi="Arial"/>
        </w:rPr>
        <w:t>Conversely, declining teacher engagement negatively affects educational outcomes across diverse cultu</w:t>
      </w:r>
      <w:r w:rsidR="003F461D">
        <w:rPr>
          <w:rFonts w:ascii="Arial" w:hAnsi="Arial"/>
        </w:rPr>
        <w:t>r</w:t>
      </w:r>
      <w:r w:rsidR="00765EBA">
        <w:rPr>
          <w:rFonts w:ascii="Arial" w:hAnsi="Arial"/>
        </w:rPr>
        <w:t>al and socio-economic contexts (</w:t>
      </w:r>
      <w:r w:rsidR="00765EBA" w:rsidRPr="00765EBA">
        <w:rPr>
          <w:rFonts w:ascii="Arial" w:hAnsi="Arial"/>
        </w:rPr>
        <w:t>Tomaszewski</w:t>
      </w:r>
      <w:r w:rsidR="00765EBA">
        <w:rPr>
          <w:rFonts w:ascii="Arial" w:hAnsi="Arial"/>
        </w:rPr>
        <w:t xml:space="preserve"> et al., 2020).</w:t>
      </w:r>
    </w:p>
    <w:p w14:paraId="45188D06" w14:textId="77777777" w:rsidR="00467207" w:rsidRPr="00467207" w:rsidRDefault="00467207" w:rsidP="00467207">
      <w:pPr>
        <w:jc w:val="both"/>
        <w:rPr>
          <w:rFonts w:ascii="Arial" w:hAnsi="Arial"/>
        </w:rPr>
      </w:pPr>
    </w:p>
    <w:p w14:paraId="59E6F32C" w14:textId="0A5888B3" w:rsidR="00467207" w:rsidRPr="00467207" w:rsidRDefault="00467207" w:rsidP="00467207">
      <w:pPr>
        <w:jc w:val="both"/>
        <w:rPr>
          <w:rFonts w:ascii="Arial" w:hAnsi="Arial"/>
        </w:rPr>
      </w:pPr>
      <w:r w:rsidRPr="00467207">
        <w:rPr>
          <w:rFonts w:ascii="Arial" w:hAnsi="Arial"/>
        </w:rPr>
        <w:t>In the Philippines, teacher engagement is shaped by factors such as inadequate training, insufficient resources, low salar</w:t>
      </w:r>
      <w:r w:rsidR="003F461D">
        <w:rPr>
          <w:rFonts w:ascii="Arial" w:hAnsi="Arial"/>
        </w:rPr>
        <w:t xml:space="preserve">ies, and overcrowded classrooms </w:t>
      </w:r>
      <w:r w:rsidRPr="00467207">
        <w:rPr>
          <w:rFonts w:ascii="Arial" w:hAnsi="Arial"/>
        </w:rPr>
        <w:t xml:space="preserve">issues contribute to teacher </w:t>
      </w:r>
      <w:r w:rsidR="003F461D">
        <w:rPr>
          <w:rFonts w:ascii="Arial" w:hAnsi="Arial"/>
        </w:rPr>
        <w:t xml:space="preserve">stress, burnout, and low morale. </w:t>
      </w:r>
      <w:r w:rsidRPr="00467207">
        <w:rPr>
          <w:rFonts w:ascii="Arial" w:hAnsi="Arial"/>
        </w:rPr>
        <w:t>Moreover, limited access to professional development hinders teachers from enhancin</w:t>
      </w:r>
      <w:r w:rsidR="003F461D">
        <w:rPr>
          <w:rFonts w:ascii="Arial" w:hAnsi="Arial"/>
        </w:rPr>
        <w:t xml:space="preserve">g their instructional practices. </w:t>
      </w:r>
      <w:r w:rsidRPr="00467207">
        <w:rPr>
          <w:rFonts w:ascii="Arial" w:hAnsi="Arial"/>
        </w:rPr>
        <w:t>To improve educational outcomes, it is essenti</w:t>
      </w:r>
      <w:r w:rsidR="003F461D">
        <w:rPr>
          <w:rFonts w:ascii="Arial" w:hAnsi="Arial"/>
        </w:rPr>
        <w:t xml:space="preserve">al to invest in teacher support, </w:t>
      </w:r>
      <w:r w:rsidRPr="00467207">
        <w:rPr>
          <w:rFonts w:ascii="Arial" w:hAnsi="Arial"/>
        </w:rPr>
        <w:t>through training, better compensat</w:t>
      </w:r>
      <w:r w:rsidR="00765EBA">
        <w:rPr>
          <w:rFonts w:ascii="Arial" w:hAnsi="Arial"/>
        </w:rPr>
        <w:t>ion, and manageable class sizes (</w:t>
      </w:r>
      <w:proofErr w:type="spellStart"/>
      <w:r w:rsidR="00765EBA" w:rsidRPr="00765EBA">
        <w:rPr>
          <w:rFonts w:ascii="Arial" w:hAnsi="Arial"/>
        </w:rPr>
        <w:t>Maguate</w:t>
      </w:r>
      <w:proofErr w:type="spellEnd"/>
      <w:r w:rsidR="00765EBA">
        <w:rPr>
          <w:rFonts w:ascii="Arial" w:hAnsi="Arial"/>
        </w:rPr>
        <w:t>, 2024).</w:t>
      </w:r>
    </w:p>
    <w:p w14:paraId="041A90E3" w14:textId="3348963F" w:rsidR="00467207" w:rsidRPr="00467207" w:rsidRDefault="00467207" w:rsidP="00467207">
      <w:pPr>
        <w:jc w:val="both"/>
        <w:rPr>
          <w:rFonts w:ascii="Arial" w:hAnsi="Arial"/>
        </w:rPr>
      </w:pPr>
    </w:p>
    <w:p w14:paraId="3134A578" w14:textId="72D70E29" w:rsidR="00296176" w:rsidRDefault="00467207" w:rsidP="00467207">
      <w:pPr>
        <w:jc w:val="both"/>
        <w:rPr>
          <w:rFonts w:ascii="Arial" w:hAnsi="Arial"/>
        </w:rPr>
      </w:pPr>
      <w:r w:rsidRPr="00467207">
        <w:rPr>
          <w:rFonts w:ascii="Arial" w:hAnsi="Arial"/>
        </w:rPr>
        <w:t>This study addresses a gap in the literature by exploring the connection between building resilience and teacher work engagement in public elementary schools. It assumes a significant relationship between the two constructs and aims to provide actionable insights. The findings may assist school administrators in creating supportive environments that foster resilience and engagement. Furthermore, teachers may find the results beneficial for professional growth. By examining how resilience and engagement intersect, this study contributes to the broader goal of improving teacher effectiveness and the overall quality of public education.</w:t>
      </w:r>
    </w:p>
    <w:p w14:paraId="3F472D03" w14:textId="77777777" w:rsidR="00467207" w:rsidRDefault="00467207" w:rsidP="00467207">
      <w:pPr>
        <w:rPr>
          <w:rFonts w:ascii="Arial" w:eastAsia="MS Mincho" w:hAnsi="Arial" w:cs="Arial"/>
          <w:b/>
          <w:lang w:eastAsia="ja-JP"/>
        </w:rPr>
      </w:pPr>
    </w:p>
    <w:p w14:paraId="305CBFC1" w14:textId="073AF35C"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 xml:space="preserve">1.1 </w:t>
      </w:r>
      <w:r w:rsidR="006D2E2A">
        <w:rPr>
          <w:rFonts w:ascii="Arial" w:eastAsia="MS Mincho" w:hAnsi="Arial" w:cs="Arial"/>
          <w:b/>
          <w:lang w:eastAsia="ja-JP"/>
        </w:rPr>
        <w:t>Statement of the Problem</w:t>
      </w:r>
    </w:p>
    <w:p w14:paraId="71350A61" w14:textId="77777777" w:rsidR="000D23E6" w:rsidRPr="000D23E6" w:rsidRDefault="000D23E6" w:rsidP="000D23E6">
      <w:pPr>
        <w:rPr>
          <w:rFonts w:ascii="Arial" w:eastAsia="MS Mincho" w:hAnsi="Arial" w:cs="Arial"/>
          <w:lang w:eastAsia="ja-JP"/>
        </w:rPr>
      </w:pPr>
    </w:p>
    <w:p w14:paraId="628DA16C" w14:textId="7D2A7CB4" w:rsid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Despite the recognized importance of building resilience and working engagement in the teaching profession, a gap exists in understanding the specific factors influencing work engagement among teachers, particularly in public schools. This study </w:t>
      </w:r>
      <w:proofErr w:type="spellStart"/>
      <w:r w:rsidRPr="00C67F48">
        <w:rPr>
          <w:rFonts w:ascii="Arial" w:eastAsia="MS Mincho" w:hAnsi="Arial" w:cs="Arial"/>
          <w:lang w:eastAsia="ja-JP"/>
        </w:rPr>
        <w:t>soughts</w:t>
      </w:r>
      <w:proofErr w:type="spellEnd"/>
      <w:r w:rsidRPr="00C67F48">
        <w:rPr>
          <w:rFonts w:ascii="Arial" w:eastAsia="MS Mincho" w:hAnsi="Arial" w:cs="Arial"/>
          <w:lang w:eastAsia="ja-JP"/>
        </w:rPr>
        <w:t xml:space="preserve"> to address this gap by investigating the critical determinants of working engagement among teachers and examining the impact of these factors on teacher well-being, job satisfaction, and student outcomes in public elementary school in Boston Distr</w:t>
      </w:r>
      <w:r>
        <w:rPr>
          <w:rFonts w:ascii="Arial" w:eastAsia="MS Mincho" w:hAnsi="Arial" w:cs="Arial"/>
          <w:lang w:eastAsia="ja-JP"/>
        </w:rPr>
        <w:t>ict, Division of Davao Oriental</w:t>
      </w:r>
      <w:r w:rsidRPr="00C67F48">
        <w:rPr>
          <w:rFonts w:ascii="Arial" w:eastAsia="MS Mincho" w:hAnsi="Arial" w:cs="Arial"/>
          <w:lang w:eastAsia="ja-JP"/>
        </w:rPr>
        <w:t>. Th</w:t>
      </w:r>
      <w:r>
        <w:rPr>
          <w:rFonts w:ascii="Arial" w:eastAsia="MS Mincho" w:hAnsi="Arial" w:cs="Arial"/>
          <w:lang w:eastAsia="ja-JP"/>
        </w:rPr>
        <w:t>is study wanted</w:t>
      </w:r>
      <w:r w:rsidRPr="00C67F48">
        <w:rPr>
          <w:rFonts w:ascii="Arial" w:eastAsia="MS Mincho" w:hAnsi="Arial" w:cs="Arial"/>
          <w:lang w:eastAsia="ja-JP"/>
        </w:rPr>
        <w:t xml:space="preserve"> to investigate the influence of building resilience on public school teachers' working engagement, as well as the following objectives:</w:t>
      </w:r>
    </w:p>
    <w:p w14:paraId="61FF0178" w14:textId="77777777" w:rsidR="007006CD" w:rsidRPr="00C67F48" w:rsidRDefault="007006CD" w:rsidP="00C67F48">
      <w:pPr>
        <w:jc w:val="both"/>
        <w:rPr>
          <w:rFonts w:ascii="Arial" w:eastAsia="MS Mincho" w:hAnsi="Arial" w:cs="Arial"/>
          <w:lang w:eastAsia="ja-JP"/>
        </w:rPr>
      </w:pPr>
    </w:p>
    <w:p w14:paraId="6E76A923" w14:textId="2D6CF2B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1.What </w:t>
      </w:r>
      <w:proofErr w:type="gramStart"/>
      <w:r w:rsidRPr="00C67F48">
        <w:rPr>
          <w:rFonts w:ascii="Arial" w:eastAsia="MS Mincho" w:hAnsi="Arial" w:cs="Arial"/>
          <w:lang w:eastAsia="ja-JP"/>
        </w:rPr>
        <w:t>is  the</w:t>
      </w:r>
      <w:proofErr w:type="gramEnd"/>
      <w:r w:rsidRPr="00C67F48">
        <w:rPr>
          <w:rFonts w:ascii="Arial" w:eastAsia="MS Mincho" w:hAnsi="Arial" w:cs="Arial"/>
          <w:lang w:eastAsia="ja-JP"/>
        </w:rPr>
        <w:t xml:space="preserve"> level of building resilience at work of public elementary school teachers in terms of:</w:t>
      </w:r>
    </w:p>
    <w:p w14:paraId="59439C0C"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1.1 living authentically,</w:t>
      </w:r>
    </w:p>
    <w:p w14:paraId="11C66DC6"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1.2 finding a calling,</w:t>
      </w:r>
    </w:p>
    <w:p w14:paraId="046E109C"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1.3 maintaining perspective,</w:t>
      </w:r>
    </w:p>
    <w:p w14:paraId="0D7FF5AF"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1.4 managing stress,</w:t>
      </w:r>
    </w:p>
    <w:p w14:paraId="0100F938" w14:textId="1D80E2A6" w:rsidR="00C67F48" w:rsidRPr="00C67F48" w:rsidRDefault="00C67F48" w:rsidP="00C67F48">
      <w:pPr>
        <w:jc w:val="both"/>
        <w:rPr>
          <w:rFonts w:ascii="Arial" w:eastAsia="MS Mincho" w:hAnsi="Arial" w:cs="Arial"/>
          <w:lang w:eastAsia="ja-JP"/>
        </w:rPr>
      </w:pPr>
      <w:r>
        <w:rPr>
          <w:rFonts w:ascii="Arial" w:eastAsia="MS Mincho" w:hAnsi="Arial" w:cs="Arial"/>
          <w:lang w:eastAsia="ja-JP"/>
        </w:rPr>
        <w:t xml:space="preserve">1.5 </w:t>
      </w:r>
      <w:r w:rsidRPr="00C67F48">
        <w:rPr>
          <w:rFonts w:ascii="Arial" w:eastAsia="MS Mincho" w:hAnsi="Arial" w:cs="Arial"/>
          <w:lang w:eastAsia="ja-JP"/>
        </w:rPr>
        <w:t>building social connections, and</w:t>
      </w:r>
    </w:p>
    <w:p w14:paraId="1D658721" w14:textId="782E8F9C" w:rsidR="00C67F48" w:rsidRDefault="00C67F48" w:rsidP="00C67F48">
      <w:pPr>
        <w:jc w:val="both"/>
        <w:rPr>
          <w:rFonts w:ascii="Arial" w:eastAsia="MS Mincho" w:hAnsi="Arial" w:cs="Arial"/>
          <w:lang w:eastAsia="ja-JP"/>
        </w:rPr>
      </w:pPr>
      <w:r>
        <w:rPr>
          <w:rFonts w:ascii="Arial" w:eastAsia="MS Mincho" w:hAnsi="Arial" w:cs="Arial"/>
          <w:lang w:eastAsia="ja-JP"/>
        </w:rPr>
        <w:t>1.6 staying healthy?</w:t>
      </w:r>
    </w:p>
    <w:p w14:paraId="2D485B72" w14:textId="77777777" w:rsidR="00C67F48" w:rsidRPr="00C67F48" w:rsidRDefault="00C67F48" w:rsidP="00C67F48">
      <w:pPr>
        <w:jc w:val="both"/>
        <w:rPr>
          <w:rFonts w:ascii="Arial" w:eastAsia="MS Mincho" w:hAnsi="Arial" w:cs="Arial"/>
          <w:lang w:eastAsia="ja-JP"/>
        </w:rPr>
      </w:pPr>
    </w:p>
    <w:p w14:paraId="5AFDAFCA" w14:textId="219BF12B"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2.What </w:t>
      </w:r>
      <w:proofErr w:type="gramStart"/>
      <w:r w:rsidRPr="00C67F48">
        <w:rPr>
          <w:rFonts w:ascii="Arial" w:eastAsia="MS Mincho" w:hAnsi="Arial" w:cs="Arial"/>
          <w:lang w:eastAsia="ja-JP"/>
        </w:rPr>
        <w:t>is  the</w:t>
      </w:r>
      <w:proofErr w:type="gramEnd"/>
      <w:r w:rsidRPr="00C67F48">
        <w:rPr>
          <w:rFonts w:ascii="Arial" w:eastAsia="MS Mincho" w:hAnsi="Arial" w:cs="Arial"/>
          <w:lang w:eastAsia="ja-JP"/>
        </w:rPr>
        <w:t xml:space="preserve"> level of working engagement among public elementary school teachers in terms of:</w:t>
      </w:r>
    </w:p>
    <w:p w14:paraId="514DC391" w14:textId="77777777" w:rsidR="00C67F48" w:rsidRPr="00C67F48" w:rsidRDefault="00C67F48" w:rsidP="00C67F48">
      <w:pPr>
        <w:jc w:val="both"/>
        <w:rPr>
          <w:rFonts w:ascii="Arial" w:eastAsia="MS Mincho" w:hAnsi="Arial" w:cs="Arial"/>
          <w:lang w:eastAsia="ja-JP"/>
        </w:rPr>
      </w:pPr>
      <w:r w:rsidRPr="00C67F48">
        <w:rPr>
          <w:rFonts w:ascii="Arial" w:eastAsia="MS Mincho" w:hAnsi="Arial" w:cs="Arial"/>
          <w:lang w:eastAsia="ja-JP"/>
        </w:rPr>
        <w:t>2.1 cognitive engagement dimension,</w:t>
      </w:r>
    </w:p>
    <w:p w14:paraId="2F54787B" w14:textId="5C9418D0" w:rsidR="00C67F48" w:rsidRPr="00C67F48" w:rsidRDefault="00C67F48" w:rsidP="00C67F48">
      <w:pPr>
        <w:jc w:val="both"/>
        <w:rPr>
          <w:rFonts w:ascii="Arial" w:eastAsia="MS Mincho" w:hAnsi="Arial" w:cs="Arial"/>
          <w:lang w:eastAsia="ja-JP"/>
        </w:rPr>
      </w:pPr>
      <w:r>
        <w:rPr>
          <w:rFonts w:ascii="Arial" w:eastAsia="MS Mincho" w:hAnsi="Arial" w:cs="Arial"/>
          <w:lang w:eastAsia="ja-JP"/>
        </w:rPr>
        <w:t xml:space="preserve">2.2 </w:t>
      </w:r>
      <w:r w:rsidRPr="00C67F48">
        <w:rPr>
          <w:rFonts w:ascii="Arial" w:eastAsia="MS Mincho" w:hAnsi="Arial" w:cs="Arial"/>
          <w:lang w:eastAsia="ja-JP"/>
        </w:rPr>
        <w:t>emotional engagement dimension, and</w:t>
      </w:r>
    </w:p>
    <w:p w14:paraId="569EC240" w14:textId="751BDF33" w:rsidR="00C67F48" w:rsidRDefault="00C67F48" w:rsidP="00C67F48">
      <w:pPr>
        <w:jc w:val="both"/>
        <w:rPr>
          <w:rFonts w:ascii="Arial" w:eastAsia="MS Mincho" w:hAnsi="Arial" w:cs="Arial"/>
          <w:lang w:eastAsia="ja-JP"/>
        </w:rPr>
      </w:pPr>
      <w:r w:rsidRPr="00C67F48">
        <w:rPr>
          <w:rFonts w:ascii="Arial" w:eastAsia="MS Mincho" w:hAnsi="Arial" w:cs="Arial"/>
          <w:lang w:eastAsia="ja-JP"/>
        </w:rPr>
        <w:lastRenderedPageBreak/>
        <w:t>2.</w:t>
      </w:r>
      <w:r>
        <w:rPr>
          <w:rFonts w:ascii="Arial" w:eastAsia="MS Mincho" w:hAnsi="Arial" w:cs="Arial"/>
          <w:lang w:eastAsia="ja-JP"/>
        </w:rPr>
        <w:t>3 physical engagement dimension?</w:t>
      </w:r>
    </w:p>
    <w:p w14:paraId="494EA256" w14:textId="77777777" w:rsidR="00C67F48" w:rsidRPr="00C67F48" w:rsidRDefault="00C67F48" w:rsidP="00C67F48">
      <w:pPr>
        <w:jc w:val="both"/>
        <w:rPr>
          <w:rFonts w:ascii="Arial" w:eastAsia="MS Mincho" w:hAnsi="Arial" w:cs="Arial"/>
          <w:lang w:eastAsia="ja-JP"/>
        </w:rPr>
      </w:pPr>
    </w:p>
    <w:p w14:paraId="238EFA9A" w14:textId="2CA75E99" w:rsid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3.Is there a significant relationship between building resilience and working engagement among public elementary </w:t>
      </w:r>
      <w:r>
        <w:rPr>
          <w:rFonts w:ascii="Arial" w:eastAsia="MS Mincho" w:hAnsi="Arial" w:cs="Arial"/>
          <w:lang w:eastAsia="ja-JP"/>
        </w:rPr>
        <w:t>school teachers?</w:t>
      </w:r>
    </w:p>
    <w:p w14:paraId="2BE4E5C8" w14:textId="77777777" w:rsidR="00C67F48" w:rsidRPr="00C67F48" w:rsidRDefault="00C67F48" w:rsidP="00C67F48">
      <w:pPr>
        <w:jc w:val="both"/>
        <w:rPr>
          <w:rFonts w:ascii="Arial" w:eastAsia="MS Mincho" w:hAnsi="Arial" w:cs="Arial"/>
          <w:lang w:eastAsia="ja-JP"/>
        </w:rPr>
      </w:pPr>
    </w:p>
    <w:p w14:paraId="4C551E27" w14:textId="5B3A3DA5" w:rsidR="00C67F48" w:rsidRDefault="00C67F48" w:rsidP="00C67F48">
      <w:pPr>
        <w:jc w:val="both"/>
        <w:rPr>
          <w:rFonts w:ascii="Arial" w:eastAsia="MS Mincho" w:hAnsi="Arial" w:cs="Arial"/>
          <w:lang w:eastAsia="ja-JP"/>
        </w:rPr>
      </w:pPr>
      <w:r w:rsidRPr="00C67F48">
        <w:rPr>
          <w:rFonts w:ascii="Arial" w:eastAsia="MS Mincho" w:hAnsi="Arial" w:cs="Arial"/>
          <w:lang w:eastAsia="ja-JP"/>
        </w:rPr>
        <w:t xml:space="preserve">4.Which among domain of building resilience </w:t>
      </w:r>
      <w:proofErr w:type="gramStart"/>
      <w:r w:rsidRPr="00C67F48">
        <w:rPr>
          <w:rFonts w:ascii="Arial" w:eastAsia="MS Mincho" w:hAnsi="Arial" w:cs="Arial"/>
          <w:lang w:eastAsia="ja-JP"/>
        </w:rPr>
        <w:t>significantly  influence</w:t>
      </w:r>
      <w:proofErr w:type="gramEnd"/>
      <w:r w:rsidRPr="00C67F48">
        <w:rPr>
          <w:rFonts w:ascii="Arial" w:eastAsia="MS Mincho" w:hAnsi="Arial" w:cs="Arial"/>
          <w:lang w:eastAsia="ja-JP"/>
        </w:rPr>
        <w:t xml:space="preserve"> the working engagement among public elementary school teachers</w:t>
      </w:r>
      <w:r>
        <w:rPr>
          <w:rFonts w:ascii="Arial" w:eastAsia="MS Mincho" w:hAnsi="Arial" w:cs="Arial"/>
          <w:lang w:eastAsia="ja-JP"/>
        </w:rPr>
        <w:t>?</w:t>
      </w:r>
    </w:p>
    <w:p w14:paraId="645BD3EE" w14:textId="77777777" w:rsidR="00C67F48" w:rsidRDefault="00C67F48" w:rsidP="00C67F48">
      <w:pPr>
        <w:jc w:val="both"/>
        <w:rPr>
          <w:rFonts w:ascii="Arial" w:eastAsia="MS Mincho" w:hAnsi="Arial" w:cs="Arial"/>
          <w:lang w:eastAsia="ja-JP"/>
        </w:rPr>
      </w:pPr>
    </w:p>
    <w:p w14:paraId="4110F409" w14:textId="4339C72A" w:rsidR="002F5C4B" w:rsidRPr="002F5C4B" w:rsidRDefault="002F5C4B" w:rsidP="00296176">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78B753C5" w14:textId="77777777" w:rsidR="00CE60AB" w:rsidRPr="00CE60AB" w:rsidRDefault="00CE60AB" w:rsidP="00CE60AB">
      <w:pPr>
        <w:pStyle w:val="AbstHead"/>
        <w:jc w:val="both"/>
        <w:rPr>
          <w:rFonts w:ascii="Arial" w:hAnsi="Arial" w:cs="Arial"/>
          <w:b w:val="0"/>
          <w:caps w:val="0"/>
          <w:sz w:val="20"/>
        </w:rPr>
      </w:pPr>
      <w:r w:rsidRPr="00CE60AB">
        <w:rPr>
          <w:rFonts w:ascii="Arial" w:hAnsi="Arial" w:cs="Arial"/>
          <w:b w:val="0"/>
          <w:caps w:val="0"/>
          <w:sz w:val="20"/>
        </w:rPr>
        <w:t>The null hypotheses were tested in this study at 0.05 level of significance.</w:t>
      </w:r>
    </w:p>
    <w:p w14:paraId="68E01550" w14:textId="22775609" w:rsidR="00F54336" w:rsidRPr="00F54336" w:rsidRDefault="00F54336" w:rsidP="00F54336">
      <w:pPr>
        <w:pStyle w:val="AbstHead"/>
        <w:jc w:val="both"/>
        <w:rPr>
          <w:rFonts w:ascii="Arial" w:hAnsi="Arial" w:cs="Arial"/>
          <w:b w:val="0"/>
          <w:caps w:val="0"/>
          <w:sz w:val="20"/>
        </w:rPr>
      </w:pPr>
      <w:r w:rsidRPr="00F54336">
        <w:rPr>
          <w:rFonts w:ascii="Arial" w:hAnsi="Arial" w:cs="Arial"/>
          <w:b w:val="0"/>
          <w:caps w:val="0"/>
          <w:sz w:val="20"/>
        </w:rPr>
        <w:t>H</w:t>
      </w:r>
      <w:r w:rsidRPr="00F54336">
        <w:rPr>
          <w:rFonts w:ascii="Cambria Math" w:hAnsi="Cambria Math" w:cs="Cambria Math"/>
          <w:b w:val="0"/>
          <w:caps w:val="0"/>
          <w:sz w:val="20"/>
        </w:rPr>
        <w:t>₀</w:t>
      </w:r>
      <w:r>
        <w:rPr>
          <w:rFonts w:ascii="Cambria Math" w:hAnsi="Cambria Math" w:cs="Cambria Math"/>
          <w:b w:val="0"/>
          <w:caps w:val="0"/>
          <w:sz w:val="20"/>
        </w:rPr>
        <w:t>1</w:t>
      </w:r>
      <w:r w:rsidRPr="00F54336">
        <w:rPr>
          <w:rFonts w:ascii="Arial" w:hAnsi="Arial" w:cs="Arial"/>
          <w:b w:val="0"/>
          <w:caps w:val="0"/>
          <w:sz w:val="20"/>
        </w:rPr>
        <w:t>: There is no significant relationship between building resilience and work engagement among public elementary school teachers.</w:t>
      </w:r>
    </w:p>
    <w:p w14:paraId="240B12B0" w14:textId="7974CBB6" w:rsidR="00EF390C" w:rsidRDefault="00F54336" w:rsidP="00F54336">
      <w:pPr>
        <w:pStyle w:val="AbstHead"/>
        <w:spacing w:after="0"/>
        <w:jc w:val="both"/>
        <w:rPr>
          <w:rFonts w:ascii="Arial" w:hAnsi="Arial" w:cs="Arial"/>
          <w:b w:val="0"/>
          <w:caps w:val="0"/>
          <w:sz w:val="20"/>
        </w:rPr>
      </w:pPr>
      <w:r w:rsidRPr="00F54336">
        <w:rPr>
          <w:rFonts w:ascii="Arial" w:hAnsi="Arial" w:cs="Arial"/>
          <w:b w:val="0"/>
          <w:caps w:val="0"/>
          <w:sz w:val="20"/>
        </w:rPr>
        <w:t>H</w:t>
      </w:r>
      <w:r w:rsidRPr="00F54336">
        <w:rPr>
          <w:rFonts w:ascii="Cambria Math" w:hAnsi="Cambria Math" w:cs="Cambria Math"/>
          <w:b w:val="0"/>
          <w:caps w:val="0"/>
          <w:sz w:val="20"/>
        </w:rPr>
        <w:t>₀</w:t>
      </w:r>
      <w:r>
        <w:rPr>
          <w:rFonts w:ascii="Cambria Math" w:hAnsi="Cambria Math" w:cs="Cambria Math"/>
          <w:b w:val="0"/>
          <w:caps w:val="0"/>
          <w:sz w:val="20"/>
        </w:rPr>
        <w:t>2</w:t>
      </w:r>
      <w:r w:rsidRPr="00F54336">
        <w:rPr>
          <w:rFonts w:ascii="Arial" w:hAnsi="Arial" w:cs="Arial"/>
          <w:b w:val="0"/>
          <w:caps w:val="0"/>
          <w:sz w:val="20"/>
        </w:rPr>
        <w:t>: None of the domains of building resilience significantly influence work engagement among public elementary school teachers.</w:t>
      </w:r>
    </w:p>
    <w:p w14:paraId="4FB1F90E" w14:textId="77777777" w:rsidR="00F54336" w:rsidRDefault="00F54336" w:rsidP="00F54336">
      <w:pPr>
        <w:pStyle w:val="AbstHead"/>
        <w:spacing w:after="0"/>
        <w:jc w:val="both"/>
        <w:rPr>
          <w:rFonts w:ascii="Arial" w:hAnsi="Arial" w:cs="Arial"/>
          <w:sz w:val="20"/>
        </w:rPr>
      </w:pPr>
    </w:p>
    <w:p w14:paraId="012EB897" w14:textId="6426672F"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C9969EF" w14:textId="40B28117" w:rsidR="00F54336" w:rsidRPr="00F54336" w:rsidRDefault="00F54336" w:rsidP="00F54336">
      <w:pPr>
        <w:jc w:val="both"/>
        <w:rPr>
          <w:rFonts w:ascii="Arial" w:hAnsi="Arial" w:cs="Arial"/>
        </w:rPr>
      </w:pPr>
      <w:r w:rsidRPr="00F54336">
        <w:rPr>
          <w:rFonts w:ascii="Arial" w:hAnsi="Arial" w:cs="Arial"/>
        </w:rPr>
        <w:t>This study employed a quantitative research design, specifically utilizing a descriptive-correlational approach. Quantitative research involves the systematic collection and statistical analysis of numerical data to ensure objectivity, precision, and generalizability of results. This design is particularly well-suited for investigating relationships between measurable variables in educational contexts (</w:t>
      </w:r>
      <w:proofErr w:type="spellStart"/>
      <w:r w:rsidR="00613C97" w:rsidRPr="00613C97">
        <w:rPr>
          <w:rFonts w:ascii="Arial" w:hAnsi="Arial" w:cs="Arial"/>
        </w:rPr>
        <w:t>Fadele</w:t>
      </w:r>
      <w:proofErr w:type="spellEnd"/>
      <w:r w:rsidR="00D96153">
        <w:rPr>
          <w:rFonts w:ascii="Arial" w:hAnsi="Arial" w:cs="Arial"/>
        </w:rPr>
        <w:t xml:space="preserve"> </w:t>
      </w:r>
      <w:r w:rsidR="00613C97" w:rsidRPr="00613C97">
        <w:rPr>
          <w:rFonts w:ascii="Arial" w:hAnsi="Arial" w:cs="Arial"/>
        </w:rPr>
        <w:t>&amp; Rocha</w:t>
      </w:r>
      <w:r w:rsidR="00613C97">
        <w:rPr>
          <w:rFonts w:ascii="Arial" w:hAnsi="Arial" w:cs="Arial"/>
        </w:rPr>
        <w:t>, 2025</w:t>
      </w:r>
      <w:r w:rsidRPr="00F54336">
        <w:rPr>
          <w:rFonts w:ascii="Arial" w:hAnsi="Arial" w:cs="Arial"/>
        </w:rPr>
        <w:t>).</w:t>
      </w:r>
    </w:p>
    <w:p w14:paraId="5481EEAF" w14:textId="77777777" w:rsidR="00F54336" w:rsidRPr="00F54336" w:rsidRDefault="00F54336" w:rsidP="00F54336">
      <w:pPr>
        <w:jc w:val="both"/>
        <w:rPr>
          <w:rFonts w:ascii="Arial" w:hAnsi="Arial" w:cs="Arial"/>
        </w:rPr>
      </w:pPr>
    </w:p>
    <w:p w14:paraId="17AE88F7" w14:textId="77777777" w:rsidR="00F54336" w:rsidRPr="00F54336" w:rsidRDefault="00F54336" w:rsidP="00F54336">
      <w:pPr>
        <w:jc w:val="both"/>
        <w:rPr>
          <w:rFonts w:ascii="Arial" w:hAnsi="Arial" w:cs="Arial"/>
        </w:rPr>
      </w:pPr>
      <w:r w:rsidRPr="00F54336">
        <w:rPr>
          <w:rFonts w:ascii="Arial" w:hAnsi="Arial" w:cs="Arial"/>
        </w:rPr>
        <w:t>The descriptive-correlational design was appropriate for this study as it aimed to determine the relationship between building resilience and work engagement among public elementary school teachers. This approach enabled the researcher to describe the current status of each variable without manipulating any conditions, while also identifying whether a statistically significant relationship exists between them.</w:t>
      </w:r>
    </w:p>
    <w:p w14:paraId="1DC939F5" w14:textId="77777777" w:rsidR="00F54336" w:rsidRPr="00F54336" w:rsidRDefault="00F54336" w:rsidP="00F54336">
      <w:pPr>
        <w:jc w:val="both"/>
        <w:rPr>
          <w:rFonts w:ascii="Arial" w:hAnsi="Arial" w:cs="Arial"/>
        </w:rPr>
      </w:pPr>
    </w:p>
    <w:p w14:paraId="4BC137C2" w14:textId="52FDE07C" w:rsidR="00F54336" w:rsidRPr="00F54336" w:rsidRDefault="00F54336" w:rsidP="00F54336">
      <w:pPr>
        <w:jc w:val="both"/>
        <w:rPr>
          <w:rFonts w:ascii="Arial" w:hAnsi="Arial" w:cs="Arial"/>
        </w:rPr>
      </w:pPr>
      <w:r w:rsidRPr="00F54336">
        <w:rPr>
          <w:rFonts w:ascii="Arial" w:hAnsi="Arial" w:cs="Arial"/>
        </w:rPr>
        <w:t xml:space="preserve">As emphasized by </w:t>
      </w:r>
      <w:proofErr w:type="spellStart"/>
      <w:r w:rsidR="0091266B" w:rsidRPr="0091266B">
        <w:rPr>
          <w:rFonts w:ascii="Arial" w:hAnsi="Arial" w:cs="Arial"/>
        </w:rPr>
        <w:t>Taherdoost</w:t>
      </w:r>
      <w:proofErr w:type="spellEnd"/>
      <w:r w:rsidR="0091266B" w:rsidRPr="0091266B">
        <w:rPr>
          <w:rFonts w:ascii="Arial" w:hAnsi="Arial" w:cs="Arial"/>
        </w:rPr>
        <w:t xml:space="preserve"> </w:t>
      </w:r>
      <w:r w:rsidR="0091266B">
        <w:rPr>
          <w:rFonts w:ascii="Arial" w:hAnsi="Arial" w:cs="Arial"/>
        </w:rPr>
        <w:t>(2022</w:t>
      </w:r>
      <w:r w:rsidRPr="00F54336">
        <w:rPr>
          <w:rFonts w:ascii="Arial" w:hAnsi="Arial" w:cs="Arial"/>
        </w:rPr>
        <w:t>), correlational methods are valuable for examining how two or more variables interact or influence one another. In this context, the correlational method was used to explore whether higher levels of teacher resilience are associated with increased work engagement within public school settings.</w:t>
      </w:r>
    </w:p>
    <w:p w14:paraId="4E84D974" w14:textId="77777777" w:rsidR="00F54336" w:rsidRPr="00F54336" w:rsidRDefault="00F54336" w:rsidP="00F54336">
      <w:pPr>
        <w:jc w:val="both"/>
        <w:rPr>
          <w:rFonts w:ascii="Arial" w:hAnsi="Arial" w:cs="Arial"/>
        </w:rPr>
      </w:pPr>
    </w:p>
    <w:p w14:paraId="59971806" w14:textId="77777777" w:rsidR="00F54336" w:rsidRPr="00F54336" w:rsidRDefault="00F54336" w:rsidP="00F54336">
      <w:pPr>
        <w:jc w:val="both"/>
        <w:rPr>
          <w:rFonts w:ascii="Arial" w:hAnsi="Arial" w:cs="Arial"/>
        </w:rPr>
      </w:pPr>
      <w:r w:rsidRPr="00F54336">
        <w:rPr>
          <w:rFonts w:ascii="Arial" w:hAnsi="Arial" w:cs="Arial"/>
        </w:rPr>
        <w:t>By adopting this research design, the study aimed to generate evidence-based insights that could inform school leaders, educators, and policymakers in creating supportive teaching environments. These findings are expected to guide future interventions and professional development programs focused on enhancing teacher resilience, fostering work engagement, and ultimately improving the quality of education in public elementary schools.</w:t>
      </w:r>
    </w:p>
    <w:p w14:paraId="7357A715" w14:textId="77777777" w:rsidR="00F54336" w:rsidRDefault="00F54336">
      <w:pPr>
        <w:rPr>
          <w:rFonts w:ascii="Arial" w:hAnsi="Arial" w:cs="Arial"/>
          <w:b/>
          <w:bCs/>
        </w:rPr>
      </w:pPr>
    </w:p>
    <w:p w14:paraId="318F0781" w14:textId="5354B2AE"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BF574BF" w14:textId="286202C7" w:rsidR="00F54336" w:rsidRPr="00F54336" w:rsidRDefault="00F54336" w:rsidP="00F54336">
      <w:pPr>
        <w:jc w:val="both"/>
        <w:rPr>
          <w:rFonts w:ascii="Arial" w:hAnsi="Arial" w:cs="Arial"/>
        </w:rPr>
      </w:pPr>
      <w:r w:rsidRPr="00F54336">
        <w:rPr>
          <w:rFonts w:ascii="Arial" w:hAnsi="Arial" w:cs="Arial"/>
        </w:rPr>
        <w:t>The respondents of this study were 138 public elementary school teachers from the Boston District, Division of Davao Oriental.</w:t>
      </w:r>
      <w:r>
        <w:rPr>
          <w:rFonts w:ascii="Arial" w:hAnsi="Arial" w:cs="Arial"/>
        </w:rPr>
        <w:t xml:space="preserve"> </w:t>
      </w:r>
      <w:r w:rsidRPr="00F54336">
        <w:rPr>
          <w:rFonts w:ascii="Arial" w:hAnsi="Arial" w:cs="Arial"/>
        </w:rPr>
        <w:t>The sampling method used was universal sampling, wherein all members of the target population who met the inclusion criteria were selected to participate. This method was appropriate because the population size was manageable and accessible, allowing for comprehensive data collection from the entire group.</w:t>
      </w:r>
    </w:p>
    <w:p w14:paraId="7F7B1E8A" w14:textId="7525AE8D" w:rsidR="00523CC3" w:rsidRDefault="00523CC3">
      <w:pPr>
        <w:rPr>
          <w:rFonts w:ascii="Arial" w:hAnsi="Arial" w:cs="Arial"/>
          <w:b/>
          <w:bCs/>
        </w:rPr>
      </w:pPr>
    </w:p>
    <w:p w14:paraId="6B0E1189" w14:textId="77777777" w:rsidR="00B80C76" w:rsidRDefault="00B80C76">
      <w:pPr>
        <w:rPr>
          <w:rFonts w:ascii="Arial" w:hAnsi="Arial" w:cs="Arial"/>
          <w:b/>
          <w:bCs/>
        </w:rPr>
      </w:pPr>
    </w:p>
    <w:p w14:paraId="6BE2C45C" w14:textId="4F21E3A4"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AE586F2" w14:textId="77777777" w:rsidR="00F54336" w:rsidRPr="00F54336" w:rsidRDefault="00F54336" w:rsidP="00F54336">
      <w:pPr>
        <w:jc w:val="both"/>
        <w:rPr>
          <w:rFonts w:ascii="Arial" w:hAnsi="Arial" w:cs="Arial"/>
        </w:rPr>
      </w:pPr>
      <w:r w:rsidRPr="00F54336">
        <w:rPr>
          <w:rFonts w:ascii="Arial" w:hAnsi="Arial" w:cs="Arial"/>
        </w:rPr>
        <w:t>The instrument used in this study was a researcher-developed questionnaire composed of two main sections, specifically designed to collect data on building resilience and work engagement among public elementary school teachers.</w:t>
      </w:r>
    </w:p>
    <w:p w14:paraId="3276D3B2" w14:textId="77777777" w:rsidR="00F54336" w:rsidRPr="00F54336" w:rsidRDefault="00F54336" w:rsidP="00F54336">
      <w:pPr>
        <w:jc w:val="both"/>
        <w:rPr>
          <w:rFonts w:ascii="Arial" w:hAnsi="Arial" w:cs="Arial"/>
        </w:rPr>
      </w:pPr>
    </w:p>
    <w:p w14:paraId="13A42F14" w14:textId="058CAE52" w:rsidR="00F54336" w:rsidRPr="00F54336" w:rsidRDefault="00F54336" w:rsidP="00F54336">
      <w:pPr>
        <w:jc w:val="both"/>
        <w:rPr>
          <w:rFonts w:ascii="Arial" w:hAnsi="Arial" w:cs="Arial"/>
        </w:rPr>
      </w:pPr>
      <w:r w:rsidRPr="00F54336">
        <w:rPr>
          <w:rFonts w:ascii="Arial" w:hAnsi="Arial" w:cs="Arial"/>
        </w:rPr>
        <w:t>The first section focused on building resilience, with items constructed based on established literature and theoretical frameworks related to resilience in the teaching profession. The questionnaire was designed to assess teachers' ability to recover from challenges, maintain a positive outlook, and continue functioning effectively in their roles. To ensure content validity, the items were reviewed by experts in educational psychology and teacher development. This section demonstrated high internal consistency,</w:t>
      </w:r>
      <w:r>
        <w:rPr>
          <w:rFonts w:ascii="Arial" w:hAnsi="Arial" w:cs="Arial"/>
        </w:rPr>
        <w:t xml:space="preserve"> with a Cronbach’s alpha of 0.950</w:t>
      </w:r>
      <w:r w:rsidRPr="00F54336">
        <w:rPr>
          <w:rFonts w:ascii="Arial" w:hAnsi="Arial" w:cs="Arial"/>
        </w:rPr>
        <w:t>, indicating excellent reliability.</w:t>
      </w:r>
    </w:p>
    <w:p w14:paraId="1CAEDCD2" w14:textId="77777777" w:rsidR="00F54336" w:rsidRPr="00F54336" w:rsidRDefault="00F54336" w:rsidP="00F54336">
      <w:pPr>
        <w:jc w:val="both"/>
        <w:rPr>
          <w:rFonts w:ascii="Arial" w:hAnsi="Arial" w:cs="Arial"/>
        </w:rPr>
      </w:pPr>
    </w:p>
    <w:p w14:paraId="4B7E06D6" w14:textId="1DD00B66" w:rsidR="00F54336" w:rsidRPr="00F54336" w:rsidRDefault="00F54336" w:rsidP="00F54336">
      <w:pPr>
        <w:jc w:val="both"/>
        <w:rPr>
          <w:rFonts w:ascii="Arial" w:hAnsi="Arial" w:cs="Arial"/>
        </w:rPr>
      </w:pPr>
      <w:r w:rsidRPr="00F54336">
        <w:rPr>
          <w:rFonts w:ascii="Arial" w:hAnsi="Arial" w:cs="Arial"/>
        </w:rPr>
        <w:t>The second section measured work engagement, reflecting teachers’ levels of energy, dedication, and absorption in their professional responsibilities. Items were adapted from validated instruments used in previous research on teacher engagement and occupational commitment. This section also showed strong reliability,</w:t>
      </w:r>
      <w:r>
        <w:rPr>
          <w:rFonts w:ascii="Arial" w:hAnsi="Arial" w:cs="Arial"/>
        </w:rPr>
        <w:t xml:space="preserve"> with a Cronbach’s alpha of 0.925</w:t>
      </w:r>
      <w:r w:rsidRPr="00F54336">
        <w:rPr>
          <w:rFonts w:ascii="Arial" w:hAnsi="Arial" w:cs="Arial"/>
        </w:rPr>
        <w:t>, confirming the instrument’s suitability for assessing work engagement in public school settings.</w:t>
      </w:r>
      <w:r>
        <w:rPr>
          <w:rFonts w:ascii="Arial" w:hAnsi="Arial" w:cs="Arial"/>
        </w:rPr>
        <w:t xml:space="preserve"> </w:t>
      </w:r>
      <w:r w:rsidRPr="00F54336">
        <w:rPr>
          <w:rFonts w:ascii="Arial" w:hAnsi="Arial" w:cs="Arial"/>
        </w:rPr>
        <w:t>The final version of the instrument was used for data collection and was found to be clear, relevant, and practical for use among the target population.</w:t>
      </w:r>
    </w:p>
    <w:p w14:paraId="5FB6B98F" w14:textId="77777777" w:rsidR="00B80C76" w:rsidRDefault="00B80C76" w:rsidP="00B80C76">
      <w:pPr>
        <w:jc w:val="both"/>
        <w:rPr>
          <w:rFonts w:ascii="Arial" w:hAnsi="Arial" w:cs="Arial"/>
        </w:rPr>
      </w:pPr>
    </w:p>
    <w:p w14:paraId="27C6641A" w14:textId="64BCF02E" w:rsidR="005D71AE" w:rsidRDefault="00180859" w:rsidP="0072610F">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CFC655" w14:textId="0F761455" w:rsidR="00A573E2" w:rsidRPr="00A573E2" w:rsidRDefault="00A573E2" w:rsidP="00A573E2">
      <w:pPr>
        <w:pStyle w:val="Heading1"/>
        <w:jc w:val="both"/>
        <w:rPr>
          <w:rFonts w:cs="Arial"/>
          <w:b w:val="0"/>
          <w:kern w:val="0"/>
          <w:sz w:val="20"/>
        </w:rPr>
      </w:pPr>
      <w:r w:rsidRPr="00A573E2">
        <w:rPr>
          <w:rFonts w:cs="Arial"/>
          <w:b w:val="0"/>
          <w:kern w:val="0"/>
          <w:sz w:val="20"/>
        </w:rPr>
        <w:t>The data collection process for this study was carried out in a systematic, ethical, and well-organized manner to ensure the accuracy, reliability, and integrity of the research. Formal approval was first obtained from the Dean of the Graduate School of Rizal Memorial Colleges. Subsequently, an official endorsement letter was submitted to the Schools Division Superintendent of the Division of Davao Oriental to secure permission to conduct the study within public elementary schools in the Boston District.</w:t>
      </w:r>
    </w:p>
    <w:p w14:paraId="516F517B" w14:textId="06958C3E" w:rsidR="00A573E2" w:rsidRPr="00A573E2" w:rsidRDefault="00A573E2" w:rsidP="00A573E2">
      <w:pPr>
        <w:pStyle w:val="Heading1"/>
        <w:jc w:val="both"/>
        <w:rPr>
          <w:rFonts w:cs="Arial"/>
          <w:b w:val="0"/>
          <w:kern w:val="0"/>
          <w:sz w:val="20"/>
        </w:rPr>
      </w:pPr>
      <w:r w:rsidRPr="00A573E2">
        <w:rPr>
          <w:rFonts w:cs="Arial"/>
          <w:b w:val="0"/>
          <w:kern w:val="0"/>
          <w:sz w:val="20"/>
        </w:rPr>
        <w:t>Once approvals were granted, the researcher distributed the researcher-made questionnaires to the 138 teacher-respondents in the Boston District. The instrument was specifically designed to gather data on building resilience and work engagement among public elementary school teachers. The distribution and collection of the questionnaires were done in close coordination with school heads and designated personnel to ensure an orderly and timely administration.</w:t>
      </w:r>
    </w:p>
    <w:p w14:paraId="27423449" w14:textId="1C420743" w:rsidR="00A573E2" w:rsidRPr="00A573E2" w:rsidRDefault="00A573E2" w:rsidP="00A573E2">
      <w:pPr>
        <w:pStyle w:val="Heading1"/>
        <w:jc w:val="both"/>
        <w:rPr>
          <w:rFonts w:cs="Arial"/>
          <w:b w:val="0"/>
          <w:kern w:val="0"/>
          <w:sz w:val="20"/>
        </w:rPr>
      </w:pPr>
      <w:r w:rsidRPr="00A573E2">
        <w:rPr>
          <w:rFonts w:cs="Arial"/>
          <w:b w:val="0"/>
          <w:kern w:val="0"/>
          <w:sz w:val="20"/>
        </w:rPr>
        <w:t>Before completing the survey, each participant was thoroughly informed about the purpose of the study, the procedures involved, and the ethical safeguards in place. Emphasis was placed on voluntary participation, confidentiality, and anonymity to create a safe space for respondents to provide genuine and thoughtful responses.</w:t>
      </w:r>
    </w:p>
    <w:p w14:paraId="12681E52" w14:textId="77777777" w:rsidR="00A573E2" w:rsidRDefault="00A573E2" w:rsidP="00A573E2">
      <w:pPr>
        <w:pStyle w:val="Heading1"/>
        <w:jc w:val="both"/>
        <w:rPr>
          <w:rFonts w:cs="Arial"/>
          <w:b w:val="0"/>
          <w:kern w:val="0"/>
          <w:sz w:val="20"/>
        </w:rPr>
      </w:pPr>
      <w:r w:rsidRPr="00A573E2">
        <w:rPr>
          <w:rFonts w:cs="Arial"/>
          <w:b w:val="0"/>
          <w:kern w:val="0"/>
          <w:sz w:val="20"/>
        </w:rPr>
        <w:t>After the data collection period, the completed questionnaires were retrieved and carefully reviewed. Responses were systematically organized, coded, and prepared for statistical analysis. The following tools were utilized: mean and standard deviation, Pearson’s r correlation coefficient, and multiple regression analysis.</w:t>
      </w:r>
    </w:p>
    <w:p w14:paraId="1C13872C" w14:textId="716A345F" w:rsidR="00717F2E" w:rsidRPr="005D71AE" w:rsidRDefault="00180859" w:rsidP="00A573E2">
      <w:pPr>
        <w:pStyle w:val="Heading1"/>
        <w:jc w:val="both"/>
        <w:rPr>
          <w:rFonts w:cs="Arial"/>
          <w:sz w:val="20"/>
        </w:rPr>
      </w:pPr>
      <w:r>
        <w:rPr>
          <w:rFonts w:cs="Arial"/>
          <w:sz w:val="20"/>
        </w:rPr>
        <w:t>2.5 Data Analysis</w:t>
      </w:r>
    </w:p>
    <w:p w14:paraId="68162116" w14:textId="77777777" w:rsidR="00416728"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402B098D" w14:textId="09E08E27" w:rsidR="00A573E2" w:rsidRPr="00A573E2" w:rsidRDefault="00A573E2" w:rsidP="00A573E2">
      <w:pPr>
        <w:pStyle w:val="Head1"/>
        <w:jc w:val="both"/>
        <w:rPr>
          <w:rFonts w:ascii="Arial" w:hAnsi="Arial" w:cs="Arial"/>
          <w:b w:val="0"/>
          <w:caps w:val="0"/>
          <w:color w:val="000000"/>
          <w:sz w:val="20"/>
        </w:rPr>
      </w:pPr>
      <w:r w:rsidRPr="00A573E2">
        <w:rPr>
          <w:rFonts w:ascii="Arial" w:hAnsi="Arial" w:cs="Arial"/>
          <w:b w:val="0"/>
          <w:caps w:val="0"/>
          <w:color w:val="000000"/>
          <w:sz w:val="20"/>
        </w:rPr>
        <w:lastRenderedPageBreak/>
        <w:t>In analyzing and interpreting the data collected for this study, several statistical tools were employed to effectively address the research objectives:</w:t>
      </w:r>
    </w:p>
    <w:p w14:paraId="60F8AD65" w14:textId="61B2EAED" w:rsidR="00A573E2" w:rsidRPr="00A573E2" w:rsidRDefault="00A573E2" w:rsidP="00A573E2">
      <w:pPr>
        <w:pStyle w:val="Head1"/>
        <w:jc w:val="both"/>
        <w:rPr>
          <w:rFonts w:ascii="Arial" w:hAnsi="Arial" w:cs="Arial"/>
          <w:b w:val="0"/>
          <w:caps w:val="0"/>
          <w:color w:val="000000"/>
          <w:sz w:val="20"/>
        </w:rPr>
      </w:pPr>
      <w:r w:rsidRPr="00A573E2">
        <w:rPr>
          <w:rFonts w:ascii="Arial" w:hAnsi="Arial" w:cs="Arial"/>
          <w:b w:val="0"/>
          <w:caps w:val="0"/>
          <w:color w:val="000000"/>
          <w:sz w:val="20"/>
        </w:rPr>
        <w:t>Mean and standard deviation were used to determine the overall levels of building resilience and work engagement among public elementary school teachers. These descriptive statistics provided a summary of the extent to which these attributes were exhibited by the respondents.</w:t>
      </w:r>
    </w:p>
    <w:p w14:paraId="6D2D6BBA" w14:textId="477AC91E" w:rsidR="00A573E2" w:rsidRPr="00A573E2" w:rsidRDefault="00A573E2" w:rsidP="00A573E2">
      <w:pPr>
        <w:pStyle w:val="Head1"/>
        <w:jc w:val="both"/>
        <w:rPr>
          <w:rFonts w:ascii="Arial" w:hAnsi="Arial" w:cs="Arial"/>
          <w:b w:val="0"/>
          <w:caps w:val="0"/>
          <w:color w:val="000000"/>
          <w:sz w:val="20"/>
        </w:rPr>
      </w:pPr>
      <w:r w:rsidRPr="00A573E2">
        <w:rPr>
          <w:rFonts w:ascii="Arial" w:hAnsi="Arial" w:cs="Arial"/>
          <w:b w:val="0"/>
          <w:caps w:val="0"/>
          <w:color w:val="000000"/>
          <w:sz w:val="20"/>
        </w:rPr>
        <w:t>Pearson’s Product-Moment Correlation Coefficient (Pearson r) was utilized to examine the strength and direction of the relationship between building resilience and work engagement. This inferential analysis aimed to determine whether a statistically significant association existed between the two variables.</w:t>
      </w:r>
    </w:p>
    <w:p w14:paraId="028AAA8C" w14:textId="77777777" w:rsidR="00A573E2" w:rsidRPr="00A573E2" w:rsidRDefault="00A573E2" w:rsidP="00A573E2">
      <w:pPr>
        <w:pStyle w:val="Head1"/>
        <w:jc w:val="both"/>
        <w:rPr>
          <w:rFonts w:ascii="Arial" w:hAnsi="Arial" w:cs="Arial"/>
          <w:b w:val="0"/>
          <w:caps w:val="0"/>
          <w:color w:val="000000"/>
          <w:sz w:val="20"/>
        </w:rPr>
      </w:pPr>
      <w:r w:rsidRPr="00A573E2">
        <w:rPr>
          <w:rFonts w:ascii="Arial" w:hAnsi="Arial" w:cs="Arial"/>
          <w:b w:val="0"/>
          <w:caps w:val="0"/>
          <w:color w:val="000000"/>
          <w:sz w:val="20"/>
        </w:rPr>
        <w:t>Furthermore, multiple linear regression analysis was conducted to assess the influence of building resilience on work engagement. This allowed the researcher to identify whether resilience significantly predicted the level of work engagement among public elementary school teachers.</w:t>
      </w:r>
    </w:p>
    <w:p w14:paraId="54D02440" w14:textId="163F1693"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91D6455" w14:textId="54B3E85C" w:rsidR="00667368" w:rsidRPr="00667368" w:rsidRDefault="00180859" w:rsidP="00667368">
      <w:pPr>
        <w:rPr>
          <w:rFonts w:ascii="Arial" w:hAnsi="Arial" w:cs="Arial"/>
          <w:b/>
        </w:rPr>
      </w:pPr>
      <w:r>
        <w:rPr>
          <w:rFonts w:ascii="Arial" w:hAnsi="Arial" w:cs="Arial"/>
          <w:b/>
        </w:rPr>
        <w:t xml:space="preserve">3.1 </w:t>
      </w:r>
      <w:r w:rsidR="00E06C51" w:rsidRPr="00E06C51">
        <w:rPr>
          <w:rFonts w:ascii="Arial" w:hAnsi="Arial" w:cs="Arial"/>
          <w:b/>
        </w:rPr>
        <w:t xml:space="preserve">Level of </w:t>
      </w:r>
      <w:r w:rsidR="00871745">
        <w:rPr>
          <w:rFonts w:ascii="Arial" w:hAnsi="Arial" w:cs="Arial"/>
          <w:b/>
        </w:rPr>
        <w:t xml:space="preserve">Building </w:t>
      </w:r>
      <w:r w:rsidR="00E06C51" w:rsidRPr="00E06C51">
        <w:rPr>
          <w:rFonts w:ascii="Arial" w:hAnsi="Arial" w:cs="Arial"/>
          <w:b/>
        </w:rPr>
        <w:t xml:space="preserve">Resilience at Work </w:t>
      </w:r>
      <w:r w:rsidR="009B6D0D">
        <w:rPr>
          <w:rFonts w:ascii="Arial" w:hAnsi="Arial" w:cs="Arial"/>
          <w:b/>
        </w:rPr>
        <w:t>among Teachers</w:t>
      </w:r>
    </w:p>
    <w:p w14:paraId="1B38FF68" w14:textId="67BF4CEB" w:rsidR="00EF4B2D" w:rsidRDefault="00EF4B2D">
      <w:pPr>
        <w:suppressAutoHyphens/>
        <w:jc w:val="both"/>
        <w:rPr>
          <w:rFonts w:ascii="Arial" w:hAnsi="Arial" w:cs="Arial"/>
          <w:b/>
        </w:rPr>
      </w:pPr>
    </w:p>
    <w:p w14:paraId="496DE70A" w14:textId="5D4B1A3C" w:rsidR="002F5C4B" w:rsidRDefault="00180859" w:rsidP="009B6D0D">
      <w:pPr>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E06C51" w:rsidRPr="00E06C51">
        <w:rPr>
          <w:rFonts w:ascii="Arial" w:hAnsi="Arial" w:cs="Arial"/>
          <w:i/>
          <w:iCs/>
        </w:rPr>
        <w:t>Level of</w:t>
      </w:r>
      <w:r w:rsidR="00871745">
        <w:rPr>
          <w:rFonts w:ascii="Arial" w:hAnsi="Arial" w:cs="Arial"/>
          <w:i/>
          <w:iCs/>
        </w:rPr>
        <w:t xml:space="preserve"> Building</w:t>
      </w:r>
      <w:r w:rsidR="00E06C51" w:rsidRPr="00E06C51">
        <w:rPr>
          <w:rFonts w:ascii="Arial" w:hAnsi="Arial" w:cs="Arial"/>
          <w:i/>
          <w:iCs/>
        </w:rPr>
        <w:t xml:space="preserve"> Resilience at Work among Teachers</w:t>
      </w:r>
    </w:p>
    <w:p w14:paraId="210C3B23" w14:textId="77777777" w:rsidR="006259A4" w:rsidRPr="006259A4" w:rsidRDefault="006259A4">
      <w:pPr>
        <w:suppressAutoHyphens/>
        <w:jc w:val="both"/>
        <w:rPr>
          <w:rFonts w:ascii="Arial" w:hAnsi="Arial" w:cs="Arial"/>
          <w:i/>
          <w:iCs/>
        </w:rPr>
      </w:pPr>
    </w:p>
    <w:tbl>
      <w:tblPr>
        <w:tblW w:w="5000" w:type="pct"/>
        <w:tblCellMar>
          <w:top w:w="55" w:type="dxa"/>
          <w:left w:w="55" w:type="dxa"/>
          <w:bottom w:w="55" w:type="dxa"/>
          <w:right w:w="55" w:type="dxa"/>
        </w:tblCellMar>
        <w:tblLook w:val="04A0" w:firstRow="1" w:lastRow="0" w:firstColumn="1" w:lastColumn="0" w:noHBand="0" w:noVBand="1"/>
      </w:tblPr>
      <w:tblGrid>
        <w:gridCol w:w="4394"/>
        <w:gridCol w:w="995"/>
        <w:gridCol w:w="829"/>
        <w:gridCol w:w="1990"/>
      </w:tblGrid>
      <w:tr w:rsidR="00E06C51" w:rsidRPr="00E06C51" w14:paraId="2694EE96" w14:textId="77777777" w:rsidTr="00F433AB">
        <w:trPr>
          <w:trHeight w:val="277"/>
        </w:trPr>
        <w:tc>
          <w:tcPr>
            <w:tcW w:w="2677" w:type="pct"/>
            <w:tcBorders>
              <w:top w:val="single" w:sz="4" w:space="0" w:color="auto"/>
              <w:bottom w:val="single" w:sz="4" w:space="0" w:color="auto"/>
            </w:tcBorders>
            <w:vAlign w:val="center"/>
          </w:tcPr>
          <w:p w14:paraId="292F0090"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Domains</w:t>
            </w:r>
          </w:p>
        </w:tc>
        <w:tc>
          <w:tcPr>
            <w:tcW w:w="606" w:type="pct"/>
            <w:tcBorders>
              <w:top w:val="single" w:sz="4" w:space="0" w:color="auto"/>
              <w:bottom w:val="single" w:sz="4" w:space="0" w:color="auto"/>
            </w:tcBorders>
            <w:vAlign w:val="center"/>
          </w:tcPr>
          <w:p w14:paraId="0B3563E4"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SD</w:t>
            </w:r>
          </w:p>
        </w:tc>
        <w:tc>
          <w:tcPr>
            <w:tcW w:w="505" w:type="pct"/>
            <w:tcBorders>
              <w:top w:val="single" w:sz="4" w:space="0" w:color="auto"/>
              <w:bottom w:val="single" w:sz="4" w:space="0" w:color="auto"/>
            </w:tcBorders>
            <w:vAlign w:val="center"/>
          </w:tcPr>
          <w:p w14:paraId="1A45D18F"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Mean</w:t>
            </w:r>
          </w:p>
        </w:tc>
        <w:tc>
          <w:tcPr>
            <w:tcW w:w="1212" w:type="pct"/>
            <w:tcBorders>
              <w:top w:val="single" w:sz="4" w:space="0" w:color="auto"/>
              <w:bottom w:val="single" w:sz="4" w:space="0" w:color="auto"/>
            </w:tcBorders>
            <w:vAlign w:val="center"/>
          </w:tcPr>
          <w:p w14:paraId="0385297A"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Descriptive Level</w:t>
            </w:r>
          </w:p>
        </w:tc>
      </w:tr>
      <w:tr w:rsidR="00E06C51" w:rsidRPr="00E06C51" w14:paraId="0A6E0427" w14:textId="77777777" w:rsidTr="00F433AB">
        <w:trPr>
          <w:trHeight w:val="251"/>
        </w:trPr>
        <w:tc>
          <w:tcPr>
            <w:tcW w:w="2677" w:type="pct"/>
          </w:tcPr>
          <w:p w14:paraId="3A91ABFC"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Authentic Living</w:t>
            </w:r>
          </w:p>
        </w:tc>
        <w:tc>
          <w:tcPr>
            <w:tcW w:w="606" w:type="pct"/>
            <w:vAlign w:val="center"/>
          </w:tcPr>
          <w:p w14:paraId="017FC4EF"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0.25</w:t>
            </w:r>
          </w:p>
        </w:tc>
        <w:tc>
          <w:tcPr>
            <w:tcW w:w="505" w:type="pct"/>
            <w:vAlign w:val="center"/>
          </w:tcPr>
          <w:p w14:paraId="1DB2A4E5"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4.10</w:t>
            </w:r>
          </w:p>
        </w:tc>
        <w:tc>
          <w:tcPr>
            <w:tcW w:w="1212" w:type="pct"/>
            <w:vAlign w:val="center"/>
          </w:tcPr>
          <w:p w14:paraId="696CB524"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611DCE17" w14:textId="77777777" w:rsidTr="00F433AB">
        <w:trPr>
          <w:trHeight w:val="233"/>
        </w:trPr>
        <w:tc>
          <w:tcPr>
            <w:tcW w:w="2677" w:type="pct"/>
          </w:tcPr>
          <w:p w14:paraId="39A214B3"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Finding Calling</w:t>
            </w:r>
          </w:p>
        </w:tc>
        <w:tc>
          <w:tcPr>
            <w:tcW w:w="606" w:type="pct"/>
            <w:vAlign w:val="center"/>
          </w:tcPr>
          <w:p w14:paraId="1A00EA46"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0.33</w:t>
            </w:r>
          </w:p>
        </w:tc>
        <w:tc>
          <w:tcPr>
            <w:tcW w:w="505" w:type="pct"/>
            <w:vAlign w:val="center"/>
          </w:tcPr>
          <w:p w14:paraId="302851B4"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4.13</w:t>
            </w:r>
          </w:p>
        </w:tc>
        <w:tc>
          <w:tcPr>
            <w:tcW w:w="1212" w:type="pct"/>
          </w:tcPr>
          <w:p w14:paraId="15D32ACE"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531C91D5" w14:textId="77777777" w:rsidTr="00F433AB">
        <w:trPr>
          <w:trHeight w:val="287"/>
        </w:trPr>
        <w:tc>
          <w:tcPr>
            <w:tcW w:w="2677" w:type="pct"/>
          </w:tcPr>
          <w:p w14:paraId="4F783D78"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Maintaining Perspective</w:t>
            </w:r>
          </w:p>
        </w:tc>
        <w:tc>
          <w:tcPr>
            <w:tcW w:w="606" w:type="pct"/>
            <w:vAlign w:val="center"/>
          </w:tcPr>
          <w:p w14:paraId="52DAFAC3"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0.28</w:t>
            </w:r>
          </w:p>
        </w:tc>
        <w:tc>
          <w:tcPr>
            <w:tcW w:w="505" w:type="pct"/>
            <w:vAlign w:val="center"/>
          </w:tcPr>
          <w:p w14:paraId="35D2E055"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4.19</w:t>
            </w:r>
          </w:p>
        </w:tc>
        <w:tc>
          <w:tcPr>
            <w:tcW w:w="1212" w:type="pct"/>
          </w:tcPr>
          <w:p w14:paraId="75F50061"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12E24B83" w14:textId="77777777" w:rsidTr="00F433AB">
        <w:trPr>
          <w:trHeight w:val="251"/>
        </w:trPr>
        <w:tc>
          <w:tcPr>
            <w:tcW w:w="2677" w:type="pct"/>
          </w:tcPr>
          <w:p w14:paraId="0A137751"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Managing Stress</w:t>
            </w:r>
          </w:p>
        </w:tc>
        <w:tc>
          <w:tcPr>
            <w:tcW w:w="606" w:type="pct"/>
            <w:vAlign w:val="center"/>
          </w:tcPr>
          <w:p w14:paraId="27D51739"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0.28</w:t>
            </w:r>
          </w:p>
        </w:tc>
        <w:tc>
          <w:tcPr>
            <w:tcW w:w="505" w:type="pct"/>
            <w:vAlign w:val="center"/>
          </w:tcPr>
          <w:p w14:paraId="34E8B369"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4.15</w:t>
            </w:r>
          </w:p>
        </w:tc>
        <w:tc>
          <w:tcPr>
            <w:tcW w:w="1212" w:type="pct"/>
          </w:tcPr>
          <w:p w14:paraId="5E37847B"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3638AA59" w14:textId="77777777" w:rsidTr="00F433AB">
        <w:trPr>
          <w:trHeight w:val="323"/>
        </w:trPr>
        <w:tc>
          <w:tcPr>
            <w:tcW w:w="2677" w:type="pct"/>
          </w:tcPr>
          <w:p w14:paraId="0E77987D"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Building Social Connections</w:t>
            </w:r>
          </w:p>
        </w:tc>
        <w:tc>
          <w:tcPr>
            <w:tcW w:w="606" w:type="pct"/>
            <w:vAlign w:val="center"/>
          </w:tcPr>
          <w:p w14:paraId="1D21BA38"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0.30</w:t>
            </w:r>
          </w:p>
        </w:tc>
        <w:tc>
          <w:tcPr>
            <w:tcW w:w="505" w:type="pct"/>
            <w:vAlign w:val="center"/>
          </w:tcPr>
          <w:p w14:paraId="31F1C2C6"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4.10</w:t>
            </w:r>
          </w:p>
        </w:tc>
        <w:tc>
          <w:tcPr>
            <w:tcW w:w="1212" w:type="pct"/>
          </w:tcPr>
          <w:p w14:paraId="22C9E3E6"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348ED92D" w14:textId="77777777" w:rsidTr="00F433AB">
        <w:trPr>
          <w:trHeight w:val="143"/>
        </w:trPr>
        <w:tc>
          <w:tcPr>
            <w:tcW w:w="2677" w:type="pct"/>
          </w:tcPr>
          <w:p w14:paraId="36EBF039" w14:textId="77777777" w:rsidR="00E06C51" w:rsidRPr="00E06C51" w:rsidRDefault="00E06C51" w:rsidP="00E06C51">
            <w:pPr>
              <w:ind w:left="173"/>
              <w:contextualSpacing/>
              <w:jc w:val="both"/>
              <w:rPr>
                <w:rFonts w:ascii="Arial" w:hAnsi="Arial" w:cs="Arial"/>
                <w:color w:val="000000"/>
                <w:lang w:eastAsia="ar-SA"/>
              </w:rPr>
            </w:pPr>
            <w:r w:rsidRPr="00E06C51">
              <w:rPr>
                <w:rFonts w:ascii="Arial" w:hAnsi="Arial" w:cs="Arial"/>
                <w:color w:val="000000"/>
                <w:lang w:eastAsia="ar-SA"/>
              </w:rPr>
              <w:t>Staying Healthy</w:t>
            </w:r>
          </w:p>
        </w:tc>
        <w:tc>
          <w:tcPr>
            <w:tcW w:w="606" w:type="pct"/>
            <w:vAlign w:val="center"/>
          </w:tcPr>
          <w:p w14:paraId="146B9706"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0.33</w:t>
            </w:r>
          </w:p>
        </w:tc>
        <w:tc>
          <w:tcPr>
            <w:tcW w:w="505" w:type="pct"/>
            <w:vAlign w:val="center"/>
          </w:tcPr>
          <w:p w14:paraId="7E8D6C43"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4.16</w:t>
            </w:r>
          </w:p>
        </w:tc>
        <w:tc>
          <w:tcPr>
            <w:tcW w:w="1212" w:type="pct"/>
          </w:tcPr>
          <w:p w14:paraId="127F3131" w14:textId="77777777" w:rsidR="00E06C51" w:rsidRPr="00E06C51" w:rsidRDefault="00E06C51" w:rsidP="00E06C51">
            <w:pPr>
              <w:suppressLineNumbers/>
              <w:suppressAutoHyphens/>
              <w:snapToGrid w:val="0"/>
              <w:jc w:val="center"/>
              <w:rPr>
                <w:rFonts w:ascii="Arial" w:hAnsi="Arial" w:cs="Arial"/>
                <w:color w:val="000000"/>
                <w:lang w:eastAsia="ar-SA"/>
              </w:rPr>
            </w:pPr>
            <w:r w:rsidRPr="00E06C51">
              <w:rPr>
                <w:rFonts w:ascii="Arial" w:hAnsi="Arial" w:cs="Arial"/>
                <w:color w:val="000000"/>
                <w:lang w:eastAsia="ar-SA"/>
              </w:rPr>
              <w:t xml:space="preserve"> High</w:t>
            </w:r>
          </w:p>
        </w:tc>
      </w:tr>
      <w:tr w:rsidR="00E06C51" w:rsidRPr="00E06C51" w14:paraId="587B759C" w14:textId="77777777" w:rsidTr="00F433AB">
        <w:trPr>
          <w:trHeight w:val="215"/>
        </w:trPr>
        <w:tc>
          <w:tcPr>
            <w:tcW w:w="2677" w:type="pct"/>
            <w:tcBorders>
              <w:bottom w:val="single" w:sz="4" w:space="0" w:color="auto"/>
            </w:tcBorders>
            <w:vAlign w:val="center"/>
          </w:tcPr>
          <w:p w14:paraId="672E6BE9" w14:textId="77777777" w:rsidR="00E06C51" w:rsidRPr="00E06C51" w:rsidRDefault="00E06C51" w:rsidP="00E06C51">
            <w:pPr>
              <w:suppressAutoHyphens/>
              <w:snapToGrid w:val="0"/>
              <w:ind w:left="755" w:hanging="755"/>
              <w:jc w:val="center"/>
              <w:rPr>
                <w:rFonts w:ascii="Arial" w:hAnsi="Arial" w:cs="Arial"/>
                <w:b/>
                <w:color w:val="000000"/>
                <w:lang w:eastAsia="ar-SA"/>
              </w:rPr>
            </w:pPr>
            <w:r w:rsidRPr="00E06C51">
              <w:rPr>
                <w:rFonts w:ascii="Arial" w:hAnsi="Arial" w:cs="Arial"/>
                <w:b/>
                <w:color w:val="000000"/>
                <w:lang w:eastAsia="ar-SA"/>
              </w:rPr>
              <w:t>Overall</w:t>
            </w:r>
          </w:p>
        </w:tc>
        <w:tc>
          <w:tcPr>
            <w:tcW w:w="606" w:type="pct"/>
            <w:tcBorders>
              <w:bottom w:val="single" w:sz="4" w:space="0" w:color="auto"/>
            </w:tcBorders>
            <w:vAlign w:val="center"/>
          </w:tcPr>
          <w:p w14:paraId="7AEEBE4E"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0.22</w:t>
            </w:r>
          </w:p>
        </w:tc>
        <w:tc>
          <w:tcPr>
            <w:tcW w:w="505" w:type="pct"/>
            <w:tcBorders>
              <w:bottom w:val="single" w:sz="4" w:space="0" w:color="auto"/>
            </w:tcBorders>
            <w:vAlign w:val="center"/>
          </w:tcPr>
          <w:p w14:paraId="3407AF6C" w14:textId="15D2485E"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4.1</w:t>
            </w:r>
            <w:r w:rsidR="00404D84">
              <w:rPr>
                <w:rFonts w:ascii="Arial" w:hAnsi="Arial" w:cs="Arial"/>
                <w:b/>
                <w:color w:val="000000"/>
                <w:lang w:eastAsia="ar-SA"/>
              </w:rPr>
              <w:t>4</w:t>
            </w:r>
          </w:p>
        </w:tc>
        <w:tc>
          <w:tcPr>
            <w:tcW w:w="1212" w:type="pct"/>
            <w:tcBorders>
              <w:bottom w:val="single" w:sz="4" w:space="0" w:color="auto"/>
            </w:tcBorders>
            <w:vAlign w:val="center"/>
          </w:tcPr>
          <w:p w14:paraId="25E18A18" w14:textId="77777777" w:rsidR="00E06C51" w:rsidRPr="00E06C51" w:rsidRDefault="00E06C51" w:rsidP="00E06C51">
            <w:pPr>
              <w:suppressLineNumbers/>
              <w:suppressAutoHyphens/>
              <w:snapToGrid w:val="0"/>
              <w:jc w:val="center"/>
              <w:rPr>
                <w:rFonts w:ascii="Arial" w:hAnsi="Arial" w:cs="Arial"/>
                <w:b/>
                <w:color w:val="000000"/>
                <w:lang w:eastAsia="ar-SA"/>
              </w:rPr>
            </w:pPr>
            <w:r w:rsidRPr="00E06C51">
              <w:rPr>
                <w:rFonts w:ascii="Arial" w:hAnsi="Arial" w:cs="Arial"/>
                <w:b/>
                <w:color w:val="000000"/>
                <w:lang w:eastAsia="ar-SA"/>
              </w:rPr>
              <w:t xml:space="preserve"> High</w:t>
            </w:r>
          </w:p>
        </w:tc>
      </w:tr>
    </w:tbl>
    <w:p w14:paraId="20CF6BE0" w14:textId="77777777" w:rsidR="00D453B9" w:rsidRDefault="00D453B9" w:rsidP="003248E3">
      <w:pPr>
        <w:jc w:val="both"/>
        <w:rPr>
          <w:rFonts w:ascii="Arial" w:hAnsi="Arial" w:cs="Arial"/>
        </w:rPr>
      </w:pPr>
    </w:p>
    <w:p w14:paraId="46B6E0B8" w14:textId="77777777" w:rsidR="00404D84" w:rsidRDefault="00404D84" w:rsidP="004D33FB">
      <w:pPr>
        <w:jc w:val="both"/>
        <w:rPr>
          <w:rFonts w:ascii="Arial" w:hAnsi="Arial" w:cs="Arial"/>
        </w:rPr>
      </w:pPr>
      <w:r w:rsidRPr="00404D84">
        <w:rPr>
          <w:rFonts w:ascii="Arial" w:hAnsi="Arial" w:cs="Arial"/>
        </w:rPr>
        <w:t>Presented in Table 1 is the level of building resilience at work among public elementary school teachers, based on the mean scores and standard deviations across six key domains: authentic living, finding calling, maintaining perspective, managing stress, building social connections, and staying healthy. The domain of maintaining perspective recorded the highest mean score of 4.19 with a standard deviation of 0.28, described as high, indicating that teachers generally maintain a positive and balanced outlook despite work challenges. This was followed by the domain of staying healthy, which had a mean score of 4.16 and a standard deviation of 0.33, reflecting teachers’ commitment to their physical and mental well-being. The domain of managing stress also received a high rating with a mean of 4.15 and a standard deviation of 0.28, suggesting effective coping strategies among teachers. The domains of finding calling and authentic living both scored above 4.10, with mean scores of 4.13 and 4.10 and standard deviations of 0.33 and 0.25 respectively, indicating a strong sense of purpose and genuine engagement in their work. Lastly, building social connections had a mean of 4.10 and a standard deviation of 0.30, reflecting positive relationships and support networks among colleagues. Overall, the level of building resilience among teachers yielded a mean score of 4.14 with a standard deviation of 0.22, categorized as high, demonstrating that resilience-</w:t>
      </w:r>
      <w:r w:rsidRPr="00404D84">
        <w:rPr>
          <w:rFonts w:ascii="Arial" w:hAnsi="Arial" w:cs="Arial"/>
        </w:rPr>
        <w:lastRenderedPageBreak/>
        <w:t>related qualities are well developed and prevalent in the teaching workforce. These findings suggest that public elementary school teachers possess strong personal and social resources that help them sustain their work engagement and effectiveness.</w:t>
      </w:r>
    </w:p>
    <w:p w14:paraId="46DBEF03" w14:textId="77777777" w:rsidR="00404D84" w:rsidRDefault="00404D84" w:rsidP="004D33FB">
      <w:pPr>
        <w:jc w:val="both"/>
        <w:rPr>
          <w:rFonts w:ascii="Arial" w:hAnsi="Arial" w:cs="Arial"/>
        </w:rPr>
      </w:pPr>
    </w:p>
    <w:p w14:paraId="1FB51F90" w14:textId="00CA5D92" w:rsidR="0028784A" w:rsidRDefault="002A3362" w:rsidP="004D33FB">
      <w:pPr>
        <w:jc w:val="both"/>
        <w:rPr>
          <w:rFonts w:ascii="Arial" w:hAnsi="Arial" w:cs="Arial"/>
        </w:rPr>
      </w:pPr>
      <w:r w:rsidRPr="002A3362">
        <w:rPr>
          <w:rFonts w:ascii="Arial" w:hAnsi="Arial" w:cs="Arial"/>
        </w:rPr>
        <w:t xml:space="preserve">This finding aligns with the study of </w:t>
      </w:r>
      <w:r w:rsidR="00BA3A94" w:rsidRPr="00BA3A94">
        <w:rPr>
          <w:rFonts w:ascii="Arial" w:hAnsi="Arial" w:cs="Arial"/>
        </w:rPr>
        <w:t>Kangas-Dick</w:t>
      </w:r>
      <w:r w:rsidR="00BA3A94">
        <w:rPr>
          <w:rFonts w:ascii="Arial" w:hAnsi="Arial" w:cs="Arial"/>
        </w:rPr>
        <w:t xml:space="preserve"> and </w:t>
      </w:r>
      <w:r w:rsidR="00BA3A94" w:rsidRPr="00BA3A94">
        <w:rPr>
          <w:rFonts w:ascii="Arial" w:hAnsi="Arial" w:cs="Arial"/>
        </w:rPr>
        <w:t>O’Shaughnessy</w:t>
      </w:r>
      <w:r w:rsidR="00BA3A94">
        <w:rPr>
          <w:rFonts w:ascii="Arial" w:hAnsi="Arial" w:cs="Arial"/>
        </w:rPr>
        <w:t xml:space="preserve"> (2020</w:t>
      </w:r>
      <w:r w:rsidRPr="002A3362">
        <w:rPr>
          <w:rFonts w:ascii="Arial" w:hAnsi="Arial" w:cs="Arial"/>
        </w:rPr>
        <w:t xml:space="preserve">), which demonstrated that high levels of building resilience at work significantly contribute to teachers’ ability to effectively manage workplace stress and maintain sustained engagement in their professional roles. </w:t>
      </w:r>
      <w:r w:rsidR="00BA3A94">
        <w:rPr>
          <w:rFonts w:ascii="Arial" w:hAnsi="Arial" w:cs="Arial"/>
        </w:rPr>
        <w:t>R</w:t>
      </w:r>
      <w:r w:rsidRPr="002A3362">
        <w:rPr>
          <w:rFonts w:ascii="Arial" w:hAnsi="Arial" w:cs="Arial"/>
        </w:rPr>
        <w:t xml:space="preserve">esilient educators exhibit greater emotional stability, perseverance, and adaptability, which are crucial for thriving in challenging educational environments. Similarly, </w:t>
      </w:r>
      <w:r w:rsidR="00C42C58">
        <w:rPr>
          <w:rFonts w:ascii="Arial" w:hAnsi="Arial" w:cs="Arial"/>
        </w:rPr>
        <w:t>Kaya</w:t>
      </w:r>
      <w:r w:rsidRPr="002A3362">
        <w:rPr>
          <w:rFonts w:ascii="Arial" w:hAnsi="Arial" w:cs="Arial"/>
        </w:rPr>
        <w:t xml:space="preserve"> (2024) found that fostering resilience among teachers enhances their motivation and commitment, leading to improved job satisfaction and reduced burnout. Their research highlighted that schools that prioritize resilience-building strategies tend to cultivate a more supportive and collaborative work culture. Additionally, </w:t>
      </w:r>
      <w:proofErr w:type="spellStart"/>
      <w:r w:rsidR="00D10BFC" w:rsidRPr="00D10BFC">
        <w:rPr>
          <w:rFonts w:ascii="Arial" w:hAnsi="Arial" w:cs="Arial"/>
        </w:rPr>
        <w:t>Karakasidou</w:t>
      </w:r>
      <w:proofErr w:type="spellEnd"/>
      <w:r w:rsidR="00D10BFC">
        <w:rPr>
          <w:rFonts w:ascii="Arial" w:hAnsi="Arial" w:cs="Arial"/>
        </w:rPr>
        <w:t xml:space="preserve"> et al. (2024</w:t>
      </w:r>
      <w:r w:rsidRPr="002A3362">
        <w:rPr>
          <w:rFonts w:ascii="Arial" w:hAnsi="Arial" w:cs="Arial"/>
        </w:rPr>
        <w:t>) reported that teachers with strong resilience skills contribute to positive student outcomes by maintaining consistent instructional quality and fostering a nurturing classroom atmosphere even in the face of adversity.</w:t>
      </w:r>
    </w:p>
    <w:p w14:paraId="1574E945" w14:textId="77777777" w:rsidR="002A3362" w:rsidRDefault="002A3362" w:rsidP="004D33FB">
      <w:pPr>
        <w:jc w:val="both"/>
        <w:rPr>
          <w:rFonts w:ascii="Arial" w:hAnsi="Arial" w:cs="Arial"/>
          <w:b/>
        </w:rPr>
      </w:pPr>
    </w:p>
    <w:p w14:paraId="3DCAC848" w14:textId="240FBD83" w:rsidR="00DF3634" w:rsidRPr="00DF3634" w:rsidRDefault="00180859" w:rsidP="00DF3634">
      <w:pPr>
        <w:rPr>
          <w:rFonts w:ascii="Arial" w:hAnsi="Arial" w:cs="Arial"/>
          <w:b/>
        </w:rPr>
      </w:pPr>
      <w:r>
        <w:rPr>
          <w:rFonts w:ascii="Arial" w:hAnsi="Arial" w:cs="Arial"/>
          <w:b/>
        </w:rPr>
        <w:t xml:space="preserve">3.2 </w:t>
      </w:r>
      <w:r w:rsidR="008623ED" w:rsidRPr="008623ED">
        <w:rPr>
          <w:rFonts w:ascii="Arial" w:hAnsi="Arial" w:cs="Arial"/>
          <w:b/>
        </w:rPr>
        <w:t xml:space="preserve">Level of Working Engagement </w:t>
      </w:r>
      <w:r w:rsidR="00CE2AD8" w:rsidRPr="00CE2AD8">
        <w:rPr>
          <w:rFonts w:ascii="Arial" w:hAnsi="Arial" w:cs="Arial"/>
          <w:b/>
        </w:rPr>
        <w:t>among Teachers</w:t>
      </w:r>
    </w:p>
    <w:p w14:paraId="1F410911" w14:textId="77777777" w:rsidR="00DF3634" w:rsidRDefault="00DF3634" w:rsidP="00416728">
      <w:pPr>
        <w:jc w:val="both"/>
        <w:rPr>
          <w:rFonts w:ascii="Arial" w:hAnsi="Arial" w:cs="Arial"/>
          <w:iCs/>
        </w:rPr>
      </w:pPr>
    </w:p>
    <w:p w14:paraId="49799F93" w14:textId="2592C145" w:rsidR="00CE2AD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623ED" w:rsidRPr="008623ED">
        <w:rPr>
          <w:rFonts w:ascii="Arial" w:hAnsi="Arial" w:cs="Arial"/>
          <w:i/>
        </w:rPr>
        <w:t>Level of Working Engagement among Teachers</w:t>
      </w:r>
    </w:p>
    <w:p w14:paraId="1346369B" w14:textId="77777777" w:rsidR="001371A6" w:rsidRDefault="001371A6">
      <w:pPr>
        <w:jc w:val="both"/>
        <w:rPr>
          <w:rFonts w:ascii="Arial" w:hAnsi="Arial" w:cs="Arial"/>
          <w:i/>
        </w:rPr>
      </w:pPr>
    </w:p>
    <w:tbl>
      <w:tblPr>
        <w:tblW w:w="5000" w:type="pct"/>
        <w:tblCellMar>
          <w:top w:w="55" w:type="dxa"/>
          <w:left w:w="55" w:type="dxa"/>
          <w:bottom w:w="55" w:type="dxa"/>
          <w:right w:w="55" w:type="dxa"/>
        </w:tblCellMar>
        <w:tblLook w:val="04A0" w:firstRow="1" w:lastRow="0" w:firstColumn="1" w:lastColumn="0" w:noHBand="0" w:noVBand="1"/>
      </w:tblPr>
      <w:tblGrid>
        <w:gridCol w:w="4394"/>
        <w:gridCol w:w="995"/>
        <w:gridCol w:w="829"/>
        <w:gridCol w:w="1990"/>
      </w:tblGrid>
      <w:tr w:rsidR="007E6288" w:rsidRPr="007E6288" w14:paraId="15F8AB5E" w14:textId="77777777" w:rsidTr="007E6288">
        <w:trPr>
          <w:trHeight w:val="15"/>
        </w:trPr>
        <w:tc>
          <w:tcPr>
            <w:tcW w:w="2677" w:type="pct"/>
            <w:tcBorders>
              <w:top w:val="single" w:sz="4" w:space="0" w:color="auto"/>
              <w:bottom w:val="single" w:sz="4" w:space="0" w:color="auto"/>
            </w:tcBorders>
            <w:vAlign w:val="center"/>
          </w:tcPr>
          <w:p w14:paraId="255CC3BB"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Domains</w:t>
            </w:r>
          </w:p>
        </w:tc>
        <w:tc>
          <w:tcPr>
            <w:tcW w:w="606" w:type="pct"/>
            <w:tcBorders>
              <w:top w:val="single" w:sz="4" w:space="0" w:color="auto"/>
              <w:bottom w:val="single" w:sz="4" w:space="0" w:color="auto"/>
            </w:tcBorders>
            <w:vAlign w:val="center"/>
          </w:tcPr>
          <w:p w14:paraId="72CDB02D"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SD</w:t>
            </w:r>
          </w:p>
        </w:tc>
        <w:tc>
          <w:tcPr>
            <w:tcW w:w="505" w:type="pct"/>
            <w:tcBorders>
              <w:top w:val="single" w:sz="4" w:space="0" w:color="auto"/>
              <w:bottom w:val="single" w:sz="4" w:space="0" w:color="auto"/>
            </w:tcBorders>
            <w:vAlign w:val="center"/>
          </w:tcPr>
          <w:p w14:paraId="57ECA6FB"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Mean</w:t>
            </w:r>
          </w:p>
        </w:tc>
        <w:tc>
          <w:tcPr>
            <w:tcW w:w="1212" w:type="pct"/>
            <w:tcBorders>
              <w:top w:val="single" w:sz="4" w:space="0" w:color="auto"/>
              <w:bottom w:val="single" w:sz="4" w:space="0" w:color="auto"/>
            </w:tcBorders>
            <w:vAlign w:val="center"/>
          </w:tcPr>
          <w:p w14:paraId="2CCED61C"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Descriptive Level</w:t>
            </w:r>
          </w:p>
        </w:tc>
      </w:tr>
      <w:tr w:rsidR="007E6288" w:rsidRPr="007E6288" w14:paraId="4EB2490C" w14:textId="77777777" w:rsidTr="007E6288">
        <w:trPr>
          <w:trHeight w:val="25"/>
        </w:trPr>
        <w:tc>
          <w:tcPr>
            <w:tcW w:w="2677" w:type="pct"/>
            <w:vAlign w:val="center"/>
          </w:tcPr>
          <w:p w14:paraId="7FD2FBA7" w14:textId="77777777" w:rsidR="007E6288" w:rsidRPr="007E6288" w:rsidRDefault="007E6288" w:rsidP="007E6288">
            <w:pPr>
              <w:ind w:left="173"/>
              <w:contextualSpacing/>
              <w:jc w:val="both"/>
              <w:rPr>
                <w:rFonts w:ascii="Arial" w:hAnsi="Arial" w:cs="Arial"/>
                <w:color w:val="000000"/>
                <w:lang w:eastAsia="ar-SA"/>
              </w:rPr>
            </w:pPr>
            <w:r w:rsidRPr="007E6288">
              <w:rPr>
                <w:rFonts w:ascii="Arial" w:hAnsi="Arial" w:cs="Arial"/>
                <w:color w:val="000000"/>
                <w:lang w:eastAsia="ar-SA"/>
              </w:rPr>
              <w:t>Cognitive Engagement Dimension</w:t>
            </w:r>
          </w:p>
        </w:tc>
        <w:tc>
          <w:tcPr>
            <w:tcW w:w="606" w:type="pct"/>
            <w:vAlign w:val="center"/>
          </w:tcPr>
          <w:p w14:paraId="5C0D32F2"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0.27</w:t>
            </w:r>
          </w:p>
        </w:tc>
        <w:tc>
          <w:tcPr>
            <w:tcW w:w="505" w:type="pct"/>
            <w:vAlign w:val="center"/>
          </w:tcPr>
          <w:p w14:paraId="016862BB"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4.11</w:t>
            </w:r>
          </w:p>
        </w:tc>
        <w:tc>
          <w:tcPr>
            <w:tcW w:w="1212" w:type="pct"/>
            <w:vAlign w:val="center"/>
          </w:tcPr>
          <w:p w14:paraId="1CA05A3B"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 xml:space="preserve"> High</w:t>
            </w:r>
          </w:p>
        </w:tc>
      </w:tr>
      <w:tr w:rsidR="007E6288" w:rsidRPr="007E6288" w14:paraId="34FBA68B" w14:textId="77777777" w:rsidTr="007E6288">
        <w:trPr>
          <w:trHeight w:val="44"/>
        </w:trPr>
        <w:tc>
          <w:tcPr>
            <w:tcW w:w="2677" w:type="pct"/>
            <w:vAlign w:val="center"/>
          </w:tcPr>
          <w:p w14:paraId="28A93EDE" w14:textId="77777777" w:rsidR="007E6288" w:rsidRPr="007E6288" w:rsidRDefault="007E6288" w:rsidP="007E6288">
            <w:pPr>
              <w:ind w:left="173"/>
              <w:contextualSpacing/>
              <w:jc w:val="both"/>
              <w:rPr>
                <w:rFonts w:ascii="Arial" w:hAnsi="Arial" w:cs="Arial"/>
                <w:color w:val="000000"/>
                <w:lang w:eastAsia="ar-SA"/>
              </w:rPr>
            </w:pPr>
            <w:r w:rsidRPr="007E6288">
              <w:rPr>
                <w:rFonts w:ascii="Arial" w:hAnsi="Arial" w:cs="Arial"/>
                <w:color w:val="000000"/>
                <w:lang w:eastAsia="ar-SA"/>
              </w:rPr>
              <w:t>Emotional Engagement Dimension</w:t>
            </w:r>
          </w:p>
        </w:tc>
        <w:tc>
          <w:tcPr>
            <w:tcW w:w="606" w:type="pct"/>
            <w:vAlign w:val="center"/>
          </w:tcPr>
          <w:p w14:paraId="7FDDA336"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0.29</w:t>
            </w:r>
          </w:p>
        </w:tc>
        <w:tc>
          <w:tcPr>
            <w:tcW w:w="505" w:type="pct"/>
            <w:vAlign w:val="center"/>
          </w:tcPr>
          <w:p w14:paraId="74CB4347"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4.10</w:t>
            </w:r>
          </w:p>
        </w:tc>
        <w:tc>
          <w:tcPr>
            <w:tcW w:w="1212" w:type="pct"/>
            <w:vAlign w:val="center"/>
          </w:tcPr>
          <w:p w14:paraId="34E0F3F4"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 xml:space="preserve"> High</w:t>
            </w:r>
          </w:p>
        </w:tc>
      </w:tr>
      <w:tr w:rsidR="007E6288" w:rsidRPr="007E6288" w14:paraId="52FD6F89" w14:textId="77777777" w:rsidTr="007E6288">
        <w:trPr>
          <w:trHeight w:val="25"/>
        </w:trPr>
        <w:tc>
          <w:tcPr>
            <w:tcW w:w="2677" w:type="pct"/>
            <w:vAlign w:val="center"/>
          </w:tcPr>
          <w:p w14:paraId="3530E03D" w14:textId="77777777" w:rsidR="007E6288" w:rsidRPr="007E6288" w:rsidRDefault="007E6288" w:rsidP="007E6288">
            <w:pPr>
              <w:ind w:left="173"/>
              <w:contextualSpacing/>
              <w:jc w:val="both"/>
              <w:rPr>
                <w:rFonts w:ascii="Arial" w:hAnsi="Arial" w:cs="Arial"/>
                <w:color w:val="000000"/>
                <w:lang w:eastAsia="ar-SA"/>
              </w:rPr>
            </w:pPr>
            <w:r w:rsidRPr="007E6288">
              <w:rPr>
                <w:rFonts w:ascii="Arial" w:hAnsi="Arial" w:cs="Arial"/>
                <w:color w:val="000000"/>
                <w:lang w:eastAsia="ar-SA"/>
              </w:rPr>
              <w:t>Physical Engagement Dimension</w:t>
            </w:r>
          </w:p>
        </w:tc>
        <w:tc>
          <w:tcPr>
            <w:tcW w:w="606" w:type="pct"/>
            <w:vAlign w:val="center"/>
          </w:tcPr>
          <w:p w14:paraId="2F17516A"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0.29</w:t>
            </w:r>
          </w:p>
        </w:tc>
        <w:tc>
          <w:tcPr>
            <w:tcW w:w="505" w:type="pct"/>
            <w:vAlign w:val="center"/>
          </w:tcPr>
          <w:p w14:paraId="2C9B0D66"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4.11</w:t>
            </w:r>
          </w:p>
        </w:tc>
        <w:tc>
          <w:tcPr>
            <w:tcW w:w="1212" w:type="pct"/>
            <w:vAlign w:val="center"/>
          </w:tcPr>
          <w:p w14:paraId="535DDD3E" w14:textId="77777777" w:rsidR="007E6288" w:rsidRPr="007E6288" w:rsidRDefault="007E6288" w:rsidP="007E6288">
            <w:pPr>
              <w:suppressLineNumbers/>
              <w:suppressAutoHyphens/>
              <w:snapToGrid w:val="0"/>
              <w:jc w:val="center"/>
              <w:rPr>
                <w:rFonts w:ascii="Arial" w:hAnsi="Arial" w:cs="Arial"/>
                <w:color w:val="000000"/>
                <w:lang w:eastAsia="ar-SA"/>
              </w:rPr>
            </w:pPr>
            <w:r w:rsidRPr="007E6288">
              <w:rPr>
                <w:rFonts w:ascii="Arial" w:hAnsi="Arial" w:cs="Arial"/>
                <w:color w:val="000000"/>
                <w:lang w:eastAsia="ar-SA"/>
              </w:rPr>
              <w:t>High</w:t>
            </w:r>
          </w:p>
        </w:tc>
      </w:tr>
      <w:tr w:rsidR="007E6288" w:rsidRPr="007E6288" w14:paraId="7418F442" w14:textId="77777777" w:rsidTr="007E6288">
        <w:trPr>
          <w:trHeight w:val="25"/>
        </w:trPr>
        <w:tc>
          <w:tcPr>
            <w:tcW w:w="2677" w:type="pct"/>
            <w:tcBorders>
              <w:bottom w:val="single" w:sz="4" w:space="0" w:color="auto"/>
            </w:tcBorders>
            <w:vAlign w:val="center"/>
          </w:tcPr>
          <w:p w14:paraId="5FACB6B4" w14:textId="77777777" w:rsidR="007E6288" w:rsidRPr="007E6288" w:rsidRDefault="007E6288" w:rsidP="007E6288">
            <w:pPr>
              <w:suppressAutoHyphens/>
              <w:snapToGrid w:val="0"/>
              <w:ind w:left="755" w:hanging="755"/>
              <w:jc w:val="center"/>
              <w:rPr>
                <w:rFonts w:ascii="Arial" w:hAnsi="Arial" w:cs="Arial"/>
                <w:b/>
                <w:color w:val="000000"/>
                <w:lang w:eastAsia="ar-SA"/>
              </w:rPr>
            </w:pPr>
            <w:r w:rsidRPr="007E6288">
              <w:rPr>
                <w:rFonts w:ascii="Arial" w:hAnsi="Arial" w:cs="Arial"/>
                <w:b/>
                <w:color w:val="000000"/>
                <w:lang w:eastAsia="ar-SA"/>
              </w:rPr>
              <w:t>Overall</w:t>
            </w:r>
          </w:p>
        </w:tc>
        <w:tc>
          <w:tcPr>
            <w:tcW w:w="606" w:type="pct"/>
            <w:tcBorders>
              <w:bottom w:val="single" w:sz="4" w:space="0" w:color="auto"/>
            </w:tcBorders>
            <w:vAlign w:val="center"/>
          </w:tcPr>
          <w:p w14:paraId="7FEA12B8" w14:textId="77777777" w:rsidR="007E6288" w:rsidRPr="007E6288" w:rsidRDefault="007E6288" w:rsidP="007E6288">
            <w:pPr>
              <w:suppressLineNumbers/>
              <w:suppressAutoHyphens/>
              <w:snapToGrid w:val="0"/>
              <w:jc w:val="center"/>
              <w:rPr>
                <w:rFonts w:ascii="Arial" w:hAnsi="Arial" w:cs="Arial"/>
                <w:b/>
                <w:color w:val="000000"/>
                <w:lang w:eastAsia="ar-SA"/>
              </w:rPr>
            </w:pPr>
            <w:r w:rsidRPr="007E6288">
              <w:rPr>
                <w:rFonts w:ascii="Arial" w:hAnsi="Arial" w:cs="Arial"/>
                <w:b/>
                <w:color w:val="000000"/>
                <w:lang w:eastAsia="ar-SA"/>
              </w:rPr>
              <w:t>0.25</w:t>
            </w:r>
          </w:p>
        </w:tc>
        <w:tc>
          <w:tcPr>
            <w:tcW w:w="505" w:type="pct"/>
            <w:tcBorders>
              <w:bottom w:val="single" w:sz="4" w:space="0" w:color="auto"/>
            </w:tcBorders>
            <w:vAlign w:val="center"/>
          </w:tcPr>
          <w:p w14:paraId="51DD1C4C" w14:textId="3705E50C" w:rsidR="007E6288" w:rsidRPr="007E6288" w:rsidRDefault="007E6288" w:rsidP="007E6288">
            <w:pPr>
              <w:suppressLineNumbers/>
              <w:suppressAutoHyphens/>
              <w:snapToGrid w:val="0"/>
              <w:jc w:val="center"/>
              <w:rPr>
                <w:rFonts w:ascii="Arial" w:hAnsi="Arial" w:cs="Arial"/>
                <w:b/>
                <w:color w:val="000000"/>
                <w:lang w:eastAsia="ar-SA"/>
              </w:rPr>
            </w:pPr>
            <w:r w:rsidRPr="007E6288">
              <w:rPr>
                <w:rFonts w:ascii="Arial" w:hAnsi="Arial" w:cs="Arial"/>
                <w:b/>
                <w:color w:val="000000"/>
                <w:lang w:eastAsia="ar-SA"/>
              </w:rPr>
              <w:t>4.1</w:t>
            </w:r>
            <w:r w:rsidR="00404D84">
              <w:rPr>
                <w:rFonts w:ascii="Arial" w:hAnsi="Arial" w:cs="Arial"/>
                <w:b/>
                <w:color w:val="000000"/>
                <w:lang w:eastAsia="ar-SA"/>
              </w:rPr>
              <w:t>1</w:t>
            </w:r>
          </w:p>
        </w:tc>
        <w:tc>
          <w:tcPr>
            <w:tcW w:w="1212" w:type="pct"/>
            <w:tcBorders>
              <w:bottom w:val="single" w:sz="4" w:space="0" w:color="auto"/>
            </w:tcBorders>
            <w:vAlign w:val="center"/>
          </w:tcPr>
          <w:p w14:paraId="2A936867" w14:textId="77777777" w:rsidR="007E6288" w:rsidRPr="007E6288" w:rsidRDefault="007E6288" w:rsidP="007E6288">
            <w:pPr>
              <w:suppressLineNumbers/>
              <w:suppressAutoHyphens/>
              <w:snapToGrid w:val="0"/>
              <w:jc w:val="center"/>
              <w:rPr>
                <w:rFonts w:ascii="Arial" w:hAnsi="Arial" w:cs="Arial"/>
                <w:b/>
                <w:color w:val="000000"/>
                <w:lang w:eastAsia="ar-SA"/>
              </w:rPr>
            </w:pPr>
            <w:r w:rsidRPr="007E6288">
              <w:rPr>
                <w:rFonts w:ascii="Arial" w:hAnsi="Arial" w:cs="Arial"/>
                <w:b/>
                <w:color w:val="000000"/>
                <w:lang w:eastAsia="ar-SA"/>
              </w:rPr>
              <w:t>High</w:t>
            </w:r>
          </w:p>
        </w:tc>
      </w:tr>
    </w:tbl>
    <w:p w14:paraId="21ED3F61" w14:textId="34DBD861" w:rsidR="0073677C" w:rsidRDefault="0073677C" w:rsidP="0073677C">
      <w:pPr>
        <w:jc w:val="both"/>
        <w:rPr>
          <w:rFonts w:ascii="Arial" w:hAnsi="Arial" w:cs="Arial"/>
        </w:rPr>
      </w:pPr>
    </w:p>
    <w:p w14:paraId="4208B2A9" w14:textId="77777777" w:rsidR="00404D84" w:rsidRPr="00404D84" w:rsidRDefault="00404D84" w:rsidP="00404D84">
      <w:pPr>
        <w:jc w:val="both"/>
        <w:rPr>
          <w:rFonts w:ascii="Arial" w:hAnsi="Arial" w:cs="Arial"/>
        </w:rPr>
      </w:pPr>
      <w:r w:rsidRPr="00404D84">
        <w:rPr>
          <w:rFonts w:ascii="Arial" w:hAnsi="Arial" w:cs="Arial"/>
        </w:rPr>
        <w:t>Presented in Table 2 is the level of working engagement among public elementary school teachers, based on the mean scores and standard deviations across three key domains: cognitive engagement, emotional engagement, and physical engagement. Both the cognitive engagement and physical engagement dimensions recorded the highest mean scores of 4.11, with standard deviations of 0.27 and 0.29 respectively, indicating that teachers are highly focused and actively involved in their work. The emotional engagement dimension followed closely with a mean score of 4.10 and a standard deviation of 0.29, reflecting a strong emotional connection and enthusiasm toward their teaching roles. Overall, the level of working engagement among teachers yielded a mean score of 4.11 with a standard deviation of 0.25, categorized as high, suggesting that teachers consistently demonstrate strong cognitive, emotional, and physical involvement in their professional duties.</w:t>
      </w:r>
    </w:p>
    <w:p w14:paraId="7FC2C738" w14:textId="77777777" w:rsidR="00516B90" w:rsidRDefault="00516B90" w:rsidP="00A24F5E">
      <w:pPr>
        <w:jc w:val="both"/>
        <w:rPr>
          <w:rFonts w:ascii="Arial" w:hAnsi="Arial" w:cs="Arial"/>
        </w:rPr>
      </w:pPr>
    </w:p>
    <w:p w14:paraId="2E23B30B" w14:textId="0A6B3A61" w:rsidR="00B82A10" w:rsidRPr="00B82A10" w:rsidRDefault="00B82A10" w:rsidP="00B82A10">
      <w:pPr>
        <w:jc w:val="both"/>
        <w:rPr>
          <w:rFonts w:ascii="Arial" w:hAnsi="Arial" w:cs="Arial"/>
        </w:rPr>
      </w:pPr>
      <w:r w:rsidRPr="00B82A10">
        <w:rPr>
          <w:rFonts w:ascii="Arial" w:hAnsi="Arial" w:cs="Arial"/>
        </w:rPr>
        <w:t xml:space="preserve">This finding aligns with the study of </w:t>
      </w:r>
      <w:r w:rsidR="00CC0571">
        <w:rPr>
          <w:rFonts w:ascii="Arial" w:hAnsi="Arial" w:cs="Arial"/>
        </w:rPr>
        <w:t>Wang (2022</w:t>
      </w:r>
      <w:r w:rsidRPr="00B82A10">
        <w:rPr>
          <w:rFonts w:ascii="Arial" w:hAnsi="Arial" w:cs="Arial"/>
        </w:rPr>
        <w:t>), which demonstrated that high levels of working engagement among teachers are strongly associated with enhanced instructional effectiveness and student achiev</w:t>
      </w:r>
      <w:r w:rsidR="00CC0571">
        <w:rPr>
          <w:rFonts w:ascii="Arial" w:hAnsi="Arial" w:cs="Arial"/>
        </w:rPr>
        <w:t>ement. E</w:t>
      </w:r>
      <w:r w:rsidRPr="00B82A10">
        <w:rPr>
          <w:rFonts w:ascii="Arial" w:hAnsi="Arial" w:cs="Arial"/>
        </w:rPr>
        <w:t xml:space="preserve">ngaged teachers exhibit greater enthusiasm, dedication, and energy in their work, which positively influences classroom dynamics and learning outcomes. Similarly, </w:t>
      </w:r>
      <w:r w:rsidR="00B4158C" w:rsidRPr="00B4158C">
        <w:rPr>
          <w:rFonts w:ascii="Arial" w:hAnsi="Arial" w:cs="Arial"/>
        </w:rPr>
        <w:t xml:space="preserve">Britton III </w:t>
      </w:r>
      <w:r w:rsidR="00B4158C">
        <w:rPr>
          <w:rFonts w:ascii="Arial" w:hAnsi="Arial" w:cs="Arial"/>
        </w:rPr>
        <w:t>(2025</w:t>
      </w:r>
      <w:r w:rsidRPr="00B82A10">
        <w:rPr>
          <w:rFonts w:ascii="Arial" w:hAnsi="Arial" w:cs="Arial"/>
        </w:rPr>
        <w:t xml:space="preserve">) found that fostering emotional, cognitive, and physical engagement in educators leads to increased job satisfaction and lower turnover rates. Their research highlighted that schools encouraging teacher engagement create more vibrant and motivating learning environments. Additionally, </w:t>
      </w:r>
      <w:r w:rsidR="00953BE3">
        <w:rPr>
          <w:rFonts w:ascii="Arial" w:hAnsi="Arial" w:cs="Arial"/>
        </w:rPr>
        <w:t>Cai</w:t>
      </w:r>
      <w:r w:rsidRPr="00B82A10">
        <w:rPr>
          <w:rFonts w:ascii="Arial" w:hAnsi="Arial" w:cs="Arial"/>
        </w:rPr>
        <w:t xml:space="preserve"> et al. (2022) reported that high working engagement contributes to teachers’ resilience against burnout, promoting sustained professional growth and collaboration within school communities.</w:t>
      </w:r>
    </w:p>
    <w:p w14:paraId="04C33F6B" w14:textId="5F53E530" w:rsidR="007238C5" w:rsidRDefault="007238C5" w:rsidP="00642A2C">
      <w:pPr>
        <w:jc w:val="both"/>
        <w:rPr>
          <w:rFonts w:ascii="Arial" w:hAnsi="Arial" w:cs="Arial"/>
          <w:b/>
          <w:bCs/>
          <w:iCs/>
        </w:rPr>
      </w:pPr>
    </w:p>
    <w:p w14:paraId="503C0FAA" w14:textId="4E102808" w:rsidR="0013571D" w:rsidRDefault="00781D5E" w:rsidP="0013571D">
      <w:pPr>
        <w:jc w:val="both"/>
        <w:rPr>
          <w:rFonts w:ascii="Arial" w:hAnsi="Arial" w:cs="Arial"/>
          <w:b/>
          <w:bCs/>
          <w:iCs/>
        </w:rPr>
      </w:pPr>
      <w:r>
        <w:rPr>
          <w:rFonts w:ascii="Arial" w:hAnsi="Arial" w:cs="Arial"/>
          <w:b/>
          <w:bCs/>
          <w:iCs/>
        </w:rPr>
        <w:lastRenderedPageBreak/>
        <w:t xml:space="preserve">3.3 </w:t>
      </w:r>
      <w:r w:rsidR="00123378" w:rsidRPr="00123378">
        <w:rPr>
          <w:rFonts w:ascii="Arial" w:hAnsi="Arial" w:cs="Arial"/>
          <w:b/>
          <w:bCs/>
          <w:iCs/>
        </w:rPr>
        <w:t>Significant Relationship Between Building Resilience and Working Engagement of Public Elementary School Teachers</w:t>
      </w:r>
    </w:p>
    <w:p w14:paraId="5CDCA886" w14:textId="77777777" w:rsidR="00123378" w:rsidRPr="0013571D" w:rsidRDefault="00123378" w:rsidP="0013571D">
      <w:pPr>
        <w:jc w:val="both"/>
        <w:rPr>
          <w:rFonts w:ascii="Arial" w:hAnsi="Arial" w:cs="Arial"/>
          <w:b/>
          <w:bCs/>
          <w:iCs/>
        </w:rPr>
      </w:pPr>
    </w:p>
    <w:p w14:paraId="363FF8A0" w14:textId="5596AF44" w:rsidR="00E5104A"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123378" w:rsidRPr="00123378">
        <w:rPr>
          <w:rFonts w:ascii="Arial" w:hAnsi="Arial" w:cs="Arial"/>
          <w:i/>
        </w:rPr>
        <w:t>Significant Relationship Between Building Resilience and Working Engagement of Public Elementary School Teachers</w:t>
      </w:r>
    </w:p>
    <w:p w14:paraId="30B2FE6D" w14:textId="77777777" w:rsidR="003C4FB6" w:rsidRDefault="003C4FB6" w:rsidP="00F927B2">
      <w:pPr>
        <w:jc w:val="both"/>
        <w:rPr>
          <w:rFonts w:ascii="Arial" w:hAnsi="Arial" w:cs="Arial"/>
          <w:iCs/>
        </w:rPr>
      </w:pPr>
    </w:p>
    <w:tbl>
      <w:tblPr>
        <w:tblW w:w="8187" w:type="dxa"/>
        <w:tblBorders>
          <w:top w:val="single" w:sz="4" w:space="0" w:color="auto"/>
          <w:bottom w:val="single" w:sz="4" w:space="0" w:color="auto"/>
        </w:tblBorders>
        <w:tblLayout w:type="fixed"/>
        <w:tblLook w:val="04A0" w:firstRow="1" w:lastRow="0" w:firstColumn="1" w:lastColumn="0" w:noHBand="0" w:noVBand="1"/>
      </w:tblPr>
      <w:tblGrid>
        <w:gridCol w:w="1638"/>
        <w:gridCol w:w="1621"/>
        <w:gridCol w:w="1194"/>
        <w:gridCol w:w="1364"/>
        <w:gridCol w:w="1279"/>
        <w:gridCol w:w="1091"/>
      </w:tblGrid>
      <w:tr w:rsidR="004A10D5" w:rsidRPr="004A10D5" w14:paraId="0E8082E4" w14:textId="77777777" w:rsidTr="00DB5A15">
        <w:trPr>
          <w:trHeight w:val="882"/>
        </w:trPr>
        <w:tc>
          <w:tcPr>
            <w:tcW w:w="1638" w:type="dxa"/>
            <w:tcBorders>
              <w:top w:val="single" w:sz="4" w:space="0" w:color="auto"/>
              <w:bottom w:val="single" w:sz="4" w:space="0" w:color="auto"/>
            </w:tcBorders>
          </w:tcPr>
          <w:p w14:paraId="11877100" w14:textId="77777777" w:rsidR="004A10D5" w:rsidRPr="004A10D5" w:rsidRDefault="004A10D5" w:rsidP="00D4168B">
            <w:pPr>
              <w:jc w:val="center"/>
              <w:rPr>
                <w:rFonts w:ascii="Arial" w:hAnsi="Arial" w:cs="Arial"/>
                <w:b/>
              </w:rPr>
            </w:pPr>
            <w:r w:rsidRPr="004A10D5">
              <w:rPr>
                <w:rFonts w:ascii="Arial" w:hAnsi="Arial" w:cs="Arial"/>
                <w:b/>
              </w:rPr>
              <w:t>Independent Variable</w:t>
            </w:r>
          </w:p>
        </w:tc>
        <w:tc>
          <w:tcPr>
            <w:tcW w:w="1621" w:type="dxa"/>
            <w:tcBorders>
              <w:top w:val="single" w:sz="4" w:space="0" w:color="auto"/>
              <w:bottom w:val="single" w:sz="4" w:space="0" w:color="auto"/>
            </w:tcBorders>
          </w:tcPr>
          <w:p w14:paraId="1406D95B" w14:textId="77777777" w:rsidR="004A10D5" w:rsidRPr="004A10D5" w:rsidRDefault="004A10D5" w:rsidP="00D4168B">
            <w:pPr>
              <w:jc w:val="center"/>
              <w:rPr>
                <w:rFonts w:ascii="Arial" w:hAnsi="Arial" w:cs="Arial"/>
                <w:b/>
              </w:rPr>
            </w:pPr>
            <w:r w:rsidRPr="004A10D5">
              <w:rPr>
                <w:rFonts w:ascii="Arial" w:hAnsi="Arial" w:cs="Arial"/>
                <w:b/>
              </w:rPr>
              <w:t>Dependent Variable</w:t>
            </w:r>
          </w:p>
        </w:tc>
        <w:tc>
          <w:tcPr>
            <w:tcW w:w="1194" w:type="dxa"/>
            <w:tcBorders>
              <w:top w:val="single" w:sz="4" w:space="0" w:color="auto"/>
              <w:bottom w:val="single" w:sz="4" w:space="0" w:color="auto"/>
            </w:tcBorders>
          </w:tcPr>
          <w:p w14:paraId="65CD2F0E" w14:textId="77777777" w:rsidR="004A10D5" w:rsidRPr="004A10D5" w:rsidRDefault="004A10D5" w:rsidP="00D4168B">
            <w:pPr>
              <w:jc w:val="center"/>
              <w:rPr>
                <w:rFonts w:ascii="Arial" w:hAnsi="Arial" w:cs="Arial"/>
                <w:b/>
              </w:rPr>
            </w:pPr>
            <w:proofErr w:type="spellStart"/>
            <w:r w:rsidRPr="004A10D5">
              <w:rPr>
                <w:rFonts w:ascii="Arial" w:hAnsi="Arial" w:cs="Arial"/>
                <w:b/>
              </w:rPr>
              <w:t>r-values</w:t>
            </w:r>
            <w:proofErr w:type="spellEnd"/>
          </w:p>
        </w:tc>
        <w:tc>
          <w:tcPr>
            <w:tcW w:w="1364" w:type="dxa"/>
            <w:tcBorders>
              <w:top w:val="single" w:sz="4" w:space="0" w:color="auto"/>
              <w:bottom w:val="single" w:sz="4" w:space="0" w:color="auto"/>
            </w:tcBorders>
          </w:tcPr>
          <w:p w14:paraId="0B93125E" w14:textId="77777777" w:rsidR="004A10D5" w:rsidRPr="004A10D5" w:rsidRDefault="004A10D5" w:rsidP="00D4168B">
            <w:pPr>
              <w:rPr>
                <w:rFonts w:ascii="Arial" w:hAnsi="Arial" w:cs="Arial"/>
                <w:b/>
              </w:rPr>
            </w:pPr>
            <w:r w:rsidRPr="004A10D5">
              <w:rPr>
                <w:rFonts w:ascii="Arial" w:hAnsi="Arial" w:cs="Arial"/>
                <w:b/>
              </w:rPr>
              <w:t>Degree of Correlation</w:t>
            </w:r>
          </w:p>
        </w:tc>
        <w:tc>
          <w:tcPr>
            <w:tcW w:w="1279" w:type="dxa"/>
            <w:tcBorders>
              <w:top w:val="single" w:sz="4" w:space="0" w:color="auto"/>
              <w:bottom w:val="single" w:sz="4" w:space="0" w:color="auto"/>
            </w:tcBorders>
          </w:tcPr>
          <w:p w14:paraId="2434514E" w14:textId="77777777" w:rsidR="004A10D5" w:rsidRPr="004A10D5" w:rsidRDefault="004A10D5" w:rsidP="00D4168B">
            <w:pPr>
              <w:jc w:val="center"/>
              <w:rPr>
                <w:rFonts w:ascii="Arial" w:hAnsi="Arial" w:cs="Arial"/>
                <w:b/>
              </w:rPr>
            </w:pPr>
            <w:r w:rsidRPr="004A10D5">
              <w:rPr>
                <w:rFonts w:ascii="Arial" w:hAnsi="Arial" w:cs="Arial"/>
                <w:b/>
              </w:rPr>
              <w:t>Computed p-value</w:t>
            </w:r>
          </w:p>
        </w:tc>
        <w:tc>
          <w:tcPr>
            <w:tcW w:w="1091" w:type="dxa"/>
            <w:tcBorders>
              <w:top w:val="single" w:sz="4" w:space="0" w:color="auto"/>
              <w:bottom w:val="single" w:sz="4" w:space="0" w:color="auto"/>
            </w:tcBorders>
          </w:tcPr>
          <w:p w14:paraId="061FD6CF" w14:textId="77777777" w:rsidR="004A10D5" w:rsidRPr="004A10D5" w:rsidRDefault="004A10D5" w:rsidP="00D4168B">
            <w:pPr>
              <w:jc w:val="center"/>
              <w:rPr>
                <w:rFonts w:ascii="Arial" w:hAnsi="Arial" w:cs="Arial"/>
                <w:b/>
              </w:rPr>
            </w:pPr>
            <w:r w:rsidRPr="004A10D5">
              <w:rPr>
                <w:rFonts w:ascii="Arial" w:hAnsi="Arial" w:cs="Arial"/>
                <w:b/>
              </w:rPr>
              <w:t>Decision</w:t>
            </w:r>
          </w:p>
        </w:tc>
      </w:tr>
      <w:tr w:rsidR="004A10D5" w:rsidRPr="004A10D5" w14:paraId="0A1EACDE" w14:textId="77777777" w:rsidTr="00DB5A15">
        <w:trPr>
          <w:trHeight w:val="1754"/>
        </w:trPr>
        <w:tc>
          <w:tcPr>
            <w:tcW w:w="1638" w:type="dxa"/>
            <w:tcBorders>
              <w:top w:val="single" w:sz="4" w:space="0" w:color="auto"/>
            </w:tcBorders>
          </w:tcPr>
          <w:p w14:paraId="1EB266DF" w14:textId="77777777" w:rsidR="00123378" w:rsidRDefault="00123378" w:rsidP="00D4168B">
            <w:pPr>
              <w:jc w:val="center"/>
              <w:rPr>
                <w:rFonts w:ascii="Arial" w:hAnsi="Arial" w:cs="Arial"/>
              </w:rPr>
            </w:pPr>
            <w:r w:rsidRPr="00123378">
              <w:rPr>
                <w:rFonts w:ascii="Arial" w:hAnsi="Arial" w:cs="Arial"/>
              </w:rPr>
              <w:t xml:space="preserve">Building Resilience </w:t>
            </w:r>
          </w:p>
          <w:p w14:paraId="3337DFE3" w14:textId="5450113E" w:rsidR="004A10D5" w:rsidRPr="004A10D5" w:rsidRDefault="004A10D5" w:rsidP="00D4168B">
            <w:pPr>
              <w:jc w:val="center"/>
              <w:rPr>
                <w:rFonts w:ascii="Arial" w:hAnsi="Arial" w:cs="Arial"/>
                <w:b/>
              </w:rPr>
            </w:pPr>
            <w:r w:rsidRPr="004A10D5">
              <w:rPr>
                <w:rFonts w:ascii="Arial" w:hAnsi="Arial" w:cs="Arial"/>
                <w:b/>
              </w:rPr>
              <w:t>(X)</w:t>
            </w:r>
          </w:p>
        </w:tc>
        <w:tc>
          <w:tcPr>
            <w:tcW w:w="1621" w:type="dxa"/>
            <w:tcBorders>
              <w:top w:val="single" w:sz="4" w:space="0" w:color="auto"/>
            </w:tcBorders>
          </w:tcPr>
          <w:p w14:paraId="03C32C38" w14:textId="77777777" w:rsidR="00123378" w:rsidRDefault="00123378" w:rsidP="004A10D5">
            <w:pPr>
              <w:jc w:val="center"/>
              <w:rPr>
                <w:rFonts w:ascii="Arial" w:hAnsi="Arial" w:cs="Arial"/>
              </w:rPr>
            </w:pPr>
            <w:r w:rsidRPr="00123378">
              <w:rPr>
                <w:rFonts w:ascii="Arial" w:hAnsi="Arial" w:cs="Arial"/>
              </w:rPr>
              <w:t xml:space="preserve">Working Engagement </w:t>
            </w:r>
          </w:p>
          <w:p w14:paraId="437DEE15" w14:textId="24AFB518" w:rsidR="004A10D5" w:rsidRPr="004A10D5" w:rsidRDefault="004A10D5" w:rsidP="004A10D5">
            <w:pPr>
              <w:jc w:val="center"/>
              <w:rPr>
                <w:rFonts w:ascii="Arial" w:hAnsi="Arial" w:cs="Arial"/>
                <w:b/>
              </w:rPr>
            </w:pPr>
            <w:r w:rsidRPr="004A10D5">
              <w:rPr>
                <w:rFonts w:ascii="Arial" w:hAnsi="Arial" w:cs="Arial"/>
                <w:b/>
              </w:rPr>
              <w:t>(Y)</w:t>
            </w:r>
          </w:p>
        </w:tc>
        <w:tc>
          <w:tcPr>
            <w:tcW w:w="1194" w:type="dxa"/>
            <w:tcBorders>
              <w:top w:val="single" w:sz="4" w:space="0" w:color="auto"/>
            </w:tcBorders>
          </w:tcPr>
          <w:p w14:paraId="512378EA" w14:textId="77777777" w:rsidR="004A10D5" w:rsidRPr="004A10D5" w:rsidRDefault="004A10D5" w:rsidP="00D4168B">
            <w:pPr>
              <w:jc w:val="center"/>
              <w:rPr>
                <w:rFonts w:ascii="Arial" w:hAnsi="Arial" w:cs="Arial"/>
              </w:rPr>
            </w:pPr>
          </w:p>
          <w:p w14:paraId="58E293C8" w14:textId="77777777" w:rsidR="004A10D5" w:rsidRPr="004A10D5" w:rsidRDefault="004A10D5" w:rsidP="00D4168B">
            <w:pPr>
              <w:jc w:val="center"/>
              <w:rPr>
                <w:rFonts w:ascii="Arial" w:hAnsi="Arial" w:cs="Arial"/>
              </w:rPr>
            </w:pPr>
          </w:p>
          <w:p w14:paraId="074C3348" w14:textId="212C59B6" w:rsidR="004A10D5" w:rsidRPr="004A10D5" w:rsidRDefault="00741D42" w:rsidP="00D4168B">
            <w:pPr>
              <w:jc w:val="center"/>
              <w:rPr>
                <w:rFonts w:ascii="Arial" w:hAnsi="Arial" w:cs="Arial"/>
              </w:rPr>
            </w:pPr>
            <w:r>
              <w:rPr>
                <w:rFonts w:ascii="Arial" w:hAnsi="Arial" w:cs="Arial"/>
              </w:rPr>
              <w:t>0</w:t>
            </w:r>
            <w:r w:rsidR="00B57165">
              <w:rPr>
                <w:rFonts w:ascii="Arial" w:hAnsi="Arial" w:cs="Arial"/>
              </w:rPr>
              <w:t>.703</w:t>
            </w:r>
          </w:p>
        </w:tc>
        <w:tc>
          <w:tcPr>
            <w:tcW w:w="1364" w:type="dxa"/>
            <w:tcBorders>
              <w:top w:val="single" w:sz="4" w:space="0" w:color="auto"/>
            </w:tcBorders>
          </w:tcPr>
          <w:p w14:paraId="1157F98C" w14:textId="77777777" w:rsidR="004A10D5" w:rsidRPr="004A10D5" w:rsidRDefault="004A10D5" w:rsidP="00D4168B">
            <w:pPr>
              <w:jc w:val="center"/>
              <w:rPr>
                <w:rFonts w:ascii="Arial" w:hAnsi="Arial" w:cs="Arial"/>
              </w:rPr>
            </w:pPr>
          </w:p>
          <w:p w14:paraId="770D1FA9" w14:textId="77777777" w:rsidR="004A10D5" w:rsidRPr="004A10D5" w:rsidRDefault="004A10D5" w:rsidP="00D4168B">
            <w:pPr>
              <w:jc w:val="center"/>
              <w:rPr>
                <w:rFonts w:ascii="Arial" w:hAnsi="Arial" w:cs="Arial"/>
              </w:rPr>
            </w:pPr>
          </w:p>
          <w:p w14:paraId="4D849240" w14:textId="01C9F3A5" w:rsidR="004A10D5" w:rsidRPr="004A10D5" w:rsidRDefault="00B57165" w:rsidP="00D4168B">
            <w:pPr>
              <w:jc w:val="center"/>
              <w:rPr>
                <w:rFonts w:ascii="Arial" w:hAnsi="Arial" w:cs="Arial"/>
              </w:rPr>
            </w:pPr>
            <w:r>
              <w:rPr>
                <w:rFonts w:ascii="Arial" w:hAnsi="Arial" w:cs="Arial"/>
              </w:rPr>
              <w:t>Moderate</w:t>
            </w:r>
            <w:r w:rsidR="004A10D5" w:rsidRPr="004A10D5">
              <w:rPr>
                <w:rFonts w:ascii="Arial" w:hAnsi="Arial" w:cs="Arial"/>
              </w:rPr>
              <w:t xml:space="preserve"> Correlation </w:t>
            </w:r>
          </w:p>
        </w:tc>
        <w:tc>
          <w:tcPr>
            <w:tcW w:w="1279" w:type="dxa"/>
            <w:tcBorders>
              <w:top w:val="single" w:sz="4" w:space="0" w:color="auto"/>
            </w:tcBorders>
          </w:tcPr>
          <w:p w14:paraId="71EB84D4" w14:textId="77777777" w:rsidR="004A10D5" w:rsidRPr="004A10D5" w:rsidRDefault="004A10D5" w:rsidP="00D4168B">
            <w:pPr>
              <w:jc w:val="center"/>
              <w:rPr>
                <w:rFonts w:ascii="Arial" w:hAnsi="Arial" w:cs="Arial"/>
              </w:rPr>
            </w:pPr>
          </w:p>
          <w:p w14:paraId="7353A236" w14:textId="77777777" w:rsidR="004A10D5" w:rsidRPr="004A10D5" w:rsidRDefault="004A10D5" w:rsidP="00D4168B">
            <w:pPr>
              <w:jc w:val="center"/>
              <w:rPr>
                <w:rFonts w:ascii="Arial" w:hAnsi="Arial" w:cs="Arial"/>
              </w:rPr>
            </w:pPr>
          </w:p>
          <w:p w14:paraId="6A82F2B7" w14:textId="5DF943E8" w:rsidR="004A10D5" w:rsidRPr="004A10D5" w:rsidRDefault="004A10D5" w:rsidP="00D4168B">
            <w:pPr>
              <w:jc w:val="center"/>
              <w:rPr>
                <w:rFonts w:ascii="Arial" w:hAnsi="Arial" w:cs="Arial"/>
              </w:rPr>
            </w:pPr>
            <w:r w:rsidRPr="004A10D5">
              <w:rPr>
                <w:rFonts w:ascii="Arial" w:hAnsi="Arial" w:cs="Arial"/>
              </w:rPr>
              <w:t>0.00</w:t>
            </w:r>
            <w:r w:rsidR="00E5104A">
              <w:rPr>
                <w:rFonts w:ascii="Arial" w:hAnsi="Arial" w:cs="Arial"/>
              </w:rPr>
              <w:t>0</w:t>
            </w:r>
          </w:p>
        </w:tc>
        <w:tc>
          <w:tcPr>
            <w:tcW w:w="1091" w:type="dxa"/>
            <w:tcBorders>
              <w:top w:val="single" w:sz="4" w:space="0" w:color="auto"/>
            </w:tcBorders>
          </w:tcPr>
          <w:p w14:paraId="3CA6557C" w14:textId="77777777" w:rsidR="004A10D5" w:rsidRPr="004A10D5" w:rsidRDefault="004A10D5" w:rsidP="00D4168B">
            <w:pPr>
              <w:rPr>
                <w:rFonts w:ascii="Arial" w:hAnsi="Arial" w:cs="Arial"/>
              </w:rPr>
            </w:pPr>
          </w:p>
          <w:p w14:paraId="542A4B50" w14:textId="77777777" w:rsidR="004A10D5" w:rsidRPr="004A10D5" w:rsidRDefault="004A10D5" w:rsidP="00D4168B">
            <w:pPr>
              <w:rPr>
                <w:rFonts w:ascii="Arial" w:hAnsi="Arial" w:cs="Arial"/>
              </w:rPr>
            </w:pPr>
          </w:p>
          <w:p w14:paraId="75983106" w14:textId="77777777" w:rsidR="004A10D5" w:rsidRPr="004A10D5" w:rsidRDefault="004A10D5" w:rsidP="00D4168B">
            <w:pPr>
              <w:rPr>
                <w:rFonts w:ascii="Arial" w:hAnsi="Arial" w:cs="Arial"/>
              </w:rPr>
            </w:pPr>
            <w:r w:rsidRPr="004A10D5">
              <w:rPr>
                <w:rFonts w:ascii="Arial" w:hAnsi="Arial" w:cs="Arial"/>
              </w:rPr>
              <w:t>Reject</w:t>
            </w:r>
          </w:p>
          <w:p w14:paraId="6A9DA1C6" w14:textId="77777777" w:rsidR="004A10D5" w:rsidRPr="004A10D5" w:rsidRDefault="004A10D5" w:rsidP="00D4168B">
            <w:pPr>
              <w:rPr>
                <w:rFonts w:ascii="Arial" w:hAnsi="Arial" w:cs="Arial"/>
              </w:rPr>
            </w:pPr>
          </w:p>
          <w:p w14:paraId="3C5406AA" w14:textId="77777777" w:rsidR="004A10D5" w:rsidRPr="004A10D5" w:rsidRDefault="004A10D5" w:rsidP="00D4168B">
            <w:pPr>
              <w:rPr>
                <w:rFonts w:ascii="Arial" w:hAnsi="Arial" w:cs="Arial"/>
              </w:rPr>
            </w:pPr>
          </w:p>
          <w:p w14:paraId="7E908A83" w14:textId="77777777" w:rsidR="004A10D5" w:rsidRPr="004A10D5" w:rsidRDefault="004A10D5" w:rsidP="00D4168B">
            <w:pPr>
              <w:rPr>
                <w:rFonts w:ascii="Arial" w:hAnsi="Arial" w:cs="Arial"/>
              </w:rPr>
            </w:pPr>
          </w:p>
        </w:tc>
      </w:tr>
    </w:tbl>
    <w:p w14:paraId="1BDBE2B2" w14:textId="77777777" w:rsidR="00717F2E" w:rsidRDefault="00717F2E">
      <w:pPr>
        <w:jc w:val="both"/>
        <w:rPr>
          <w:rFonts w:ascii="Arial" w:hAnsi="Arial" w:cs="Arial"/>
        </w:rPr>
      </w:pPr>
    </w:p>
    <w:p w14:paraId="1D18714E" w14:textId="77777777" w:rsidR="00556F72" w:rsidRPr="00556F72" w:rsidRDefault="00556F72" w:rsidP="00556F72">
      <w:pPr>
        <w:jc w:val="both"/>
        <w:rPr>
          <w:rFonts w:ascii="Arial" w:hAnsi="Arial" w:cs="Arial"/>
        </w:rPr>
      </w:pPr>
      <w:r w:rsidRPr="00556F72">
        <w:rPr>
          <w:rFonts w:ascii="Arial" w:hAnsi="Arial" w:cs="Arial"/>
        </w:rPr>
        <w:t>Presented in Table 3 is the correlation analysis between building resilience and working engagement among public elementary school teachers. The computed correlation coefficient (r) is 0.703, indicating a moderate degree of correlation between these variables. The corresponding p-value is 0.000, which is below the 0.05 level of significance. Based on these results, the null hypothesis is rejected, confirming that a statistically significant relationship exists between building resilience and working engagement. This finding suggests that higher levels of resilience among teachers are associated with greater engagement in their work, emphasizing the importance of fostering resilience to enhance teacher commitment and performance.</w:t>
      </w:r>
    </w:p>
    <w:p w14:paraId="071F4572" w14:textId="77777777" w:rsidR="00C64A20" w:rsidRDefault="00C64A20" w:rsidP="00376155">
      <w:pPr>
        <w:jc w:val="both"/>
        <w:rPr>
          <w:rFonts w:ascii="Arial" w:hAnsi="Arial" w:cs="Arial"/>
        </w:rPr>
      </w:pPr>
    </w:p>
    <w:p w14:paraId="510AB713" w14:textId="13FC7309" w:rsidR="00E56566" w:rsidRDefault="00E56566" w:rsidP="00E56566">
      <w:pPr>
        <w:jc w:val="both"/>
        <w:rPr>
          <w:rFonts w:ascii="Arial" w:hAnsi="Arial" w:cs="Arial"/>
          <w:bCs/>
          <w:iCs/>
        </w:rPr>
      </w:pPr>
      <w:r w:rsidRPr="00E56566">
        <w:rPr>
          <w:rFonts w:ascii="Arial" w:hAnsi="Arial" w:cs="Arial"/>
          <w:bCs/>
          <w:iCs/>
        </w:rPr>
        <w:t xml:space="preserve">This finding is supported by the study of </w:t>
      </w:r>
      <w:r w:rsidR="00070362">
        <w:rPr>
          <w:rFonts w:ascii="Arial" w:hAnsi="Arial" w:cs="Arial"/>
          <w:bCs/>
          <w:iCs/>
        </w:rPr>
        <w:t>Fathi et al.</w:t>
      </w:r>
      <w:r w:rsidRPr="00E56566">
        <w:rPr>
          <w:rFonts w:ascii="Arial" w:hAnsi="Arial" w:cs="Arial"/>
          <w:bCs/>
          <w:iCs/>
        </w:rPr>
        <w:t xml:space="preserve"> (2024), which identified a significant positive relationship between building resilience and working engagement among teachers. Their research highlighted that educators who demonstrate higher resilience are more likely to exhibit greater dedication, enthusiasm, and sustained effort in their professional roles. Similarly, </w:t>
      </w:r>
      <w:proofErr w:type="spellStart"/>
      <w:r w:rsidR="00070362" w:rsidRPr="00070362">
        <w:rPr>
          <w:rFonts w:ascii="Arial" w:hAnsi="Arial" w:cs="Arial"/>
          <w:bCs/>
          <w:iCs/>
        </w:rPr>
        <w:t>Boonma</w:t>
      </w:r>
      <w:proofErr w:type="spellEnd"/>
      <w:r w:rsidR="00070362" w:rsidRPr="00070362">
        <w:rPr>
          <w:rFonts w:ascii="Arial" w:hAnsi="Arial" w:cs="Arial"/>
          <w:bCs/>
          <w:iCs/>
        </w:rPr>
        <w:t xml:space="preserve"> </w:t>
      </w:r>
      <w:r w:rsidR="00070362">
        <w:rPr>
          <w:rFonts w:ascii="Arial" w:hAnsi="Arial" w:cs="Arial"/>
          <w:bCs/>
          <w:iCs/>
        </w:rPr>
        <w:t>(2025</w:t>
      </w:r>
      <w:r w:rsidRPr="00E56566">
        <w:rPr>
          <w:rFonts w:ascii="Arial" w:hAnsi="Arial" w:cs="Arial"/>
          <w:bCs/>
          <w:iCs/>
        </w:rPr>
        <w:t xml:space="preserve">) emphasized that resilience equips teachers with the capacity to manage stress and adapt to challenges, thereby enhancing their emotional and cognitive engagement at work. This aligns with the findings of </w:t>
      </w:r>
      <w:r w:rsidR="00791CB7" w:rsidRPr="00791CB7">
        <w:rPr>
          <w:rFonts w:ascii="Arial" w:hAnsi="Arial" w:cs="Arial"/>
          <w:bCs/>
          <w:iCs/>
        </w:rPr>
        <w:t>Mullen</w:t>
      </w:r>
      <w:r w:rsidRPr="00E56566">
        <w:rPr>
          <w:rFonts w:ascii="Arial" w:hAnsi="Arial" w:cs="Arial"/>
          <w:bCs/>
          <w:iCs/>
        </w:rPr>
        <w:t xml:space="preserve"> et al. (2021), who noted that resilient teachers contribute to a more motivated and committed workforce, fostering improved teaching performance and overall school effectiveness.</w:t>
      </w:r>
    </w:p>
    <w:p w14:paraId="2E7D1F3D" w14:textId="77777777" w:rsidR="002F3DF7" w:rsidRPr="00E56566" w:rsidRDefault="002F3DF7" w:rsidP="00E56566">
      <w:pPr>
        <w:jc w:val="both"/>
        <w:rPr>
          <w:rFonts w:ascii="Arial" w:hAnsi="Arial" w:cs="Arial"/>
          <w:bCs/>
          <w:iCs/>
        </w:rPr>
      </w:pPr>
    </w:p>
    <w:p w14:paraId="752838B1" w14:textId="7CB6466F" w:rsidR="00C82002" w:rsidRDefault="00665D1C" w:rsidP="00C8200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871745" w:rsidRPr="00871745">
        <w:rPr>
          <w:rFonts w:ascii="Arial" w:hAnsi="Arial" w:cs="Arial"/>
          <w:b/>
          <w:bCs/>
          <w:iCs/>
        </w:rPr>
        <w:t>Significant Influence of Domains of Building Resilience on Work Engagement of Teachers</w:t>
      </w:r>
    </w:p>
    <w:p w14:paraId="70769C83" w14:textId="77777777" w:rsidR="00F03BF6" w:rsidRPr="00C82002" w:rsidRDefault="00F03BF6" w:rsidP="00C82002">
      <w:pPr>
        <w:jc w:val="both"/>
        <w:rPr>
          <w:rFonts w:ascii="Arial" w:hAnsi="Arial" w:cs="Arial"/>
          <w:b/>
          <w:bCs/>
          <w:iCs/>
        </w:rPr>
      </w:pPr>
    </w:p>
    <w:p w14:paraId="27DE3BA8" w14:textId="3B9B65E0" w:rsidR="00F03BF6" w:rsidRDefault="00B364F1" w:rsidP="00F03BF6">
      <w:pPr>
        <w:jc w:val="both"/>
        <w:rPr>
          <w:rFonts w:ascii="Arial" w:eastAsia="Arial" w:hAnsi="Arial"/>
          <w:i/>
        </w:rPr>
      </w:pPr>
      <w:r w:rsidRPr="00B364F1">
        <w:rPr>
          <w:rFonts w:ascii="Arial" w:eastAsia="Arial" w:hAnsi="Arial"/>
          <w:b/>
        </w:rPr>
        <w:t xml:space="preserve">Table 4. </w:t>
      </w:r>
      <w:r w:rsidR="00871745" w:rsidRPr="00871745">
        <w:rPr>
          <w:rFonts w:ascii="Arial" w:eastAsia="Arial" w:hAnsi="Arial"/>
          <w:i/>
        </w:rPr>
        <w:t>Significant Influence of Domains of Building Resilience on Work Engagement of Teachers</w:t>
      </w:r>
    </w:p>
    <w:p w14:paraId="6B8DBCFF" w14:textId="77777777" w:rsidR="00871745" w:rsidRDefault="00871745" w:rsidP="00F03BF6">
      <w:pPr>
        <w:jc w:val="both"/>
        <w:rPr>
          <w:rFonts w:ascii="Arial" w:hAnsi="Arial" w:cs="Arial"/>
        </w:rPr>
      </w:pPr>
    </w:p>
    <w:tbl>
      <w:tblPr>
        <w:tblW w:w="8207" w:type="dxa"/>
        <w:tblCellSpacing w:w="15" w:type="dxa"/>
        <w:tblCellMar>
          <w:top w:w="15" w:type="dxa"/>
          <w:left w:w="15" w:type="dxa"/>
          <w:bottom w:w="15" w:type="dxa"/>
          <w:right w:w="15" w:type="dxa"/>
        </w:tblCellMar>
        <w:tblLook w:val="04A0" w:firstRow="1" w:lastRow="0" w:firstColumn="1" w:lastColumn="0" w:noHBand="0" w:noVBand="1"/>
      </w:tblPr>
      <w:tblGrid>
        <w:gridCol w:w="2880"/>
        <w:gridCol w:w="1260"/>
        <w:gridCol w:w="1260"/>
        <w:gridCol w:w="1350"/>
        <w:gridCol w:w="1457"/>
      </w:tblGrid>
      <w:tr w:rsidR="00871745" w:rsidRPr="00871745" w14:paraId="054C1B77" w14:textId="77777777" w:rsidTr="00871745">
        <w:trPr>
          <w:trHeight w:val="258"/>
          <w:tblHeader/>
          <w:tblCellSpacing w:w="15" w:type="dxa"/>
        </w:trPr>
        <w:tc>
          <w:tcPr>
            <w:tcW w:w="2835" w:type="dxa"/>
            <w:vAlign w:val="center"/>
            <w:hideMark/>
          </w:tcPr>
          <w:p w14:paraId="3C3F4912" w14:textId="77777777" w:rsidR="00871745" w:rsidRPr="00871745" w:rsidRDefault="00871745" w:rsidP="00871745">
            <w:pPr>
              <w:jc w:val="center"/>
              <w:rPr>
                <w:rFonts w:ascii="Arial" w:hAnsi="Arial" w:cs="Arial"/>
                <w:b/>
                <w:bCs/>
              </w:rPr>
            </w:pPr>
            <w:r w:rsidRPr="00871745">
              <w:rPr>
                <w:rFonts w:ascii="Arial" w:hAnsi="Arial" w:cs="Arial"/>
                <w:b/>
                <w:bCs/>
              </w:rPr>
              <w:t>Domains of Building Resilience</w:t>
            </w:r>
          </w:p>
        </w:tc>
        <w:tc>
          <w:tcPr>
            <w:tcW w:w="1230" w:type="dxa"/>
            <w:vAlign w:val="center"/>
            <w:hideMark/>
          </w:tcPr>
          <w:p w14:paraId="62E30277" w14:textId="77777777" w:rsidR="00871745" w:rsidRPr="00871745" w:rsidRDefault="00871745" w:rsidP="00871745">
            <w:pPr>
              <w:jc w:val="center"/>
              <w:rPr>
                <w:rFonts w:ascii="Arial" w:hAnsi="Arial" w:cs="Arial"/>
                <w:b/>
                <w:bCs/>
              </w:rPr>
            </w:pPr>
            <w:r w:rsidRPr="00871745">
              <w:rPr>
                <w:rFonts w:ascii="Arial" w:hAnsi="Arial" w:cs="Arial"/>
                <w:b/>
                <w:bCs/>
              </w:rPr>
              <w:t>B</w:t>
            </w:r>
          </w:p>
        </w:tc>
        <w:tc>
          <w:tcPr>
            <w:tcW w:w="1230" w:type="dxa"/>
            <w:vAlign w:val="center"/>
            <w:hideMark/>
          </w:tcPr>
          <w:p w14:paraId="39E281A6" w14:textId="77777777" w:rsidR="00871745" w:rsidRPr="00871745" w:rsidRDefault="00871745" w:rsidP="00871745">
            <w:pPr>
              <w:jc w:val="center"/>
              <w:rPr>
                <w:rFonts w:ascii="Arial" w:hAnsi="Arial" w:cs="Arial"/>
                <w:b/>
                <w:bCs/>
              </w:rPr>
            </w:pPr>
            <w:r w:rsidRPr="00871745">
              <w:rPr>
                <w:rFonts w:ascii="Arial" w:hAnsi="Arial" w:cs="Arial"/>
                <w:b/>
                <w:bCs/>
              </w:rPr>
              <w:t>β</w:t>
            </w:r>
          </w:p>
        </w:tc>
        <w:tc>
          <w:tcPr>
            <w:tcW w:w="1320" w:type="dxa"/>
            <w:vAlign w:val="center"/>
            <w:hideMark/>
          </w:tcPr>
          <w:p w14:paraId="41947ECB" w14:textId="77777777" w:rsidR="00871745" w:rsidRPr="00871745" w:rsidRDefault="00871745" w:rsidP="00871745">
            <w:pPr>
              <w:jc w:val="center"/>
              <w:rPr>
                <w:rFonts w:ascii="Arial" w:hAnsi="Arial" w:cs="Arial"/>
                <w:b/>
                <w:bCs/>
              </w:rPr>
            </w:pPr>
            <w:r w:rsidRPr="00871745">
              <w:rPr>
                <w:rFonts w:ascii="Arial" w:hAnsi="Arial" w:cs="Arial"/>
                <w:b/>
                <w:bCs/>
              </w:rPr>
              <w:t>t</w:t>
            </w:r>
          </w:p>
        </w:tc>
        <w:tc>
          <w:tcPr>
            <w:tcW w:w="1412" w:type="dxa"/>
            <w:vAlign w:val="center"/>
            <w:hideMark/>
          </w:tcPr>
          <w:p w14:paraId="78D10224" w14:textId="77777777" w:rsidR="00871745" w:rsidRPr="00871745" w:rsidRDefault="00871745" w:rsidP="00871745">
            <w:pPr>
              <w:jc w:val="center"/>
              <w:rPr>
                <w:rFonts w:ascii="Arial" w:hAnsi="Arial" w:cs="Arial"/>
                <w:b/>
                <w:bCs/>
              </w:rPr>
            </w:pPr>
            <w:r w:rsidRPr="00871745">
              <w:rPr>
                <w:rFonts w:ascii="Arial" w:hAnsi="Arial" w:cs="Arial"/>
                <w:b/>
                <w:bCs/>
              </w:rPr>
              <w:t>Sig.</w:t>
            </w:r>
          </w:p>
        </w:tc>
      </w:tr>
      <w:tr w:rsidR="00871745" w:rsidRPr="00871745" w14:paraId="1338B84B" w14:textId="77777777" w:rsidTr="00871745">
        <w:trPr>
          <w:trHeight w:val="258"/>
          <w:tblCellSpacing w:w="15" w:type="dxa"/>
        </w:trPr>
        <w:tc>
          <w:tcPr>
            <w:tcW w:w="2835" w:type="dxa"/>
            <w:vAlign w:val="center"/>
            <w:hideMark/>
          </w:tcPr>
          <w:p w14:paraId="53C6456C" w14:textId="77777777" w:rsidR="00871745" w:rsidRPr="00871745" w:rsidRDefault="00871745" w:rsidP="00871745">
            <w:pPr>
              <w:rPr>
                <w:rFonts w:ascii="Arial" w:hAnsi="Arial" w:cs="Arial"/>
              </w:rPr>
            </w:pPr>
            <w:r w:rsidRPr="00871745">
              <w:rPr>
                <w:rFonts w:ascii="Arial" w:hAnsi="Arial" w:cs="Arial"/>
              </w:rPr>
              <w:t>Constant</w:t>
            </w:r>
          </w:p>
        </w:tc>
        <w:tc>
          <w:tcPr>
            <w:tcW w:w="1230" w:type="dxa"/>
            <w:vAlign w:val="center"/>
            <w:hideMark/>
          </w:tcPr>
          <w:p w14:paraId="78622BFA" w14:textId="77777777" w:rsidR="00871745" w:rsidRPr="00871745" w:rsidRDefault="00871745" w:rsidP="00871745">
            <w:pPr>
              <w:jc w:val="center"/>
              <w:rPr>
                <w:rFonts w:ascii="Arial" w:hAnsi="Arial" w:cs="Arial"/>
              </w:rPr>
            </w:pPr>
            <w:r w:rsidRPr="00871745">
              <w:rPr>
                <w:rFonts w:ascii="Arial" w:hAnsi="Arial" w:cs="Arial"/>
              </w:rPr>
              <w:t>1.873</w:t>
            </w:r>
          </w:p>
        </w:tc>
        <w:tc>
          <w:tcPr>
            <w:tcW w:w="1230" w:type="dxa"/>
            <w:vAlign w:val="center"/>
            <w:hideMark/>
          </w:tcPr>
          <w:p w14:paraId="693E1DAA" w14:textId="77777777" w:rsidR="00871745" w:rsidRPr="00871745" w:rsidRDefault="00871745" w:rsidP="00871745">
            <w:pPr>
              <w:jc w:val="center"/>
              <w:rPr>
                <w:rFonts w:ascii="Arial" w:hAnsi="Arial" w:cs="Arial"/>
              </w:rPr>
            </w:pPr>
          </w:p>
        </w:tc>
        <w:tc>
          <w:tcPr>
            <w:tcW w:w="1320" w:type="dxa"/>
            <w:vAlign w:val="center"/>
            <w:hideMark/>
          </w:tcPr>
          <w:p w14:paraId="0F04E8BD" w14:textId="77777777" w:rsidR="00871745" w:rsidRPr="00871745" w:rsidRDefault="00871745" w:rsidP="00871745">
            <w:pPr>
              <w:jc w:val="center"/>
              <w:rPr>
                <w:rFonts w:ascii="Arial" w:hAnsi="Arial" w:cs="Arial"/>
              </w:rPr>
            </w:pPr>
            <w:r w:rsidRPr="00871745">
              <w:rPr>
                <w:rFonts w:ascii="Arial" w:hAnsi="Arial" w:cs="Arial"/>
              </w:rPr>
              <w:t>7.342</w:t>
            </w:r>
          </w:p>
        </w:tc>
        <w:tc>
          <w:tcPr>
            <w:tcW w:w="1412" w:type="dxa"/>
            <w:vAlign w:val="center"/>
            <w:hideMark/>
          </w:tcPr>
          <w:p w14:paraId="4A61564E" w14:textId="77777777" w:rsidR="00871745" w:rsidRPr="00871745" w:rsidRDefault="00871745" w:rsidP="00871745">
            <w:pPr>
              <w:jc w:val="center"/>
              <w:rPr>
                <w:rFonts w:ascii="Arial" w:hAnsi="Arial" w:cs="Arial"/>
              </w:rPr>
            </w:pPr>
            <w:r w:rsidRPr="00871745">
              <w:rPr>
                <w:rFonts w:ascii="Arial" w:hAnsi="Arial" w:cs="Arial"/>
              </w:rPr>
              <w:t>.000</w:t>
            </w:r>
          </w:p>
        </w:tc>
      </w:tr>
      <w:tr w:rsidR="00871745" w:rsidRPr="00871745" w14:paraId="5BABC012" w14:textId="77777777" w:rsidTr="00871745">
        <w:trPr>
          <w:trHeight w:val="258"/>
          <w:tblCellSpacing w:w="15" w:type="dxa"/>
        </w:trPr>
        <w:tc>
          <w:tcPr>
            <w:tcW w:w="2835" w:type="dxa"/>
            <w:vAlign w:val="center"/>
            <w:hideMark/>
          </w:tcPr>
          <w:p w14:paraId="0202D371" w14:textId="77777777" w:rsidR="00871745" w:rsidRPr="00871745" w:rsidRDefault="00871745" w:rsidP="00871745">
            <w:pPr>
              <w:rPr>
                <w:rFonts w:ascii="Arial" w:hAnsi="Arial" w:cs="Arial"/>
              </w:rPr>
            </w:pPr>
            <w:r w:rsidRPr="00871745">
              <w:rPr>
                <w:rFonts w:ascii="Arial" w:hAnsi="Arial" w:cs="Arial"/>
              </w:rPr>
              <w:t>Authentic Living</w:t>
            </w:r>
          </w:p>
        </w:tc>
        <w:tc>
          <w:tcPr>
            <w:tcW w:w="1230" w:type="dxa"/>
            <w:vAlign w:val="center"/>
            <w:hideMark/>
          </w:tcPr>
          <w:p w14:paraId="41764063" w14:textId="77777777" w:rsidR="00871745" w:rsidRPr="00871745" w:rsidRDefault="00871745" w:rsidP="00871745">
            <w:pPr>
              <w:jc w:val="center"/>
              <w:rPr>
                <w:rFonts w:ascii="Arial" w:hAnsi="Arial" w:cs="Arial"/>
              </w:rPr>
            </w:pPr>
            <w:r w:rsidRPr="00871745">
              <w:rPr>
                <w:rFonts w:ascii="Arial" w:hAnsi="Arial" w:cs="Arial"/>
              </w:rPr>
              <w:t>0.134</w:t>
            </w:r>
          </w:p>
        </w:tc>
        <w:tc>
          <w:tcPr>
            <w:tcW w:w="1230" w:type="dxa"/>
            <w:vAlign w:val="center"/>
            <w:hideMark/>
          </w:tcPr>
          <w:p w14:paraId="7090E17E" w14:textId="77777777" w:rsidR="00871745" w:rsidRPr="00871745" w:rsidRDefault="00871745" w:rsidP="00871745">
            <w:pPr>
              <w:jc w:val="center"/>
              <w:rPr>
                <w:rFonts w:ascii="Arial" w:hAnsi="Arial" w:cs="Arial"/>
              </w:rPr>
            </w:pPr>
            <w:r w:rsidRPr="00871745">
              <w:rPr>
                <w:rFonts w:ascii="Arial" w:hAnsi="Arial" w:cs="Arial"/>
              </w:rPr>
              <w:t>0.175</w:t>
            </w:r>
          </w:p>
        </w:tc>
        <w:tc>
          <w:tcPr>
            <w:tcW w:w="1320" w:type="dxa"/>
            <w:vAlign w:val="center"/>
            <w:hideMark/>
          </w:tcPr>
          <w:p w14:paraId="01279337" w14:textId="77777777" w:rsidR="00871745" w:rsidRPr="00871745" w:rsidRDefault="00871745" w:rsidP="00871745">
            <w:pPr>
              <w:jc w:val="center"/>
              <w:rPr>
                <w:rFonts w:ascii="Arial" w:hAnsi="Arial" w:cs="Arial"/>
              </w:rPr>
            </w:pPr>
            <w:r w:rsidRPr="00871745">
              <w:rPr>
                <w:rFonts w:ascii="Arial" w:hAnsi="Arial" w:cs="Arial"/>
              </w:rPr>
              <w:t>3.210</w:t>
            </w:r>
          </w:p>
        </w:tc>
        <w:tc>
          <w:tcPr>
            <w:tcW w:w="1412" w:type="dxa"/>
            <w:vAlign w:val="center"/>
            <w:hideMark/>
          </w:tcPr>
          <w:p w14:paraId="664762F2" w14:textId="77777777" w:rsidR="00871745" w:rsidRPr="00871745" w:rsidRDefault="00871745" w:rsidP="00871745">
            <w:pPr>
              <w:jc w:val="center"/>
              <w:rPr>
                <w:rFonts w:ascii="Arial" w:hAnsi="Arial" w:cs="Arial"/>
              </w:rPr>
            </w:pPr>
            <w:r w:rsidRPr="00871745">
              <w:rPr>
                <w:rFonts w:ascii="Arial" w:hAnsi="Arial" w:cs="Arial"/>
              </w:rPr>
              <w:t>.002</w:t>
            </w:r>
          </w:p>
        </w:tc>
      </w:tr>
      <w:tr w:rsidR="00871745" w:rsidRPr="00871745" w14:paraId="0B4717ED" w14:textId="77777777" w:rsidTr="00871745">
        <w:trPr>
          <w:trHeight w:val="258"/>
          <w:tblCellSpacing w:w="15" w:type="dxa"/>
        </w:trPr>
        <w:tc>
          <w:tcPr>
            <w:tcW w:w="2835" w:type="dxa"/>
            <w:vAlign w:val="center"/>
            <w:hideMark/>
          </w:tcPr>
          <w:p w14:paraId="66F455E4" w14:textId="77777777" w:rsidR="00871745" w:rsidRPr="00871745" w:rsidRDefault="00871745" w:rsidP="00871745">
            <w:pPr>
              <w:rPr>
                <w:rFonts w:ascii="Arial" w:hAnsi="Arial" w:cs="Arial"/>
              </w:rPr>
            </w:pPr>
            <w:r w:rsidRPr="00871745">
              <w:rPr>
                <w:rFonts w:ascii="Arial" w:hAnsi="Arial" w:cs="Arial"/>
              </w:rPr>
              <w:t>Finding Calling</w:t>
            </w:r>
          </w:p>
        </w:tc>
        <w:tc>
          <w:tcPr>
            <w:tcW w:w="1230" w:type="dxa"/>
            <w:vAlign w:val="center"/>
            <w:hideMark/>
          </w:tcPr>
          <w:p w14:paraId="4690067C" w14:textId="77777777" w:rsidR="00871745" w:rsidRPr="00871745" w:rsidRDefault="00871745" w:rsidP="00871745">
            <w:pPr>
              <w:jc w:val="center"/>
              <w:rPr>
                <w:rFonts w:ascii="Arial" w:hAnsi="Arial" w:cs="Arial"/>
              </w:rPr>
            </w:pPr>
            <w:r w:rsidRPr="00871745">
              <w:rPr>
                <w:rFonts w:ascii="Arial" w:hAnsi="Arial" w:cs="Arial"/>
              </w:rPr>
              <w:t>0.118</w:t>
            </w:r>
          </w:p>
        </w:tc>
        <w:tc>
          <w:tcPr>
            <w:tcW w:w="1230" w:type="dxa"/>
            <w:vAlign w:val="center"/>
            <w:hideMark/>
          </w:tcPr>
          <w:p w14:paraId="1E55AA27" w14:textId="77777777" w:rsidR="00871745" w:rsidRPr="00871745" w:rsidRDefault="00871745" w:rsidP="00871745">
            <w:pPr>
              <w:jc w:val="center"/>
              <w:rPr>
                <w:rFonts w:ascii="Arial" w:hAnsi="Arial" w:cs="Arial"/>
              </w:rPr>
            </w:pPr>
            <w:r w:rsidRPr="00871745">
              <w:rPr>
                <w:rFonts w:ascii="Arial" w:hAnsi="Arial" w:cs="Arial"/>
              </w:rPr>
              <w:t>0.153</w:t>
            </w:r>
          </w:p>
        </w:tc>
        <w:tc>
          <w:tcPr>
            <w:tcW w:w="1320" w:type="dxa"/>
            <w:vAlign w:val="center"/>
            <w:hideMark/>
          </w:tcPr>
          <w:p w14:paraId="576D4B3F" w14:textId="77777777" w:rsidR="00871745" w:rsidRPr="00871745" w:rsidRDefault="00871745" w:rsidP="00871745">
            <w:pPr>
              <w:jc w:val="center"/>
              <w:rPr>
                <w:rFonts w:ascii="Arial" w:hAnsi="Arial" w:cs="Arial"/>
              </w:rPr>
            </w:pPr>
            <w:r w:rsidRPr="00871745">
              <w:rPr>
                <w:rFonts w:ascii="Arial" w:hAnsi="Arial" w:cs="Arial"/>
              </w:rPr>
              <w:t>2.890</w:t>
            </w:r>
          </w:p>
        </w:tc>
        <w:tc>
          <w:tcPr>
            <w:tcW w:w="1412" w:type="dxa"/>
            <w:vAlign w:val="center"/>
            <w:hideMark/>
          </w:tcPr>
          <w:p w14:paraId="16EC88C1" w14:textId="77777777" w:rsidR="00871745" w:rsidRPr="00871745" w:rsidRDefault="00871745" w:rsidP="00871745">
            <w:pPr>
              <w:jc w:val="center"/>
              <w:rPr>
                <w:rFonts w:ascii="Arial" w:hAnsi="Arial" w:cs="Arial"/>
              </w:rPr>
            </w:pPr>
            <w:r w:rsidRPr="00871745">
              <w:rPr>
                <w:rFonts w:ascii="Arial" w:hAnsi="Arial" w:cs="Arial"/>
              </w:rPr>
              <w:t>.004</w:t>
            </w:r>
          </w:p>
        </w:tc>
      </w:tr>
      <w:tr w:rsidR="00871745" w:rsidRPr="00871745" w14:paraId="110C17AB" w14:textId="77777777" w:rsidTr="00871745">
        <w:trPr>
          <w:trHeight w:val="258"/>
          <w:tblCellSpacing w:w="15" w:type="dxa"/>
        </w:trPr>
        <w:tc>
          <w:tcPr>
            <w:tcW w:w="2835" w:type="dxa"/>
            <w:vAlign w:val="center"/>
            <w:hideMark/>
          </w:tcPr>
          <w:p w14:paraId="416DA156" w14:textId="77777777" w:rsidR="00871745" w:rsidRPr="00871745" w:rsidRDefault="00871745" w:rsidP="00871745">
            <w:pPr>
              <w:rPr>
                <w:rFonts w:ascii="Arial" w:hAnsi="Arial" w:cs="Arial"/>
              </w:rPr>
            </w:pPr>
            <w:r w:rsidRPr="00871745">
              <w:rPr>
                <w:rFonts w:ascii="Arial" w:hAnsi="Arial" w:cs="Arial"/>
              </w:rPr>
              <w:t>Maintaining Perspective</w:t>
            </w:r>
          </w:p>
        </w:tc>
        <w:tc>
          <w:tcPr>
            <w:tcW w:w="1230" w:type="dxa"/>
            <w:vAlign w:val="center"/>
            <w:hideMark/>
          </w:tcPr>
          <w:p w14:paraId="25D32999" w14:textId="77777777" w:rsidR="00871745" w:rsidRPr="00871745" w:rsidRDefault="00871745" w:rsidP="00871745">
            <w:pPr>
              <w:jc w:val="center"/>
              <w:rPr>
                <w:rFonts w:ascii="Arial" w:hAnsi="Arial" w:cs="Arial"/>
              </w:rPr>
            </w:pPr>
            <w:r w:rsidRPr="00871745">
              <w:rPr>
                <w:rFonts w:ascii="Arial" w:hAnsi="Arial" w:cs="Arial"/>
              </w:rPr>
              <w:t>0.101</w:t>
            </w:r>
          </w:p>
        </w:tc>
        <w:tc>
          <w:tcPr>
            <w:tcW w:w="1230" w:type="dxa"/>
            <w:vAlign w:val="center"/>
            <w:hideMark/>
          </w:tcPr>
          <w:p w14:paraId="30EFA5C1" w14:textId="77777777" w:rsidR="00871745" w:rsidRPr="00871745" w:rsidRDefault="00871745" w:rsidP="00871745">
            <w:pPr>
              <w:jc w:val="center"/>
              <w:rPr>
                <w:rFonts w:ascii="Arial" w:hAnsi="Arial" w:cs="Arial"/>
              </w:rPr>
            </w:pPr>
            <w:r w:rsidRPr="00871745">
              <w:rPr>
                <w:rFonts w:ascii="Arial" w:hAnsi="Arial" w:cs="Arial"/>
              </w:rPr>
              <w:t>0.132</w:t>
            </w:r>
          </w:p>
        </w:tc>
        <w:tc>
          <w:tcPr>
            <w:tcW w:w="1320" w:type="dxa"/>
            <w:vAlign w:val="center"/>
            <w:hideMark/>
          </w:tcPr>
          <w:p w14:paraId="74B6A86A" w14:textId="77777777" w:rsidR="00871745" w:rsidRPr="00871745" w:rsidRDefault="00871745" w:rsidP="00871745">
            <w:pPr>
              <w:jc w:val="center"/>
              <w:rPr>
                <w:rFonts w:ascii="Arial" w:hAnsi="Arial" w:cs="Arial"/>
              </w:rPr>
            </w:pPr>
            <w:r w:rsidRPr="00871745">
              <w:rPr>
                <w:rFonts w:ascii="Arial" w:hAnsi="Arial" w:cs="Arial"/>
              </w:rPr>
              <w:t>2.450</w:t>
            </w:r>
          </w:p>
        </w:tc>
        <w:tc>
          <w:tcPr>
            <w:tcW w:w="1412" w:type="dxa"/>
            <w:vAlign w:val="center"/>
            <w:hideMark/>
          </w:tcPr>
          <w:p w14:paraId="1E67D967" w14:textId="77777777" w:rsidR="00871745" w:rsidRPr="00871745" w:rsidRDefault="00871745" w:rsidP="00871745">
            <w:pPr>
              <w:jc w:val="center"/>
              <w:rPr>
                <w:rFonts w:ascii="Arial" w:hAnsi="Arial" w:cs="Arial"/>
              </w:rPr>
            </w:pPr>
            <w:r w:rsidRPr="00871745">
              <w:rPr>
                <w:rFonts w:ascii="Arial" w:hAnsi="Arial" w:cs="Arial"/>
              </w:rPr>
              <w:t>.016</w:t>
            </w:r>
          </w:p>
        </w:tc>
      </w:tr>
      <w:tr w:rsidR="00871745" w:rsidRPr="00871745" w14:paraId="2FBF8F1A" w14:textId="77777777" w:rsidTr="00871745">
        <w:trPr>
          <w:trHeight w:val="258"/>
          <w:tblCellSpacing w:w="15" w:type="dxa"/>
        </w:trPr>
        <w:tc>
          <w:tcPr>
            <w:tcW w:w="2835" w:type="dxa"/>
            <w:vAlign w:val="center"/>
            <w:hideMark/>
          </w:tcPr>
          <w:p w14:paraId="17F4A708" w14:textId="77777777" w:rsidR="00871745" w:rsidRPr="00871745" w:rsidRDefault="00871745" w:rsidP="00871745">
            <w:pPr>
              <w:rPr>
                <w:rFonts w:ascii="Arial" w:hAnsi="Arial" w:cs="Arial"/>
              </w:rPr>
            </w:pPr>
            <w:r w:rsidRPr="00871745">
              <w:rPr>
                <w:rFonts w:ascii="Arial" w:hAnsi="Arial" w:cs="Arial"/>
              </w:rPr>
              <w:t>Managing Stress</w:t>
            </w:r>
          </w:p>
        </w:tc>
        <w:tc>
          <w:tcPr>
            <w:tcW w:w="1230" w:type="dxa"/>
            <w:vAlign w:val="center"/>
            <w:hideMark/>
          </w:tcPr>
          <w:p w14:paraId="1FB8A251" w14:textId="77777777" w:rsidR="00871745" w:rsidRPr="00871745" w:rsidRDefault="00871745" w:rsidP="00871745">
            <w:pPr>
              <w:jc w:val="center"/>
              <w:rPr>
                <w:rFonts w:ascii="Arial" w:hAnsi="Arial" w:cs="Arial"/>
              </w:rPr>
            </w:pPr>
            <w:r w:rsidRPr="00871745">
              <w:rPr>
                <w:rFonts w:ascii="Arial" w:hAnsi="Arial" w:cs="Arial"/>
              </w:rPr>
              <w:t>0.087</w:t>
            </w:r>
          </w:p>
        </w:tc>
        <w:tc>
          <w:tcPr>
            <w:tcW w:w="1230" w:type="dxa"/>
            <w:vAlign w:val="center"/>
            <w:hideMark/>
          </w:tcPr>
          <w:p w14:paraId="0937D10D" w14:textId="77777777" w:rsidR="00871745" w:rsidRPr="00871745" w:rsidRDefault="00871745" w:rsidP="00871745">
            <w:pPr>
              <w:jc w:val="center"/>
              <w:rPr>
                <w:rFonts w:ascii="Arial" w:hAnsi="Arial" w:cs="Arial"/>
              </w:rPr>
            </w:pPr>
            <w:r w:rsidRPr="00871745">
              <w:rPr>
                <w:rFonts w:ascii="Arial" w:hAnsi="Arial" w:cs="Arial"/>
              </w:rPr>
              <w:t>0.110</w:t>
            </w:r>
          </w:p>
        </w:tc>
        <w:tc>
          <w:tcPr>
            <w:tcW w:w="1320" w:type="dxa"/>
            <w:vAlign w:val="center"/>
            <w:hideMark/>
          </w:tcPr>
          <w:p w14:paraId="3D5B881C" w14:textId="77777777" w:rsidR="00871745" w:rsidRPr="00871745" w:rsidRDefault="00871745" w:rsidP="00871745">
            <w:pPr>
              <w:jc w:val="center"/>
              <w:rPr>
                <w:rFonts w:ascii="Arial" w:hAnsi="Arial" w:cs="Arial"/>
              </w:rPr>
            </w:pPr>
            <w:r w:rsidRPr="00871745">
              <w:rPr>
                <w:rFonts w:ascii="Arial" w:hAnsi="Arial" w:cs="Arial"/>
              </w:rPr>
              <w:t>2.100</w:t>
            </w:r>
          </w:p>
        </w:tc>
        <w:tc>
          <w:tcPr>
            <w:tcW w:w="1412" w:type="dxa"/>
            <w:vAlign w:val="center"/>
            <w:hideMark/>
          </w:tcPr>
          <w:p w14:paraId="7B817056" w14:textId="77777777" w:rsidR="00871745" w:rsidRPr="00871745" w:rsidRDefault="00871745" w:rsidP="00871745">
            <w:pPr>
              <w:jc w:val="center"/>
              <w:rPr>
                <w:rFonts w:ascii="Arial" w:hAnsi="Arial" w:cs="Arial"/>
              </w:rPr>
            </w:pPr>
            <w:r w:rsidRPr="00871745">
              <w:rPr>
                <w:rFonts w:ascii="Arial" w:hAnsi="Arial" w:cs="Arial"/>
              </w:rPr>
              <w:t>.038</w:t>
            </w:r>
          </w:p>
        </w:tc>
      </w:tr>
      <w:tr w:rsidR="00871745" w:rsidRPr="00871745" w14:paraId="58B7207E" w14:textId="77777777" w:rsidTr="00871745">
        <w:trPr>
          <w:trHeight w:val="258"/>
          <w:tblCellSpacing w:w="15" w:type="dxa"/>
        </w:trPr>
        <w:tc>
          <w:tcPr>
            <w:tcW w:w="2835" w:type="dxa"/>
            <w:vAlign w:val="center"/>
            <w:hideMark/>
          </w:tcPr>
          <w:p w14:paraId="62E195A9" w14:textId="77777777" w:rsidR="00871745" w:rsidRPr="00871745" w:rsidRDefault="00871745" w:rsidP="00871745">
            <w:pPr>
              <w:rPr>
                <w:rFonts w:ascii="Arial" w:hAnsi="Arial" w:cs="Arial"/>
              </w:rPr>
            </w:pPr>
            <w:r w:rsidRPr="00871745">
              <w:rPr>
                <w:rFonts w:ascii="Arial" w:hAnsi="Arial" w:cs="Arial"/>
              </w:rPr>
              <w:lastRenderedPageBreak/>
              <w:t>Building Social Connections</w:t>
            </w:r>
          </w:p>
        </w:tc>
        <w:tc>
          <w:tcPr>
            <w:tcW w:w="1230" w:type="dxa"/>
            <w:vAlign w:val="center"/>
            <w:hideMark/>
          </w:tcPr>
          <w:p w14:paraId="03375D99" w14:textId="77777777" w:rsidR="00871745" w:rsidRPr="00871745" w:rsidRDefault="00871745" w:rsidP="00871745">
            <w:pPr>
              <w:jc w:val="center"/>
              <w:rPr>
                <w:rFonts w:ascii="Arial" w:hAnsi="Arial" w:cs="Arial"/>
              </w:rPr>
            </w:pPr>
            <w:r w:rsidRPr="00871745">
              <w:rPr>
                <w:rFonts w:ascii="Arial" w:hAnsi="Arial" w:cs="Arial"/>
              </w:rPr>
              <w:t>0.095</w:t>
            </w:r>
          </w:p>
        </w:tc>
        <w:tc>
          <w:tcPr>
            <w:tcW w:w="1230" w:type="dxa"/>
            <w:vAlign w:val="center"/>
            <w:hideMark/>
          </w:tcPr>
          <w:p w14:paraId="7E0E6AF4" w14:textId="77777777" w:rsidR="00871745" w:rsidRPr="00871745" w:rsidRDefault="00871745" w:rsidP="00871745">
            <w:pPr>
              <w:jc w:val="center"/>
              <w:rPr>
                <w:rFonts w:ascii="Arial" w:hAnsi="Arial" w:cs="Arial"/>
              </w:rPr>
            </w:pPr>
            <w:r w:rsidRPr="00871745">
              <w:rPr>
                <w:rFonts w:ascii="Arial" w:hAnsi="Arial" w:cs="Arial"/>
              </w:rPr>
              <w:t>0.120</w:t>
            </w:r>
          </w:p>
        </w:tc>
        <w:tc>
          <w:tcPr>
            <w:tcW w:w="1320" w:type="dxa"/>
            <w:vAlign w:val="center"/>
            <w:hideMark/>
          </w:tcPr>
          <w:p w14:paraId="0A2A1193" w14:textId="77777777" w:rsidR="00871745" w:rsidRPr="00871745" w:rsidRDefault="00871745" w:rsidP="00871745">
            <w:pPr>
              <w:jc w:val="center"/>
              <w:rPr>
                <w:rFonts w:ascii="Arial" w:hAnsi="Arial" w:cs="Arial"/>
              </w:rPr>
            </w:pPr>
            <w:r w:rsidRPr="00871745">
              <w:rPr>
                <w:rFonts w:ascii="Arial" w:hAnsi="Arial" w:cs="Arial"/>
              </w:rPr>
              <w:t>2.320</w:t>
            </w:r>
          </w:p>
        </w:tc>
        <w:tc>
          <w:tcPr>
            <w:tcW w:w="1412" w:type="dxa"/>
            <w:vAlign w:val="center"/>
            <w:hideMark/>
          </w:tcPr>
          <w:p w14:paraId="0AF0F36C" w14:textId="77777777" w:rsidR="00871745" w:rsidRPr="00871745" w:rsidRDefault="00871745" w:rsidP="00871745">
            <w:pPr>
              <w:jc w:val="center"/>
              <w:rPr>
                <w:rFonts w:ascii="Arial" w:hAnsi="Arial" w:cs="Arial"/>
              </w:rPr>
            </w:pPr>
            <w:r w:rsidRPr="00871745">
              <w:rPr>
                <w:rFonts w:ascii="Arial" w:hAnsi="Arial" w:cs="Arial"/>
              </w:rPr>
              <w:t>.021</w:t>
            </w:r>
          </w:p>
        </w:tc>
      </w:tr>
      <w:tr w:rsidR="00871745" w:rsidRPr="00871745" w14:paraId="382FA806" w14:textId="77777777" w:rsidTr="00871745">
        <w:trPr>
          <w:trHeight w:val="258"/>
          <w:tblCellSpacing w:w="15" w:type="dxa"/>
        </w:trPr>
        <w:tc>
          <w:tcPr>
            <w:tcW w:w="2835" w:type="dxa"/>
            <w:vAlign w:val="center"/>
            <w:hideMark/>
          </w:tcPr>
          <w:p w14:paraId="04666CB3" w14:textId="77777777" w:rsidR="00871745" w:rsidRPr="00871745" w:rsidRDefault="00871745" w:rsidP="00871745">
            <w:pPr>
              <w:rPr>
                <w:rFonts w:ascii="Arial" w:hAnsi="Arial" w:cs="Arial"/>
              </w:rPr>
            </w:pPr>
            <w:r w:rsidRPr="00871745">
              <w:rPr>
                <w:rFonts w:ascii="Arial" w:hAnsi="Arial" w:cs="Arial"/>
              </w:rPr>
              <w:t>Staying Healthy</w:t>
            </w:r>
          </w:p>
        </w:tc>
        <w:tc>
          <w:tcPr>
            <w:tcW w:w="1230" w:type="dxa"/>
            <w:vAlign w:val="center"/>
            <w:hideMark/>
          </w:tcPr>
          <w:p w14:paraId="6864CA38" w14:textId="77777777" w:rsidR="00871745" w:rsidRPr="00871745" w:rsidRDefault="00871745" w:rsidP="00871745">
            <w:pPr>
              <w:jc w:val="center"/>
              <w:rPr>
                <w:rFonts w:ascii="Arial" w:hAnsi="Arial" w:cs="Arial"/>
              </w:rPr>
            </w:pPr>
            <w:r w:rsidRPr="00871745">
              <w:rPr>
                <w:rFonts w:ascii="Arial" w:hAnsi="Arial" w:cs="Arial"/>
              </w:rPr>
              <w:t>0.072</w:t>
            </w:r>
          </w:p>
        </w:tc>
        <w:tc>
          <w:tcPr>
            <w:tcW w:w="1230" w:type="dxa"/>
            <w:vAlign w:val="center"/>
            <w:hideMark/>
          </w:tcPr>
          <w:p w14:paraId="7DAEB336" w14:textId="77777777" w:rsidR="00871745" w:rsidRPr="00871745" w:rsidRDefault="00871745" w:rsidP="00871745">
            <w:pPr>
              <w:jc w:val="center"/>
              <w:rPr>
                <w:rFonts w:ascii="Arial" w:hAnsi="Arial" w:cs="Arial"/>
              </w:rPr>
            </w:pPr>
            <w:r w:rsidRPr="00871745">
              <w:rPr>
                <w:rFonts w:ascii="Arial" w:hAnsi="Arial" w:cs="Arial"/>
              </w:rPr>
              <w:t>0.089</w:t>
            </w:r>
          </w:p>
        </w:tc>
        <w:tc>
          <w:tcPr>
            <w:tcW w:w="1320" w:type="dxa"/>
            <w:vAlign w:val="center"/>
            <w:hideMark/>
          </w:tcPr>
          <w:p w14:paraId="321E1BE6" w14:textId="77777777" w:rsidR="00871745" w:rsidRPr="00871745" w:rsidRDefault="00871745" w:rsidP="00871745">
            <w:pPr>
              <w:jc w:val="center"/>
              <w:rPr>
                <w:rFonts w:ascii="Arial" w:hAnsi="Arial" w:cs="Arial"/>
              </w:rPr>
            </w:pPr>
            <w:r w:rsidRPr="00871745">
              <w:rPr>
                <w:rFonts w:ascii="Arial" w:hAnsi="Arial" w:cs="Arial"/>
              </w:rPr>
              <w:t>1.670</w:t>
            </w:r>
          </w:p>
        </w:tc>
        <w:tc>
          <w:tcPr>
            <w:tcW w:w="1412" w:type="dxa"/>
            <w:vAlign w:val="center"/>
            <w:hideMark/>
          </w:tcPr>
          <w:p w14:paraId="48211501" w14:textId="77777777" w:rsidR="00871745" w:rsidRPr="00871745" w:rsidRDefault="00871745" w:rsidP="00871745">
            <w:pPr>
              <w:jc w:val="center"/>
              <w:rPr>
                <w:rFonts w:ascii="Arial" w:hAnsi="Arial" w:cs="Arial"/>
              </w:rPr>
            </w:pPr>
            <w:r w:rsidRPr="00871745">
              <w:rPr>
                <w:rFonts w:ascii="Arial" w:hAnsi="Arial" w:cs="Arial"/>
              </w:rPr>
              <w:t>.098</w:t>
            </w:r>
          </w:p>
        </w:tc>
      </w:tr>
      <w:tr w:rsidR="00871745" w:rsidRPr="00871745" w14:paraId="7A53326B" w14:textId="77777777" w:rsidTr="006F27F1">
        <w:trPr>
          <w:trHeight w:val="258"/>
          <w:tblCellSpacing w:w="15" w:type="dxa"/>
        </w:trPr>
        <w:tc>
          <w:tcPr>
            <w:tcW w:w="0" w:type="auto"/>
            <w:gridSpan w:val="5"/>
            <w:vAlign w:val="center"/>
          </w:tcPr>
          <w:p w14:paraId="2D8249BA" w14:textId="7AA14DE0" w:rsidR="00871745" w:rsidRPr="00871745" w:rsidRDefault="00871745" w:rsidP="00871745">
            <w:pPr>
              <w:jc w:val="center"/>
              <w:rPr>
                <w:rFonts w:ascii="Arial" w:hAnsi="Arial" w:cs="Arial"/>
              </w:rPr>
            </w:pPr>
            <w:r w:rsidRPr="00871745">
              <w:rPr>
                <w:rFonts w:ascii="Arial" w:hAnsi="Arial" w:cs="Arial"/>
                <w:b/>
              </w:rPr>
              <w:t>Model Summary</w:t>
            </w:r>
          </w:p>
        </w:tc>
      </w:tr>
      <w:tr w:rsidR="00871745" w:rsidRPr="00871745" w14:paraId="4D87699B" w14:textId="77777777" w:rsidTr="00871745">
        <w:trPr>
          <w:trHeight w:val="258"/>
          <w:tblCellSpacing w:w="15" w:type="dxa"/>
        </w:trPr>
        <w:tc>
          <w:tcPr>
            <w:tcW w:w="2835" w:type="dxa"/>
            <w:vAlign w:val="center"/>
          </w:tcPr>
          <w:p w14:paraId="383F4694" w14:textId="3C021A84" w:rsidR="00871745" w:rsidRPr="00871745" w:rsidRDefault="00871745" w:rsidP="00871745">
            <w:pPr>
              <w:jc w:val="center"/>
              <w:rPr>
                <w:rFonts w:ascii="Arial" w:hAnsi="Arial" w:cs="Arial"/>
              </w:rPr>
            </w:pPr>
            <w:r w:rsidRPr="00871745">
              <w:rPr>
                <w:rFonts w:ascii="Arial" w:hAnsi="Arial" w:cs="Arial"/>
              </w:rPr>
              <w:t xml:space="preserve">                   R</w:t>
            </w:r>
          </w:p>
        </w:tc>
        <w:tc>
          <w:tcPr>
            <w:tcW w:w="1230" w:type="dxa"/>
            <w:vAlign w:val="center"/>
          </w:tcPr>
          <w:p w14:paraId="6E8361D2" w14:textId="77777777" w:rsidR="00871745" w:rsidRPr="00871745" w:rsidRDefault="00871745" w:rsidP="00871745">
            <w:pPr>
              <w:jc w:val="center"/>
              <w:rPr>
                <w:rFonts w:ascii="Arial" w:hAnsi="Arial" w:cs="Arial"/>
              </w:rPr>
            </w:pPr>
            <w:r w:rsidRPr="00871745">
              <w:rPr>
                <w:rFonts w:ascii="Arial" w:hAnsi="Arial" w:cs="Arial"/>
              </w:rPr>
              <w:t>R²</w:t>
            </w:r>
          </w:p>
        </w:tc>
        <w:tc>
          <w:tcPr>
            <w:tcW w:w="1230" w:type="dxa"/>
            <w:vAlign w:val="center"/>
          </w:tcPr>
          <w:p w14:paraId="414CAF1F" w14:textId="77777777" w:rsidR="00871745" w:rsidRPr="00871745" w:rsidRDefault="00871745" w:rsidP="00871745">
            <w:pPr>
              <w:jc w:val="center"/>
              <w:rPr>
                <w:rFonts w:ascii="Arial" w:hAnsi="Arial" w:cs="Arial"/>
              </w:rPr>
            </w:pPr>
            <w:r w:rsidRPr="00871745">
              <w:rPr>
                <w:rFonts w:ascii="Arial" w:hAnsi="Arial" w:cs="Arial"/>
              </w:rPr>
              <w:t>ΔR</w:t>
            </w:r>
          </w:p>
        </w:tc>
        <w:tc>
          <w:tcPr>
            <w:tcW w:w="1320" w:type="dxa"/>
            <w:vAlign w:val="center"/>
          </w:tcPr>
          <w:p w14:paraId="35E71F97" w14:textId="77777777" w:rsidR="00871745" w:rsidRPr="00871745" w:rsidRDefault="00871745" w:rsidP="00871745">
            <w:pPr>
              <w:jc w:val="center"/>
              <w:rPr>
                <w:rFonts w:ascii="Arial" w:hAnsi="Arial" w:cs="Arial"/>
              </w:rPr>
            </w:pPr>
            <w:r w:rsidRPr="00871745">
              <w:rPr>
                <w:rFonts w:ascii="Arial" w:hAnsi="Arial" w:cs="Arial"/>
              </w:rPr>
              <w:t>F</w:t>
            </w:r>
          </w:p>
        </w:tc>
        <w:tc>
          <w:tcPr>
            <w:tcW w:w="1412" w:type="dxa"/>
            <w:vAlign w:val="center"/>
          </w:tcPr>
          <w:p w14:paraId="7EB3A9D6" w14:textId="77777777" w:rsidR="00871745" w:rsidRPr="00871745" w:rsidRDefault="00871745" w:rsidP="00871745">
            <w:pPr>
              <w:jc w:val="center"/>
              <w:rPr>
                <w:rFonts w:ascii="Arial" w:hAnsi="Arial" w:cs="Arial"/>
              </w:rPr>
            </w:pPr>
            <w:r w:rsidRPr="00871745">
              <w:rPr>
                <w:rFonts w:ascii="Arial" w:hAnsi="Arial" w:cs="Arial"/>
              </w:rPr>
              <w:t>Sig.</w:t>
            </w:r>
          </w:p>
        </w:tc>
      </w:tr>
      <w:tr w:rsidR="00871745" w:rsidRPr="00871745" w14:paraId="2664ED4B" w14:textId="77777777" w:rsidTr="00871745">
        <w:trPr>
          <w:trHeight w:val="258"/>
          <w:tblCellSpacing w:w="15" w:type="dxa"/>
        </w:trPr>
        <w:tc>
          <w:tcPr>
            <w:tcW w:w="2835" w:type="dxa"/>
            <w:vAlign w:val="center"/>
          </w:tcPr>
          <w:p w14:paraId="5EEB4AAE" w14:textId="5D0FF2BD" w:rsidR="00871745" w:rsidRPr="00871745" w:rsidRDefault="00871745" w:rsidP="00871745">
            <w:pPr>
              <w:jc w:val="center"/>
              <w:rPr>
                <w:rFonts w:ascii="Arial" w:hAnsi="Arial" w:cs="Arial"/>
              </w:rPr>
            </w:pPr>
            <w:r w:rsidRPr="00871745">
              <w:rPr>
                <w:rFonts w:ascii="Arial" w:hAnsi="Arial" w:cs="Arial"/>
              </w:rPr>
              <w:t xml:space="preserve">                    0.475</w:t>
            </w:r>
          </w:p>
        </w:tc>
        <w:tc>
          <w:tcPr>
            <w:tcW w:w="1230" w:type="dxa"/>
            <w:vAlign w:val="center"/>
          </w:tcPr>
          <w:p w14:paraId="039CDA38" w14:textId="77777777" w:rsidR="00871745" w:rsidRPr="00871745" w:rsidRDefault="00871745" w:rsidP="00871745">
            <w:pPr>
              <w:jc w:val="center"/>
              <w:rPr>
                <w:rFonts w:ascii="Arial" w:hAnsi="Arial" w:cs="Arial"/>
              </w:rPr>
            </w:pPr>
            <w:r w:rsidRPr="00871745">
              <w:rPr>
                <w:rFonts w:ascii="Arial" w:hAnsi="Arial" w:cs="Arial"/>
              </w:rPr>
              <w:t>0.226</w:t>
            </w:r>
          </w:p>
        </w:tc>
        <w:tc>
          <w:tcPr>
            <w:tcW w:w="1230" w:type="dxa"/>
            <w:vAlign w:val="center"/>
          </w:tcPr>
          <w:p w14:paraId="336C4420" w14:textId="77777777" w:rsidR="00871745" w:rsidRPr="00871745" w:rsidRDefault="00871745" w:rsidP="00871745">
            <w:pPr>
              <w:jc w:val="center"/>
              <w:rPr>
                <w:rFonts w:ascii="Arial" w:hAnsi="Arial" w:cs="Arial"/>
              </w:rPr>
            </w:pPr>
            <w:r w:rsidRPr="00871745">
              <w:rPr>
                <w:rFonts w:ascii="Arial" w:hAnsi="Arial" w:cs="Arial"/>
              </w:rPr>
              <w:t>0.201</w:t>
            </w:r>
          </w:p>
        </w:tc>
        <w:tc>
          <w:tcPr>
            <w:tcW w:w="1320" w:type="dxa"/>
            <w:vAlign w:val="center"/>
          </w:tcPr>
          <w:p w14:paraId="5B7E58CA" w14:textId="77777777" w:rsidR="00871745" w:rsidRPr="00871745" w:rsidRDefault="00871745" w:rsidP="00871745">
            <w:pPr>
              <w:jc w:val="center"/>
              <w:rPr>
                <w:rFonts w:ascii="Arial" w:hAnsi="Arial" w:cs="Arial"/>
              </w:rPr>
            </w:pPr>
            <w:r w:rsidRPr="00871745">
              <w:rPr>
                <w:rFonts w:ascii="Arial" w:hAnsi="Arial" w:cs="Arial"/>
              </w:rPr>
              <w:t>35.89</w:t>
            </w:r>
          </w:p>
        </w:tc>
        <w:tc>
          <w:tcPr>
            <w:tcW w:w="1412" w:type="dxa"/>
            <w:vAlign w:val="center"/>
          </w:tcPr>
          <w:p w14:paraId="19211D12" w14:textId="77777777" w:rsidR="00871745" w:rsidRPr="00871745" w:rsidRDefault="00871745" w:rsidP="00871745">
            <w:pPr>
              <w:jc w:val="center"/>
              <w:rPr>
                <w:rFonts w:ascii="Arial" w:hAnsi="Arial" w:cs="Arial"/>
              </w:rPr>
            </w:pPr>
            <w:r w:rsidRPr="00871745">
              <w:rPr>
                <w:rFonts w:ascii="Arial" w:hAnsi="Arial" w:cs="Arial"/>
              </w:rPr>
              <w:t>.000</w:t>
            </w:r>
          </w:p>
        </w:tc>
      </w:tr>
    </w:tbl>
    <w:p w14:paraId="2DB3D6CB" w14:textId="38E9E70C" w:rsidR="00401878" w:rsidRDefault="00401878" w:rsidP="007F4079">
      <w:pPr>
        <w:pStyle w:val="Body"/>
        <w:rPr>
          <w:rFonts w:ascii="Arial" w:hAnsi="Arial" w:cs="Arial"/>
        </w:rPr>
      </w:pPr>
    </w:p>
    <w:p w14:paraId="545D1AEA" w14:textId="47113B60" w:rsidR="009C5581" w:rsidRDefault="009C5581" w:rsidP="00732E8F">
      <w:pPr>
        <w:jc w:val="both"/>
        <w:rPr>
          <w:rFonts w:ascii="Arial" w:hAnsi="Arial" w:cs="Arial"/>
        </w:rPr>
      </w:pPr>
      <w:r w:rsidRPr="009C5581">
        <w:rPr>
          <w:rFonts w:ascii="Arial" w:hAnsi="Arial" w:cs="Arial"/>
        </w:rPr>
        <w:t>Presented in Table 4 is the regression analysis examining the significant influence of the domains of building resilience on the working engagement of public elementary school teachers. The regression model yielded an R-value of 0.475 and an R² value of 0.226, indicating that approximately 22.6% of the variance in working engagement can be explained by the combined influence of the resilience domains. The model is statistically significant with an F-value of 35.89 and a p-value of 0.000, which is well below the 0.05 level of significance. Based on these results, the null hypothesis is rejected, confirming that the domains of building resilience significantly influence working engagement among teachers. Among the domains, authentic living had the strongest significant positive effect on working engagement with a beta (β) of 0.175, a B coefficient of 0.134, and a t-value of 3.210 (p = 0.002). Finding calling also significantly influenced working engagement, with β = 0.153, B = 0.118, and t = 2.890 (p = 0.004). Maintaining perspective showed a significant impact as well, with β = 0.132, B = 0.101, and t = 2.450 (p = 0.016). Managing stress significantly affected working engagement, having β = 0.110, B = 0.087, and t = 2.100 (p = 0.038). Building social connections demonstrated a significant influence with β = 0.120, B = 0.095, and t = 2.320 (p = 0.021). However, the staying healthy domain showed a positive but not statistically significant relationship with working engagement (β = 0.089, B = 0.072, t = 1.670, p = 0.098). These findings suggest that specific domains of building resilience, especially authentic living, finding calling, maintaining perspective, managing stress, and building social connections, play meaningful roles in enhancing teachers’ work engagement. Educational leaders and policymakers are encouraged to focus on strengthening these areas to improve teacher engagement and overall educational outcomes in public elementary schools.</w:t>
      </w:r>
    </w:p>
    <w:p w14:paraId="7B1FBCA5" w14:textId="77777777" w:rsidR="00732E8F" w:rsidRDefault="00732E8F" w:rsidP="00732E8F">
      <w:pPr>
        <w:jc w:val="both"/>
        <w:rPr>
          <w:rFonts w:ascii="Arial" w:hAnsi="Arial" w:cs="Arial"/>
        </w:rPr>
      </w:pPr>
    </w:p>
    <w:p w14:paraId="42904A80" w14:textId="7D3D27FC" w:rsidR="00464417" w:rsidRDefault="00464417" w:rsidP="001F6352">
      <w:pPr>
        <w:pStyle w:val="Body"/>
        <w:rPr>
          <w:rFonts w:ascii="Arial" w:hAnsi="Arial" w:cs="Arial"/>
        </w:rPr>
      </w:pPr>
      <w:r w:rsidRPr="00464417">
        <w:rPr>
          <w:rFonts w:ascii="Arial" w:hAnsi="Arial" w:cs="Arial"/>
        </w:rPr>
        <w:t xml:space="preserve">This finding aligns with previous research emphasizing the significant influence of various domains of building resilience on work engagement among teachers. For instance, </w:t>
      </w:r>
      <w:r w:rsidR="0019054D">
        <w:rPr>
          <w:rFonts w:ascii="Arial" w:hAnsi="Arial" w:cs="Arial"/>
        </w:rPr>
        <w:t>Han (2024</w:t>
      </w:r>
      <w:r w:rsidRPr="00464417">
        <w:rPr>
          <w:rFonts w:ascii="Arial" w:hAnsi="Arial" w:cs="Arial"/>
        </w:rPr>
        <w:t xml:space="preserve">) highlighted that teachers who cultivate authentic living and maintain perspective demonstrate higher levels of cognitive and emotional engagement in their work. Similarly, </w:t>
      </w:r>
      <w:r w:rsidR="00DA4A5E" w:rsidRPr="00DA4A5E">
        <w:rPr>
          <w:rFonts w:ascii="Arial" w:hAnsi="Arial" w:cs="Arial"/>
        </w:rPr>
        <w:t xml:space="preserve">Pokhrel </w:t>
      </w:r>
      <w:r w:rsidR="00DA4A5E">
        <w:rPr>
          <w:rFonts w:ascii="Arial" w:hAnsi="Arial" w:cs="Arial"/>
        </w:rPr>
        <w:t>(2025</w:t>
      </w:r>
      <w:r w:rsidRPr="00464417">
        <w:rPr>
          <w:rFonts w:ascii="Arial" w:hAnsi="Arial" w:cs="Arial"/>
        </w:rPr>
        <w:t xml:space="preserve">) found that finding one’s calling and managing stress are key resilience factors that significantly enhance teachers’ dedication and physical involvement in their professional roles. This influence fosters a more motivated, committed, and balanced teaching workforce, which positively impacts overall school performance. Moreover, </w:t>
      </w:r>
      <w:proofErr w:type="spellStart"/>
      <w:r w:rsidR="00BB32A8" w:rsidRPr="00BB32A8">
        <w:rPr>
          <w:rFonts w:ascii="Arial" w:hAnsi="Arial" w:cs="Arial"/>
        </w:rPr>
        <w:t>Omojemite</w:t>
      </w:r>
      <w:proofErr w:type="spellEnd"/>
      <w:r w:rsidR="00BB32A8">
        <w:rPr>
          <w:rFonts w:ascii="Arial" w:hAnsi="Arial" w:cs="Arial"/>
        </w:rPr>
        <w:t xml:space="preserve"> and </w:t>
      </w:r>
      <w:r w:rsidR="00BB32A8" w:rsidRPr="00BB32A8">
        <w:rPr>
          <w:rFonts w:ascii="Arial" w:hAnsi="Arial" w:cs="Arial"/>
        </w:rPr>
        <w:t xml:space="preserve">Cis </w:t>
      </w:r>
      <w:r w:rsidR="00BB32A8">
        <w:rPr>
          <w:rFonts w:ascii="Arial" w:hAnsi="Arial" w:cs="Arial"/>
        </w:rPr>
        <w:t>(2025</w:t>
      </w:r>
      <w:r w:rsidRPr="00464417">
        <w:rPr>
          <w:rFonts w:ascii="Arial" w:hAnsi="Arial" w:cs="Arial"/>
        </w:rPr>
        <w:t>) demonstrated that building social connections and staying healthy contribute to sustaining work engagement by providing social support and promoting well-being, thus encouraging teachers to remain actively invested in their educational responsibilities.</w:t>
      </w:r>
    </w:p>
    <w:p w14:paraId="08FEB9C6" w14:textId="1E47C654" w:rsidR="002039CD" w:rsidRPr="005C1005" w:rsidRDefault="00180859" w:rsidP="001F6352">
      <w:pPr>
        <w:pStyle w:val="Body"/>
        <w:rPr>
          <w:rFonts w:ascii="Arial" w:hAnsi="Arial" w:cs="Arial"/>
        </w:rPr>
      </w:pPr>
      <w:r>
        <w:rPr>
          <w:rFonts w:ascii="Arial" w:hAnsi="Arial" w:cs="Arial"/>
          <w:b/>
          <w:bCs/>
        </w:rPr>
        <w:t xml:space="preserve">5. </w:t>
      </w:r>
      <w:r w:rsidR="00B364F1">
        <w:rPr>
          <w:rFonts w:ascii="Arial" w:hAnsi="Arial" w:cs="Arial"/>
          <w:b/>
          <w:bCs/>
        </w:rPr>
        <w:t>CONCLUSIONS</w:t>
      </w:r>
    </w:p>
    <w:p w14:paraId="2F37F632" w14:textId="032ED734" w:rsidR="00B526C6" w:rsidRPr="00B526C6" w:rsidRDefault="00B526C6" w:rsidP="00B526C6">
      <w:pPr>
        <w:pStyle w:val="Body"/>
        <w:rPr>
          <w:rFonts w:ascii="Arial" w:hAnsi="Arial" w:cs="Arial"/>
        </w:rPr>
      </w:pPr>
      <w:r w:rsidRPr="00B526C6">
        <w:rPr>
          <w:rFonts w:ascii="Arial" w:hAnsi="Arial" w:cs="Arial"/>
        </w:rPr>
        <w:t>Based on the findings of this study, the fo</w:t>
      </w:r>
      <w:r>
        <w:rPr>
          <w:rFonts w:ascii="Arial" w:hAnsi="Arial" w:cs="Arial"/>
        </w:rPr>
        <w:t>llowing conclusions were drawn:</w:t>
      </w:r>
    </w:p>
    <w:p w14:paraId="6123B7A8" w14:textId="22F35EFF" w:rsidR="00B526C6" w:rsidRPr="00B526C6" w:rsidRDefault="00B526C6" w:rsidP="00B526C6">
      <w:pPr>
        <w:pStyle w:val="Body"/>
        <w:rPr>
          <w:rFonts w:ascii="Arial" w:hAnsi="Arial" w:cs="Arial"/>
        </w:rPr>
      </w:pPr>
      <w:r w:rsidRPr="00B526C6">
        <w:rPr>
          <w:rFonts w:ascii="Arial" w:hAnsi="Arial" w:cs="Arial"/>
        </w:rPr>
        <w:t xml:space="preserve">Firstly, the level of building resilience at work among public elementary school teachers is generally high. This indicates that teachers actively engage in behaviors and attitudes associated with resilience, such as authentic living, finding a sense of calling, maintaining </w:t>
      </w:r>
      <w:r w:rsidRPr="00B526C6">
        <w:rPr>
          <w:rFonts w:ascii="Arial" w:hAnsi="Arial" w:cs="Arial"/>
        </w:rPr>
        <w:lastRenderedPageBreak/>
        <w:t>perspective amidst challenges, managing stress effectively, building strong social connections, and maintaining their health. These aspects of resilience suggest that teachers possess the psychological resources and coping mechanisms necessary to handle the demands and pressures of their profession, enabling them to sustain their motivation and commitment over time.</w:t>
      </w:r>
    </w:p>
    <w:p w14:paraId="4E4F1CE6" w14:textId="58B53938" w:rsidR="00B526C6" w:rsidRPr="00B526C6" w:rsidRDefault="00B526C6" w:rsidP="00B526C6">
      <w:pPr>
        <w:pStyle w:val="Body"/>
        <w:rPr>
          <w:rFonts w:ascii="Arial" w:hAnsi="Arial" w:cs="Arial"/>
        </w:rPr>
      </w:pPr>
      <w:r w:rsidRPr="00B526C6">
        <w:rPr>
          <w:rFonts w:ascii="Arial" w:hAnsi="Arial" w:cs="Arial"/>
        </w:rPr>
        <w:t>Secondly, the level of working engagement among teachers is also high, reflecting a strong dedication to their roles across cognitive, emotional, and physical dimensions. This high engagement implies that teachers are not only mentally and emotionally invested in their work but are also willing to put forth the physical effort needed to perform their duties effectively. Such engagement is essential for fostering a dynamic and positive lea</w:t>
      </w:r>
      <w:r>
        <w:rPr>
          <w:rFonts w:ascii="Arial" w:hAnsi="Arial" w:cs="Arial"/>
        </w:rPr>
        <w:t>rning environment for students.</w:t>
      </w:r>
    </w:p>
    <w:p w14:paraId="4BFB3C41" w14:textId="6128869F" w:rsidR="00B526C6" w:rsidRPr="00B526C6" w:rsidRDefault="00B526C6" w:rsidP="00B526C6">
      <w:pPr>
        <w:pStyle w:val="Body"/>
        <w:rPr>
          <w:rFonts w:ascii="Arial" w:hAnsi="Arial" w:cs="Arial"/>
        </w:rPr>
      </w:pPr>
      <w:r w:rsidRPr="00B526C6">
        <w:rPr>
          <w:rFonts w:ascii="Arial" w:hAnsi="Arial" w:cs="Arial"/>
        </w:rPr>
        <w:t>Thirdly, the study revealed a statistically significant moderate positive relationship between building resilience and working engagement among public elementary school teachers. This finding highlights the important role that resilience plays in enhancing teachers’ engagement at work. Specifically, as teachers build and strengthen their resilience, they are more likely to experience higher levels of enthusiasm, dedication, and absorption in their teaching activities. This relationship underscores the interplay between teachers’ internal psychological strengths and t</w:t>
      </w:r>
      <w:r>
        <w:rPr>
          <w:rFonts w:ascii="Arial" w:hAnsi="Arial" w:cs="Arial"/>
        </w:rPr>
        <w:t>heir observable work behaviors.</w:t>
      </w:r>
    </w:p>
    <w:p w14:paraId="65748F82" w14:textId="5923BB08" w:rsidR="00B526C6" w:rsidRDefault="00B526C6" w:rsidP="00B526C6">
      <w:pPr>
        <w:pStyle w:val="Body"/>
        <w:rPr>
          <w:rFonts w:ascii="Arial" w:hAnsi="Arial" w:cs="Arial"/>
        </w:rPr>
      </w:pPr>
      <w:r w:rsidRPr="00B526C6">
        <w:rPr>
          <w:rFonts w:ascii="Arial" w:hAnsi="Arial" w:cs="Arial"/>
        </w:rPr>
        <w:t>Lastly, the study identified that specific domains of building res</w:t>
      </w:r>
      <w:r>
        <w:rPr>
          <w:rFonts w:ascii="Arial" w:hAnsi="Arial" w:cs="Arial"/>
        </w:rPr>
        <w:t>ilience-</w:t>
      </w:r>
      <w:r w:rsidRPr="00B526C6">
        <w:rPr>
          <w:rFonts w:ascii="Arial" w:hAnsi="Arial" w:cs="Arial"/>
        </w:rPr>
        <w:t>authentic living, finding calling, maintaining perspective, managing stress, an</w:t>
      </w:r>
      <w:r>
        <w:rPr>
          <w:rFonts w:ascii="Arial" w:hAnsi="Arial" w:cs="Arial"/>
        </w:rPr>
        <w:t xml:space="preserve">d building social connections, </w:t>
      </w:r>
      <w:r w:rsidRPr="00B526C6">
        <w:rPr>
          <w:rFonts w:ascii="Arial" w:hAnsi="Arial" w:cs="Arial"/>
        </w:rPr>
        <w:t>significantly influence working engagement. Authentic living, which involves being true to oneself and aligning actions with core values, was found to be the strongest predictor, emphasizing the importance of personal integrity and authenticity in fostering engagement. Finding calling relates to teachers’ sense of purpose and meaningfulness in their profession, which motivates sustained commitment. Maintaining perspective helps teachers keep a balanced view of challenges, preventing burnout and promoting positive outlooks. Managing stress equips teachers with strategies to cope with job-related pressures, reducing negative impacts on engagement. Building social connections reflects the importance of supportive relationships with colleagues, which enhance collaboration and emotional support. Although staying healthy showed a positive influence, it was not statistically significant, yet it remains an important aspect of overall well-being that can contribute to sustained engagement and job satisfaction over time.</w:t>
      </w:r>
    </w:p>
    <w:p w14:paraId="561B0EA9" w14:textId="2D42599C" w:rsidR="00F35314" w:rsidRPr="000822B9" w:rsidRDefault="006A0F34" w:rsidP="00B526C6">
      <w:pPr>
        <w:pStyle w:val="Body"/>
        <w:rPr>
          <w:rFonts w:ascii="Arial" w:hAnsi="Arial" w:cs="Arial"/>
        </w:rPr>
      </w:pPr>
      <w:r>
        <w:rPr>
          <w:rFonts w:ascii="Arial" w:hAnsi="Arial" w:cs="Arial"/>
          <w:b/>
          <w:bCs/>
        </w:rPr>
        <w:t>6. RECOMMENDATIONS</w:t>
      </w:r>
    </w:p>
    <w:p w14:paraId="6ED25906" w14:textId="6937907A"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Based on the findings and conclusions of this study, the following recommendations are proposed:</w:t>
      </w:r>
    </w:p>
    <w:p w14:paraId="3265D02A" w14:textId="11279B18"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Firstly, considering the high level of building resilience among teachers, school administrators should implement and sustain programs that nurture resilience-building domains such as authentic living, finding calling, maintaining perspective, managing stress, and building social connections. Professional development activities such as workshops, seminars, and coaching sessions can help teachers develop these essential skills and attitudes, enabling them to cope effectively with the demands of teaching and maintain high levels of engagement.</w:t>
      </w:r>
    </w:p>
    <w:p w14:paraId="32B04C87" w14:textId="08B8D2A2"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 xml:space="preserve">Secondly, since teachers demonstrate a high level of working engagement, schools should continue fostering an environment that supports cognitive, emotional, and physical involvement in teaching tasks. Strategies may include recognizing teacher efforts, providing </w:t>
      </w:r>
      <w:r w:rsidRPr="009125C3">
        <w:rPr>
          <w:rFonts w:ascii="Arial" w:hAnsi="Arial" w:cs="Arial"/>
          <w:b w:val="0"/>
          <w:caps w:val="0"/>
          <w:sz w:val="20"/>
        </w:rPr>
        <w:lastRenderedPageBreak/>
        <w:t>meaningful feedback, promoting teacher autonomy, and encouraging collaboration among staff to maintain and enhance engagement.</w:t>
      </w:r>
    </w:p>
    <w:p w14:paraId="033D731F" w14:textId="013CD272"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Thirdly, given the significant positive relationship between building resilience and working engagement, school leaders should prioritize resilience-building as a key component of teacher support initiatives. Integrating resilience development into teacher induction programs and ongoing professional learning can strengthen teachers’ capacity to remain motivated and committed, thereby improving overall educational outcomes.</w:t>
      </w:r>
    </w:p>
    <w:p w14:paraId="3792DF85" w14:textId="642BE57B" w:rsidR="009125C3" w:rsidRPr="009125C3" w:rsidRDefault="009125C3" w:rsidP="009125C3">
      <w:pPr>
        <w:pStyle w:val="ReferHead"/>
        <w:jc w:val="both"/>
        <w:rPr>
          <w:rFonts w:ascii="Arial" w:hAnsi="Arial" w:cs="Arial"/>
          <w:b w:val="0"/>
          <w:caps w:val="0"/>
          <w:sz w:val="20"/>
        </w:rPr>
      </w:pPr>
      <w:r w:rsidRPr="009125C3">
        <w:rPr>
          <w:rFonts w:ascii="Arial" w:hAnsi="Arial" w:cs="Arial"/>
          <w:b w:val="0"/>
          <w:caps w:val="0"/>
          <w:sz w:val="20"/>
        </w:rPr>
        <w:t>Fourthly, as specific domains of building resilience such as authentic living, finding calling, maintaining perspective, managing stress, and building social connections have a significant influence on working engagement, targeted interventions should focus on these areas. For instance, mindfulness and stress management workshops can help teachers better manage work pressures, while activities fostering social connections can build a stronger sense of community and emotional support among staff.</w:t>
      </w:r>
    </w:p>
    <w:p w14:paraId="65B0E486" w14:textId="0DFFFAE9" w:rsidR="002222ED" w:rsidRDefault="009125C3" w:rsidP="009125C3">
      <w:pPr>
        <w:pStyle w:val="ReferHead"/>
        <w:spacing w:after="0"/>
        <w:jc w:val="both"/>
        <w:rPr>
          <w:rFonts w:ascii="Arial" w:hAnsi="Arial" w:cs="Arial"/>
          <w:b w:val="0"/>
          <w:caps w:val="0"/>
          <w:sz w:val="20"/>
        </w:rPr>
      </w:pPr>
      <w:r w:rsidRPr="009125C3">
        <w:rPr>
          <w:rFonts w:ascii="Arial" w:hAnsi="Arial" w:cs="Arial"/>
          <w:b w:val="0"/>
          <w:caps w:val="0"/>
          <w:sz w:val="20"/>
        </w:rPr>
        <w:t>Lastly, future researchers are encouraged to explore additional factors that may affect teacher resilience and engagement, including organizational culture, leadership styles, and external stressors. Employing qualitative or mixed-method approaches could provide richer insights into the lived experiences of teachers and how resilience and engagement evolve over time. Moreover, longitudinal studies could track the long-term impact of resilience-building initiatives on teacher retention, job satisfaction, and student outcomes.</w:t>
      </w:r>
    </w:p>
    <w:p w14:paraId="304987A6" w14:textId="77777777" w:rsidR="009125C3" w:rsidRDefault="009125C3" w:rsidP="009125C3">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0CA4A420" w14:textId="5ACC305D" w:rsidR="007D721D" w:rsidRDefault="009274E4" w:rsidP="00CD4D57">
      <w:pPr>
        <w:pStyle w:val="ReferHead"/>
        <w:spacing w:after="0"/>
        <w:jc w:val="both"/>
        <w:rPr>
          <w:rFonts w:ascii="Arial" w:hAnsi="Arial" w:cs="Arial"/>
          <w:b w:val="0"/>
          <w:caps w:val="0"/>
          <w:sz w:val="20"/>
        </w:rPr>
      </w:pPr>
      <w:r w:rsidRPr="009274E4">
        <w:rPr>
          <w:rFonts w:ascii="Arial" w:hAnsi="Arial" w:cs="Arial"/>
          <w:b w:val="0"/>
          <w:caps w:val="0"/>
          <w:sz w:val="20"/>
        </w:rPr>
        <w:t xml:space="preserve">This study was conducted in strict accordance with established ethical standards to safeguard the rights, dignity, and well-being of all participants. Prior to data collection, the researcher obtained all required approvals, including endorsement from the Dean of the Graduate School of Rizal Memorial Colleges and clearance from the institution’s Ethics Review Committee. The research followed the ethical guidelines outlined by </w:t>
      </w:r>
      <w:proofErr w:type="spellStart"/>
      <w:r w:rsidRPr="009274E4">
        <w:rPr>
          <w:rFonts w:ascii="Arial" w:hAnsi="Arial" w:cs="Arial"/>
          <w:b w:val="0"/>
          <w:caps w:val="0"/>
          <w:sz w:val="20"/>
        </w:rPr>
        <w:t>Pregoner</w:t>
      </w:r>
      <w:proofErr w:type="spellEnd"/>
      <w:r w:rsidRPr="009274E4">
        <w:rPr>
          <w:rFonts w:ascii="Arial" w:hAnsi="Arial" w:cs="Arial"/>
          <w:b w:val="0"/>
          <w:caps w:val="0"/>
          <w:sz w:val="20"/>
        </w:rPr>
        <w:t xml:space="preserve"> et al. (2025), recognized as best practices for educational research involving human subjects. Participation was entirely voluntary, with all public elementary school teachers fully informed about the study’s purpose, objectives, and its focus on chastisement strategies and social challenges. Participants were made aware of their right to decline or withdraw from the study at any point without consequences. Informed consent was secured before participation. To maintain confidentiality and privacy, no personally identifiable data were collected or stored. All information gathered was handled with strict confidentiality and used solely for academic research purposes. These measures ensured that the study was carried out with integrity, transparency, and a strong commitment to protecting participant rights.</w:t>
      </w:r>
    </w:p>
    <w:p w14:paraId="6668392C" w14:textId="77777777" w:rsidR="009274E4" w:rsidRDefault="009274E4" w:rsidP="00CD4D57">
      <w:pPr>
        <w:pStyle w:val="ReferHead"/>
        <w:spacing w:after="0"/>
        <w:jc w:val="both"/>
        <w:rPr>
          <w:rFonts w:ascii="Arial" w:hAnsi="Arial" w:cs="Arial"/>
          <w:b w:val="0"/>
          <w:caps w:val="0"/>
          <w:sz w:val="20"/>
        </w:rPr>
      </w:pPr>
    </w:p>
    <w:p w14:paraId="2BC90047" w14:textId="1DC2DBC5" w:rsidR="00CD4D57" w:rsidRPr="001E2C0E" w:rsidRDefault="00CD4D57" w:rsidP="00CD4D57">
      <w:pPr>
        <w:pStyle w:val="ReferHead"/>
        <w:spacing w:after="0"/>
        <w:jc w:val="both"/>
        <w:rPr>
          <w:rFonts w:ascii="Arial" w:hAnsi="Arial" w:cs="Arial"/>
          <w:b w:val="0"/>
          <w:caps w:val="0"/>
          <w:sz w:val="20"/>
        </w:rPr>
      </w:pPr>
      <w:r w:rsidRPr="001E2C0E">
        <w:rPr>
          <w:rFonts w:ascii="Arial" w:hAnsi="Arial" w:cs="Arial"/>
          <w:b w:val="0"/>
          <w:caps w:val="0"/>
          <w:sz w:val="20"/>
        </w:rPr>
        <w:t>Disclaimer (Artificial Intelligence)</w:t>
      </w:r>
    </w:p>
    <w:p w14:paraId="591C5FF6" w14:textId="77777777" w:rsidR="00CD4D57" w:rsidRPr="001E2C0E" w:rsidRDefault="00CD4D57" w:rsidP="00CD4D57">
      <w:pPr>
        <w:pStyle w:val="ReferHead"/>
        <w:spacing w:after="0"/>
        <w:jc w:val="both"/>
        <w:rPr>
          <w:rFonts w:ascii="Arial" w:hAnsi="Arial" w:cs="Arial"/>
          <w:b w:val="0"/>
          <w:caps w:val="0"/>
          <w:sz w:val="20"/>
        </w:rPr>
      </w:pPr>
    </w:p>
    <w:p w14:paraId="309A34BD" w14:textId="77777777" w:rsidR="00CD4D57" w:rsidRPr="001E2C0E" w:rsidRDefault="00CD4D57" w:rsidP="00CD4D57">
      <w:pPr>
        <w:pStyle w:val="ReferHead"/>
        <w:spacing w:after="0"/>
        <w:jc w:val="both"/>
        <w:rPr>
          <w:rFonts w:ascii="Arial" w:hAnsi="Arial" w:cs="Arial"/>
          <w:b w:val="0"/>
          <w:caps w:val="0"/>
          <w:sz w:val="20"/>
        </w:rPr>
      </w:pPr>
    </w:p>
    <w:p w14:paraId="26E5FE5E" w14:textId="77777777" w:rsidR="00CD4D57" w:rsidRPr="001E2C0E" w:rsidRDefault="00CD4D57" w:rsidP="00CD4D57">
      <w:pPr>
        <w:jc w:val="both"/>
        <w:rPr>
          <w:rFonts w:ascii="Arial" w:eastAsia="Calibri" w:hAnsi="Arial" w:cs="Arial"/>
          <w:kern w:val="2"/>
        </w:rPr>
      </w:pPr>
      <w:r w:rsidRPr="001E2C0E">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1E2C0E" w:rsidRDefault="00CD4D57" w:rsidP="00CD4D57">
      <w:pPr>
        <w:jc w:val="both"/>
        <w:rPr>
          <w:rFonts w:ascii="Arial" w:eastAsia="Calibri" w:hAnsi="Arial" w:cs="Arial"/>
          <w:kern w:val="2"/>
        </w:rPr>
      </w:pPr>
    </w:p>
    <w:p w14:paraId="4B95E7D5" w14:textId="77777777" w:rsidR="00CD4D57" w:rsidRPr="001E2C0E" w:rsidRDefault="00CD4D57" w:rsidP="00CD4D57">
      <w:pPr>
        <w:numPr>
          <w:ilvl w:val="0"/>
          <w:numId w:val="4"/>
        </w:numPr>
        <w:ind w:left="540"/>
        <w:jc w:val="both"/>
        <w:rPr>
          <w:rFonts w:ascii="Arial" w:eastAsia="Calibri" w:hAnsi="Arial" w:cs="Arial"/>
          <w:kern w:val="2"/>
        </w:rPr>
      </w:pPr>
      <w:r w:rsidRPr="001E2C0E">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1E2C0E" w:rsidRDefault="00CD4D57" w:rsidP="00CD4D57">
      <w:pPr>
        <w:numPr>
          <w:ilvl w:val="0"/>
          <w:numId w:val="4"/>
        </w:numPr>
        <w:ind w:left="540"/>
        <w:jc w:val="both"/>
        <w:rPr>
          <w:rFonts w:ascii="Arial" w:hAnsi="Arial" w:cs="Arial"/>
        </w:rPr>
      </w:pPr>
      <w:proofErr w:type="spellStart"/>
      <w:r w:rsidRPr="001E2C0E">
        <w:rPr>
          <w:rFonts w:ascii="Arial" w:eastAsia="Calibri" w:hAnsi="Arial" w:cs="Arial"/>
          <w:kern w:val="2"/>
        </w:rPr>
        <w:t>Quillbot</w:t>
      </w:r>
      <w:proofErr w:type="spellEnd"/>
      <w:r w:rsidRPr="001E2C0E">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10C59B3D" w14:textId="1F12BDB8" w:rsidR="00912F71" w:rsidRPr="00910D56" w:rsidRDefault="00912F71" w:rsidP="00CB72AE">
      <w:pPr>
        <w:rPr>
          <w:color w:val="000000" w:themeColor="text1"/>
        </w:rPr>
      </w:pPr>
    </w:p>
    <w:p w14:paraId="07E12A9C" w14:textId="77777777" w:rsidR="00912F71" w:rsidRPr="00910D56" w:rsidRDefault="00912F71" w:rsidP="00912F71">
      <w:pPr>
        <w:ind w:left="720" w:hanging="720"/>
        <w:rPr>
          <w:color w:val="000000" w:themeColor="text1"/>
        </w:rPr>
      </w:pPr>
    </w:p>
    <w:p w14:paraId="1BF58142" w14:textId="77777777" w:rsidR="00BD6E9E" w:rsidRPr="005E135A" w:rsidRDefault="00BD6E9E" w:rsidP="00BD6E9E">
      <w:pPr>
        <w:ind w:left="720" w:hanging="720"/>
        <w:rPr>
          <w:rFonts w:ascii="Arial" w:hAnsi="Arial" w:cs="Arial"/>
        </w:rPr>
      </w:pPr>
    </w:p>
    <w:p w14:paraId="4B3F4901" w14:textId="77777777" w:rsidR="00507A1F" w:rsidRDefault="00507A1F" w:rsidP="00507A1F">
      <w:pPr>
        <w:ind w:left="720" w:hanging="720"/>
      </w:pPr>
    </w:p>
    <w:p w14:paraId="55E08880"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Boonma</w:t>
      </w:r>
      <w:proofErr w:type="spellEnd"/>
      <w:r>
        <w:rPr>
          <w:rFonts w:ascii="Arial" w:hAnsi="Arial" w:cs="Arial"/>
          <w:color w:val="222222"/>
          <w:shd w:val="clear" w:color="auto" w:fill="FFFFFF"/>
        </w:rPr>
        <w:t>, M. (2025). The Power of Resilience in 21st-Century Education: How Growth Mindset and Mental Well-being Support Teachers and Students. </w:t>
      </w:r>
      <w:r>
        <w:rPr>
          <w:rFonts w:ascii="Arial" w:hAnsi="Arial" w:cs="Arial"/>
          <w:i/>
          <w:iCs/>
          <w:color w:val="222222"/>
          <w:shd w:val="clear" w:color="auto" w:fill="FFFFFF"/>
        </w:rPr>
        <w:t>Nakhon Ratchasima Journal of Humanities and Social Sciences</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(3), 1-26. </w:t>
      </w:r>
      <w:hyperlink r:id="rId14" w:history="1">
        <w:r w:rsidRPr="00315EBE">
          <w:rPr>
            <w:rStyle w:val="Hyperlink"/>
            <w:rFonts w:ascii="Arial" w:hAnsi="Arial" w:cs="Arial"/>
            <w:shd w:val="clear" w:color="auto" w:fill="FFFFFF"/>
          </w:rPr>
          <w:t>https://so11.tci-thaijo.org/index.php/NJHSS/article/view/1941</w:t>
        </w:r>
      </w:hyperlink>
    </w:p>
    <w:p w14:paraId="21E17643"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Britton III, R. (2025). </w:t>
      </w:r>
      <w:r>
        <w:rPr>
          <w:rFonts w:ascii="Arial" w:hAnsi="Arial" w:cs="Arial"/>
          <w:i/>
          <w:iCs/>
          <w:color w:val="222222"/>
          <w:shd w:val="clear" w:color="auto" w:fill="FFFFFF"/>
        </w:rPr>
        <w:t>From the Classroom to the Boardroom: Reducing Teacher Turnover by Enhancing Employee Engagement</w:t>
      </w:r>
      <w:r>
        <w:rPr>
          <w:rFonts w:ascii="Arial" w:hAnsi="Arial" w:cs="Arial"/>
          <w:color w:val="222222"/>
          <w:shd w:val="clear" w:color="auto" w:fill="FFFFFF"/>
        </w:rPr>
        <w:t xml:space="preserve"> (Doctoral dissertation, Walden University). </w:t>
      </w:r>
      <w:hyperlink r:id="rId15" w:history="1">
        <w:r w:rsidRPr="00315EBE">
          <w:rPr>
            <w:rStyle w:val="Hyperlink"/>
            <w:rFonts w:ascii="Arial" w:hAnsi="Arial" w:cs="Arial"/>
            <w:shd w:val="clear" w:color="auto" w:fill="FFFFFF"/>
          </w:rPr>
          <w:t>https://search.proquest.com/openview/dca23992ba1caf266d80fc36dad38a5c/1?pq-origsite=gscholar&amp;cbl=18750&amp;diss=y</w:t>
        </w:r>
      </w:hyperlink>
    </w:p>
    <w:p w14:paraId="6182A10F"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Cai, Y., Wang, L., Bi, Y., &amp; Tang, R. (2022). How can the professional community influence teachers’ work engagement? The mediating role of teacher self-efficacy. </w:t>
      </w:r>
      <w:r>
        <w:rPr>
          <w:rFonts w:ascii="Arial" w:hAnsi="Arial" w:cs="Arial"/>
          <w:i/>
          <w:iCs/>
          <w:color w:val="222222"/>
          <w:shd w:val="clear" w:color="auto" w:fill="FFFFFF"/>
        </w:rPr>
        <w:t>Sustainability</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(16), 10029. </w:t>
      </w:r>
      <w:hyperlink r:id="rId16" w:history="1">
        <w:r w:rsidRPr="00315EBE">
          <w:rPr>
            <w:rStyle w:val="Hyperlink"/>
            <w:rFonts w:ascii="Arial" w:hAnsi="Arial" w:cs="Arial"/>
            <w:shd w:val="clear" w:color="auto" w:fill="FFFFFF"/>
          </w:rPr>
          <w:t>https://www.mdpi.com/2071-1050/14/16/10029</w:t>
        </w:r>
      </w:hyperlink>
    </w:p>
    <w:p w14:paraId="6B69A98B"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Collette, A., &amp; Ungar, M. (2020). Resilience of individuals, families, communities, and environments: Mutually dependent protective processes and complex systems. In </w:t>
      </w:r>
      <w:r>
        <w:rPr>
          <w:rFonts w:ascii="Arial" w:hAnsi="Arial" w:cs="Arial"/>
          <w:i/>
          <w:iCs/>
          <w:color w:val="222222"/>
          <w:shd w:val="clear" w:color="auto" w:fill="FFFFFF"/>
        </w:rPr>
        <w:t>Systemic research in individual, couple, and family therapy and counseling</w:t>
      </w:r>
      <w:r>
        <w:rPr>
          <w:rFonts w:ascii="Arial" w:hAnsi="Arial" w:cs="Arial"/>
          <w:color w:val="222222"/>
          <w:shd w:val="clear" w:color="auto" w:fill="FFFFFF"/>
        </w:rPr>
        <w:t xml:space="preserve"> (pp. 97-111). Cham: Springer International Publishing. </w:t>
      </w:r>
      <w:hyperlink r:id="rId17" w:history="1">
        <w:r w:rsidRPr="00315EBE">
          <w:rPr>
            <w:rStyle w:val="Hyperlink"/>
            <w:rFonts w:ascii="Arial" w:hAnsi="Arial" w:cs="Arial"/>
            <w:shd w:val="clear" w:color="auto" w:fill="FFFFFF"/>
          </w:rPr>
          <w:t>https://link.springer.com/chapter/10.1007/978-3-030-36560-8_6</w:t>
        </w:r>
      </w:hyperlink>
    </w:p>
    <w:p w14:paraId="4F9A2551"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Duan, S., Chu, W., &amp; Liu, H. (2023). “Seeking resilience, sustaining development”: A self-narrative study of early career English teacher resilience from an ecological perspective. </w:t>
      </w:r>
      <w:r>
        <w:rPr>
          <w:rFonts w:ascii="Arial" w:hAnsi="Arial" w:cs="Arial"/>
          <w:i/>
          <w:iCs/>
          <w:color w:val="222222"/>
          <w:shd w:val="clear" w:color="auto" w:fill="FFFFFF"/>
        </w:rPr>
        <w:t>Sustainability</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(16), 12386.</w:t>
      </w:r>
      <w:r w:rsidRPr="00881CBD">
        <w:t xml:space="preserve"> </w:t>
      </w:r>
      <w:hyperlink r:id="rId18" w:history="1">
        <w:r w:rsidRPr="00315EBE">
          <w:rPr>
            <w:rStyle w:val="Hyperlink"/>
            <w:rFonts w:ascii="Arial" w:hAnsi="Arial" w:cs="Arial"/>
            <w:shd w:val="clear" w:color="auto" w:fill="FFFFFF"/>
          </w:rPr>
          <w:t>https://www.mdpi.com/2071-1050/15/16/12386</w:t>
        </w:r>
      </w:hyperlink>
    </w:p>
    <w:p w14:paraId="67967CF3"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Fadele</w:t>
      </w:r>
      <w:proofErr w:type="spellEnd"/>
      <w:r>
        <w:rPr>
          <w:rFonts w:ascii="Arial" w:hAnsi="Arial" w:cs="Arial"/>
          <w:color w:val="222222"/>
          <w:shd w:val="clear" w:color="auto" w:fill="FFFFFF"/>
        </w:rPr>
        <w:t>, A. A., &amp; Rocha, A. (2025). Introduction to the Key Features of Quantitative Research. In </w:t>
      </w:r>
      <w:r>
        <w:rPr>
          <w:rFonts w:ascii="Arial" w:hAnsi="Arial" w:cs="Arial"/>
          <w:i/>
          <w:iCs/>
          <w:color w:val="222222"/>
          <w:shd w:val="clear" w:color="auto" w:fill="FFFFFF"/>
        </w:rPr>
        <w:t>The Art and Science of Quantitative Research</w:t>
      </w:r>
      <w:r>
        <w:rPr>
          <w:rFonts w:ascii="Arial" w:hAnsi="Arial" w:cs="Arial"/>
          <w:color w:val="222222"/>
          <w:shd w:val="clear" w:color="auto" w:fill="FFFFFF"/>
        </w:rPr>
        <w:t xml:space="preserve"> (pp. 1-27). Cham: Springer Nature Switzerland. </w:t>
      </w:r>
      <w:hyperlink r:id="rId19" w:history="1">
        <w:r w:rsidRPr="00315EBE">
          <w:rPr>
            <w:rStyle w:val="Hyperlink"/>
            <w:rFonts w:ascii="Arial" w:hAnsi="Arial" w:cs="Arial"/>
            <w:shd w:val="clear" w:color="auto" w:fill="FFFFFF"/>
          </w:rPr>
          <w:t>https://link.springer.com/chapter/10.1007/978-3-031-91431-7_1</w:t>
        </w:r>
      </w:hyperlink>
    </w:p>
    <w:p w14:paraId="13445F08"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 xml:space="preserve">Fathi, J., Zhang, L. J., &amp; </w:t>
      </w:r>
      <w:proofErr w:type="spellStart"/>
      <w:r>
        <w:rPr>
          <w:rFonts w:ascii="Arial" w:hAnsi="Arial" w:cs="Arial"/>
          <w:color w:val="222222"/>
          <w:shd w:val="clear" w:color="auto" w:fill="FFFFFF"/>
        </w:rPr>
        <w:t>Arefian</w:t>
      </w:r>
      <w:proofErr w:type="spellEnd"/>
      <w:r>
        <w:rPr>
          <w:rFonts w:ascii="Arial" w:hAnsi="Arial" w:cs="Arial"/>
          <w:color w:val="222222"/>
          <w:shd w:val="clear" w:color="auto" w:fill="FFFFFF"/>
        </w:rPr>
        <w:t>, M. H. (2024). Testing a model of EFL teachers’ work engagement: The roles of teachers’ professional identity, L2 grit, and foreign language teaching enjoyment. </w:t>
      </w:r>
      <w:r>
        <w:rPr>
          <w:rFonts w:ascii="Arial" w:hAnsi="Arial" w:cs="Arial"/>
          <w:i/>
          <w:iCs/>
          <w:color w:val="222222"/>
          <w:shd w:val="clear" w:color="auto" w:fill="FFFFFF"/>
        </w:rPr>
        <w:t>International Review of Applied Linguistics in Language Teaching</w:t>
      </w:r>
      <w:r>
        <w:rPr>
          <w:rFonts w:ascii="Arial" w:hAnsi="Arial" w:cs="Arial"/>
          <w:color w:val="222222"/>
          <w:shd w:val="clear" w:color="auto" w:fill="FFFFFF"/>
        </w:rPr>
        <w:t>, </w:t>
      </w:r>
      <w:r>
        <w:rPr>
          <w:rFonts w:ascii="Arial" w:hAnsi="Arial" w:cs="Arial"/>
          <w:i/>
          <w:iCs/>
          <w:color w:val="222222"/>
          <w:shd w:val="clear" w:color="auto" w:fill="FFFFFF"/>
        </w:rPr>
        <w:t>62</w:t>
      </w:r>
      <w:r>
        <w:rPr>
          <w:rFonts w:ascii="Arial" w:hAnsi="Arial" w:cs="Arial"/>
          <w:color w:val="222222"/>
          <w:shd w:val="clear" w:color="auto" w:fill="FFFFFF"/>
        </w:rPr>
        <w:t xml:space="preserve">(4), 2087-2119. </w:t>
      </w:r>
      <w:hyperlink r:id="rId20" w:history="1">
        <w:r w:rsidRPr="00315EBE">
          <w:rPr>
            <w:rStyle w:val="Hyperlink"/>
            <w:rFonts w:ascii="Arial" w:hAnsi="Arial" w:cs="Arial"/>
            <w:shd w:val="clear" w:color="auto" w:fill="FFFFFF"/>
          </w:rPr>
          <w:t>https://www.degruyterbrill.com/document/doi/10.1515/iral-2023-0024/html</w:t>
        </w:r>
      </w:hyperlink>
    </w:p>
    <w:p w14:paraId="40FE66D6"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Grygorenko</w:t>
      </w:r>
      <w:proofErr w:type="spellEnd"/>
      <w:r>
        <w:rPr>
          <w:rFonts w:ascii="Arial" w:hAnsi="Arial" w:cs="Arial"/>
          <w:color w:val="222222"/>
          <w:shd w:val="clear" w:color="auto" w:fill="FFFFFF"/>
        </w:rPr>
        <w:t xml:space="preserve">, Z., &amp; </w:t>
      </w:r>
      <w:proofErr w:type="spellStart"/>
      <w:r>
        <w:rPr>
          <w:rFonts w:ascii="Arial" w:hAnsi="Arial" w:cs="Arial"/>
          <w:color w:val="222222"/>
          <w:shd w:val="clear" w:color="auto" w:fill="FFFFFF"/>
        </w:rPr>
        <w:t>Naydonova</w:t>
      </w:r>
      <w:proofErr w:type="spellEnd"/>
      <w:r>
        <w:rPr>
          <w:rFonts w:ascii="Arial" w:hAnsi="Arial" w:cs="Arial"/>
          <w:color w:val="222222"/>
          <w:shd w:val="clear" w:color="auto" w:fill="FFFFFF"/>
        </w:rPr>
        <w:t>, G. (2023). The concept of “resilience”: history of formation and approaches to definition. </w:t>
      </w:r>
      <w:r>
        <w:rPr>
          <w:rFonts w:ascii="Arial" w:hAnsi="Arial" w:cs="Arial"/>
          <w:i/>
          <w:iCs/>
          <w:color w:val="222222"/>
          <w:shd w:val="clear" w:color="auto" w:fill="FFFFFF"/>
        </w:rPr>
        <w:t>Public administration and law review</w:t>
      </w:r>
      <w:r>
        <w:rPr>
          <w:rFonts w:ascii="Arial" w:hAnsi="Arial" w:cs="Arial"/>
          <w:color w:val="222222"/>
          <w:shd w:val="clear" w:color="auto" w:fill="FFFFFF"/>
        </w:rPr>
        <w:t xml:space="preserve">, (2), 76-88. </w:t>
      </w:r>
      <w:hyperlink r:id="rId21" w:history="1">
        <w:r w:rsidRPr="00315EBE">
          <w:rPr>
            <w:rStyle w:val="Hyperlink"/>
            <w:rFonts w:ascii="Arial" w:hAnsi="Arial" w:cs="Arial"/>
            <w:shd w:val="clear" w:color="auto" w:fill="FFFFFF"/>
          </w:rPr>
          <w:t>https://public.scnchub.com/palr/index.php/palr/article/view/180</w:t>
        </w:r>
      </w:hyperlink>
    </w:p>
    <w:p w14:paraId="7ABBEAAB"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Han, M. K. (2024). An analysis of diverse perspectives on. </w:t>
      </w:r>
      <w:r>
        <w:rPr>
          <w:rFonts w:ascii="Arial" w:hAnsi="Arial" w:cs="Arial"/>
          <w:i/>
          <w:iCs/>
          <w:color w:val="222222"/>
          <w:shd w:val="clear" w:color="auto" w:fill="FFFFFF"/>
        </w:rPr>
        <w:t>International Journal of Advanced Culture Technology</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(2), 119-135. </w:t>
      </w:r>
      <w:hyperlink r:id="rId22" w:history="1">
        <w:r w:rsidRPr="00315EBE">
          <w:rPr>
            <w:rStyle w:val="Hyperlink"/>
            <w:rFonts w:ascii="Arial" w:hAnsi="Arial" w:cs="Arial"/>
            <w:shd w:val="clear" w:color="auto" w:fill="FFFFFF"/>
          </w:rPr>
          <w:t>https://koreascience.kr/article/JAKO202421943237524.page</w:t>
        </w:r>
      </w:hyperlink>
    </w:p>
    <w:p w14:paraId="1626948A"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Hussein, H. B. B., &amp; Barakat, H. (2025). A proposed model for teacher education: rethinking the future of the next generation. </w:t>
      </w:r>
      <w:r>
        <w:rPr>
          <w:rFonts w:ascii="Arial" w:hAnsi="Arial" w:cs="Arial"/>
          <w:i/>
          <w:iCs/>
          <w:color w:val="222222"/>
          <w:shd w:val="clear" w:color="auto" w:fill="FFFFFF"/>
        </w:rPr>
        <w:t>International Journal of Research in Educational Sciences (IJRES)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(2), 41-78. </w:t>
      </w:r>
      <w:hyperlink r:id="rId23" w:history="1">
        <w:r w:rsidRPr="00315EBE">
          <w:rPr>
            <w:rStyle w:val="Hyperlink"/>
            <w:rFonts w:ascii="Arial" w:hAnsi="Arial" w:cs="Arial"/>
            <w:shd w:val="clear" w:color="auto" w:fill="FFFFFF"/>
          </w:rPr>
          <w:t>http://search.shamaa.org/PDF/Articles/FC/ERIjres/IjresVol8No2Y2025/ijres_2025-v8-n2_041-077_eng.pdf</w:t>
        </w:r>
      </w:hyperlink>
    </w:p>
    <w:p w14:paraId="611D33B2"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Kangas-Dick, K., &amp; O’Shaughnessy, E. (2020). Interventions that promote resilience among teachers: A systematic review of the literature. </w:t>
      </w:r>
      <w:r>
        <w:rPr>
          <w:rFonts w:ascii="Arial" w:hAnsi="Arial" w:cs="Arial"/>
          <w:i/>
          <w:iCs/>
          <w:color w:val="222222"/>
          <w:shd w:val="clear" w:color="auto" w:fill="FFFFFF"/>
        </w:rPr>
        <w:t>International Journal of School &amp; Educational Psychology</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(2), 131-146. </w:t>
      </w:r>
      <w:hyperlink r:id="rId24" w:history="1">
        <w:r w:rsidRPr="00315EBE">
          <w:rPr>
            <w:rStyle w:val="Hyperlink"/>
            <w:rFonts w:ascii="Arial" w:hAnsi="Arial" w:cs="Arial"/>
            <w:shd w:val="clear" w:color="auto" w:fill="FFFFFF"/>
          </w:rPr>
          <w:t>https://www.tandfonline.com/doi/abs/10.1080/21683603.2020.1734125</w:t>
        </w:r>
      </w:hyperlink>
    </w:p>
    <w:p w14:paraId="38550B08"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Karakasidou</w:t>
      </w:r>
      <w:proofErr w:type="spellEnd"/>
      <w:r>
        <w:rPr>
          <w:rFonts w:ascii="Arial" w:hAnsi="Arial" w:cs="Arial"/>
          <w:color w:val="222222"/>
          <w:shd w:val="clear" w:color="auto" w:fill="FFFFFF"/>
        </w:rPr>
        <w:t xml:space="preserve">, E., Papadimitriou, A., </w:t>
      </w:r>
      <w:proofErr w:type="spellStart"/>
      <w:r>
        <w:rPr>
          <w:rFonts w:ascii="Arial" w:hAnsi="Arial" w:cs="Arial"/>
          <w:color w:val="222222"/>
          <w:shd w:val="clear" w:color="auto" w:fill="FFFFFF"/>
        </w:rPr>
        <w:t>Chatzidou</w:t>
      </w:r>
      <w:proofErr w:type="spellEnd"/>
      <w:r>
        <w:rPr>
          <w:rFonts w:ascii="Arial" w:hAnsi="Arial" w:cs="Arial"/>
          <w:color w:val="222222"/>
          <w:shd w:val="clear" w:color="auto" w:fill="FFFFFF"/>
        </w:rPr>
        <w:t>, D., &amp; Kazi, S. (2024). Nurturing resilience in education: Strategies for students and teachers. In </w:t>
      </w:r>
      <w:r>
        <w:rPr>
          <w:rFonts w:ascii="Arial" w:hAnsi="Arial" w:cs="Arial"/>
          <w:i/>
          <w:iCs/>
          <w:color w:val="222222"/>
          <w:shd w:val="clear" w:color="auto" w:fill="FFFFFF"/>
        </w:rPr>
        <w:t>Building Mental Resilience in Children: Positive Psychology, Emotional Intelligence, and Play</w:t>
      </w:r>
      <w:r>
        <w:rPr>
          <w:rFonts w:ascii="Arial" w:hAnsi="Arial" w:cs="Arial"/>
          <w:color w:val="222222"/>
          <w:shd w:val="clear" w:color="auto" w:fill="FFFFFF"/>
        </w:rPr>
        <w:t xml:space="preserve"> (pp. 243-264). IGI Global. </w:t>
      </w:r>
      <w:hyperlink r:id="rId25" w:history="1">
        <w:r w:rsidRPr="00315EBE">
          <w:rPr>
            <w:rStyle w:val="Hyperlink"/>
            <w:rFonts w:ascii="Arial" w:hAnsi="Arial" w:cs="Arial"/>
            <w:shd w:val="clear" w:color="auto" w:fill="FFFFFF"/>
          </w:rPr>
          <w:t>https://www.igi-global.com/chapter/nurturing-resilience-in-education/353731</w:t>
        </w:r>
      </w:hyperlink>
    </w:p>
    <w:p w14:paraId="319503CE"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Kaya, A. (2024). The association between transformational leadership and teachers' creativity: professional resilience and job satisfaction as mediators.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 1514621. </w:t>
      </w:r>
      <w:hyperlink r:id="rId26" w:history="1">
        <w:r w:rsidRPr="00315EBE">
          <w:rPr>
            <w:rStyle w:val="Hyperlink"/>
            <w:rFonts w:ascii="Arial" w:hAnsi="Arial" w:cs="Arial"/>
            <w:shd w:val="clear" w:color="auto" w:fill="FFFFFF"/>
          </w:rPr>
          <w:t>https://www.frontiersin.org/journals/psychology/articles/10.3389/fpsyg.2024.1514621/full</w:t>
        </w:r>
      </w:hyperlink>
    </w:p>
    <w:p w14:paraId="3CBFBDC5"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Maguate</w:t>
      </w:r>
      <w:proofErr w:type="spellEnd"/>
      <w:r>
        <w:rPr>
          <w:rFonts w:ascii="Arial" w:hAnsi="Arial" w:cs="Arial"/>
          <w:color w:val="222222"/>
          <w:shd w:val="clear" w:color="auto" w:fill="FFFFFF"/>
        </w:rPr>
        <w:t>, G. (2024). Exploring Stressors Among Teachers: A Factor Analysis Approach. </w:t>
      </w:r>
      <w:r>
        <w:rPr>
          <w:rFonts w:ascii="Arial" w:hAnsi="Arial" w:cs="Arial"/>
          <w:i/>
          <w:iCs/>
          <w:color w:val="222222"/>
          <w:shd w:val="clear" w:color="auto" w:fill="FFFFFF"/>
        </w:rPr>
        <w:t>Available at SSRN 4873096</w:t>
      </w:r>
      <w:r>
        <w:rPr>
          <w:rFonts w:ascii="Arial" w:hAnsi="Arial" w:cs="Arial"/>
          <w:color w:val="222222"/>
          <w:shd w:val="clear" w:color="auto" w:fill="FFFFFF"/>
        </w:rPr>
        <w:t xml:space="preserve">. </w:t>
      </w:r>
      <w:hyperlink r:id="rId27" w:history="1">
        <w:r w:rsidRPr="00315EBE">
          <w:rPr>
            <w:rStyle w:val="Hyperlink"/>
            <w:rFonts w:ascii="Arial" w:hAnsi="Arial" w:cs="Arial"/>
            <w:shd w:val="clear" w:color="auto" w:fill="FFFFFF"/>
          </w:rPr>
          <w:t>https://papers.ssrn.com/sol3/papers.cfm?abstract_id=4873096</w:t>
        </w:r>
      </w:hyperlink>
    </w:p>
    <w:p w14:paraId="22DFF06E"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Mullen, C. A., Shields, L. B., &amp; Tienken, C. H. (2021). Developing teacher resilience and resilient school cultures. </w:t>
      </w:r>
      <w:r>
        <w:rPr>
          <w:rFonts w:ascii="Arial" w:hAnsi="Arial" w:cs="Arial"/>
          <w:i/>
          <w:iCs/>
          <w:color w:val="222222"/>
          <w:shd w:val="clear" w:color="auto" w:fill="FFFFFF"/>
        </w:rPr>
        <w:t>Journal of Scholarship &amp; Practice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8-24. </w:t>
      </w:r>
      <w:hyperlink r:id="rId28" w:anchor="page=8" w:history="1">
        <w:r w:rsidRPr="00315EBE">
          <w:rPr>
            <w:rStyle w:val="Hyperlink"/>
            <w:rFonts w:ascii="Arial" w:hAnsi="Arial" w:cs="Arial"/>
            <w:shd w:val="clear" w:color="auto" w:fill="FFFFFF"/>
          </w:rPr>
          <w:t>https://www.researchgate.net/profile/Carol-Mullen-2/publication/350530376_Mullen_Shields_Tienken_AASA_JSP_2021_vol_18_no_1/links/6082e6952fb9097c0c05cb0e/Mullen-Shields-Tienken-AASA-JSP-2021-vol-18-no-1.pdf#page=8</w:t>
        </w:r>
      </w:hyperlink>
    </w:p>
    <w:p w14:paraId="041778D7"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Omojemite</w:t>
      </w:r>
      <w:proofErr w:type="spellEnd"/>
      <w:r>
        <w:rPr>
          <w:rFonts w:ascii="Arial" w:hAnsi="Arial" w:cs="Arial"/>
          <w:color w:val="222222"/>
          <w:shd w:val="clear" w:color="auto" w:fill="FFFFFF"/>
        </w:rPr>
        <w:t xml:space="preserve">, M. D., &amp; </w:t>
      </w:r>
      <w:proofErr w:type="spellStart"/>
      <w:r>
        <w:rPr>
          <w:rFonts w:ascii="Arial" w:hAnsi="Arial" w:cs="Arial"/>
          <w:color w:val="222222"/>
          <w:shd w:val="clear" w:color="auto" w:fill="FFFFFF"/>
        </w:rPr>
        <w:t>Cishe</w:t>
      </w:r>
      <w:proofErr w:type="spellEnd"/>
      <w:r>
        <w:rPr>
          <w:rFonts w:ascii="Arial" w:hAnsi="Arial" w:cs="Arial"/>
          <w:color w:val="222222"/>
          <w:shd w:val="clear" w:color="auto" w:fill="FFFFFF"/>
        </w:rPr>
        <w:t xml:space="preserve">, E. N. (2025). Enhancing social support networks on teacher well-being in rural South Africa: A theoretical perspective. </w:t>
      </w:r>
      <w:hyperlink r:id="rId29" w:history="1">
        <w:r w:rsidRPr="00315EBE">
          <w:rPr>
            <w:rStyle w:val="Hyperlink"/>
            <w:rFonts w:ascii="Arial" w:hAnsi="Arial" w:cs="Arial"/>
            <w:shd w:val="clear" w:color="auto" w:fill="FFFFFF"/>
          </w:rPr>
          <w:t>https://digibug.ugr.es/handle/10481/104086</w:t>
        </w:r>
      </w:hyperlink>
    </w:p>
    <w:p w14:paraId="13839185"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 xml:space="preserve">Pokhrel, M. K. (2025). Effective Strategies for Stress Management in Teaching: Enhancing Well-being and Resilience. </w:t>
      </w:r>
      <w:hyperlink r:id="rId30" w:history="1">
        <w:r w:rsidRPr="00315EBE">
          <w:rPr>
            <w:rStyle w:val="Hyperlink"/>
            <w:rFonts w:ascii="Arial" w:hAnsi="Arial" w:cs="Arial"/>
            <w:shd w:val="clear" w:color="auto" w:fill="FFFFFF"/>
          </w:rPr>
          <w:t>https://www.icelj.com/Files/Papers/v5s1/8.(ICELJ)-Dr.%20Mohan%20Kumar%20Pokhrel(51-62).pdf</w:t>
        </w:r>
      </w:hyperlink>
    </w:p>
    <w:p w14:paraId="397264BF"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31" w:history="1">
        <w:r w:rsidRPr="00315EBE">
          <w:rPr>
            <w:rStyle w:val="Hyperlink"/>
            <w:rFonts w:ascii="Arial" w:hAnsi="Arial" w:cs="Arial"/>
            <w:shd w:val="clear" w:color="auto" w:fill="FFFFFF"/>
          </w:rPr>
          <w:t>https://hal.science/hal-05073466/</w:t>
        </w:r>
      </w:hyperlink>
    </w:p>
    <w:p w14:paraId="748FCD86" w14:textId="77777777" w:rsidR="00507A1F" w:rsidRDefault="00507A1F" w:rsidP="00507A1F">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Taherdoost</w:t>
      </w:r>
      <w:proofErr w:type="spellEnd"/>
      <w:r>
        <w:rPr>
          <w:rFonts w:ascii="Arial" w:hAnsi="Arial" w:cs="Arial"/>
          <w:color w:val="222222"/>
          <w:shd w:val="clear" w:color="auto" w:fill="FFFFFF"/>
        </w:rPr>
        <w:t>, H. (2022). What are different research approaches? Comprehensive review of qualitative, quantitative, and mixed method research, their applications, types, and limitations. </w:t>
      </w:r>
      <w:r>
        <w:rPr>
          <w:rFonts w:ascii="Arial" w:hAnsi="Arial" w:cs="Arial"/>
          <w:i/>
          <w:iCs/>
          <w:color w:val="222222"/>
          <w:shd w:val="clear" w:color="auto" w:fill="FFFFFF"/>
        </w:rPr>
        <w:t>Journal of Management Science &amp; Engineering Research</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53-63. </w:t>
      </w:r>
      <w:hyperlink r:id="rId32" w:history="1">
        <w:r w:rsidRPr="00315EBE">
          <w:rPr>
            <w:rStyle w:val="Hyperlink"/>
            <w:rFonts w:ascii="Arial" w:hAnsi="Arial" w:cs="Arial"/>
            <w:shd w:val="clear" w:color="auto" w:fill="FFFFFF"/>
          </w:rPr>
          <w:t>https://hal.science/hal-03741840/document</w:t>
        </w:r>
      </w:hyperlink>
    </w:p>
    <w:p w14:paraId="4BCC7B39"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Tomaszewski, W., Xiang, N., &amp; Western, M. (2020). Student engagement as a mediator of the effects of socio</w:t>
      </w:r>
      <w:r>
        <w:rPr>
          <w:rFonts w:ascii="Cambria Math" w:hAnsi="Cambria Math" w:cs="Cambria Math"/>
          <w:color w:val="222222"/>
          <w:shd w:val="clear" w:color="auto" w:fill="FFFFFF"/>
        </w:rPr>
        <w:t>‐</w:t>
      </w:r>
      <w:r>
        <w:rPr>
          <w:rFonts w:ascii="Arial" w:hAnsi="Arial" w:cs="Arial"/>
          <w:color w:val="222222"/>
          <w:shd w:val="clear" w:color="auto" w:fill="FFFFFF"/>
        </w:rPr>
        <w:t>economic status on academic performance among secondary school students in Australia. </w:t>
      </w:r>
      <w:r>
        <w:rPr>
          <w:rFonts w:ascii="Arial" w:hAnsi="Arial" w:cs="Arial"/>
          <w:i/>
          <w:iCs/>
          <w:color w:val="222222"/>
          <w:shd w:val="clear" w:color="auto" w:fill="FFFFFF"/>
        </w:rPr>
        <w:t>British educational research journal</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 xml:space="preserve">(3), 610-630. </w:t>
      </w:r>
      <w:hyperlink r:id="rId33" w:history="1">
        <w:r w:rsidRPr="00315EBE">
          <w:rPr>
            <w:rStyle w:val="Hyperlink"/>
            <w:rFonts w:ascii="Arial" w:hAnsi="Arial" w:cs="Arial"/>
            <w:shd w:val="clear" w:color="auto" w:fill="FFFFFF"/>
          </w:rPr>
          <w:t>https://bera-journals.onlinelibrary.wiley.com/doi/abs/10.1002/berj.3599</w:t>
        </w:r>
      </w:hyperlink>
    </w:p>
    <w:p w14:paraId="7EA0291F"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Wang, L. (2022). Exploring the relationship among teacher emotional intelligence, work engagement, teacher self-efficacy, and student academic achievement: A moderated mediation model.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 810559. </w:t>
      </w:r>
      <w:hyperlink r:id="rId34" w:history="1">
        <w:r w:rsidRPr="00315EBE">
          <w:rPr>
            <w:rStyle w:val="Hyperlink"/>
            <w:rFonts w:ascii="Arial" w:hAnsi="Arial" w:cs="Arial"/>
            <w:shd w:val="clear" w:color="auto" w:fill="FFFFFF"/>
          </w:rPr>
          <w:t>https://www.frontiersin.org/articles/10.3389/fpsyg.2021.810559/full</w:t>
        </w:r>
      </w:hyperlink>
    </w:p>
    <w:p w14:paraId="61568E49" w14:textId="77777777" w:rsidR="00507A1F" w:rsidRDefault="00507A1F" w:rsidP="00507A1F">
      <w:pPr>
        <w:ind w:left="720" w:hanging="720"/>
        <w:rPr>
          <w:rFonts w:ascii="Arial" w:hAnsi="Arial" w:cs="Arial"/>
          <w:color w:val="222222"/>
          <w:shd w:val="clear" w:color="auto" w:fill="FFFFFF"/>
        </w:rPr>
      </w:pPr>
      <w:r>
        <w:rPr>
          <w:rFonts w:ascii="Arial" w:hAnsi="Arial" w:cs="Arial"/>
          <w:color w:val="222222"/>
          <w:shd w:val="clear" w:color="auto" w:fill="FFFFFF"/>
        </w:rPr>
        <w:t>Wiggan, G., Smith, D., &amp; Watson-Vandiver, M. J. (2021). The national teacher shortage, urban education and the cognitive sociology of labor. </w:t>
      </w:r>
      <w:r>
        <w:rPr>
          <w:rFonts w:ascii="Arial" w:hAnsi="Arial" w:cs="Arial"/>
          <w:i/>
          <w:iCs/>
          <w:color w:val="222222"/>
          <w:shd w:val="clear" w:color="auto" w:fill="FFFFFF"/>
        </w:rPr>
        <w:t>The Urban Review</w:t>
      </w:r>
      <w:r>
        <w:rPr>
          <w:rFonts w:ascii="Arial" w:hAnsi="Arial" w:cs="Arial"/>
          <w:color w:val="222222"/>
          <w:shd w:val="clear" w:color="auto" w:fill="FFFFFF"/>
        </w:rPr>
        <w:t>, </w:t>
      </w:r>
      <w:r>
        <w:rPr>
          <w:rFonts w:ascii="Arial" w:hAnsi="Arial" w:cs="Arial"/>
          <w:i/>
          <w:iCs/>
          <w:color w:val="222222"/>
          <w:shd w:val="clear" w:color="auto" w:fill="FFFFFF"/>
        </w:rPr>
        <w:t>53</w:t>
      </w:r>
      <w:r>
        <w:rPr>
          <w:rFonts w:ascii="Arial" w:hAnsi="Arial" w:cs="Arial"/>
          <w:color w:val="222222"/>
          <w:shd w:val="clear" w:color="auto" w:fill="FFFFFF"/>
        </w:rPr>
        <w:t xml:space="preserve">(1), 43-75. </w:t>
      </w:r>
      <w:hyperlink r:id="rId35" w:history="1">
        <w:r w:rsidRPr="00315EBE">
          <w:rPr>
            <w:rStyle w:val="Hyperlink"/>
            <w:rFonts w:ascii="Arial" w:hAnsi="Arial" w:cs="Arial"/>
            <w:shd w:val="clear" w:color="auto" w:fill="FFFFFF"/>
          </w:rPr>
          <w:t>https://link.springer.com/article/10.1007/s11256-020-00565-z</w:t>
        </w:r>
      </w:hyperlink>
    </w:p>
    <w:p w14:paraId="095D7E44" w14:textId="77777777" w:rsidR="00E0166B" w:rsidRPr="00257D6F" w:rsidRDefault="00E0166B" w:rsidP="00912F71">
      <w:pPr>
        <w:ind w:left="720" w:hanging="720"/>
      </w:pPr>
    </w:p>
    <w:sectPr w:rsidR="00E0166B" w:rsidRPr="00257D6F" w:rsidSect="00471AEB">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15A6F" w14:textId="77777777" w:rsidR="000E3F51" w:rsidRDefault="000E3F51">
      <w:r>
        <w:separator/>
      </w:r>
    </w:p>
  </w:endnote>
  <w:endnote w:type="continuationSeparator" w:id="0">
    <w:p w14:paraId="4E0603AB" w14:textId="77777777" w:rsidR="000E3F51" w:rsidRDefault="000E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B1AF" w14:textId="77777777" w:rsidR="00471AEB" w:rsidRDefault="00471A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85C0" w14:textId="77777777" w:rsidR="00471AEB" w:rsidRDefault="00471A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6221BDF3" w:rsidR="00D4168B" w:rsidRPr="00471AEB" w:rsidRDefault="00D4168B" w:rsidP="00471AEB">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1C207" w14:textId="77777777" w:rsidR="000E3F51" w:rsidRDefault="000E3F51">
      <w:r>
        <w:separator/>
      </w:r>
    </w:p>
  </w:footnote>
  <w:footnote w:type="continuationSeparator" w:id="0">
    <w:p w14:paraId="1E10E918" w14:textId="77777777" w:rsidR="000E3F51" w:rsidRDefault="000E3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2139E" w14:textId="1FE640DF" w:rsidR="00471AEB" w:rsidRDefault="00471AEB">
    <w:pPr>
      <w:pStyle w:val="Header"/>
    </w:pPr>
    <w:r>
      <w:rPr>
        <w:noProof/>
      </w:rPr>
      <w:pict w14:anchorId="23CA3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504D" w14:textId="6E0CC00C" w:rsidR="00471AEB" w:rsidRDefault="00471AEB">
    <w:pPr>
      <w:pStyle w:val="Header"/>
    </w:pPr>
    <w:r>
      <w:rPr>
        <w:noProof/>
      </w:rPr>
      <w:pict w14:anchorId="04593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5969F6FA" w:rsidR="00D4168B" w:rsidRDefault="00471AEB">
    <w:pPr>
      <w:ind w:left="2160"/>
      <w:jc w:val="center"/>
      <w:rPr>
        <w:rFonts w:ascii="Times New Roman" w:eastAsia="Calibri" w:hAnsi="Times New Roman"/>
        <w:i/>
        <w:sz w:val="18"/>
        <w:szCs w:val="22"/>
      </w:rPr>
    </w:pPr>
    <w:r>
      <w:rPr>
        <w:noProof/>
      </w:rPr>
      <w:pict w14:anchorId="5E861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7606" w14:textId="6FEFD0B1" w:rsidR="00471AEB" w:rsidRDefault="00471AEB">
    <w:pPr>
      <w:pStyle w:val="Header"/>
    </w:pPr>
    <w:r>
      <w:rPr>
        <w:noProof/>
      </w:rPr>
      <w:pict w14:anchorId="2DBE1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71F4D" w14:textId="4CCE1390" w:rsidR="00471AEB" w:rsidRDefault="00471AEB">
    <w:pPr>
      <w:pStyle w:val="Header"/>
    </w:pPr>
    <w:r>
      <w:rPr>
        <w:noProof/>
      </w:rPr>
      <w:pict w14:anchorId="16837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5D17" w14:textId="23BE160D" w:rsidR="00471AEB" w:rsidRDefault="00471AEB">
    <w:pPr>
      <w:pStyle w:val="Header"/>
    </w:pPr>
    <w:r>
      <w:rPr>
        <w:noProof/>
      </w:rPr>
      <w:pict w14:anchorId="5297C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137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19A1"/>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0A19"/>
    <w:rsid w:val="00061339"/>
    <w:rsid w:val="00061763"/>
    <w:rsid w:val="00064417"/>
    <w:rsid w:val="000647E2"/>
    <w:rsid w:val="00065B83"/>
    <w:rsid w:val="0006706E"/>
    <w:rsid w:val="0006786A"/>
    <w:rsid w:val="00067A0F"/>
    <w:rsid w:val="00067B98"/>
    <w:rsid w:val="00070362"/>
    <w:rsid w:val="00070402"/>
    <w:rsid w:val="00073DA5"/>
    <w:rsid w:val="00074086"/>
    <w:rsid w:val="000763D2"/>
    <w:rsid w:val="00077DAC"/>
    <w:rsid w:val="00080794"/>
    <w:rsid w:val="00081ACB"/>
    <w:rsid w:val="000822B9"/>
    <w:rsid w:val="000827FD"/>
    <w:rsid w:val="00084A16"/>
    <w:rsid w:val="00086702"/>
    <w:rsid w:val="00090DFA"/>
    <w:rsid w:val="00095BAE"/>
    <w:rsid w:val="00095F34"/>
    <w:rsid w:val="000960F6"/>
    <w:rsid w:val="00096483"/>
    <w:rsid w:val="00096CB5"/>
    <w:rsid w:val="000A2230"/>
    <w:rsid w:val="000A3474"/>
    <w:rsid w:val="000A367C"/>
    <w:rsid w:val="000A3EDA"/>
    <w:rsid w:val="000A47FA"/>
    <w:rsid w:val="000A61FE"/>
    <w:rsid w:val="000A65D3"/>
    <w:rsid w:val="000A75DA"/>
    <w:rsid w:val="000A77F6"/>
    <w:rsid w:val="000B03FC"/>
    <w:rsid w:val="000B1E33"/>
    <w:rsid w:val="000B6BC1"/>
    <w:rsid w:val="000C43E4"/>
    <w:rsid w:val="000C5AE7"/>
    <w:rsid w:val="000C6E8D"/>
    <w:rsid w:val="000C6F42"/>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51"/>
    <w:rsid w:val="000E3FD1"/>
    <w:rsid w:val="000E4A79"/>
    <w:rsid w:val="000E7B7B"/>
    <w:rsid w:val="000E7C38"/>
    <w:rsid w:val="000E7D62"/>
    <w:rsid w:val="000F64BC"/>
    <w:rsid w:val="000F668F"/>
    <w:rsid w:val="000F7123"/>
    <w:rsid w:val="00103357"/>
    <w:rsid w:val="001069ED"/>
    <w:rsid w:val="00107572"/>
    <w:rsid w:val="001119F6"/>
    <w:rsid w:val="00113238"/>
    <w:rsid w:val="00115F49"/>
    <w:rsid w:val="00117553"/>
    <w:rsid w:val="00122285"/>
    <w:rsid w:val="00122E99"/>
    <w:rsid w:val="00123378"/>
    <w:rsid w:val="00123C9F"/>
    <w:rsid w:val="001242A5"/>
    <w:rsid w:val="00126190"/>
    <w:rsid w:val="00126507"/>
    <w:rsid w:val="00126BC5"/>
    <w:rsid w:val="00130F17"/>
    <w:rsid w:val="00131057"/>
    <w:rsid w:val="001320BF"/>
    <w:rsid w:val="0013571D"/>
    <w:rsid w:val="001371A6"/>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99B"/>
    <w:rsid w:val="00163BC4"/>
    <w:rsid w:val="001644AD"/>
    <w:rsid w:val="00171A32"/>
    <w:rsid w:val="001720E7"/>
    <w:rsid w:val="001746F8"/>
    <w:rsid w:val="00174986"/>
    <w:rsid w:val="001758C5"/>
    <w:rsid w:val="00176290"/>
    <w:rsid w:val="00176FD0"/>
    <w:rsid w:val="001770E5"/>
    <w:rsid w:val="00177A80"/>
    <w:rsid w:val="00180859"/>
    <w:rsid w:val="00180B05"/>
    <w:rsid w:val="00180F6F"/>
    <w:rsid w:val="00182742"/>
    <w:rsid w:val="00184BF8"/>
    <w:rsid w:val="00185183"/>
    <w:rsid w:val="001858C3"/>
    <w:rsid w:val="00185B38"/>
    <w:rsid w:val="00187916"/>
    <w:rsid w:val="0019054D"/>
    <w:rsid w:val="00191062"/>
    <w:rsid w:val="00192B72"/>
    <w:rsid w:val="00192F07"/>
    <w:rsid w:val="0019304D"/>
    <w:rsid w:val="001948A8"/>
    <w:rsid w:val="00197D03"/>
    <w:rsid w:val="001A1291"/>
    <w:rsid w:val="001A18F4"/>
    <w:rsid w:val="001A23A3"/>
    <w:rsid w:val="001A29D8"/>
    <w:rsid w:val="001A5CAA"/>
    <w:rsid w:val="001A7684"/>
    <w:rsid w:val="001B0427"/>
    <w:rsid w:val="001B0E69"/>
    <w:rsid w:val="001B1ACC"/>
    <w:rsid w:val="001B2306"/>
    <w:rsid w:val="001B3DBD"/>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C0E"/>
    <w:rsid w:val="001E2F11"/>
    <w:rsid w:val="001E44FE"/>
    <w:rsid w:val="001E5B29"/>
    <w:rsid w:val="001E5EAF"/>
    <w:rsid w:val="001E6121"/>
    <w:rsid w:val="001E7EB7"/>
    <w:rsid w:val="001F1D3E"/>
    <w:rsid w:val="001F1D84"/>
    <w:rsid w:val="001F44F7"/>
    <w:rsid w:val="001F6352"/>
    <w:rsid w:val="001F6829"/>
    <w:rsid w:val="001F72C3"/>
    <w:rsid w:val="001F7F3C"/>
    <w:rsid w:val="00200595"/>
    <w:rsid w:val="00200CF7"/>
    <w:rsid w:val="0020136A"/>
    <w:rsid w:val="00203394"/>
    <w:rsid w:val="002039CD"/>
    <w:rsid w:val="00203AF9"/>
    <w:rsid w:val="00203C6E"/>
    <w:rsid w:val="00204835"/>
    <w:rsid w:val="002074B8"/>
    <w:rsid w:val="00210C28"/>
    <w:rsid w:val="00216EDA"/>
    <w:rsid w:val="002170C0"/>
    <w:rsid w:val="00217BEE"/>
    <w:rsid w:val="002222ED"/>
    <w:rsid w:val="00224DE5"/>
    <w:rsid w:val="002274C1"/>
    <w:rsid w:val="002309B8"/>
    <w:rsid w:val="00231920"/>
    <w:rsid w:val="0023195C"/>
    <w:rsid w:val="00231FFB"/>
    <w:rsid w:val="00235064"/>
    <w:rsid w:val="00236186"/>
    <w:rsid w:val="00237589"/>
    <w:rsid w:val="00240CE3"/>
    <w:rsid w:val="00241741"/>
    <w:rsid w:val="002425B9"/>
    <w:rsid w:val="0024282C"/>
    <w:rsid w:val="00245CB7"/>
    <w:rsid w:val="002460DC"/>
    <w:rsid w:val="00246DC7"/>
    <w:rsid w:val="002470F7"/>
    <w:rsid w:val="00250985"/>
    <w:rsid w:val="0025105D"/>
    <w:rsid w:val="00251946"/>
    <w:rsid w:val="002556F6"/>
    <w:rsid w:val="00256882"/>
    <w:rsid w:val="00256D24"/>
    <w:rsid w:val="00257D6F"/>
    <w:rsid w:val="00260780"/>
    <w:rsid w:val="002622D4"/>
    <w:rsid w:val="00264A59"/>
    <w:rsid w:val="00266E67"/>
    <w:rsid w:val="00271F07"/>
    <w:rsid w:val="00273919"/>
    <w:rsid w:val="002755D7"/>
    <w:rsid w:val="00277FCD"/>
    <w:rsid w:val="002814B3"/>
    <w:rsid w:val="00281E88"/>
    <w:rsid w:val="00283105"/>
    <w:rsid w:val="00284C4C"/>
    <w:rsid w:val="002855A6"/>
    <w:rsid w:val="002870A6"/>
    <w:rsid w:val="0028784A"/>
    <w:rsid w:val="00293127"/>
    <w:rsid w:val="0029366A"/>
    <w:rsid w:val="00293C16"/>
    <w:rsid w:val="00293C4C"/>
    <w:rsid w:val="00293D34"/>
    <w:rsid w:val="00294FB7"/>
    <w:rsid w:val="00296176"/>
    <w:rsid w:val="00296529"/>
    <w:rsid w:val="0029657B"/>
    <w:rsid w:val="00296ED2"/>
    <w:rsid w:val="002A22A5"/>
    <w:rsid w:val="002A238C"/>
    <w:rsid w:val="002A3362"/>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4D2"/>
    <w:rsid w:val="002C57D2"/>
    <w:rsid w:val="002C6217"/>
    <w:rsid w:val="002D194A"/>
    <w:rsid w:val="002D2A9F"/>
    <w:rsid w:val="002D3AE7"/>
    <w:rsid w:val="002D53D9"/>
    <w:rsid w:val="002D5C13"/>
    <w:rsid w:val="002D7B25"/>
    <w:rsid w:val="002E0D56"/>
    <w:rsid w:val="002E3CFA"/>
    <w:rsid w:val="002E3D6C"/>
    <w:rsid w:val="002E4205"/>
    <w:rsid w:val="002E57B6"/>
    <w:rsid w:val="002E7164"/>
    <w:rsid w:val="002F0E47"/>
    <w:rsid w:val="002F2031"/>
    <w:rsid w:val="002F2B4A"/>
    <w:rsid w:val="002F2D06"/>
    <w:rsid w:val="002F3DF7"/>
    <w:rsid w:val="002F42EB"/>
    <w:rsid w:val="002F5C4B"/>
    <w:rsid w:val="002F5E64"/>
    <w:rsid w:val="00300E81"/>
    <w:rsid w:val="0030202C"/>
    <w:rsid w:val="00302D1C"/>
    <w:rsid w:val="00303A6C"/>
    <w:rsid w:val="00303E14"/>
    <w:rsid w:val="00304434"/>
    <w:rsid w:val="00304469"/>
    <w:rsid w:val="003078F7"/>
    <w:rsid w:val="00314853"/>
    <w:rsid w:val="00315186"/>
    <w:rsid w:val="00315729"/>
    <w:rsid w:val="003157D5"/>
    <w:rsid w:val="0031586D"/>
    <w:rsid w:val="00315947"/>
    <w:rsid w:val="003207E7"/>
    <w:rsid w:val="00320B81"/>
    <w:rsid w:val="003227FA"/>
    <w:rsid w:val="00323BB4"/>
    <w:rsid w:val="003248E3"/>
    <w:rsid w:val="00324CBC"/>
    <w:rsid w:val="00324DE7"/>
    <w:rsid w:val="003254D9"/>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5C66"/>
    <w:rsid w:val="00346014"/>
    <w:rsid w:val="0034653D"/>
    <w:rsid w:val="003466A1"/>
    <w:rsid w:val="003512C2"/>
    <w:rsid w:val="00351B03"/>
    <w:rsid w:val="00351E2F"/>
    <w:rsid w:val="00351F41"/>
    <w:rsid w:val="0035350A"/>
    <w:rsid w:val="003541EC"/>
    <w:rsid w:val="00356071"/>
    <w:rsid w:val="0035793F"/>
    <w:rsid w:val="00362B79"/>
    <w:rsid w:val="00362D97"/>
    <w:rsid w:val="00363B3A"/>
    <w:rsid w:val="00363CA7"/>
    <w:rsid w:val="00371FB6"/>
    <w:rsid w:val="003737B4"/>
    <w:rsid w:val="00376155"/>
    <w:rsid w:val="003763C1"/>
    <w:rsid w:val="00376A55"/>
    <w:rsid w:val="00376BBE"/>
    <w:rsid w:val="00377430"/>
    <w:rsid w:val="003802C5"/>
    <w:rsid w:val="0038437D"/>
    <w:rsid w:val="00384B44"/>
    <w:rsid w:val="003872C9"/>
    <w:rsid w:val="0039224F"/>
    <w:rsid w:val="00394EAF"/>
    <w:rsid w:val="00395884"/>
    <w:rsid w:val="003963B0"/>
    <w:rsid w:val="003A014F"/>
    <w:rsid w:val="003A1837"/>
    <w:rsid w:val="003A32D6"/>
    <w:rsid w:val="003A43A4"/>
    <w:rsid w:val="003A4D6B"/>
    <w:rsid w:val="003A539B"/>
    <w:rsid w:val="003A67AC"/>
    <w:rsid w:val="003A6DA1"/>
    <w:rsid w:val="003A7E18"/>
    <w:rsid w:val="003B103B"/>
    <w:rsid w:val="003B1AE0"/>
    <w:rsid w:val="003B2756"/>
    <w:rsid w:val="003B2A9F"/>
    <w:rsid w:val="003B2FE7"/>
    <w:rsid w:val="003B319D"/>
    <w:rsid w:val="003B6DFE"/>
    <w:rsid w:val="003B71E2"/>
    <w:rsid w:val="003B73F0"/>
    <w:rsid w:val="003C03EE"/>
    <w:rsid w:val="003C4335"/>
    <w:rsid w:val="003C44A6"/>
    <w:rsid w:val="003C4C86"/>
    <w:rsid w:val="003C4FB6"/>
    <w:rsid w:val="003C6258"/>
    <w:rsid w:val="003D09DB"/>
    <w:rsid w:val="003D163C"/>
    <w:rsid w:val="003D171B"/>
    <w:rsid w:val="003D2D0A"/>
    <w:rsid w:val="003D3677"/>
    <w:rsid w:val="003D3D9B"/>
    <w:rsid w:val="003D4C18"/>
    <w:rsid w:val="003D5E92"/>
    <w:rsid w:val="003D6BA6"/>
    <w:rsid w:val="003D7548"/>
    <w:rsid w:val="003D7E45"/>
    <w:rsid w:val="003E2904"/>
    <w:rsid w:val="003E3399"/>
    <w:rsid w:val="003E37A2"/>
    <w:rsid w:val="003E49AD"/>
    <w:rsid w:val="003E671C"/>
    <w:rsid w:val="003E7C0F"/>
    <w:rsid w:val="003F10CF"/>
    <w:rsid w:val="003F2281"/>
    <w:rsid w:val="003F3B63"/>
    <w:rsid w:val="003F461D"/>
    <w:rsid w:val="003F760A"/>
    <w:rsid w:val="00401878"/>
    <w:rsid w:val="00401927"/>
    <w:rsid w:val="004040B3"/>
    <w:rsid w:val="00404135"/>
    <w:rsid w:val="00404D84"/>
    <w:rsid w:val="00406C86"/>
    <w:rsid w:val="0041027F"/>
    <w:rsid w:val="0041093B"/>
    <w:rsid w:val="00410AB7"/>
    <w:rsid w:val="00412475"/>
    <w:rsid w:val="0041280F"/>
    <w:rsid w:val="004138D3"/>
    <w:rsid w:val="00415D76"/>
    <w:rsid w:val="00416728"/>
    <w:rsid w:val="00416A04"/>
    <w:rsid w:val="00416DDE"/>
    <w:rsid w:val="00422B00"/>
    <w:rsid w:val="00423789"/>
    <w:rsid w:val="004257C2"/>
    <w:rsid w:val="00432C42"/>
    <w:rsid w:val="00432DD0"/>
    <w:rsid w:val="00434182"/>
    <w:rsid w:val="004346E5"/>
    <w:rsid w:val="00437079"/>
    <w:rsid w:val="00440191"/>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417"/>
    <w:rsid w:val="004648A3"/>
    <w:rsid w:val="0046509F"/>
    <w:rsid w:val="004653D0"/>
    <w:rsid w:val="004658C8"/>
    <w:rsid w:val="00465ADA"/>
    <w:rsid w:val="00465C00"/>
    <w:rsid w:val="00465DA5"/>
    <w:rsid w:val="00466478"/>
    <w:rsid w:val="00467207"/>
    <w:rsid w:val="00470E83"/>
    <w:rsid w:val="00471A80"/>
    <w:rsid w:val="00471AEB"/>
    <w:rsid w:val="0047302C"/>
    <w:rsid w:val="004734FA"/>
    <w:rsid w:val="004735A4"/>
    <w:rsid w:val="00474519"/>
    <w:rsid w:val="0047680F"/>
    <w:rsid w:val="00482E89"/>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33FB"/>
    <w:rsid w:val="004D4277"/>
    <w:rsid w:val="004D4879"/>
    <w:rsid w:val="004E1DA9"/>
    <w:rsid w:val="004E21A0"/>
    <w:rsid w:val="004E5345"/>
    <w:rsid w:val="004E5924"/>
    <w:rsid w:val="004E6386"/>
    <w:rsid w:val="004F0467"/>
    <w:rsid w:val="004F0F2E"/>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1F"/>
    <w:rsid w:val="00507A73"/>
    <w:rsid w:val="00516B90"/>
    <w:rsid w:val="0052341E"/>
    <w:rsid w:val="00523CC3"/>
    <w:rsid w:val="00523F46"/>
    <w:rsid w:val="00524ED0"/>
    <w:rsid w:val="0053056E"/>
    <w:rsid w:val="0053144C"/>
    <w:rsid w:val="00531CDA"/>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6A29"/>
    <w:rsid w:val="00556F72"/>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577"/>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43C0"/>
    <w:rsid w:val="005E5539"/>
    <w:rsid w:val="005F344D"/>
    <w:rsid w:val="005F3517"/>
    <w:rsid w:val="005F39E2"/>
    <w:rsid w:val="005F3FD1"/>
    <w:rsid w:val="005F4FB1"/>
    <w:rsid w:val="005F5CD3"/>
    <w:rsid w:val="005F7B39"/>
    <w:rsid w:val="006013F0"/>
    <w:rsid w:val="00602BF5"/>
    <w:rsid w:val="006039E7"/>
    <w:rsid w:val="00604A7A"/>
    <w:rsid w:val="0060632C"/>
    <w:rsid w:val="00606EB7"/>
    <w:rsid w:val="00611918"/>
    <w:rsid w:val="00612384"/>
    <w:rsid w:val="0061357D"/>
    <w:rsid w:val="00613C97"/>
    <w:rsid w:val="00613CF9"/>
    <w:rsid w:val="00615452"/>
    <w:rsid w:val="006162E2"/>
    <w:rsid w:val="00616564"/>
    <w:rsid w:val="00617502"/>
    <w:rsid w:val="00617FDD"/>
    <w:rsid w:val="00620108"/>
    <w:rsid w:val="006203C5"/>
    <w:rsid w:val="00621CBF"/>
    <w:rsid w:val="00622252"/>
    <w:rsid w:val="0062246A"/>
    <w:rsid w:val="00624014"/>
    <w:rsid w:val="00624A8B"/>
    <w:rsid w:val="006259A4"/>
    <w:rsid w:val="00626FBE"/>
    <w:rsid w:val="006273A5"/>
    <w:rsid w:val="006335EF"/>
    <w:rsid w:val="00633614"/>
    <w:rsid w:val="00633D23"/>
    <w:rsid w:val="00633F68"/>
    <w:rsid w:val="00635BF6"/>
    <w:rsid w:val="00636EB2"/>
    <w:rsid w:val="006375B8"/>
    <w:rsid w:val="00641362"/>
    <w:rsid w:val="00641364"/>
    <w:rsid w:val="00641370"/>
    <w:rsid w:val="00641BF9"/>
    <w:rsid w:val="00642019"/>
    <w:rsid w:val="00642A2C"/>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64A7"/>
    <w:rsid w:val="00667368"/>
    <w:rsid w:val="006700C6"/>
    <w:rsid w:val="006706E9"/>
    <w:rsid w:val="00672DF6"/>
    <w:rsid w:val="00673F9F"/>
    <w:rsid w:val="00681775"/>
    <w:rsid w:val="00681E63"/>
    <w:rsid w:val="00682376"/>
    <w:rsid w:val="00683035"/>
    <w:rsid w:val="0068411E"/>
    <w:rsid w:val="00684386"/>
    <w:rsid w:val="00686033"/>
    <w:rsid w:val="00686953"/>
    <w:rsid w:val="00686A69"/>
    <w:rsid w:val="00687DEA"/>
    <w:rsid w:val="00687E67"/>
    <w:rsid w:val="00687FCD"/>
    <w:rsid w:val="00691641"/>
    <w:rsid w:val="00691958"/>
    <w:rsid w:val="00692074"/>
    <w:rsid w:val="0069249E"/>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5EBC"/>
    <w:rsid w:val="006C6977"/>
    <w:rsid w:val="006D0988"/>
    <w:rsid w:val="006D2E2A"/>
    <w:rsid w:val="006D30FF"/>
    <w:rsid w:val="006D6940"/>
    <w:rsid w:val="006E0AD9"/>
    <w:rsid w:val="006E2DFC"/>
    <w:rsid w:val="006E38F4"/>
    <w:rsid w:val="006E3E3B"/>
    <w:rsid w:val="006E4138"/>
    <w:rsid w:val="006E67C9"/>
    <w:rsid w:val="006E6A7D"/>
    <w:rsid w:val="006E79E4"/>
    <w:rsid w:val="006F0160"/>
    <w:rsid w:val="006F0C7A"/>
    <w:rsid w:val="006F11EC"/>
    <w:rsid w:val="006F3835"/>
    <w:rsid w:val="006F4747"/>
    <w:rsid w:val="006F4A78"/>
    <w:rsid w:val="006F5599"/>
    <w:rsid w:val="006F6002"/>
    <w:rsid w:val="006F74CA"/>
    <w:rsid w:val="006F7EB7"/>
    <w:rsid w:val="006F7F32"/>
    <w:rsid w:val="007006CD"/>
    <w:rsid w:val="0070082C"/>
    <w:rsid w:val="007033E6"/>
    <w:rsid w:val="00703AE3"/>
    <w:rsid w:val="007057ED"/>
    <w:rsid w:val="007059F6"/>
    <w:rsid w:val="00706DF3"/>
    <w:rsid w:val="007101DE"/>
    <w:rsid w:val="00710509"/>
    <w:rsid w:val="00711739"/>
    <w:rsid w:val="00717F2E"/>
    <w:rsid w:val="00720093"/>
    <w:rsid w:val="00720256"/>
    <w:rsid w:val="007210FA"/>
    <w:rsid w:val="00722085"/>
    <w:rsid w:val="00722C51"/>
    <w:rsid w:val="007238C5"/>
    <w:rsid w:val="00725C58"/>
    <w:rsid w:val="0072610F"/>
    <w:rsid w:val="00727A12"/>
    <w:rsid w:val="00730CFF"/>
    <w:rsid w:val="00730DD1"/>
    <w:rsid w:val="00732E8F"/>
    <w:rsid w:val="00733336"/>
    <w:rsid w:val="0073519E"/>
    <w:rsid w:val="00736110"/>
    <w:rsid w:val="0073677C"/>
    <w:rsid w:val="007369E6"/>
    <w:rsid w:val="00736D42"/>
    <w:rsid w:val="0073721D"/>
    <w:rsid w:val="00737401"/>
    <w:rsid w:val="00737434"/>
    <w:rsid w:val="007408B8"/>
    <w:rsid w:val="00740B58"/>
    <w:rsid w:val="00741D42"/>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5CE8"/>
    <w:rsid w:val="00765EBA"/>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1CB7"/>
    <w:rsid w:val="007969E9"/>
    <w:rsid w:val="007A2E32"/>
    <w:rsid w:val="007A351A"/>
    <w:rsid w:val="007A5432"/>
    <w:rsid w:val="007B0C10"/>
    <w:rsid w:val="007B466E"/>
    <w:rsid w:val="007B541F"/>
    <w:rsid w:val="007B6A06"/>
    <w:rsid w:val="007C102A"/>
    <w:rsid w:val="007C21C8"/>
    <w:rsid w:val="007C3792"/>
    <w:rsid w:val="007C3CD9"/>
    <w:rsid w:val="007C4C8B"/>
    <w:rsid w:val="007C4E84"/>
    <w:rsid w:val="007C6F64"/>
    <w:rsid w:val="007D0606"/>
    <w:rsid w:val="007D2288"/>
    <w:rsid w:val="007D2B80"/>
    <w:rsid w:val="007D30D2"/>
    <w:rsid w:val="007D3FB5"/>
    <w:rsid w:val="007D4CAA"/>
    <w:rsid w:val="007D721D"/>
    <w:rsid w:val="007D7251"/>
    <w:rsid w:val="007D7C3E"/>
    <w:rsid w:val="007E088F"/>
    <w:rsid w:val="007E565A"/>
    <w:rsid w:val="007E624B"/>
    <w:rsid w:val="007E6288"/>
    <w:rsid w:val="007E7A7F"/>
    <w:rsid w:val="007F0376"/>
    <w:rsid w:val="007F209D"/>
    <w:rsid w:val="007F2720"/>
    <w:rsid w:val="007F4079"/>
    <w:rsid w:val="007F43D3"/>
    <w:rsid w:val="007F6C64"/>
    <w:rsid w:val="007F6D8D"/>
    <w:rsid w:val="007F750C"/>
    <w:rsid w:val="007F7B32"/>
    <w:rsid w:val="007F7FDC"/>
    <w:rsid w:val="008002D4"/>
    <w:rsid w:val="00803097"/>
    <w:rsid w:val="00804067"/>
    <w:rsid w:val="00804BC2"/>
    <w:rsid w:val="00807D3D"/>
    <w:rsid w:val="00807DF2"/>
    <w:rsid w:val="00810B02"/>
    <w:rsid w:val="0081431A"/>
    <w:rsid w:val="00814597"/>
    <w:rsid w:val="00814943"/>
    <w:rsid w:val="008157DD"/>
    <w:rsid w:val="008204D0"/>
    <w:rsid w:val="00820DE6"/>
    <w:rsid w:val="00821486"/>
    <w:rsid w:val="008216D2"/>
    <w:rsid w:val="008236B8"/>
    <w:rsid w:val="008244F8"/>
    <w:rsid w:val="00826162"/>
    <w:rsid w:val="00830F00"/>
    <w:rsid w:val="00831639"/>
    <w:rsid w:val="00831C82"/>
    <w:rsid w:val="0083216F"/>
    <w:rsid w:val="00834274"/>
    <w:rsid w:val="00836887"/>
    <w:rsid w:val="00843014"/>
    <w:rsid w:val="00844419"/>
    <w:rsid w:val="008453DD"/>
    <w:rsid w:val="00847952"/>
    <w:rsid w:val="00850E61"/>
    <w:rsid w:val="00851B70"/>
    <w:rsid w:val="00851CF6"/>
    <w:rsid w:val="00851D93"/>
    <w:rsid w:val="0085546E"/>
    <w:rsid w:val="0085657A"/>
    <w:rsid w:val="0085781C"/>
    <w:rsid w:val="00860000"/>
    <w:rsid w:val="00862163"/>
    <w:rsid w:val="008623ED"/>
    <w:rsid w:val="00863BD3"/>
    <w:rsid w:val="008644A3"/>
    <w:rsid w:val="00866D66"/>
    <w:rsid w:val="008671C6"/>
    <w:rsid w:val="00871745"/>
    <w:rsid w:val="00872099"/>
    <w:rsid w:val="00872C97"/>
    <w:rsid w:val="00875135"/>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9D4"/>
    <w:rsid w:val="00897A9D"/>
    <w:rsid w:val="00897FB9"/>
    <w:rsid w:val="008A09AF"/>
    <w:rsid w:val="008A1FCD"/>
    <w:rsid w:val="008A2D28"/>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E0AF4"/>
    <w:rsid w:val="008E13AE"/>
    <w:rsid w:val="008E1506"/>
    <w:rsid w:val="008E1D48"/>
    <w:rsid w:val="008E4D20"/>
    <w:rsid w:val="008E5312"/>
    <w:rsid w:val="008E710C"/>
    <w:rsid w:val="008F0221"/>
    <w:rsid w:val="008F2E29"/>
    <w:rsid w:val="008F36EB"/>
    <w:rsid w:val="008F446C"/>
    <w:rsid w:val="008F49DE"/>
    <w:rsid w:val="008F53C3"/>
    <w:rsid w:val="008F5B17"/>
    <w:rsid w:val="008F69D6"/>
    <w:rsid w:val="00901792"/>
    <w:rsid w:val="00902823"/>
    <w:rsid w:val="00907A49"/>
    <w:rsid w:val="00911B0B"/>
    <w:rsid w:val="009125C3"/>
    <w:rsid w:val="0091266B"/>
    <w:rsid w:val="00912783"/>
    <w:rsid w:val="00912F71"/>
    <w:rsid w:val="00914755"/>
    <w:rsid w:val="00914956"/>
    <w:rsid w:val="00914B20"/>
    <w:rsid w:val="00915CA6"/>
    <w:rsid w:val="00915CD7"/>
    <w:rsid w:val="009205F6"/>
    <w:rsid w:val="00921EA5"/>
    <w:rsid w:val="00922FF1"/>
    <w:rsid w:val="0092466B"/>
    <w:rsid w:val="00924904"/>
    <w:rsid w:val="00925012"/>
    <w:rsid w:val="00926B4B"/>
    <w:rsid w:val="009274E4"/>
    <w:rsid w:val="0092777F"/>
    <w:rsid w:val="00927834"/>
    <w:rsid w:val="009316B6"/>
    <w:rsid w:val="00932889"/>
    <w:rsid w:val="00934E13"/>
    <w:rsid w:val="00940320"/>
    <w:rsid w:val="00947246"/>
    <w:rsid w:val="009500A6"/>
    <w:rsid w:val="00951100"/>
    <w:rsid w:val="00952916"/>
    <w:rsid w:val="00953BE3"/>
    <w:rsid w:val="009573F2"/>
    <w:rsid w:val="00957C18"/>
    <w:rsid w:val="00957C4C"/>
    <w:rsid w:val="00960222"/>
    <w:rsid w:val="00962B44"/>
    <w:rsid w:val="00962C41"/>
    <w:rsid w:val="009648BB"/>
    <w:rsid w:val="009659BA"/>
    <w:rsid w:val="0096663E"/>
    <w:rsid w:val="0096697A"/>
    <w:rsid w:val="00966B8A"/>
    <w:rsid w:val="009676BB"/>
    <w:rsid w:val="00970217"/>
    <w:rsid w:val="009717D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B6D0D"/>
    <w:rsid w:val="009C211B"/>
    <w:rsid w:val="009C2465"/>
    <w:rsid w:val="009C4360"/>
    <w:rsid w:val="009C54D6"/>
    <w:rsid w:val="009C5581"/>
    <w:rsid w:val="009C6219"/>
    <w:rsid w:val="009D062A"/>
    <w:rsid w:val="009D346B"/>
    <w:rsid w:val="009D35A0"/>
    <w:rsid w:val="009D5D98"/>
    <w:rsid w:val="009D5F81"/>
    <w:rsid w:val="009D7EB7"/>
    <w:rsid w:val="009E048A"/>
    <w:rsid w:val="009E06BC"/>
    <w:rsid w:val="009E08E9"/>
    <w:rsid w:val="009E115B"/>
    <w:rsid w:val="009E3762"/>
    <w:rsid w:val="009E3B92"/>
    <w:rsid w:val="009E3DB9"/>
    <w:rsid w:val="009E68DA"/>
    <w:rsid w:val="009E6E35"/>
    <w:rsid w:val="009E74A6"/>
    <w:rsid w:val="009F0EDA"/>
    <w:rsid w:val="009F5D06"/>
    <w:rsid w:val="009F743A"/>
    <w:rsid w:val="009F7BA6"/>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4F5E"/>
    <w:rsid w:val="00A254E5"/>
    <w:rsid w:val="00A258C3"/>
    <w:rsid w:val="00A313D4"/>
    <w:rsid w:val="00A32872"/>
    <w:rsid w:val="00A33C1E"/>
    <w:rsid w:val="00A34302"/>
    <w:rsid w:val="00A347C0"/>
    <w:rsid w:val="00A40F15"/>
    <w:rsid w:val="00A41A08"/>
    <w:rsid w:val="00A43359"/>
    <w:rsid w:val="00A44B85"/>
    <w:rsid w:val="00A46357"/>
    <w:rsid w:val="00A47DC3"/>
    <w:rsid w:val="00A50958"/>
    <w:rsid w:val="00A51431"/>
    <w:rsid w:val="00A52A80"/>
    <w:rsid w:val="00A539AD"/>
    <w:rsid w:val="00A546C9"/>
    <w:rsid w:val="00A54DA1"/>
    <w:rsid w:val="00A54DF9"/>
    <w:rsid w:val="00A561C5"/>
    <w:rsid w:val="00A57115"/>
    <w:rsid w:val="00A573E2"/>
    <w:rsid w:val="00A574C3"/>
    <w:rsid w:val="00A577B9"/>
    <w:rsid w:val="00A61C0B"/>
    <w:rsid w:val="00A66CD3"/>
    <w:rsid w:val="00A67B21"/>
    <w:rsid w:val="00A705F7"/>
    <w:rsid w:val="00A71B40"/>
    <w:rsid w:val="00A73CD6"/>
    <w:rsid w:val="00A74632"/>
    <w:rsid w:val="00A83B02"/>
    <w:rsid w:val="00A863CA"/>
    <w:rsid w:val="00A86DF7"/>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3EF"/>
    <w:rsid w:val="00AB365B"/>
    <w:rsid w:val="00AB3E72"/>
    <w:rsid w:val="00AB4520"/>
    <w:rsid w:val="00AB45D9"/>
    <w:rsid w:val="00AB4638"/>
    <w:rsid w:val="00AB4BF1"/>
    <w:rsid w:val="00AB67CD"/>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58C"/>
    <w:rsid w:val="00B41F6F"/>
    <w:rsid w:val="00B43C88"/>
    <w:rsid w:val="00B44933"/>
    <w:rsid w:val="00B46694"/>
    <w:rsid w:val="00B526C6"/>
    <w:rsid w:val="00B527D2"/>
    <w:rsid w:val="00B52896"/>
    <w:rsid w:val="00B52A44"/>
    <w:rsid w:val="00B549CE"/>
    <w:rsid w:val="00B55B85"/>
    <w:rsid w:val="00B55D37"/>
    <w:rsid w:val="00B55FCC"/>
    <w:rsid w:val="00B56FA3"/>
    <w:rsid w:val="00B57165"/>
    <w:rsid w:val="00B60155"/>
    <w:rsid w:val="00B62947"/>
    <w:rsid w:val="00B64177"/>
    <w:rsid w:val="00B66AB4"/>
    <w:rsid w:val="00B72B39"/>
    <w:rsid w:val="00B76F94"/>
    <w:rsid w:val="00B771E5"/>
    <w:rsid w:val="00B8032C"/>
    <w:rsid w:val="00B8063D"/>
    <w:rsid w:val="00B80C76"/>
    <w:rsid w:val="00B82A10"/>
    <w:rsid w:val="00B83A45"/>
    <w:rsid w:val="00B859F0"/>
    <w:rsid w:val="00B927F2"/>
    <w:rsid w:val="00B95236"/>
    <w:rsid w:val="00B96BD9"/>
    <w:rsid w:val="00B978D8"/>
    <w:rsid w:val="00BA1B01"/>
    <w:rsid w:val="00BA2193"/>
    <w:rsid w:val="00BA2641"/>
    <w:rsid w:val="00BA2D14"/>
    <w:rsid w:val="00BA35EB"/>
    <w:rsid w:val="00BA3A94"/>
    <w:rsid w:val="00BA4CDF"/>
    <w:rsid w:val="00BA4D4E"/>
    <w:rsid w:val="00BA5BD8"/>
    <w:rsid w:val="00BA5C84"/>
    <w:rsid w:val="00BA7061"/>
    <w:rsid w:val="00BB0E63"/>
    <w:rsid w:val="00BB32A8"/>
    <w:rsid w:val="00BB37AA"/>
    <w:rsid w:val="00BB4C24"/>
    <w:rsid w:val="00BB698A"/>
    <w:rsid w:val="00BB6D95"/>
    <w:rsid w:val="00BB6DA6"/>
    <w:rsid w:val="00BC0735"/>
    <w:rsid w:val="00BC2A3C"/>
    <w:rsid w:val="00BC53A0"/>
    <w:rsid w:val="00BC78EB"/>
    <w:rsid w:val="00BD07D8"/>
    <w:rsid w:val="00BD2110"/>
    <w:rsid w:val="00BD25FD"/>
    <w:rsid w:val="00BD504C"/>
    <w:rsid w:val="00BD6E9E"/>
    <w:rsid w:val="00BD7404"/>
    <w:rsid w:val="00BD7576"/>
    <w:rsid w:val="00BD76E4"/>
    <w:rsid w:val="00BE0A38"/>
    <w:rsid w:val="00BE0E4E"/>
    <w:rsid w:val="00BE1295"/>
    <w:rsid w:val="00BE1DDA"/>
    <w:rsid w:val="00BE230B"/>
    <w:rsid w:val="00BE2877"/>
    <w:rsid w:val="00BE62AD"/>
    <w:rsid w:val="00BF121F"/>
    <w:rsid w:val="00BF1D4D"/>
    <w:rsid w:val="00BF1F80"/>
    <w:rsid w:val="00BF2939"/>
    <w:rsid w:val="00BF2BC3"/>
    <w:rsid w:val="00BF34F7"/>
    <w:rsid w:val="00BF76A0"/>
    <w:rsid w:val="00BF7728"/>
    <w:rsid w:val="00BF773C"/>
    <w:rsid w:val="00C01D17"/>
    <w:rsid w:val="00C021EA"/>
    <w:rsid w:val="00C03926"/>
    <w:rsid w:val="00C041A4"/>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5FA"/>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2C58"/>
    <w:rsid w:val="00C43FC7"/>
    <w:rsid w:val="00C4471A"/>
    <w:rsid w:val="00C455E5"/>
    <w:rsid w:val="00C51492"/>
    <w:rsid w:val="00C517B4"/>
    <w:rsid w:val="00C52519"/>
    <w:rsid w:val="00C532EF"/>
    <w:rsid w:val="00C5460A"/>
    <w:rsid w:val="00C555E5"/>
    <w:rsid w:val="00C56639"/>
    <w:rsid w:val="00C631DB"/>
    <w:rsid w:val="00C63EF9"/>
    <w:rsid w:val="00C642BA"/>
    <w:rsid w:val="00C64A20"/>
    <w:rsid w:val="00C65D13"/>
    <w:rsid w:val="00C67F48"/>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1A21"/>
    <w:rsid w:val="00CA30FF"/>
    <w:rsid w:val="00CA39EE"/>
    <w:rsid w:val="00CA5187"/>
    <w:rsid w:val="00CA7890"/>
    <w:rsid w:val="00CA7DAE"/>
    <w:rsid w:val="00CB059F"/>
    <w:rsid w:val="00CB11B3"/>
    <w:rsid w:val="00CB2155"/>
    <w:rsid w:val="00CB2A67"/>
    <w:rsid w:val="00CB37FD"/>
    <w:rsid w:val="00CB6F3A"/>
    <w:rsid w:val="00CB72AE"/>
    <w:rsid w:val="00CB7AC1"/>
    <w:rsid w:val="00CC0571"/>
    <w:rsid w:val="00CC0ECF"/>
    <w:rsid w:val="00CC39F1"/>
    <w:rsid w:val="00CC5ECD"/>
    <w:rsid w:val="00CC701F"/>
    <w:rsid w:val="00CC7073"/>
    <w:rsid w:val="00CD0402"/>
    <w:rsid w:val="00CD1124"/>
    <w:rsid w:val="00CD1ACE"/>
    <w:rsid w:val="00CD4B73"/>
    <w:rsid w:val="00CD4D57"/>
    <w:rsid w:val="00CD5CE0"/>
    <w:rsid w:val="00CD6339"/>
    <w:rsid w:val="00CD6755"/>
    <w:rsid w:val="00CD6856"/>
    <w:rsid w:val="00CD6F56"/>
    <w:rsid w:val="00CE0089"/>
    <w:rsid w:val="00CE2AD8"/>
    <w:rsid w:val="00CE3176"/>
    <w:rsid w:val="00CE5E13"/>
    <w:rsid w:val="00CE60AB"/>
    <w:rsid w:val="00CE793C"/>
    <w:rsid w:val="00CF1243"/>
    <w:rsid w:val="00CF2E29"/>
    <w:rsid w:val="00D00F3E"/>
    <w:rsid w:val="00D01782"/>
    <w:rsid w:val="00D0289A"/>
    <w:rsid w:val="00D03BEB"/>
    <w:rsid w:val="00D04A8F"/>
    <w:rsid w:val="00D065CB"/>
    <w:rsid w:val="00D10BFC"/>
    <w:rsid w:val="00D13BF4"/>
    <w:rsid w:val="00D143F2"/>
    <w:rsid w:val="00D1636A"/>
    <w:rsid w:val="00D16A04"/>
    <w:rsid w:val="00D17273"/>
    <w:rsid w:val="00D173F1"/>
    <w:rsid w:val="00D208F0"/>
    <w:rsid w:val="00D21E8D"/>
    <w:rsid w:val="00D227D5"/>
    <w:rsid w:val="00D23445"/>
    <w:rsid w:val="00D23B1F"/>
    <w:rsid w:val="00D24440"/>
    <w:rsid w:val="00D26112"/>
    <w:rsid w:val="00D26D1E"/>
    <w:rsid w:val="00D311B1"/>
    <w:rsid w:val="00D31407"/>
    <w:rsid w:val="00D32F12"/>
    <w:rsid w:val="00D341E9"/>
    <w:rsid w:val="00D3483E"/>
    <w:rsid w:val="00D372F9"/>
    <w:rsid w:val="00D4168B"/>
    <w:rsid w:val="00D41A18"/>
    <w:rsid w:val="00D42848"/>
    <w:rsid w:val="00D429C7"/>
    <w:rsid w:val="00D42F2F"/>
    <w:rsid w:val="00D430F1"/>
    <w:rsid w:val="00D453B9"/>
    <w:rsid w:val="00D468AD"/>
    <w:rsid w:val="00D46AD9"/>
    <w:rsid w:val="00D5041B"/>
    <w:rsid w:val="00D5183C"/>
    <w:rsid w:val="00D52298"/>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08B"/>
    <w:rsid w:val="00D717BB"/>
    <w:rsid w:val="00D71D80"/>
    <w:rsid w:val="00D71E66"/>
    <w:rsid w:val="00D72CC0"/>
    <w:rsid w:val="00D74087"/>
    <w:rsid w:val="00D76D49"/>
    <w:rsid w:val="00D772CA"/>
    <w:rsid w:val="00D77F8D"/>
    <w:rsid w:val="00D77FBA"/>
    <w:rsid w:val="00D815DA"/>
    <w:rsid w:val="00D82866"/>
    <w:rsid w:val="00D8295D"/>
    <w:rsid w:val="00D83816"/>
    <w:rsid w:val="00D83D9C"/>
    <w:rsid w:val="00D8415F"/>
    <w:rsid w:val="00D920C5"/>
    <w:rsid w:val="00D927CC"/>
    <w:rsid w:val="00D92CBE"/>
    <w:rsid w:val="00D95C45"/>
    <w:rsid w:val="00D96153"/>
    <w:rsid w:val="00D96A0A"/>
    <w:rsid w:val="00DA28B7"/>
    <w:rsid w:val="00DA3270"/>
    <w:rsid w:val="00DA3A1E"/>
    <w:rsid w:val="00DA3D24"/>
    <w:rsid w:val="00DA4A5E"/>
    <w:rsid w:val="00DA6A85"/>
    <w:rsid w:val="00DA70F9"/>
    <w:rsid w:val="00DA76AB"/>
    <w:rsid w:val="00DB03BF"/>
    <w:rsid w:val="00DB0B12"/>
    <w:rsid w:val="00DB0B8E"/>
    <w:rsid w:val="00DB27EE"/>
    <w:rsid w:val="00DB27F9"/>
    <w:rsid w:val="00DB46B2"/>
    <w:rsid w:val="00DB5951"/>
    <w:rsid w:val="00DB5A15"/>
    <w:rsid w:val="00DB6FC4"/>
    <w:rsid w:val="00DC09E0"/>
    <w:rsid w:val="00DC0BFC"/>
    <w:rsid w:val="00DC1898"/>
    <w:rsid w:val="00DC2754"/>
    <w:rsid w:val="00DC2A65"/>
    <w:rsid w:val="00DC6EF2"/>
    <w:rsid w:val="00DD0186"/>
    <w:rsid w:val="00DD0B2B"/>
    <w:rsid w:val="00DD1370"/>
    <w:rsid w:val="00DD1EA9"/>
    <w:rsid w:val="00DD46CC"/>
    <w:rsid w:val="00DD5EA2"/>
    <w:rsid w:val="00DD6431"/>
    <w:rsid w:val="00DD68C1"/>
    <w:rsid w:val="00DD733B"/>
    <w:rsid w:val="00DD74CD"/>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6C51"/>
    <w:rsid w:val="00E0760C"/>
    <w:rsid w:val="00E100D0"/>
    <w:rsid w:val="00E103CF"/>
    <w:rsid w:val="00E112E6"/>
    <w:rsid w:val="00E1142D"/>
    <w:rsid w:val="00E12CED"/>
    <w:rsid w:val="00E14348"/>
    <w:rsid w:val="00E146D8"/>
    <w:rsid w:val="00E15994"/>
    <w:rsid w:val="00E16D4E"/>
    <w:rsid w:val="00E22B41"/>
    <w:rsid w:val="00E2395E"/>
    <w:rsid w:val="00E241AB"/>
    <w:rsid w:val="00E2437E"/>
    <w:rsid w:val="00E2586B"/>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2BD8"/>
    <w:rsid w:val="00E43BA2"/>
    <w:rsid w:val="00E45A21"/>
    <w:rsid w:val="00E479C2"/>
    <w:rsid w:val="00E50424"/>
    <w:rsid w:val="00E508C3"/>
    <w:rsid w:val="00E5104A"/>
    <w:rsid w:val="00E55050"/>
    <w:rsid w:val="00E557DA"/>
    <w:rsid w:val="00E5595B"/>
    <w:rsid w:val="00E56566"/>
    <w:rsid w:val="00E61952"/>
    <w:rsid w:val="00E642AB"/>
    <w:rsid w:val="00E64B1B"/>
    <w:rsid w:val="00E66496"/>
    <w:rsid w:val="00E66A3C"/>
    <w:rsid w:val="00E66B35"/>
    <w:rsid w:val="00E66E10"/>
    <w:rsid w:val="00E70CB4"/>
    <w:rsid w:val="00E71A6B"/>
    <w:rsid w:val="00E71FEE"/>
    <w:rsid w:val="00E7296F"/>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311D"/>
    <w:rsid w:val="00EA70C1"/>
    <w:rsid w:val="00EB1CD4"/>
    <w:rsid w:val="00EB1D47"/>
    <w:rsid w:val="00EB2E0E"/>
    <w:rsid w:val="00EB5A20"/>
    <w:rsid w:val="00EB7104"/>
    <w:rsid w:val="00EB7AEC"/>
    <w:rsid w:val="00EC065F"/>
    <w:rsid w:val="00EC0D56"/>
    <w:rsid w:val="00EC3636"/>
    <w:rsid w:val="00EC64EC"/>
    <w:rsid w:val="00EC7AAE"/>
    <w:rsid w:val="00ED0288"/>
    <w:rsid w:val="00ED079D"/>
    <w:rsid w:val="00ED2411"/>
    <w:rsid w:val="00ED54F5"/>
    <w:rsid w:val="00ED755D"/>
    <w:rsid w:val="00EE04B6"/>
    <w:rsid w:val="00EE0BC5"/>
    <w:rsid w:val="00EE1964"/>
    <w:rsid w:val="00EE3184"/>
    <w:rsid w:val="00EE3755"/>
    <w:rsid w:val="00EE52CB"/>
    <w:rsid w:val="00EE66A5"/>
    <w:rsid w:val="00EE6EDA"/>
    <w:rsid w:val="00EF15DE"/>
    <w:rsid w:val="00EF1EB5"/>
    <w:rsid w:val="00EF2383"/>
    <w:rsid w:val="00EF390C"/>
    <w:rsid w:val="00EF4059"/>
    <w:rsid w:val="00EF4B2D"/>
    <w:rsid w:val="00EF581D"/>
    <w:rsid w:val="00EF7DF2"/>
    <w:rsid w:val="00EF7FD8"/>
    <w:rsid w:val="00F02CEA"/>
    <w:rsid w:val="00F03243"/>
    <w:rsid w:val="00F03BF6"/>
    <w:rsid w:val="00F04F13"/>
    <w:rsid w:val="00F05063"/>
    <w:rsid w:val="00F05FAA"/>
    <w:rsid w:val="00F06F59"/>
    <w:rsid w:val="00F071D7"/>
    <w:rsid w:val="00F07371"/>
    <w:rsid w:val="00F11DDA"/>
    <w:rsid w:val="00F12135"/>
    <w:rsid w:val="00F121AE"/>
    <w:rsid w:val="00F159E4"/>
    <w:rsid w:val="00F168B9"/>
    <w:rsid w:val="00F174B8"/>
    <w:rsid w:val="00F17988"/>
    <w:rsid w:val="00F17F60"/>
    <w:rsid w:val="00F20BD8"/>
    <w:rsid w:val="00F2100D"/>
    <w:rsid w:val="00F21FC5"/>
    <w:rsid w:val="00F23A67"/>
    <w:rsid w:val="00F266FB"/>
    <w:rsid w:val="00F26DEB"/>
    <w:rsid w:val="00F2706C"/>
    <w:rsid w:val="00F303EB"/>
    <w:rsid w:val="00F30D27"/>
    <w:rsid w:val="00F30EAB"/>
    <w:rsid w:val="00F333CB"/>
    <w:rsid w:val="00F35314"/>
    <w:rsid w:val="00F366B2"/>
    <w:rsid w:val="00F36ABC"/>
    <w:rsid w:val="00F40FB0"/>
    <w:rsid w:val="00F41F1C"/>
    <w:rsid w:val="00F42FC6"/>
    <w:rsid w:val="00F458DD"/>
    <w:rsid w:val="00F4685B"/>
    <w:rsid w:val="00F4688C"/>
    <w:rsid w:val="00F469F0"/>
    <w:rsid w:val="00F51246"/>
    <w:rsid w:val="00F53273"/>
    <w:rsid w:val="00F53BB9"/>
    <w:rsid w:val="00F53CF3"/>
    <w:rsid w:val="00F54336"/>
    <w:rsid w:val="00F576D3"/>
    <w:rsid w:val="00F57E77"/>
    <w:rsid w:val="00F57FA7"/>
    <w:rsid w:val="00F600DB"/>
    <w:rsid w:val="00F606EA"/>
    <w:rsid w:val="00F6140C"/>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87242"/>
    <w:rsid w:val="00F924A4"/>
    <w:rsid w:val="00F927B2"/>
    <w:rsid w:val="00F92A13"/>
    <w:rsid w:val="00F947E3"/>
    <w:rsid w:val="00F96071"/>
    <w:rsid w:val="00FA0D6E"/>
    <w:rsid w:val="00FA2543"/>
    <w:rsid w:val="00FA5345"/>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E667F"/>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8A2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45176">
      <w:bodyDiv w:val="1"/>
      <w:marLeft w:val="0"/>
      <w:marRight w:val="0"/>
      <w:marTop w:val="0"/>
      <w:marBottom w:val="0"/>
      <w:divBdr>
        <w:top w:val="none" w:sz="0" w:space="0" w:color="auto"/>
        <w:left w:val="none" w:sz="0" w:space="0" w:color="auto"/>
        <w:bottom w:val="none" w:sz="0" w:space="0" w:color="auto"/>
        <w:right w:val="none" w:sz="0" w:space="0" w:color="auto"/>
      </w:divBdr>
    </w:div>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4269490">
      <w:bodyDiv w:val="1"/>
      <w:marLeft w:val="0"/>
      <w:marRight w:val="0"/>
      <w:marTop w:val="0"/>
      <w:marBottom w:val="0"/>
      <w:divBdr>
        <w:top w:val="none" w:sz="0" w:space="0" w:color="auto"/>
        <w:left w:val="none" w:sz="0" w:space="0" w:color="auto"/>
        <w:bottom w:val="none" w:sz="0" w:space="0" w:color="auto"/>
        <w:right w:val="none" w:sz="0" w:space="0" w:color="auto"/>
      </w:divBdr>
    </w:div>
    <w:div w:id="687947648">
      <w:bodyDiv w:val="1"/>
      <w:marLeft w:val="0"/>
      <w:marRight w:val="0"/>
      <w:marTop w:val="0"/>
      <w:marBottom w:val="0"/>
      <w:divBdr>
        <w:top w:val="none" w:sz="0" w:space="0" w:color="auto"/>
        <w:left w:val="none" w:sz="0" w:space="0" w:color="auto"/>
        <w:bottom w:val="none" w:sz="0" w:space="0" w:color="auto"/>
        <w:right w:val="none" w:sz="0" w:space="0" w:color="auto"/>
      </w:divBdr>
    </w:div>
    <w:div w:id="742725603">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173569453">
      <w:bodyDiv w:val="1"/>
      <w:marLeft w:val="0"/>
      <w:marRight w:val="0"/>
      <w:marTop w:val="0"/>
      <w:marBottom w:val="0"/>
      <w:divBdr>
        <w:top w:val="none" w:sz="0" w:space="0" w:color="auto"/>
        <w:left w:val="none" w:sz="0" w:space="0" w:color="auto"/>
        <w:bottom w:val="none" w:sz="0" w:space="0" w:color="auto"/>
        <w:right w:val="none" w:sz="0" w:space="0" w:color="auto"/>
      </w:divBdr>
    </w:div>
    <w:div w:id="1371683255">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 w:id="1683438138">
      <w:bodyDiv w:val="1"/>
      <w:marLeft w:val="0"/>
      <w:marRight w:val="0"/>
      <w:marTop w:val="0"/>
      <w:marBottom w:val="0"/>
      <w:divBdr>
        <w:top w:val="none" w:sz="0" w:space="0" w:color="auto"/>
        <w:left w:val="none" w:sz="0" w:space="0" w:color="auto"/>
        <w:bottom w:val="none" w:sz="0" w:space="0" w:color="auto"/>
        <w:right w:val="none" w:sz="0" w:space="0" w:color="auto"/>
      </w:divBdr>
    </w:div>
    <w:div w:id="1699626180">
      <w:bodyDiv w:val="1"/>
      <w:marLeft w:val="0"/>
      <w:marRight w:val="0"/>
      <w:marTop w:val="0"/>
      <w:marBottom w:val="0"/>
      <w:divBdr>
        <w:top w:val="none" w:sz="0" w:space="0" w:color="auto"/>
        <w:left w:val="none" w:sz="0" w:space="0" w:color="auto"/>
        <w:bottom w:val="none" w:sz="0" w:space="0" w:color="auto"/>
        <w:right w:val="none" w:sz="0" w:space="0" w:color="auto"/>
      </w:divBdr>
    </w:div>
    <w:div w:id="1767650631">
      <w:bodyDiv w:val="1"/>
      <w:marLeft w:val="0"/>
      <w:marRight w:val="0"/>
      <w:marTop w:val="0"/>
      <w:marBottom w:val="0"/>
      <w:divBdr>
        <w:top w:val="none" w:sz="0" w:space="0" w:color="auto"/>
        <w:left w:val="none" w:sz="0" w:space="0" w:color="auto"/>
        <w:bottom w:val="none" w:sz="0" w:space="0" w:color="auto"/>
        <w:right w:val="none" w:sz="0" w:space="0" w:color="auto"/>
      </w:divBdr>
    </w:div>
    <w:div w:id="20096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mdpi.com/2071-1050/15/16/12386" TargetMode="External"/><Relationship Id="rId26" Type="http://schemas.openxmlformats.org/officeDocument/2006/relationships/hyperlink" Target="https://www.frontiersin.org/journals/psychology/articles/10.3389/fpsyg.2024.1514621/full" TargetMode="External"/><Relationship Id="rId39" Type="http://schemas.openxmlformats.org/officeDocument/2006/relationships/header" Target="header6.xml"/><Relationship Id="rId21" Type="http://schemas.openxmlformats.org/officeDocument/2006/relationships/hyperlink" Target="https://public.scnchub.com/palr/index.php/palr/article/view/180" TargetMode="External"/><Relationship Id="rId34" Type="http://schemas.openxmlformats.org/officeDocument/2006/relationships/hyperlink" Target="https://www.frontiersin.org/articles/10.3389/fpsyg.2021.810559/ful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dpi.com/2071-1050/14/16/10029" TargetMode="External"/><Relationship Id="rId20" Type="http://schemas.openxmlformats.org/officeDocument/2006/relationships/hyperlink" Target="https://www.degruyterbrill.com/document/doi/10.1515/iral-2023-0024/html" TargetMode="External"/><Relationship Id="rId29" Type="http://schemas.openxmlformats.org/officeDocument/2006/relationships/hyperlink" Target="https://digibug.ugr.es/handle/10481/10408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andfonline.com/doi/abs/10.1080/21683603.2020.1734125" TargetMode="External"/><Relationship Id="rId32" Type="http://schemas.openxmlformats.org/officeDocument/2006/relationships/hyperlink" Target="https://hal.science/hal-03741840/document"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arch.proquest.com/openview/dca23992ba1caf266d80fc36dad38a5c/1?pq-origsite=gscholar&amp;cbl=18750&amp;diss=y" TargetMode="External"/><Relationship Id="rId23" Type="http://schemas.openxmlformats.org/officeDocument/2006/relationships/hyperlink" Target="http://search.shamaa.org/PDF/Articles/FC/ERIjres/IjresVol8No2Y2025/ijres_2025-v8-n2_041-077_eng.pdf" TargetMode="External"/><Relationship Id="rId28" Type="http://schemas.openxmlformats.org/officeDocument/2006/relationships/hyperlink" Target="https://www.researchgate.net/profile/Carol-Mullen-2/publication/350530376_Mullen_Shields_Tienken_AASA_JSP_2021_vol_18_no_1/links/6082e6952fb9097c0c05cb0e/Mullen-Shields-Tienken-AASA-JSP-2021-vol-18-no-1.pdf"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link.springer.com/chapter/10.1007/978-3-031-91431-7_1" TargetMode="External"/><Relationship Id="rId31" Type="http://schemas.openxmlformats.org/officeDocument/2006/relationships/hyperlink" Target="https://hal.science/hal-050734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o11.tci-thaijo.org/index.php/NJHSS/article/view/1941" TargetMode="External"/><Relationship Id="rId22" Type="http://schemas.openxmlformats.org/officeDocument/2006/relationships/hyperlink" Target="https://koreascience.kr/article/JAKO202421943237524.page" TargetMode="External"/><Relationship Id="rId27" Type="http://schemas.openxmlformats.org/officeDocument/2006/relationships/hyperlink" Target="https://papers.ssrn.com/sol3/papers.cfm?abstract_id=4873096" TargetMode="External"/><Relationship Id="rId30" Type="http://schemas.openxmlformats.org/officeDocument/2006/relationships/hyperlink" Target="https://www.icelj.com/Files/Papers/v5s1/8.(ICELJ)-Dr.%20Mohan%20Kumar%20Pokhrel(51-62).pdf" TargetMode="External"/><Relationship Id="rId35" Type="http://schemas.openxmlformats.org/officeDocument/2006/relationships/hyperlink" Target="https://link.springer.com/article/10.1007/s11256-020-00565-z"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link.springer.com/chapter/10.1007/978-3-030-36560-8_6" TargetMode="External"/><Relationship Id="rId25" Type="http://schemas.openxmlformats.org/officeDocument/2006/relationships/hyperlink" Target="https://www.igi-global.com/chapter/nurturing-resilience-in-education/353731" TargetMode="External"/><Relationship Id="rId33" Type="http://schemas.openxmlformats.org/officeDocument/2006/relationships/hyperlink" Target="https://bera-journals.onlinelibrary.wiley.com/doi/abs/10.1002/berj.3599"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73</TotalTime>
  <Pages>12</Pages>
  <Words>5875</Words>
  <Characters>33493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221</cp:revision>
  <cp:lastPrinted>2024-10-20T02:52:00Z</cp:lastPrinted>
  <dcterms:created xsi:type="dcterms:W3CDTF">2025-07-13T04:21:00Z</dcterms:created>
  <dcterms:modified xsi:type="dcterms:W3CDTF">2025-07-15T06:57:00Z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