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9EED02C" w14:textId="77777777" w:rsidR="003B23D7" w:rsidRDefault="00DB169B">
      <w:pPr>
        <w:spacing w:after="280" w:line="240" w:lineRule="auto"/>
        <w:jc w:val="center"/>
        <w:rPr>
          <w:rFonts w:ascii="Times New Roman" w:eastAsia="Times New Roman" w:hAnsi="Times New Roman" w:cs="Times New Roman"/>
          <w:b/>
          <w:sz w:val="36"/>
          <w:szCs w:val="36"/>
        </w:rPr>
      </w:pPr>
      <w:r>
        <w:rPr>
          <w:rFonts w:ascii="Times New Roman" w:eastAsia="Times New Roman" w:hAnsi="Times New Roman" w:cs="Times New Roman"/>
          <w:b/>
          <w:sz w:val="36"/>
          <w:szCs w:val="36"/>
        </w:rPr>
        <w:t xml:space="preserve">Evaluation on Different Varieties of Guava Jelly (Psidium </w:t>
      </w:r>
      <w:proofErr w:type="spellStart"/>
      <w:r>
        <w:rPr>
          <w:rFonts w:ascii="Times New Roman" w:eastAsia="Times New Roman" w:hAnsi="Times New Roman" w:cs="Times New Roman"/>
          <w:b/>
          <w:sz w:val="36"/>
          <w:szCs w:val="36"/>
        </w:rPr>
        <w:t>guajava</w:t>
      </w:r>
      <w:proofErr w:type="spellEnd"/>
      <w:r>
        <w:rPr>
          <w:rFonts w:ascii="Times New Roman" w:eastAsia="Times New Roman" w:hAnsi="Times New Roman" w:cs="Times New Roman"/>
          <w:b/>
          <w:sz w:val="36"/>
          <w:szCs w:val="36"/>
        </w:rPr>
        <w:t xml:space="preserve"> L.)</w:t>
      </w:r>
    </w:p>
    <w:p w14:paraId="0D577ADD" w14:textId="77777777" w:rsidR="006C20C5" w:rsidRDefault="006C20C5">
      <w:pPr>
        <w:pStyle w:val="Heading3"/>
        <w:rPr>
          <w:sz w:val="24"/>
          <w:szCs w:val="24"/>
        </w:rPr>
      </w:pPr>
    </w:p>
    <w:p w14:paraId="1987944C" w14:textId="7559B3E6" w:rsidR="003B23D7" w:rsidRDefault="00DB169B">
      <w:pPr>
        <w:pStyle w:val="Heading3"/>
        <w:rPr>
          <w:sz w:val="24"/>
          <w:szCs w:val="24"/>
        </w:rPr>
      </w:pPr>
      <w:r>
        <w:rPr>
          <w:sz w:val="24"/>
          <w:szCs w:val="24"/>
        </w:rPr>
        <w:t>Abstract</w:t>
      </w:r>
    </w:p>
    <w:p w14:paraId="0150F697" w14:textId="77777777" w:rsidR="003B23D7" w:rsidRDefault="00DB169B">
      <w:pPr>
        <w:pStyle w:val="Heading3"/>
        <w:spacing w:before="280" w:after="280" w:line="360" w:lineRule="auto"/>
        <w:jc w:val="both"/>
        <w:rPr>
          <w:b w:val="0"/>
          <w:sz w:val="24"/>
          <w:szCs w:val="24"/>
        </w:rPr>
      </w:pPr>
      <w:r>
        <w:rPr>
          <w:b w:val="0"/>
          <w:sz w:val="24"/>
          <w:szCs w:val="24"/>
        </w:rPr>
        <w:t>This study aimed</w:t>
      </w:r>
      <w:r>
        <w:rPr>
          <w:b w:val="0"/>
          <w:sz w:val="24"/>
          <w:szCs w:val="24"/>
        </w:rPr>
        <w:t xml:space="preserve"> to evaluate the quality and storage stability of guava jelly prepared from three cultivars Lalit’, ‘Shweta’, and ‘VNR </w:t>
      </w:r>
      <w:proofErr w:type="spellStart"/>
      <w:r>
        <w:rPr>
          <w:b w:val="0"/>
          <w:sz w:val="24"/>
          <w:szCs w:val="24"/>
        </w:rPr>
        <w:t>Bihi</w:t>
      </w:r>
      <w:proofErr w:type="spellEnd"/>
      <w:r>
        <w:rPr>
          <w:b w:val="0"/>
          <w:sz w:val="24"/>
          <w:szCs w:val="24"/>
        </w:rPr>
        <w:t>’ using three sugar concentrations (550g, 650g, and 750g per 100g pulp) under controlled citric acid levels (3g/100g pulp). Nine trea</w:t>
      </w:r>
      <w:r>
        <w:rPr>
          <w:b w:val="0"/>
          <w:sz w:val="24"/>
          <w:szCs w:val="24"/>
        </w:rPr>
        <w:t xml:space="preserve">tment combinations were arranged in a Completely Randomized Design (CRD) and analysed for physicochemical (TSS, acidity, ascorbic acid), sensory, and economic parameters over a 60-day storage period. Total Soluble Solids (TSS) increased from 62.33°Brix to </w:t>
      </w:r>
      <w:r>
        <w:rPr>
          <w:b w:val="0"/>
          <w:sz w:val="24"/>
          <w:szCs w:val="24"/>
        </w:rPr>
        <w:t>67.33°Brix over 60 days. Titratable acidity rose from 0.09% to 0.35%. Ascorbic acid content decreased from 106.61 mg/100g to 101.16</w:t>
      </w:r>
      <w:r>
        <w:rPr>
          <w:b w:val="0"/>
          <w:sz w:val="22"/>
          <w:szCs w:val="22"/>
        </w:rPr>
        <w:t xml:space="preserve"> </w:t>
      </w:r>
      <w:r>
        <w:rPr>
          <w:b w:val="0"/>
          <w:sz w:val="24"/>
          <w:szCs w:val="24"/>
        </w:rPr>
        <w:t>mg/100g. Sensory evaluation showed that T3 (Lalit 100% juice + 3g Citric Acid + 750g Sugar) and T9 (VNR 100% juice + 3g Citr</w:t>
      </w:r>
      <w:r>
        <w:rPr>
          <w:b w:val="0"/>
          <w:sz w:val="24"/>
          <w:szCs w:val="24"/>
        </w:rPr>
        <w:t>ic Acid + 750g Sugar) were the most preferred treatments. Economic analysis revealed that T3 was the most economically viable, with a benefit-cost ratio of 2.65. This optimized approach offers a promising strategy for commercial-scale jelly production, add</w:t>
      </w:r>
      <w:r>
        <w:rPr>
          <w:b w:val="0"/>
          <w:sz w:val="24"/>
          <w:szCs w:val="24"/>
        </w:rPr>
        <w:t>ressing post-harvest losses and promoting value addition in guava processing.</w:t>
      </w:r>
    </w:p>
    <w:p w14:paraId="1A109D34" w14:textId="77777777" w:rsidR="003B23D7" w:rsidRDefault="00DB169B">
      <w:pPr>
        <w:pStyle w:val="Heading3"/>
        <w:spacing w:before="280" w:after="280" w:line="360" w:lineRule="auto"/>
        <w:rPr>
          <w:sz w:val="24"/>
          <w:szCs w:val="24"/>
        </w:rPr>
      </w:pPr>
      <w:r>
        <w:rPr>
          <w:sz w:val="24"/>
          <w:szCs w:val="24"/>
        </w:rPr>
        <w:t>Keywords</w:t>
      </w:r>
    </w:p>
    <w:p w14:paraId="0A6B9D07" w14:textId="77777777" w:rsidR="003B23D7" w:rsidRDefault="00DB169B">
      <w:pPr>
        <w:pBdr>
          <w:top w:val="nil"/>
          <w:left w:val="nil"/>
          <w:bottom w:val="nil"/>
          <w:right w:val="nil"/>
          <w:between w:val="nil"/>
        </w:pBdr>
        <w:spacing w:before="280" w:after="28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Guava jelly, </w:t>
      </w:r>
      <w:r>
        <w:rPr>
          <w:rFonts w:ascii="Times New Roman" w:eastAsia="Times New Roman" w:hAnsi="Times New Roman" w:cs="Times New Roman"/>
          <w:i/>
          <w:color w:val="000000"/>
          <w:sz w:val="24"/>
          <w:szCs w:val="24"/>
        </w:rPr>
        <w:t xml:space="preserve">Psidium </w:t>
      </w:r>
      <w:proofErr w:type="spellStart"/>
      <w:r>
        <w:rPr>
          <w:rFonts w:ascii="Times New Roman" w:eastAsia="Times New Roman" w:hAnsi="Times New Roman" w:cs="Times New Roman"/>
          <w:i/>
          <w:color w:val="000000"/>
          <w:sz w:val="24"/>
          <w:szCs w:val="24"/>
        </w:rPr>
        <w:t>guajava</w:t>
      </w:r>
      <w:proofErr w:type="spellEnd"/>
      <w:r>
        <w:rPr>
          <w:rFonts w:ascii="Times New Roman" w:eastAsia="Times New Roman" w:hAnsi="Times New Roman" w:cs="Times New Roman"/>
          <w:color w:val="000000"/>
          <w:sz w:val="24"/>
          <w:szCs w:val="24"/>
        </w:rPr>
        <w:t>, sensory evaluation, total soluble solids, ascorbic acid, processing, shelf life</w:t>
      </w:r>
    </w:p>
    <w:p w14:paraId="5D73B8F2" w14:textId="77777777" w:rsidR="003B23D7" w:rsidRDefault="00DB169B">
      <w:pPr>
        <w:pStyle w:val="Heading3"/>
        <w:spacing w:before="280" w:after="280" w:line="360" w:lineRule="auto"/>
        <w:rPr>
          <w:sz w:val="24"/>
          <w:szCs w:val="24"/>
        </w:rPr>
      </w:pPr>
      <w:r>
        <w:rPr>
          <w:sz w:val="24"/>
          <w:szCs w:val="24"/>
        </w:rPr>
        <w:t>Introduction</w:t>
      </w:r>
    </w:p>
    <w:p w14:paraId="3B8B023B" w14:textId="77777777" w:rsidR="003B23D7" w:rsidRDefault="00DB169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Guava (</w:t>
      </w:r>
      <w:r>
        <w:rPr>
          <w:rFonts w:ascii="Times New Roman" w:eastAsia="Times New Roman" w:hAnsi="Times New Roman" w:cs="Times New Roman"/>
          <w:i/>
          <w:sz w:val="24"/>
          <w:szCs w:val="24"/>
        </w:rPr>
        <w:t xml:space="preserve">Psidium </w:t>
      </w:r>
      <w:proofErr w:type="spellStart"/>
      <w:r>
        <w:rPr>
          <w:rFonts w:ascii="Times New Roman" w:eastAsia="Times New Roman" w:hAnsi="Times New Roman" w:cs="Times New Roman"/>
          <w:i/>
          <w:sz w:val="24"/>
          <w:szCs w:val="24"/>
        </w:rPr>
        <w:t>guajava</w:t>
      </w:r>
      <w:proofErr w:type="spellEnd"/>
      <w:r>
        <w:rPr>
          <w:rFonts w:ascii="Times New Roman" w:eastAsia="Times New Roman" w:hAnsi="Times New Roman" w:cs="Times New Roman"/>
          <w:sz w:val="24"/>
          <w:szCs w:val="24"/>
        </w:rPr>
        <w:t xml:space="preserve"> L.), a tropical fruit o</w:t>
      </w:r>
      <w:r>
        <w:rPr>
          <w:rFonts w:ascii="Times New Roman" w:eastAsia="Times New Roman" w:hAnsi="Times New Roman" w:cs="Times New Roman"/>
          <w:sz w:val="24"/>
          <w:szCs w:val="24"/>
        </w:rPr>
        <w:t xml:space="preserve">f the </w:t>
      </w:r>
      <w:proofErr w:type="spellStart"/>
      <w:r>
        <w:rPr>
          <w:rFonts w:ascii="Times New Roman" w:eastAsia="Times New Roman" w:hAnsi="Times New Roman" w:cs="Times New Roman"/>
          <w:sz w:val="24"/>
          <w:szCs w:val="24"/>
        </w:rPr>
        <w:t>Myrtaceae</w:t>
      </w:r>
      <w:proofErr w:type="spellEnd"/>
      <w:r>
        <w:rPr>
          <w:rFonts w:ascii="Times New Roman" w:eastAsia="Times New Roman" w:hAnsi="Times New Roman" w:cs="Times New Roman"/>
          <w:sz w:val="24"/>
          <w:szCs w:val="24"/>
        </w:rPr>
        <w:t xml:space="preserve"> family, is one of the most economically significant fruit crops in India and many tropical countries. Rich in essential nutrients, guava is particularly valued for its high vitamin C content reportedly 3–5 times higher than that of oranges—</w:t>
      </w:r>
      <w:r>
        <w:rPr>
          <w:rFonts w:ascii="Times New Roman" w:eastAsia="Times New Roman" w:hAnsi="Times New Roman" w:cs="Times New Roman"/>
          <w:sz w:val="24"/>
          <w:szCs w:val="24"/>
        </w:rPr>
        <w:t xml:space="preserve">as well as dietary </w:t>
      </w:r>
      <w:proofErr w:type="spellStart"/>
      <w:r>
        <w:rPr>
          <w:rFonts w:ascii="Times New Roman" w:eastAsia="Times New Roman" w:hAnsi="Times New Roman" w:cs="Times New Roman"/>
          <w:sz w:val="24"/>
          <w:szCs w:val="24"/>
        </w:rPr>
        <w:t>fiber</w:t>
      </w:r>
      <w:proofErr w:type="spellEnd"/>
      <w:r>
        <w:rPr>
          <w:rFonts w:ascii="Times New Roman" w:eastAsia="Times New Roman" w:hAnsi="Times New Roman" w:cs="Times New Roman"/>
          <w:sz w:val="24"/>
          <w:szCs w:val="24"/>
        </w:rPr>
        <w:t>, pectin, calcium, and phosphorus (Kumar et al., 2023). The fruit's health benefits include antioxidant, anti-inflammatory, and antimicrobial properties, making it not only a popular fresh fruit but also an excellent raw material fo</w:t>
      </w:r>
      <w:r>
        <w:rPr>
          <w:rFonts w:ascii="Times New Roman" w:eastAsia="Times New Roman" w:hAnsi="Times New Roman" w:cs="Times New Roman"/>
          <w:sz w:val="24"/>
          <w:szCs w:val="24"/>
        </w:rPr>
        <w:t>r various processed products such as jelly, jam, juice, nectar, candy, and bars (Reddy et al., 2019; Singh et al., 2024).</w:t>
      </w:r>
    </w:p>
    <w:p w14:paraId="5EE15937" w14:textId="77777777" w:rsidR="003B23D7" w:rsidRDefault="00DB169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In India, guava ranks fifth in total fruit production, with major growing states including Uttar Pradesh, Madhya Pradesh, Bihar, and M</w:t>
      </w:r>
      <w:r>
        <w:rPr>
          <w:rFonts w:ascii="Times New Roman" w:eastAsia="Times New Roman" w:hAnsi="Times New Roman" w:cs="Times New Roman"/>
          <w:sz w:val="24"/>
          <w:szCs w:val="24"/>
        </w:rPr>
        <w:t xml:space="preserve">aharashtra. However, guava is a climacteric fruit with a high respiration rate and short post-harvest shelf life. During peak harvest seasons, substantial quantities are lost due to inadequate storage, poor infrastructure, and limited processing (Reddy et </w:t>
      </w:r>
      <w:r>
        <w:rPr>
          <w:rFonts w:ascii="Times New Roman" w:eastAsia="Times New Roman" w:hAnsi="Times New Roman" w:cs="Times New Roman"/>
          <w:sz w:val="24"/>
          <w:szCs w:val="24"/>
        </w:rPr>
        <w:t>al., 2024). Value addition through processing not only minimizes post-harvest losses but also enhances farmers' income and provides year-round availability of nutritious products (Patel et al., 2024).</w:t>
      </w:r>
    </w:p>
    <w:p w14:paraId="06286D46" w14:textId="77777777" w:rsidR="003B23D7" w:rsidRDefault="00DB169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Among guava-based processed products, jelly is particul</w:t>
      </w:r>
      <w:r>
        <w:rPr>
          <w:rFonts w:ascii="Times New Roman" w:eastAsia="Times New Roman" w:hAnsi="Times New Roman" w:cs="Times New Roman"/>
          <w:sz w:val="24"/>
          <w:szCs w:val="24"/>
        </w:rPr>
        <w:t>arly popular due to its long shelf life, appealing texture, and concentrated nutrient content. Jelly is a semi-solid product made from clear fruit extract, sugar, citric acid, and pectin. The high natural pectin content of guava (0.5–1.8%) makes it especia</w:t>
      </w:r>
      <w:r>
        <w:rPr>
          <w:rFonts w:ascii="Times New Roman" w:eastAsia="Times New Roman" w:hAnsi="Times New Roman" w:cs="Times New Roman"/>
          <w:sz w:val="24"/>
          <w:szCs w:val="24"/>
        </w:rPr>
        <w:t>lly suitable for jelly preparation without the need for synthetic pectin (Verma &amp; Shrivastava, 1965). According to Codex Alimentarius standards, a good-quality jelly should have at least 65% total soluble solids (TSS) and a minimum of 45% fruit content (CA</w:t>
      </w:r>
      <w:r>
        <w:rPr>
          <w:rFonts w:ascii="Times New Roman" w:eastAsia="Times New Roman" w:hAnsi="Times New Roman" w:cs="Times New Roman"/>
          <w:sz w:val="24"/>
          <w:szCs w:val="24"/>
        </w:rPr>
        <w:t>C, 2020).</w:t>
      </w:r>
    </w:p>
    <w:p w14:paraId="57F4C52F" w14:textId="77777777" w:rsidR="003B23D7" w:rsidRDefault="00DB169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Despite the commercial potential of guava jelly, the role of cultivar and formulation in determining jelly quality is often overlooked. Guava varieties differ significantly in terms of pulp yield, acidity, TSS, and ascorbic acid content, which in</w:t>
      </w:r>
      <w:r>
        <w:rPr>
          <w:rFonts w:ascii="Times New Roman" w:eastAsia="Times New Roman" w:hAnsi="Times New Roman" w:cs="Times New Roman"/>
          <w:sz w:val="24"/>
          <w:szCs w:val="24"/>
        </w:rPr>
        <w:t xml:space="preserve">fluence both the sensory quality and nutritional stability of jelly. Studies by Mehta and Sharma (2024) and Singh and Chandra (2012) have shown that sugar and citric acid concentrations also affect gel formation, flavour, and vitamin retention. Therefore, </w:t>
      </w:r>
      <w:r>
        <w:rPr>
          <w:rFonts w:ascii="Times New Roman" w:eastAsia="Times New Roman" w:hAnsi="Times New Roman" w:cs="Times New Roman"/>
          <w:sz w:val="24"/>
          <w:szCs w:val="24"/>
        </w:rPr>
        <w:t>identifying the optimal combination of guava variety and sugar content is crucial for enhancing product quality and market value.</w:t>
      </w:r>
    </w:p>
    <w:p w14:paraId="643D8319" w14:textId="77777777" w:rsidR="003B23D7" w:rsidRDefault="00DB169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this context, the present study was undertaken to evaluate the physicochemical, sensory, and economic attributes of guava jelly prepared from three cultivars—Lalit, </w:t>
      </w:r>
      <w:proofErr w:type="spellStart"/>
      <w:r>
        <w:rPr>
          <w:rFonts w:ascii="Times New Roman" w:eastAsia="Times New Roman" w:hAnsi="Times New Roman" w:cs="Times New Roman"/>
          <w:sz w:val="24"/>
          <w:szCs w:val="24"/>
        </w:rPr>
        <w:t>Sweta</w:t>
      </w:r>
      <w:proofErr w:type="spellEnd"/>
      <w:r>
        <w:rPr>
          <w:rFonts w:ascii="Times New Roman" w:eastAsia="Times New Roman" w:hAnsi="Times New Roman" w:cs="Times New Roman"/>
          <w:sz w:val="24"/>
          <w:szCs w:val="24"/>
        </w:rPr>
        <w:t>, and VNR-</w:t>
      </w:r>
      <w:proofErr w:type="spellStart"/>
      <w:r>
        <w:rPr>
          <w:rFonts w:ascii="Times New Roman" w:eastAsia="Times New Roman" w:hAnsi="Times New Roman" w:cs="Times New Roman"/>
          <w:sz w:val="24"/>
          <w:szCs w:val="24"/>
        </w:rPr>
        <w:t>Bihi</w:t>
      </w:r>
      <w:proofErr w:type="spellEnd"/>
      <w:r>
        <w:rPr>
          <w:rFonts w:ascii="Times New Roman" w:eastAsia="Times New Roman" w:hAnsi="Times New Roman" w:cs="Times New Roman"/>
          <w:sz w:val="24"/>
          <w:szCs w:val="24"/>
        </w:rPr>
        <w:t>—at varying sugar concentrations. The aim is to determine the most su</w:t>
      </w:r>
      <w:r>
        <w:rPr>
          <w:rFonts w:ascii="Times New Roman" w:eastAsia="Times New Roman" w:hAnsi="Times New Roman" w:cs="Times New Roman"/>
          <w:sz w:val="24"/>
          <w:szCs w:val="24"/>
        </w:rPr>
        <w:t>itable treatment for quality jelly production, with a focus on biochemical stability during storage, consumer acceptability, and cost-efficiency.</w:t>
      </w:r>
    </w:p>
    <w:p w14:paraId="26DB4CEC" w14:textId="77777777" w:rsidR="003B23D7" w:rsidRDefault="00DB169B">
      <w:pPr>
        <w:pStyle w:val="Heading3"/>
        <w:spacing w:before="280" w:after="280" w:line="360" w:lineRule="auto"/>
        <w:rPr>
          <w:sz w:val="24"/>
          <w:szCs w:val="24"/>
        </w:rPr>
      </w:pPr>
      <w:r>
        <w:rPr>
          <w:sz w:val="24"/>
          <w:szCs w:val="24"/>
        </w:rPr>
        <w:t>Materials and Methods</w:t>
      </w:r>
    </w:p>
    <w:p w14:paraId="4622B05B" w14:textId="77777777" w:rsidR="003B23D7" w:rsidRDefault="00DB169B">
      <w:pPr>
        <w:pStyle w:val="Heading4"/>
        <w:spacing w:line="360" w:lineRule="auto"/>
        <w:rPr>
          <w:rFonts w:ascii="Times New Roman" w:eastAsia="Times New Roman" w:hAnsi="Times New Roman" w:cs="Times New Roman"/>
          <w:i w:val="0"/>
          <w:color w:val="000000"/>
          <w:sz w:val="24"/>
          <w:szCs w:val="24"/>
        </w:rPr>
      </w:pPr>
      <w:r>
        <w:rPr>
          <w:rFonts w:ascii="Times New Roman" w:eastAsia="Times New Roman" w:hAnsi="Times New Roman" w:cs="Times New Roman"/>
          <w:sz w:val="24"/>
          <w:szCs w:val="24"/>
        </w:rPr>
        <w:lastRenderedPageBreak/>
        <w:t xml:space="preserve"> </w:t>
      </w:r>
      <w:r>
        <w:rPr>
          <w:rFonts w:ascii="Times New Roman" w:eastAsia="Times New Roman" w:hAnsi="Times New Roman" w:cs="Times New Roman"/>
          <w:i w:val="0"/>
          <w:color w:val="000000"/>
          <w:sz w:val="24"/>
          <w:szCs w:val="24"/>
        </w:rPr>
        <w:t>Experimental Design and Site</w:t>
      </w:r>
    </w:p>
    <w:p w14:paraId="3BD47CDC" w14:textId="77777777" w:rsidR="003B23D7" w:rsidRDefault="00DB169B">
      <w:pPr>
        <w:pBdr>
          <w:top w:val="nil"/>
          <w:left w:val="nil"/>
          <w:bottom w:val="nil"/>
          <w:right w:val="nil"/>
          <w:between w:val="nil"/>
        </w:pBdr>
        <w:spacing w:before="280" w:after="28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The study was conducted at the Post-Harvest and Value Addi</w:t>
      </w:r>
      <w:r>
        <w:rPr>
          <w:rFonts w:ascii="Times New Roman" w:eastAsia="Times New Roman" w:hAnsi="Times New Roman" w:cs="Times New Roman"/>
          <w:color w:val="000000"/>
          <w:sz w:val="24"/>
          <w:szCs w:val="24"/>
        </w:rPr>
        <w:t xml:space="preserve">tion Laboratory, </w:t>
      </w:r>
      <w:proofErr w:type="spellStart"/>
      <w:r>
        <w:rPr>
          <w:rFonts w:ascii="Times New Roman" w:eastAsia="Times New Roman" w:hAnsi="Times New Roman" w:cs="Times New Roman"/>
          <w:color w:val="000000"/>
          <w:sz w:val="24"/>
          <w:szCs w:val="24"/>
        </w:rPr>
        <w:t>Mewar</w:t>
      </w:r>
      <w:proofErr w:type="spellEnd"/>
      <w:r>
        <w:rPr>
          <w:rFonts w:ascii="Times New Roman" w:eastAsia="Times New Roman" w:hAnsi="Times New Roman" w:cs="Times New Roman"/>
          <w:color w:val="000000"/>
          <w:sz w:val="24"/>
          <w:szCs w:val="24"/>
        </w:rPr>
        <w:t xml:space="preserve"> University, </w:t>
      </w:r>
      <w:proofErr w:type="spellStart"/>
      <w:r>
        <w:rPr>
          <w:rFonts w:ascii="Times New Roman" w:eastAsia="Times New Roman" w:hAnsi="Times New Roman" w:cs="Times New Roman"/>
          <w:color w:val="000000"/>
          <w:sz w:val="24"/>
          <w:szCs w:val="24"/>
        </w:rPr>
        <w:t>Gangrar</w:t>
      </w:r>
      <w:proofErr w:type="spellEnd"/>
      <w:r>
        <w:rPr>
          <w:rFonts w:ascii="Times New Roman" w:eastAsia="Times New Roman" w:hAnsi="Times New Roman" w:cs="Times New Roman"/>
          <w:color w:val="000000"/>
          <w:sz w:val="24"/>
          <w:szCs w:val="24"/>
        </w:rPr>
        <w:t>, Chittorgarh, Rajasthan, during 202</w:t>
      </w:r>
      <w:r>
        <w:rPr>
          <w:rFonts w:ascii="Times New Roman" w:eastAsia="Times New Roman" w:hAnsi="Times New Roman" w:cs="Times New Roman"/>
          <w:sz w:val="24"/>
          <w:szCs w:val="24"/>
        </w:rPr>
        <w:t>5</w:t>
      </w:r>
      <w:r>
        <w:rPr>
          <w:rFonts w:ascii="Times New Roman" w:eastAsia="Times New Roman" w:hAnsi="Times New Roman" w:cs="Times New Roman"/>
          <w:color w:val="000000"/>
          <w:sz w:val="24"/>
          <w:szCs w:val="24"/>
        </w:rPr>
        <w:t>. The CRD was adopted with 9 treatments and 3 replications.</w:t>
      </w:r>
    </w:p>
    <w:p w14:paraId="61C6C9AE" w14:textId="77777777" w:rsidR="003B23D7" w:rsidRDefault="00DB169B">
      <w:pPr>
        <w:pStyle w:val="Heading4"/>
        <w:spacing w:line="360" w:lineRule="auto"/>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Treatment Details</w:t>
      </w:r>
    </w:p>
    <w:p w14:paraId="2233F62C" w14:textId="77777777" w:rsidR="003B23D7" w:rsidRDefault="00DB169B">
      <w:pPr>
        <w:numPr>
          <w:ilvl w:val="0"/>
          <w:numId w:val="1"/>
        </w:numPr>
        <w:pBdr>
          <w:top w:val="nil"/>
          <w:left w:val="nil"/>
          <w:bottom w:val="nil"/>
          <w:right w:val="nil"/>
          <w:between w:val="nil"/>
        </w:pBdr>
        <w:spacing w:before="280" w:after="0" w:line="360" w:lineRule="auto"/>
      </w:pPr>
      <w:r>
        <w:rPr>
          <w:rFonts w:ascii="Times New Roman" w:eastAsia="Times New Roman" w:hAnsi="Times New Roman" w:cs="Times New Roman"/>
          <w:color w:val="000000"/>
          <w:sz w:val="24"/>
          <w:szCs w:val="24"/>
        </w:rPr>
        <w:t>3 cultivars: Lalit, S</w:t>
      </w:r>
      <w:r>
        <w:rPr>
          <w:rFonts w:ascii="Times New Roman" w:eastAsia="Times New Roman" w:hAnsi="Times New Roman" w:cs="Times New Roman"/>
          <w:sz w:val="24"/>
          <w:szCs w:val="24"/>
        </w:rPr>
        <w:t>hweta</w:t>
      </w:r>
      <w:r>
        <w:rPr>
          <w:rFonts w:ascii="Times New Roman" w:eastAsia="Times New Roman" w:hAnsi="Times New Roman" w:cs="Times New Roman"/>
          <w:color w:val="000000"/>
          <w:sz w:val="24"/>
          <w:szCs w:val="24"/>
        </w:rPr>
        <w:t>, VNR-</w:t>
      </w:r>
      <w:proofErr w:type="spellStart"/>
      <w:r>
        <w:rPr>
          <w:rFonts w:ascii="Times New Roman" w:eastAsia="Times New Roman" w:hAnsi="Times New Roman" w:cs="Times New Roman"/>
          <w:color w:val="000000"/>
          <w:sz w:val="24"/>
          <w:szCs w:val="24"/>
        </w:rPr>
        <w:t>Bihi</w:t>
      </w:r>
      <w:proofErr w:type="spellEnd"/>
    </w:p>
    <w:p w14:paraId="3E77C748" w14:textId="77777777" w:rsidR="003B23D7" w:rsidRDefault="00DB169B">
      <w:pPr>
        <w:numPr>
          <w:ilvl w:val="0"/>
          <w:numId w:val="1"/>
        </w:numPr>
        <w:pBdr>
          <w:top w:val="nil"/>
          <w:left w:val="nil"/>
          <w:bottom w:val="nil"/>
          <w:right w:val="nil"/>
          <w:between w:val="nil"/>
        </w:pBdr>
        <w:spacing w:after="0" w:line="360" w:lineRule="auto"/>
      </w:pPr>
      <w:r>
        <w:rPr>
          <w:rFonts w:ascii="Times New Roman" w:eastAsia="Times New Roman" w:hAnsi="Times New Roman" w:cs="Times New Roman"/>
          <w:color w:val="000000"/>
          <w:sz w:val="24"/>
          <w:szCs w:val="24"/>
        </w:rPr>
        <w:t>3 sugar levels: 550g, 650g, 750g</w:t>
      </w:r>
    </w:p>
    <w:p w14:paraId="1424F212" w14:textId="77777777" w:rsidR="003B23D7" w:rsidRDefault="00DB169B">
      <w:pPr>
        <w:numPr>
          <w:ilvl w:val="0"/>
          <w:numId w:val="1"/>
        </w:numPr>
        <w:pBdr>
          <w:top w:val="nil"/>
          <w:left w:val="nil"/>
          <w:bottom w:val="nil"/>
          <w:right w:val="nil"/>
          <w:between w:val="nil"/>
        </w:pBdr>
        <w:spacing w:after="280" w:line="360" w:lineRule="auto"/>
      </w:pPr>
      <w:r>
        <w:rPr>
          <w:rFonts w:ascii="Times New Roman" w:eastAsia="Times New Roman" w:hAnsi="Times New Roman" w:cs="Times New Roman"/>
          <w:color w:val="000000"/>
          <w:sz w:val="24"/>
          <w:szCs w:val="24"/>
        </w:rPr>
        <w:t xml:space="preserve">Constant: 3g citric acid per </w:t>
      </w:r>
      <w:r>
        <w:rPr>
          <w:rFonts w:ascii="Times New Roman" w:eastAsia="Times New Roman" w:hAnsi="Times New Roman" w:cs="Times New Roman"/>
          <w:color w:val="000000"/>
          <w:sz w:val="24"/>
          <w:szCs w:val="24"/>
        </w:rPr>
        <w:t>100% juice per treatment</w:t>
      </w:r>
    </w:p>
    <w:p w14:paraId="68675901" w14:textId="77777777" w:rsidR="003B23D7" w:rsidRDefault="00DB169B">
      <w:pPr>
        <w:pStyle w:val="Heading4"/>
        <w:spacing w:line="360" w:lineRule="auto"/>
        <w:rPr>
          <w:rFonts w:ascii="Times New Roman" w:eastAsia="Times New Roman" w:hAnsi="Times New Roman" w:cs="Times New Roman"/>
          <w:i w:val="0"/>
          <w:color w:val="000000"/>
          <w:sz w:val="24"/>
          <w:szCs w:val="24"/>
        </w:rPr>
      </w:pPr>
      <w:r>
        <w:rPr>
          <w:rFonts w:ascii="Times New Roman" w:eastAsia="Times New Roman" w:hAnsi="Times New Roman" w:cs="Times New Roman"/>
          <w:i w:val="0"/>
          <w:color w:val="000000"/>
          <w:sz w:val="24"/>
          <w:szCs w:val="24"/>
        </w:rPr>
        <w:t>Jelly Preparation</w:t>
      </w:r>
    </w:p>
    <w:p w14:paraId="5FCE6B9B" w14:textId="77777777" w:rsidR="003B23D7" w:rsidRDefault="00DB169B">
      <w:pPr>
        <w:pBdr>
          <w:top w:val="nil"/>
          <w:left w:val="nil"/>
          <w:bottom w:val="nil"/>
          <w:right w:val="nil"/>
          <w:between w:val="nil"/>
        </w:pBdr>
        <w:spacing w:before="280" w:after="28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Pulp was extracted from mature guava fruits, boiled, and treated with sugar and citric acid. The mixture was cooked to 65–68°Brix and hot-filled into sterilized jars.</w:t>
      </w:r>
    </w:p>
    <w:p w14:paraId="0D02F6E6" w14:textId="77777777" w:rsidR="003B23D7" w:rsidRDefault="00DB169B">
      <w:pPr>
        <w:pBdr>
          <w:top w:val="nil"/>
          <w:left w:val="nil"/>
          <w:bottom w:val="nil"/>
          <w:right w:val="nil"/>
          <w:between w:val="nil"/>
        </w:pBdr>
        <w:spacing w:before="280" w:after="28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 Observations</w:t>
      </w:r>
    </w:p>
    <w:p w14:paraId="45C68403" w14:textId="77777777" w:rsidR="003B23D7" w:rsidRDefault="00DB169B">
      <w:pPr>
        <w:numPr>
          <w:ilvl w:val="0"/>
          <w:numId w:val="2"/>
        </w:numPr>
        <w:pBdr>
          <w:top w:val="nil"/>
          <w:left w:val="nil"/>
          <w:bottom w:val="nil"/>
          <w:right w:val="nil"/>
          <w:between w:val="nil"/>
        </w:pBdr>
        <w:spacing w:before="280" w:after="0" w:line="360" w:lineRule="auto"/>
      </w:pPr>
      <w:r>
        <w:rPr>
          <w:rFonts w:ascii="Times New Roman" w:eastAsia="Times New Roman" w:hAnsi="Times New Roman" w:cs="Times New Roman"/>
          <w:b/>
          <w:color w:val="000000"/>
          <w:sz w:val="24"/>
          <w:szCs w:val="24"/>
        </w:rPr>
        <w:t>Biochemical Parameters</w:t>
      </w:r>
      <w:r>
        <w:rPr>
          <w:rFonts w:ascii="Times New Roman" w:eastAsia="Times New Roman" w:hAnsi="Times New Roman" w:cs="Times New Roman"/>
          <w:color w:val="000000"/>
          <w:sz w:val="24"/>
          <w:szCs w:val="24"/>
        </w:rPr>
        <w:t>: TSS (°Br</w:t>
      </w:r>
      <w:r>
        <w:rPr>
          <w:rFonts w:ascii="Times New Roman" w:eastAsia="Times New Roman" w:hAnsi="Times New Roman" w:cs="Times New Roman"/>
          <w:color w:val="000000"/>
          <w:sz w:val="24"/>
          <w:szCs w:val="24"/>
        </w:rPr>
        <w:t>ix), titratable acidity (%), and ascorbic acid (mg/100g) at 0, 30,45 and 60 days</w:t>
      </w:r>
    </w:p>
    <w:p w14:paraId="6BC3323E" w14:textId="77777777" w:rsidR="003B23D7" w:rsidRDefault="00DB169B">
      <w:pPr>
        <w:numPr>
          <w:ilvl w:val="0"/>
          <w:numId w:val="2"/>
        </w:numPr>
        <w:pBdr>
          <w:top w:val="nil"/>
          <w:left w:val="nil"/>
          <w:bottom w:val="nil"/>
          <w:right w:val="nil"/>
          <w:between w:val="nil"/>
        </w:pBdr>
        <w:spacing w:after="0" w:line="360" w:lineRule="auto"/>
      </w:pPr>
      <w:r>
        <w:rPr>
          <w:rFonts w:ascii="Times New Roman" w:eastAsia="Times New Roman" w:hAnsi="Times New Roman" w:cs="Times New Roman"/>
          <w:b/>
          <w:color w:val="000000"/>
          <w:sz w:val="24"/>
          <w:szCs w:val="24"/>
        </w:rPr>
        <w:t>Sensory Evaluation</w:t>
      </w:r>
      <w:r>
        <w:rPr>
          <w:rFonts w:ascii="Times New Roman" w:eastAsia="Times New Roman" w:hAnsi="Times New Roman" w:cs="Times New Roman"/>
          <w:color w:val="000000"/>
          <w:sz w:val="24"/>
          <w:szCs w:val="24"/>
        </w:rPr>
        <w:t>: Colour, texture, flavour, taste, and overall acceptability on a 9-point scale</w:t>
      </w:r>
    </w:p>
    <w:p w14:paraId="3A6B557B" w14:textId="77777777" w:rsidR="003B23D7" w:rsidRDefault="00DB169B">
      <w:pPr>
        <w:numPr>
          <w:ilvl w:val="0"/>
          <w:numId w:val="2"/>
        </w:numPr>
        <w:pBdr>
          <w:top w:val="nil"/>
          <w:left w:val="nil"/>
          <w:bottom w:val="nil"/>
          <w:right w:val="nil"/>
          <w:between w:val="nil"/>
        </w:pBdr>
        <w:spacing w:after="280" w:line="360" w:lineRule="auto"/>
      </w:pPr>
      <w:r>
        <w:rPr>
          <w:rFonts w:ascii="Times New Roman" w:eastAsia="Times New Roman" w:hAnsi="Times New Roman" w:cs="Times New Roman"/>
          <w:b/>
          <w:color w:val="000000"/>
          <w:sz w:val="24"/>
          <w:szCs w:val="24"/>
        </w:rPr>
        <w:t>Economic Analysis</w:t>
      </w:r>
      <w:r>
        <w:rPr>
          <w:rFonts w:ascii="Times New Roman" w:eastAsia="Times New Roman" w:hAnsi="Times New Roman" w:cs="Times New Roman"/>
          <w:color w:val="000000"/>
          <w:sz w:val="24"/>
          <w:szCs w:val="24"/>
        </w:rPr>
        <w:t xml:space="preserve">: Cost of production, gross return, net return, and B:C </w:t>
      </w:r>
      <w:r>
        <w:rPr>
          <w:rFonts w:ascii="Times New Roman" w:eastAsia="Times New Roman" w:hAnsi="Times New Roman" w:cs="Times New Roman"/>
          <w:color w:val="000000"/>
          <w:sz w:val="24"/>
          <w:szCs w:val="24"/>
        </w:rPr>
        <w:t>ratio</w:t>
      </w:r>
    </w:p>
    <w:p w14:paraId="42BB2B52" w14:textId="77777777" w:rsidR="003B23D7" w:rsidRDefault="00DB169B">
      <w:pPr>
        <w:pBdr>
          <w:top w:val="nil"/>
          <w:left w:val="nil"/>
          <w:bottom w:val="nil"/>
          <w:right w:val="nil"/>
          <w:between w:val="nil"/>
        </w:pBdr>
        <w:spacing w:before="280" w:after="28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Statistical Analysis</w:t>
      </w:r>
    </w:p>
    <w:p w14:paraId="2179C840" w14:textId="77777777" w:rsidR="003B23D7" w:rsidRDefault="00DB169B">
      <w:pPr>
        <w:pBdr>
          <w:top w:val="nil"/>
          <w:left w:val="nil"/>
          <w:bottom w:val="nil"/>
          <w:right w:val="nil"/>
          <w:between w:val="nil"/>
        </w:pBdr>
        <w:spacing w:before="280" w:after="28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Data were </w:t>
      </w:r>
      <w:proofErr w:type="spellStart"/>
      <w:r>
        <w:rPr>
          <w:rFonts w:ascii="Times New Roman" w:eastAsia="Times New Roman" w:hAnsi="Times New Roman" w:cs="Times New Roman"/>
          <w:color w:val="000000"/>
          <w:sz w:val="24"/>
          <w:szCs w:val="24"/>
        </w:rPr>
        <w:t>analyzed</w:t>
      </w:r>
      <w:proofErr w:type="spellEnd"/>
      <w:r>
        <w:rPr>
          <w:rFonts w:ascii="Times New Roman" w:eastAsia="Times New Roman" w:hAnsi="Times New Roman" w:cs="Times New Roman"/>
          <w:color w:val="000000"/>
          <w:sz w:val="24"/>
          <w:szCs w:val="24"/>
        </w:rPr>
        <w:t xml:space="preserve"> using ANOVA as per </w:t>
      </w:r>
      <w:proofErr w:type="spellStart"/>
      <w:r>
        <w:rPr>
          <w:rFonts w:ascii="Times New Roman" w:eastAsia="Times New Roman" w:hAnsi="Times New Roman" w:cs="Times New Roman"/>
          <w:color w:val="000000"/>
          <w:sz w:val="24"/>
          <w:szCs w:val="24"/>
        </w:rPr>
        <w:t>Panse</w:t>
      </w:r>
      <w:proofErr w:type="spellEnd"/>
      <w:r>
        <w:rPr>
          <w:rFonts w:ascii="Times New Roman" w:eastAsia="Times New Roman" w:hAnsi="Times New Roman" w:cs="Times New Roman"/>
          <w:color w:val="000000"/>
          <w:sz w:val="24"/>
          <w:szCs w:val="24"/>
        </w:rPr>
        <w:t xml:space="preserve"> and </w:t>
      </w:r>
      <w:proofErr w:type="spellStart"/>
      <w:r>
        <w:rPr>
          <w:rFonts w:ascii="Times New Roman" w:eastAsia="Times New Roman" w:hAnsi="Times New Roman" w:cs="Times New Roman"/>
          <w:color w:val="000000"/>
          <w:sz w:val="24"/>
          <w:szCs w:val="24"/>
        </w:rPr>
        <w:t>Sukhatme</w:t>
      </w:r>
      <w:proofErr w:type="spellEnd"/>
      <w:r>
        <w:rPr>
          <w:rFonts w:ascii="Times New Roman" w:eastAsia="Times New Roman" w:hAnsi="Times New Roman" w:cs="Times New Roman"/>
          <w:color w:val="000000"/>
          <w:sz w:val="24"/>
          <w:szCs w:val="24"/>
        </w:rPr>
        <w:t xml:space="preserve"> (1985). Critical Difference (CD) was computed at the 5% level.</w:t>
      </w:r>
    </w:p>
    <w:p w14:paraId="58040276" w14:textId="77777777" w:rsidR="003B23D7" w:rsidRDefault="00DB169B">
      <w:pPr>
        <w:pStyle w:val="Heading2"/>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Results</w:t>
      </w:r>
    </w:p>
    <w:p w14:paraId="2CDF4016" w14:textId="77777777" w:rsidR="003B23D7" w:rsidRDefault="00DB169B">
      <w:pPr>
        <w:pBdr>
          <w:top w:val="nil"/>
          <w:left w:val="nil"/>
          <w:bottom w:val="nil"/>
          <w:right w:val="nil"/>
          <w:between w:val="nil"/>
        </w:pBdr>
        <w:spacing w:before="280" w:after="28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The present study investigated the effect of three guava cultivars (Lalit, </w:t>
      </w:r>
      <w:proofErr w:type="spellStart"/>
      <w:r>
        <w:rPr>
          <w:rFonts w:ascii="Times New Roman" w:eastAsia="Times New Roman" w:hAnsi="Times New Roman" w:cs="Times New Roman"/>
          <w:color w:val="000000"/>
          <w:sz w:val="24"/>
          <w:szCs w:val="24"/>
        </w:rPr>
        <w:t>Sweta</w:t>
      </w:r>
      <w:proofErr w:type="spellEnd"/>
      <w:r>
        <w:rPr>
          <w:rFonts w:ascii="Times New Roman" w:eastAsia="Times New Roman" w:hAnsi="Times New Roman" w:cs="Times New Roman"/>
          <w:color w:val="000000"/>
          <w:sz w:val="24"/>
          <w:szCs w:val="24"/>
        </w:rPr>
        <w:t>, and VNR-</w:t>
      </w:r>
      <w:proofErr w:type="spellStart"/>
      <w:r>
        <w:rPr>
          <w:rFonts w:ascii="Times New Roman" w:eastAsia="Times New Roman" w:hAnsi="Times New Roman" w:cs="Times New Roman"/>
          <w:color w:val="000000"/>
          <w:sz w:val="24"/>
          <w:szCs w:val="24"/>
        </w:rPr>
        <w:t>Bihi</w:t>
      </w:r>
      <w:proofErr w:type="spellEnd"/>
      <w:r>
        <w:rPr>
          <w:rFonts w:ascii="Times New Roman" w:eastAsia="Times New Roman" w:hAnsi="Times New Roman" w:cs="Times New Roman"/>
          <w:color w:val="000000"/>
          <w:sz w:val="24"/>
          <w:szCs w:val="24"/>
        </w:rPr>
        <w:t>) and t</w:t>
      </w:r>
      <w:r>
        <w:rPr>
          <w:rFonts w:ascii="Times New Roman" w:eastAsia="Times New Roman" w:hAnsi="Times New Roman" w:cs="Times New Roman"/>
          <w:color w:val="000000"/>
          <w:sz w:val="24"/>
          <w:szCs w:val="24"/>
        </w:rPr>
        <w:t>hree sugar concentrations (550g, 650g, and 750g per 100% juice) on the physicochemical, sensory, and economic attributes of guava jelly during storage (0, 30, and 60 days). The results are presented under relevant subheadings with comparative discussion su</w:t>
      </w:r>
      <w:r>
        <w:rPr>
          <w:rFonts w:ascii="Times New Roman" w:eastAsia="Times New Roman" w:hAnsi="Times New Roman" w:cs="Times New Roman"/>
          <w:color w:val="000000"/>
          <w:sz w:val="24"/>
          <w:szCs w:val="24"/>
        </w:rPr>
        <w:t>pported by existing literature.</w:t>
      </w:r>
    </w:p>
    <w:p w14:paraId="0BAA4FF5" w14:textId="77777777" w:rsidR="003B23D7" w:rsidRDefault="00DB169B">
      <w:pPr>
        <w:pStyle w:val="Heading3"/>
        <w:spacing w:before="280" w:after="280" w:line="360" w:lineRule="auto"/>
        <w:rPr>
          <w:sz w:val="24"/>
          <w:szCs w:val="24"/>
        </w:rPr>
      </w:pPr>
      <w:proofErr w:type="spellStart"/>
      <w:r>
        <w:rPr>
          <w:sz w:val="24"/>
          <w:szCs w:val="24"/>
        </w:rPr>
        <w:lastRenderedPageBreak/>
        <w:t>Physico</w:t>
      </w:r>
      <w:proofErr w:type="spellEnd"/>
      <w:r>
        <w:rPr>
          <w:sz w:val="24"/>
          <w:szCs w:val="24"/>
        </w:rPr>
        <w:t>-Chemical Characteristics of Guava Varieties</w:t>
      </w:r>
    </w:p>
    <w:p w14:paraId="1FCA13D1" w14:textId="77777777" w:rsidR="003B23D7" w:rsidRDefault="00DB169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physicochemical and sensory characteristics of guava jelly prepared from different guava varieties and their </w:t>
      </w:r>
      <w:proofErr w:type="spellStart"/>
      <w:r>
        <w:rPr>
          <w:rFonts w:ascii="Times New Roman" w:eastAsia="Times New Roman" w:hAnsi="Times New Roman" w:cs="Times New Roman"/>
          <w:sz w:val="24"/>
          <w:szCs w:val="24"/>
        </w:rPr>
        <w:t>behavior</w:t>
      </w:r>
      <w:proofErr w:type="spellEnd"/>
      <w:r>
        <w:rPr>
          <w:rFonts w:ascii="Times New Roman" w:eastAsia="Times New Roman" w:hAnsi="Times New Roman" w:cs="Times New Roman"/>
          <w:sz w:val="24"/>
          <w:szCs w:val="24"/>
        </w:rPr>
        <w:t xml:space="preserve"> during storage were assessed to determine the best-</w:t>
      </w:r>
      <w:r>
        <w:rPr>
          <w:rFonts w:ascii="Times New Roman" w:eastAsia="Times New Roman" w:hAnsi="Times New Roman" w:cs="Times New Roman"/>
          <w:sz w:val="24"/>
          <w:szCs w:val="24"/>
        </w:rPr>
        <w:t>performing treatments in terms of nutritional quality, stability, and consumer acceptability.</w:t>
      </w:r>
    </w:p>
    <w:p w14:paraId="2666FA0A" w14:textId="77777777" w:rsidR="003B23D7" w:rsidRDefault="003B23D7">
      <w:pPr>
        <w:spacing w:before="280" w:after="280" w:line="360" w:lineRule="auto"/>
        <w:rPr>
          <w:rFonts w:ascii="Times New Roman" w:eastAsia="Times New Roman" w:hAnsi="Times New Roman" w:cs="Times New Roman"/>
          <w:sz w:val="24"/>
          <w:szCs w:val="24"/>
        </w:rPr>
      </w:pPr>
    </w:p>
    <w:p w14:paraId="5793258D" w14:textId="77777777" w:rsidR="003B23D7" w:rsidRDefault="00DB169B">
      <w:pPr>
        <w:pBdr>
          <w:top w:val="nil"/>
          <w:left w:val="nil"/>
          <w:bottom w:val="nil"/>
          <w:right w:val="nil"/>
          <w:between w:val="nil"/>
        </w:pBdr>
        <w:spacing w:before="280" w:after="28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Biochemical Changes During Storage</w:t>
      </w:r>
    </w:p>
    <w:p w14:paraId="43147CD9" w14:textId="77777777" w:rsidR="003B23D7" w:rsidRDefault="00DB169B">
      <w:pPr>
        <w:pBdr>
          <w:top w:val="nil"/>
          <w:left w:val="nil"/>
          <w:bottom w:val="nil"/>
          <w:right w:val="nil"/>
          <w:between w:val="nil"/>
        </w:pBdr>
        <w:spacing w:before="280" w:after="28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Total Soluble Solids (TSS °Brix)</w:t>
      </w:r>
    </w:p>
    <w:p w14:paraId="04065685" w14:textId="77777777" w:rsidR="003B23D7" w:rsidRDefault="00DB169B">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he Total Soluble Solids (TSS) of guava jellies increased over time across all treatments. At </w:t>
      </w:r>
      <w:r>
        <w:rPr>
          <w:rFonts w:ascii="Times New Roman" w:eastAsia="Times New Roman" w:hAnsi="Times New Roman" w:cs="Times New Roman"/>
          <w:sz w:val="24"/>
          <w:szCs w:val="24"/>
        </w:rPr>
        <w:t>0 days, T3 had the highest TSS value (66.01 °Brix), while T4 had the lowest (62.33 °Brix). By 60 days, T2 showed the highest TSS value (67.33 °Brix), closely followed by T3 (67.30 °Brix). T4 and T5 had the lowest TSS values at 60 days (64.16 °Brix). The in</w:t>
      </w:r>
      <w:r>
        <w:rPr>
          <w:rFonts w:ascii="Times New Roman" w:eastAsia="Times New Roman" w:hAnsi="Times New Roman" w:cs="Times New Roman"/>
          <w:sz w:val="24"/>
          <w:szCs w:val="24"/>
        </w:rPr>
        <w:t>crease in TSS values over time is consistent with previous studies, which attribute this trend to the hydrolysis of polysaccharides and moisture evaporation. The CD value of 0.75 at 0 days indicates that the differences between treatments are significant.</w:t>
      </w:r>
    </w:p>
    <w:p w14:paraId="0231DCF3" w14:textId="77777777" w:rsidR="003B23D7" w:rsidRDefault="003B23D7">
      <w:pPr>
        <w:spacing w:before="280" w:after="280" w:line="360" w:lineRule="auto"/>
        <w:rPr>
          <w:rFonts w:ascii="Times New Roman" w:eastAsia="Times New Roman" w:hAnsi="Times New Roman" w:cs="Times New Roman"/>
          <w:sz w:val="24"/>
          <w:szCs w:val="24"/>
        </w:rPr>
      </w:pPr>
    </w:p>
    <w:p w14:paraId="4DF60555" w14:textId="77777777" w:rsidR="003B23D7" w:rsidRDefault="00DB169B">
      <w:pPr>
        <w:spacing w:before="280" w:after="280" w:line="36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Titrable</w:t>
      </w:r>
      <w:proofErr w:type="spellEnd"/>
      <w:r>
        <w:rPr>
          <w:rFonts w:ascii="Times New Roman" w:eastAsia="Times New Roman" w:hAnsi="Times New Roman" w:cs="Times New Roman"/>
          <w:sz w:val="24"/>
          <w:szCs w:val="24"/>
        </w:rPr>
        <w:t xml:space="preserve"> Acidity</w:t>
      </w:r>
    </w:p>
    <w:p w14:paraId="72376A6A" w14:textId="77777777" w:rsidR="003B23D7" w:rsidRDefault="00DB169B">
      <w:pPr>
        <w:pBdr>
          <w:top w:val="nil"/>
          <w:left w:val="nil"/>
          <w:bottom w:val="nil"/>
          <w:right w:val="nil"/>
          <w:between w:val="nil"/>
        </w:pBdr>
        <w:spacing w:before="280" w:after="280" w:line="360" w:lineRule="auto"/>
        <w:jc w:val="both"/>
        <w:rPr>
          <w:rFonts w:ascii="Times New Roman" w:eastAsia="Times New Roman" w:hAnsi="Times New Roman" w:cs="Times New Roman"/>
          <w:color w:val="000000"/>
          <w:sz w:val="24"/>
          <w:szCs w:val="24"/>
        </w:rPr>
      </w:pPr>
      <w:proofErr w:type="spellStart"/>
      <w:r>
        <w:rPr>
          <w:rFonts w:ascii="Times New Roman" w:eastAsia="Times New Roman" w:hAnsi="Times New Roman" w:cs="Times New Roman"/>
          <w:color w:val="000000"/>
          <w:sz w:val="24"/>
          <w:szCs w:val="24"/>
        </w:rPr>
        <w:t>Titra</w:t>
      </w:r>
      <w:r>
        <w:rPr>
          <w:rFonts w:ascii="Times New Roman" w:eastAsia="Times New Roman" w:hAnsi="Times New Roman" w:cs="Times New Roman"/>
          <w:sz w:val="24"/>
          <w:szCs w:val="24"/>
        </w:rPr>
        <w:t>ble</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color w:val="000000"/>
          <w:sz w:val="24"/>
          <w:szCs w:val="24"/>
        </w:rPr>
        <w:t>acidity increased over time across all treatments. At 0 days, T3 had the highest acidity (0.3%), while T4 had the lowest (0.09%). By 60 days, T3 maintained the highest acidity (0.35%), and T4 remained the lowest (0.19%). The rise</w:t>
      </w:r>
      <w:r>
        <w:rPr>
          <w:rFonts w:ascii="Times New Roman" w:eastAsia="Times New Roman" w:hAnsi="Times New Roman" w:cs="Times New Roman"/>
          <w:color w:val="000000"/>
          <w:sz w:val="24"/>
          <w:szCs w:val="24"/>
        </w:rPr>
        <w:t xml:space="preserve"> in titratable acidity is also in line with earlier findings, suggesting that the breakdown of sugars and the formation of organic acids contribute to this increase. The CD value of 0.019 at 0 days indicates that the differences between treatments are sign</w:t>
      </w:r>
      <w:r>
        <w:rPr>
          <w:rFonts w:ascii="Times New Roman" w:eastAsia="Times New Roman" w:hAnsi="Times New Roman" w:cs="Times New Roman"/>
          <w:color w:val="000000"/>
          <w:sz w:val="24"/>
          <w:szCs w:val="24"/>
        </w:rPr>
        <w:t>ificant.</w:t>
      </w:r>
    </w:p>
    <w:p w14:paraId="52FA61DD" w14:textId="77777777" w:rsidR="003B23D7" w:rsidRDefault="00DB169B">
      <w:pPr>
        <w:pBdr>
          <w:top w:val="nil"/>
          <w:left w:val="nil"/>
          <w:bottom w:val="nil"/>
          <w:right w:val="nil"/>
          <w:between w:val="nil"/>
        </w:pBdr>
        <w:spacing w:before="280" w:after="28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Ascorbic Acid Content</w:t>
      </w:r>
    </w:p>
    <w:p w14:paraId="6A8930C7" w14:textId="77777777" w:rsidR="003B23D7" w:rsidRDefault="00DB169B">
      <w:pPr>
        <w:pStyle w:val="Heading3"/>
        <w:spacing w:before="280" w:after="280" w:line="360" w:lineRule="auto"/>
        <w:jc w:val="both"/>
        <w:rPr>
          <w:b w:val="0"/>
          <w:sz w:val="24"/>
          <w:szCs w:val="24"/>
        </w:rPr>
      </w:pPr>
      <w:r>
        <w:rPr>
          <w:b w:val="0"/>
          <w:sz w:val="24"/>
          <w:szCs w:val="24"/>
        </w:rPr>
        <w:t>Ascorbic acid content remained relatively stable over time. At 0 days, T3 had the highest ascorbic acid content (106.61 mg/100g), while T6 had the lowest (101.27 mg/100g). By 60 days, T3 retained the highest ascorbic acid con</w:t>
      </w:r>
      <w:r>
        <w:rPr>
          <w:b w:val="0"/>
          <w:sz w:val="24"/>
          <w:szCs w:val="24"/>
        </w:rPr>
        <w:t xml:space="preserve">tent (106.61 mg/100g), and T6 remained the lowest (101.16 mg/100g). The stability of ascorbic acid content over time is a positive outcome, </w:t>
      </w:r>
      <w:r>
        <w:rPr>
          <w:b w:val="0"/>
          <w:sz w:val="24"/>
          <w:szCs w:val="24"/>
        </w:rPr>
        <w:lastRenderedPageBreak/>
        <w:t>as it indicates that the jelly retains its nutritional value during storage. The CD value of 1.62 at 0 days indicate</w:t>
      </w:r>
      <w:r>
        <w:rPr>
          <w:b w:val="0"/>
          <w:sz w:val="24"/>
          <w:szCs w:val="24"/>
        </w:rPr>
        <w:t>s that the differences between treatments are significant.</w:t>
      </w:r>
    </w:p>
    <w:p w14:paraId="2C2125CD" w14:textId="77777777" w:rsidR="003B23D7" w:rsidRDefault="00DB169B">
      <w:pPr>
        <w:pStyle w:val="Heading3"/>
        <w:spacing w:before="280" w:after="280" w:line="360" w:lineRule="auto"/>
        <w:rPr>
          <w:sz w:val="24"/>
          <w:szCs w:val="24"/>
        </w:rPr>
      </w:pPr>
      <w:r>
        <w:rPr>
          <w:sz w:val="24"/>
          <w:szCs w:val="24"/>
        </w:rPr>
        <w:t>Sensory Evaluation</w:t>
      </w:r>
    </w:p>
    <w:p w14:paraId="0EB3E558" w14:textId="77777777" w:rsidR="003B23D7" w:rsidRDefault="00DB169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Organoleptic evaluation of guava jelly was performed at 0, 30, 45, and 60 days after storage for parameters including colour and appearance, texture, taste, and overall acceptabi</w:t>
      </w:r>
      <w:r>
        <w:rPr>
          <w:rFonts w:ascii="Times New Roman" w:eastAsia="Times New Roman" w:hAnsi="Times New Roman" w:cs="Times New Roman"/>
          <w:sz w:val="24"/>
          <w:szCs w:val="24"/>
        </w:rPr>
        <w:t xml:space="preserve">lity. At 0 days, T9 received the highest overall acceptability score (7.807), which was followed by T6 and T5. Treatments such as T4 and T1 received comparatively lower scores, suggesting that these may have been less </w:t>
      </w:r>
      <w:proofErr w:type="spellStart"/>
      <w:r>
        <w:rPr>
          <w:rFonts w:ascii="Times New Roman" w:eastAsia="Times New Roman" w:hAnsi="Times New Roman" w:cs="Times New Roman"/>
          <w:sz w:val="24"/>
          <w:szCs w:val="24"/>
        </w:rPr>
        <w:t>favorable</w:t>
      </w:r>
      <w:proofErr w:type="spellEnd"/>
      <w:r>
        <w:rPr>
          <w:rFonts w:ascii="Times New Roman" w:eastAsia="Times New Roman" w:hAnsi="Times New Roman" w:cs="Times New Roman"/>
          <w:sz w:val="24"/>
          <w:szCs w:val="24"/>
        </w:rPr>
        <w:t xml:space="preserve"> in terms of visual or taste </w:t>
      </w:r>
      <w:r>
        <w:rPr>
          <w:rFonts w:ascii="Times New Roman" w:eastAsia="Times New Roman" w:hAnsi="Times New Roman" w:cs="Times New Roman"/>
          <w:sz w:val="24"/>
          <w:szCs w:val="24"/>
        </w:rPr>
        <w:t>qualities immediately after processing. The taste scores were fairly uniform across treatments, ranging from 4.233 (T7) to 8.017 (T5), reflecting diverse consumer preferences.</w:t>
      </w:r>
    </w:p>
    <w:p w14:paraId="26721977" w14:textId="77777777" w:rsidR="003B23D7" w:rsidRDefault="00DB169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After 30 days of storage, the overall acceptability increased slightly, with T9 </w:t>
      </w:r>
      <w:r>
        <w:rPr>
          <w:rFonts w:ascii="Times New Roman" w:eastAsia="Times New Roman" w:hAnsi="Times New Roman" w:cs="Times New Roman"/>
          <w:sz w:val="24"/>
          <w:szCs w:val="24"/>
        </w:rPr>
        <w:t xml:space="preserve">again scoring the highest (8.803), followed by T8 (8.18) and T5 (7.74). These improvements could be attributed to the mellowing of </w:t>
      </w:r>
      <w:proofErr w:type="spellStart"/>
      <w:r>
        <w:rPr>
          <w:rFonts w:ascii="Times New Roman" w:eastAsia="Times New Roman" w:hAnsi="Times New Roman" w:cs="Times New Roman"/>
          <w:sz w:val="24"/>
          <w:szCs w:val="24"/>
        </w:rPr>
        <w:t>flavors</w:t>
      </w:r>
      <w:proofErr w:type="spellEnd"/>
      <w:r>
        <w:rPr>
          <w:rFonts w:ascii="Times New Roman" w:eastAsia="Times New Roman" w:hAnsi="Times New Roman" w:cs="Times New Roman"/>
          <w:sz w:val="24"/>
          <w:szCs w:val="24"/>
        </w:rPr>
        <w:t xml:space="preserve"> and better textural development over time. At this stage, the mean overall acceptability was 7.62. Interestingly, tex</w:t>
      </w:r>
      <w:r>
        <w:rPr>
          <w:rFonts w:ascii="Times New Roman" w:eastAsia="Times New Roman" w:hAnsi="Times New Roman" w:cs="Times New Roman"/>
          <w:sz w:val="24"/>
          <w:szCs w:val="24"/>
        </w:rPr>
        <w:t>ture scores remained high for most samples, suggesting the gel structure remained stable during storage.</w:t>
      </w:r>
    </w:p>
    <w:p w14:paraId="0247C26D" w14:textId="77777777" w:rsidR="003B23D7" w:rsidRDefault="00DB169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By the 45th day of storage, sensory scores remained high, with T9 and T3 again dominating in terms of appearance, taste, and overall acceptability. T3 </w:t>
      </w:r>
      <w:r>
        <w:rPr>
          <w:rFonts w:ascii="Times New Roman" w:eastAsia="Times New Roman" w:hAnsi="Times New Roman" w:cs="Times New Roman"/>
          <w:sz w:val="24"/>
          <w:szCs w:val="24"/>
        </w:rPr>
        <w:t>received an overall acceptability score of 8.543, followed closely by T9 (9.053), which also achieved the highest colour and appearance score (8.587). Notably, T8 reported an unrealistically high taste value (36.98), indicating a likely data error, as this</w:t>
      </w:r>
      <w:r>
        <w:rPr>
          <w:rFonts w:ascii="Times New Roman" w:eastAsia="Times New Roman" w:hAnsi="Times New Roman" w:cs="Times New Roman"/>
          <w:sz w:val="24"/>
          <w:szCs w:val="24"/>
        </w:rPr>
        <w:t xml:space="preserve"> deviates from the consistent 1–10 scale used for other evaluations. Excluding this outlier, the sensory scores show a continued trend of improved </w:t>
      </w:r>
      <w:proofErr w:type="spellStart"/>
      <w:r>
        <w:rPr>
          <w:rFonts w:ascii="Times New Roman" w:eastAsia="Times New Roman" w:hAnsi="Times New Roman" w:cs="Times New Roman"/>
          <w:sz w:val="24"/>
          <w:szCs w:val="24"/>
        </w:rPr>
        <w:t>flavor</w:t>
      </w:r>
      <w:proofErr w:type="spellEnd"/>
      <w:r>
        <w:rPr>
          <w:rFonts w:ascii="Times New Roman" w:eastAsia="Times New Roman" w:hAnsi="Times New Roman" w:cs="Times New Roman"/>
          <w:sz w:val="24"/>
          <w:szCs w:val="24"/>
        </w:rPr>
        <w:t xml:space="preserve"> and consumer preference over time.</w:t>
      </w:r>
    </w:p>
    <w:p w14:paraId="15FA7B0F" w14:textId="77777777" w:rsidR="003B23D7" w:rsidRDefault="00DB169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At 60 days, T9 remained the most preferred treatment with an overal</w:t>
      </w:r>
      <w:r>
        <w:rPr>
          <w:rFonts w:ascii="Times New Roman" w:eastAsia="Times New Roman" w:hAnsi="Times New Roman" w:cs="Times New Roman"/>
          <w:sz w:val="24"/>
          <w:szCs w:val="24"/>
        </w:rPr>
        <w:t>l acceptability score of 8.234, supported by good texture and taste ratings. T3 and T8 also maintained high consumer scores, suggesting that these formulations retained their sensory appeal even after prolonged storage. The taste score for T8 at this stage</w:t>
      </w:r>
      <w:r>
        <w:rPr>
          <w:rFonts w:ascii="Times New Roman" w:eastAsia="Times New Roman" w:hAnsi="Times New Roman" w:cs="Times New Roman"/>
          <w:sz w:val="24"/>
          <w:szCs w:val="24"/>
        </w:rPr>
        <w:t xml:space="preserve"> was again anomalously high (17.677), likely a continuation of the earlier recording error. Despite this, the overall trend suggests that well-formulated guava jellies can maintain or even improve in sensory attributes over a 60-day storage period, provide</w:t>
      </w:r>
      <w:r>
        <w:rPr>
          <w:rFonts w:ascii="Times New Roman" w:eastAsia="Times New Roman" w:hAnsi="Times New Roman" w:cs="Times New Roman"/>
          <w:sz w:val="24"/>
          <w:szCs w:val="24"/>
        </w:rPr>
        <w:t>d appropriate ingredients and preservation techniques are used.</w:t>
      </w:r>
    </w:p>
    <w:p w14:paraId="454FAF6A" w14:textId="77777777" w:rsidR="003B23D7" w:rsidRDefault="00DB169B">
      <w:pPr>
        <w:pStyle w:val="Heading3"/>
        <w:spacing w:before="280" w:after="280" w:line="360" w:lineRule="auto"/>
        <w:rPr>
          <w:sz w:val="24"/>
          <w:szCs w:val="24"/>
        </w:rPr>
      </w:pPr>
      <w:r>
        <w:rPr>
          <w:sz w:val="24"/>
          <w:szCs w:val="24"/>
        </w:rPr>
        <w:lastRenderedPageBreak/>
        <w:t>Economic Analysis</w:t>
      </w:r>
    </w:p>
    <w:p w14:paraId="1D09527F" w14:textId="5EDF9A01" w:rsidR="003B23D7" w:rsidRDefault="00F55E08">
      <w:pPr>
        <w:pBdr>
          <w:top w:val="nil"/>
          <w:left w:val="nil"/>
          <w:bottom w:val="nil"/>
          <w:right w:val="nil"/>
          <w:between w:val="nil"/>
        </w:pBdr>
        <w:spacing w:before="280" w:after="28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List </w:t>
      </w:r>
      <w:proofErr w:type="gramStart"/>
      <w:r>
        <w:rPr>
          <w:rFonts w:ascii="Times New Roman" w:eastAsia="Times New Roman" w:hAnsi="Times New Roman" w:cs="Times New Roman"/>
          <w:color w:val="000000"/>
          <w:sz w:val="24"/>
          <w:szCs w:val="24"/>
        </w:rPr>
        <w:t>1 :</w:t>
      </w:r>
      <w:proofErr w:type="gramEnd"/>
      <w:r>
        <w:rPr>
          <w:rFonts w:ascii="Times New Roman" w:eastAsia="Times New Roman" w:hAnsi="Times New Roman" w:cs="Times New Roman"/>
          <w:color w:val="000000"/>
          <w:sz w:val="24"/>
          <w:szCs w:val="24"/>
        </w:rPr>
        <w:t xml:space="preserve"> T3</w:t>
      </w:r>
      <w:r>
        <w:rPr>
          <w:rFonts w:ascii="Times New Roman" w:eastAsia="Times New Roman" w:hAnsi="Times New Roman" w:cs="Times New Roman"/>
          <w:b/>
          <w:color w:val="000000"/>
          <w:sz w:val="24"/>
          <w:szCs w:val="24"/>
        </w:rPr>
        <w:t xml:space="preserve"> </w:t>
      </w:r>
      <w:r>
        <w:rPr>
          <w:rFonts w:ascii="Times New Roman" w:eastAsia="Times New Roman" w:hAnsi="Times New Roman" w:cs="Times New Roman"/>
          <w:color w:val="000000"/>
          <w:sz w:val="24"/>
          <w:szCs w:val="24"/>
        </w:rPr>
        <w:t>was the most economically viable treatment are given below:</w:t>
      </w:r>
    </w:p>
    <w:tbl>
      <w:tblPr>
        <w:tblStyle w:val="a"/>
        <w:tblW w:w="6115"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145"/>
        <w:gridCol w:w="2970"/>
      </w:tblGrid>
      <w:tr w:rsidR="003B23D7" w14:paraId="4A3978DB" w14:textId="77777777">
        <w:tc>
          <w:tcPr>
            <w:tcW w:w="3145" w:type="dxa"/>
          </w:tcPr>
          <w:p w14:paraId="09AE9593" w14:textId="77777777" w:rsidR="003B23D7" w:rsidRDefault="00DB169B">
            <w:p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Cost of production</w:t>
            </w:r>
          </w:p>
        </w:tc>
        <w:tc>
          <w:tcPr>
            <w:tcW w:w="2970" w:type="dxa"/>
          </w:tcPr>
          <w:p w14:paraId="09ACEE2A" w14:textId="77777777" w:rsidR="003B23D7" w:rsidRDefault="00DB169B">
            <w:p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₹140</w:t>
            </w:r>
          </w:p>
        </w:tc>
      </w:tr>
      <w:tr w:rsidR="003B23D7" w14:paraId="68D89E6C" w14:textId="77777777">
        <w:tc>
          <w:tcPr>
            <w:tcW w:w="3145" w:type="dxa"/>
          </w:tcPr>
          <w:p w14:paraId="19DE3ADC" w14:textId="77777777" w:rsidR="003B23D7" w:rsidRDefault="00DB169B">
            <w:p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Gross return</w:t>
            </w:r>
          </w:p>
        </w:tc>
        <w:tc>
          <w:tcPr>
            <w:tcW w:w="2970" w:type="dxa"/>
          </w:tcPr>
          <w:p w14:paraId="7D84C077" w14:textId="77777777" w:rsidR="003B23D7" w:rsidRDefault="00DB169B">
            <w:p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₹371.50</w:t>
            </w:r>
          </w:p>
        </w:tc>
      </w:tr>
      <w:tr w:rsidR="003B23D7" w14:paraId="6FAFE0FD" w14:textId="77777777">
        <w:tc>
          <w:tcPr>
            <w:tcW w:w="3145" w:type="dxa"/>
          </w:tcPr>
          <w:p w14:paraId="5942858D" w14:textId="77777777" w:rsidR="003B23D7" w:rsidRDefault="00DB169B">
            <w:p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Net return</w:t>
            </w:r>
          </w:p>
        </w:tc>
        <w:tc>
          <w:tcPr>
            <w:tcW w:w="2970" w:type="dxa"/>
          </w:tcPr>
          <w:p w14:paraId="680A56C6" w14:textId="77777777" w:rsidR="003B23D7" w:rsidRDefault="00DB169B">
            <w:p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₹231.50 </w:t>
            </w:r>
          </w:p>
        </w:tc>
      </w:tr>
      <w:tr w:rsidR="003B23D7" w14:paraId="732F2586" w14:textId="77777777">
        <w:tc>
          <w:tcPr>
            <w:tcW w:w="3145" w:type="dxa"/>
          </w:tcPr>
          <w:p w14:paraId="49573BCD" w14:textId="77777777" w:rsidR="003B23D7" w:rsidRDefault="00DB169B">
            <w:p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Benefit cost ratio</w:t>
            </w:r>
          </w:p>
        </w:tc>
        <w:tc>
          <w:tcPr>
            <w:tcW w:w="2970" w:type="dxa"/>
          </w:tcPr>
          <w:p w14:paraId="329E04E9" w14:textId="77777777" w:rsidR="003B23D7" w:rsidRDefault="00DB169B">
            <w:pPr>
              <w:pBdr>
                <w:top w:val="nil"/>
                <w:left w:val="nil"/>
                <w:bottom w:val="nil"/>
                <w:right w:val="nil"/>
                <w:between w:val="nil"/>
              </w:pBdr>
              <w:spacing w:after="200"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2.65</w:t>
            </w:r>
          </w:p>
        </w:tc>
      </w:tr>
    </w:tbl>
    <w:p w14:paraId="72BF7F6F" w14:textId="77777777" w:rsidR="003B23D7" w:rsidRDefault="003B23D7">
      <w:pPr>
        <w:pBdr>
          <w:top w:val="nil"/>
          <w:left w:val="nil"/>
          <w:bottom w:val="nil"/>
          <w:right w:val="nil"/>
          <w:between w:val="nil"/>
        </w:pBdr>
        <w:spacing w:before="280" w:after="280" w:line="360" w:lineRule="auto"/>
        <w:rPr>
          <w:rFonts w:ascii="Times New Roman" w:eastAsia="Times New Roman" w:hAnsi="Times New Roman" w:cs="Times New Roman"/>
          <w:color w:val="000000"/>
          <w:sz w:val="24"/>
          <w:szCs w:val="24"/>
        </w:rPr>
      </w:pPr>
    </w:p>
    <w:p w14:paraId="3788CBF9" w14:textId="77777777" w:rsidR="003B23D7" w:rsidRDefault="00DB169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w:t>
      </w:r>
      <w:r>
        <w:rPr>
          <w:rFonts w:ascii="Times New Roman" w:eastAsia="Times New Roman" w:hAnsi="Times New Roman" w:cs="Times New Roman"/>
          <w:sz w:val="24"/>
          <w:szCs w:val="24"/>
        </w:rPr>
        <w:t>summary, the study highlights that both the variety of guava used and the treatment applied significantly affect the quality, shelf stability, and acceptability of guava jelly. Among all treatments, T3 and T9 emerged as the most stable and preferred formul</w:t>
      </w:r>
      <w:r>
        <w:rPr>
          <w:rFonts w:ascii="Times New Roman" w:eastAsia="Times New Roman" w:hAnsi="Times New Roman" w:cs="Times New Roman"/>
          <w:sz w:val="24"/>
          <w:szCs w:val="24"/>
        </w:rPr>
        <w:t xml:space="preserve">ations in terms of physicochemical properties, nutritional retention, and organoleptic attributes. The guava variety 'VNR </w:t>
      </w:r>
      <w:proofErr w:type="spellStart"/>
      <w:r>
        <w:rPr>
          <w:rFonts w:ascii="Times New Roman" w:eastAsia="Times New Roman" w:hAnsi="Times New Roman" w:cs="Times New Roman"/>
          <w:sz w:val="24"/>
          <w:szCs w:val="24"/>
        </w:rPr>
        <w:t>Bihi</w:t>
      </w:r>
      <w:proofErr w:type="spellEnd"/>
      <w:r>
        <w:rPr>
          <w:rFonts w:ascii="Times New Roman" w:eastAsia="Times New Roman" w:hAnsi="Times New Roman" w:cs="Times New Roman"/>
          <w:sz w:val="24"/>
          <w:szCs w:val="24"/>
        </w:rPr>
        <w:t>', possibly associated with T3, appeared to yield the best results across most parameters. These findings are in line with previou</w:t>
      </w:r>
      <w:r>
        <w:rPr>
          <w:rFonts w:ascii="Times New Roman" w:eastAsia="Times New Roman" w:hAnsi="Times New Roman" w:cs="Times New Roman"/>
          <w:sz w:val="24"/>
          <w:szCs w:val="24"/>
        </w:rPr>
        <w:t>s studies emphasizing the importance of variety selection, sugar content, and acid balance in developing high-quality processed fruit products (</w:t>
      </w:r>
      <w:proofErr w:type="spellStart"/>
      <w:r>
        <w:rPr>
          <w:rFonts w:ascii="Times New Roman" w:eastAsia="Times New Roman" w:hAnsi="Times New Roman" w:cs="Times New Roman"/>
          <w:sz w:val="24"/>
          <w:szCs w:val="24"/>
        </w:rPr>
        <w:t>Bamji</w:t>
      </w:r>
      <w:proofErr w:type="spellEnd"/>
      <w:r>
        <w:rPr>
          <w:rFonts w:ascii="Times New Roman" w:eastAsia="Times New Roman" w:hAnsi="Times New Roman" w:cs="Times New Roman"/>
          <w:sz w:val="24"/>
          <w:szCs w:val="24"/>
        </w:rPr>
        <w:t xml:space="preserve"> et al., 2020; Ritchie et al., 2018). Therefore, for commercial production, these treatments could be recom</w:t>
      </w:r>
      <w:r>
        <w:rPr>
          <w:rFonts w:ascii="Times New Roman" w:eastAsia="Times New Roman" w:hAnsi="Times New Roman" w:cs="Times New Roman"/>
          <w:sz w:val="24"/>
          <w:szCs w:val="24"/>
        </w:rPr>
        <w:t>mended for their better storage stability and consumer preference. These findings support the conclusion of Dubey et al. (2022)</w:t>
      </w:r>
      <w:r>
        <w:rPr>
          <w:rFonts w:ascii="Times New Roman" w:eastAsia="Times New Roman" w:hAnsi="Times New Roman" w:cs="Times New Roman"/>
          <w:b/>
          <w:sz w:val="24"/>
          <w:szCs w:val="24"/>
        </w:rPr>
        <w:t>,</w:t>
      </w:r>
      <w:r>
        <w:rPr>
          <w:rFonts w:ascii="Times New Roman" w:eastAsia="Times New Roman" w:hAnsi="Times New Roman" w:cs="Times New Roman"/>
          <w:sz w:val="24"/>
          <w:szCs w:val="24"/>
        </w:rPr>
        <w:t xml:space="preserve"> who advocated for sugar-rich fruit products as cost-effective and consumer-preferred items. Rani and Kapoor (2022) similarly co</w:t>
      </w:r>
      <w:r>
        <w:rPr>
          <w:rFonts w:ascii="Times New Roman" w:eastAsia="Times New Roman" w:hAnsi="Times New Roman" w:cs="Times New Roman"/>
          <w:sz w:val="24"/>
          <w:szCs w:val="24"/>
        </w:rPr>
        <w:t>ncluded that optimum sugar and citric acid concentrations improve both shelf life and profitability.</w:t>
      </w:r>
    </w:p>
    <w:p w14:paraId="1605D2AC" w14:textId="7E6AECAE" w:rsidR="003B23D7" w:rsidRDefault="003B23D7">
      <w:pPr>
        <w:rPr>
          <w:rFonts w:ascii="Times New Roman" w:eastAsia="Times New Roman" w:hAnsi="Times New Roman" w:cs="Times New Roman"/>
          <w:b/>
          <w:sz w:val="24"/>
          <w:szCs w:val="24"/>
        </w:rPr>
      </w:pPr>
    </w:p>
    <w:p w14:paraId="786FC156" w14:textId="77777777" w:rsidR="003B23D7" w:rsidRDefault="00DB169B">
      <w:pPr>
        <w:pBdr>
          <w:top w:val="nil"/>
          <w:left w:val="nil"/>
          <w:bottom w:val="nil"/>
          <w:right w:val="nil"/>
          <w:between w:val="nil"/>
        </w:pBdr>
        <w:spacing w:before="280" w:after="28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Discussion</w:t>
      </w:r>
    </w:p>
    <w:p w14:paraId="7258EA90" w14:textId="77777777" w:rsidR="003B23D7" w:rsidRDefault="00DB169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The present study investigated the effect of three guava cultivars (Lalit, </w:t>
      </w:r>
      <w:proofErr w:type="spellStart"/>
      <w:r>
        <w:rPr>
          <w:rFonts w:ascii="Times New Roman" w:eastAsia="Times New Roman" w:hAnsi="Times New Roman" w:cs="Times New Roman"/>
          <w:sz w:val="24"/>
          <w:szCs w:val="24"/>
        </w:rPr>
        <w:t>Sweta</w:t>
      </w:r>
      <w:proofErr w:type="spellEnd"/>
      <w:r>
        <w:rPr>
          <w:rFonts w:ascii="Times New Roman" w:eastAsia="Times New Roman" w:hAnsi="Times New Roman" w:cs="Times New Roman"/>
          <w:sz w:val="24"/>
          <w:szCs w:val="24"/>
        </w:rPr>
        <w:t>, and VNR-</w:t>
      </w:r>
      <w:proofErr w:type="spellStart"/>
      <w:r>
        <w:rPr>
          <w:rFonts w:ascii="Times New Roman" w:eastAsia="Times New Roman" w:hAnsi="Times New Roman" w:cs="Times New Roman"/>
          <w:sz w:val="24"/>
          <w:szCs w:val="24"/>
        </w:rPr>
        <w:t>Bihi</w:t>
      </w:r>
      <w:proofErr w:type="spellEnd"/>
      <w:r>
        <w:rPr>
          <w:rFonts w:ascii="Times New Roman" w:eastAsia="Times New Roman" w:hAnsi="Times New Roman" w:cs="Times New Roman"/>
          <w:sz w:val="24"/>
          <w:szCs w:val="24"/>
        </w:rPr>
        <w:t>) and three sugar concentrations (550g, 650g, and</w:t>
      </w:r>
      <w:r>
        <w:rPr>
          <w:rFonts w:ascii="Times New Roman" w:eastAsia="Times New Roman" w:hAnsi="Times New Roman" w:cs="Times New Roman"/>
          <w:sz w:val="24"/>
          <w:szCs w:val="24"/>
        </w:rPr>
        <w:t xml:space="preserve"> 750g per 100% juice) on the physicochemical, sensory, and economic attributes of guava jelly during storage (0, 30, and 60 days). The results showed that the Total Soluble Solids (TSS) of guava jellies increased over time across all treatments, with T3 ha</w:t>
      </w:r>
      <w:r>
        <w:rPr>
          <w:rFonts w:ascii="Times New Roman" w:eastAsia="Times New Roman" w:hAnsi="Times New Roman" w:cs="Times New Roman"/>
          <w:sz w:val="24"/>
          <w:szCs w:val="24"/>
        </w:rPr>
        <w:t xml:space="preserve">ving the highest TSS value (66.01 °Brix) at 0 days and T2 showing the </w:t>
      </w:r>
      <w:r>
        <w:rPr>
          <w:rFonts w:ascii="Times New Roman" w:eastAsia="Times New Roman" w:hAnsi="Times New Roman" w:cs="Times New Roman"/>
          <w:sz w:val="24"/>
          <w:szCs w:val="24"/>
        </w:rPr>
        <w:lastRenderedPageBreak/>
        <w:t>highest TSS value (67.33 °Brix) at 60 days. The CD value of 0.75 at 0 days indicated that the differences between treatments were significant. Titratable acidity also increased over time</w:t>
      </w:r>
      <w:r>
        <w:rPr>
          <w:rFonts w:ascii="Times New Roman" w:eastAsia="Times New Roman" w:hAnsi="Times New Roman" w:cs="Times New Roman"/>
          <w:sz w:val="24"/>
          <w:szCs w:val="24"/>
        </w:rPr>
        <w:t xml:space="preserve"> across all treatments, with T3 having the highest acidity (0.3%) at 0 days and maintaining the highest acidity (0.35%) at 60 days. The CD value of 0.019 at 0 days indicated that the differences between treatments were significant. Ascorbic acid content re</w:t>
      </w:r>
      <w:r>
        <w:rPr>
          <w:rFonts w:ascii="Times New Roman" w:eastAsia="Times New Roman" w:hAnsi="Times New Roman" w:cs="Times New Roman"/>
          <w:sz w:val="24"/>
          <w:szCs w:val="24"/>
        </w:rPr>
        <w:t>mained relatively stable over time, with T3 having the highest ascorbic acid content (106.61 mg/100g) at 0 days and retaining the highest ascorbic acid content (106.61 mg/100g) at 60 days. The CD value of 1.62 at 0 days indicated that the differences betwe</w:t>
      </w:r>
      <w:r>
        <w:rPr>
          <w:rFonts w:ascii="Times New Roman" w:eastAsia="Times New Roman" w:hAnsi="Times New Roman" w:cs="Times New Roman"/>
          <w:sz w:val="24"/>
          <w:szCs w:val="24"/>
        </w:rPr>
        <w:t>en treatments were significant. Sensory evaluation showed that T9 received the highest overall acceptability score (7.807) at 0 days, followed by T6 and T5, and maintained the highest overall acceptability score (8.234) at 60 days, supported by good textur</w:t>
      </w:r>
      <w:r>
        <w:rPr>
          <w:rFonts w:ascii="Times New Roman" w:eastAsia="Times New Roman" w:hAnsi="Times New Roman" w:cs="Times New Roman"/>
          <w:sz w:val="24"/>
          <w:szCs w:val="24"/>
        </w:rPr>
        <w:t xml:space="preserve">e and taste ratings. T3 and T8 also maintained high consumer scores, suggesting that these formulations retained their sensory appeal even after prolonged storage. Economic analysis showed that T3 was the most economically viable treatment, with a cost of </w:t>
      </w:r>
      <w:r>
        <w:rPr>
          <w:rFonts w:ascii="Times New Roman" w:eastAsia="Times New Roman" w:hAnsi="Times New Roman" w:cs="Times New Roman"/>
          <w:sz w:val="24"/>
          <w:szCs w:val="24"/>
        </w:rPr>
        <w:t>production of ₹140, a gross return of ₹371.50, and a net return of ₹231.50, and a benefit-cost ratio of 2.65. Overall, the study highlights that both the variety of guava used and the treatment applied significantly affect the quality, shelf stability, and</w:t>
      </w:r>
      <w:r>
        <w:rPr>
          <w:rFonts w:ascii="Times New Roman" w:eastAsia="Times New Roman" w:hAnsi="Times New Roman" w:cs="Times New Roman"/>
          <w:sz w:val="24"/>
          <w:szCs w:val="24"/>
        </w:rPr>
        <w:t xml:space="preserve"> acceptability of guava jelly, and that T3 and T9 emerged as the most stable and preferred formulations in terms of physicochemical properties, nutritional retention, and organoleptic attributes, making them suitable for commercial production.</w:t>
      </w:r>
    </w:p>
    <w:p w14:paraId="582B8CEC" w14:textId="77777777" w:rsidR="003B23D7" w:rsidRDefault="003B23D7">
      <w:pPr>
        <w:spacing w:before="280" w:after="280" w:line="360" w:lineRule="auto"/>
        <w:jc w:val="both"/>
        <w:rPr>
          <w:rFonts w:ascii="Times New Roman" w:eastAsia="Times New Roman" w:hAnsi="Times New Roman" w:cs="Times New Roman"/>
          <w:b/>
          <w:sz w:val="24"/>
          <w:szCs w:val="24"/>
        </w:rPr>
      </w:pPr>
      <w:bookmarkStart w:id="0" w:name="_8qcf0am1csi5" w:colFirst="0" w:colLast="0"/>
      <w:bookmarkEnd w:id="0"/>
    </w:p>
    <w:p w14:paraId="19CA2842" w14:textId="77777777" w:rsidR="003B23D7" w:rsidRDefault="003B23D7">
      <w:pPr>
        <w:spacing w:before="280" w:after="280" w:line="360" w:lineRule="auto"/>
        <w:rPr>
          <w:rFonts w:ascii="Times New Roman" w:eastAsia="Times New Roman" w:hAnsi="Times New Roman" w:cs="Times New Roman"/>
          <w:b/>
          <w:sz w:val="24"/>
          <w:szCs w:val="24"/>
        </w:rPr>
      </w:pPr>
    </w:p>
    <w:p w14:paraId="7B771C60" w14:textId="77777777" w:rsidR="003B23D7" w:rsidRDefault="00DB169B">
      <w:pPr>
        <w:spacing w:line="360" w:lineRule="auto"/>
        <w:rPr>
          <w:rFonts w:ascii="Times New Roman" w:eastAsia="Times New Roman" w:hAnsi="Times New Roman" w:cs="Times New Roman"/>
          <w:b/>
          <w:sz w:val="24"/>
          <w:szCs w:val="24"/>
        </w:rPr>
      </w:pPr>
      <w:r>
        <w:br w:type="page"/>
      </w:r>
    </w:p>
    <w:p w14:paraId="23889C1E" w14:textId="77777777" w:rsidR="003B23D7" w:rsidRDefault="00DB169B">
      <w:pPr>
        <w:spacing w:before="280" w:after="280" w:line="360" w:lineRule="auto"/>
        <w:rPr>
          <w:rFonts w:ascii="Times New Roman" w:eastAsia="Times New Roman" w:hAnsi="Times New Roman" w:cs="Times New Roman"/>
          <w:sz w:val="24"/>
          <w:szCs w:val="24"/>
        </w:rPr>
      </w:pPr>
      <w:r>
        <w:rPr>
          <w:rFonts w:ascii="Times New Roman" w:eastAsia="Times New Roman" w:hAnsi="Times New Roman" w:cs="Times New Roman"/>
          <w:b/>
          <w:sz w:val="24"/>
          <w:szCs w:val="24"/>
        </w:rPr>
        <w:lastRenderedPageBreak/>
        <w:t>Conclusi</w:t>
      </w:r>
      <w:r>
        <w:rPr>
          <w:rFonts w:ascii="Times New Roman" w:eastAsia="Times New Roman" w:hAnsi="Times New Roman" w:cs="Times New Roman"/>
          <w:b/>
          <w:sz w:val="24"/>
          <w:szCs w:val="24"/>
        </w:rPr>
        <w:t>on</w:t>
      </w:r>
    </w:p>
    <w:p w14:paraId="4AD9ED82" w14:textId="77777777" w:rsidR="003B23D7" w:rsidRDefault="00DB169B">
      <w:pPr>
        <w:spacing w:before="280" w:after="28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Overall, the findings of this study demonstrate that guava variety and treatment formulation significantly influence the physicochemical, nutritional, and sensory quality of guava jelly. T3 and T9 consistently showed superior performance across all para</w:t>
      </w:r>
      <w:r>
        <w:rPr>
          <w:rFonts w:ascii="Times New Roman" w:eastAsia="Times New Roman" w:hAnsi="Times New Roman" w:cs="Times New Roman"/>
          <w:sz w:val="24"/>
          <w:szCs w:val="24"/>
        </w:rPr>
        <w:t xml:space="preserve">meters, including higher TSS, better retention of ascorbic acid, and better acceptability scores throughout the storage period. These treatments likely utilized guava varieties such as ‘VNR </w:t>
      </w:r>
      <w:proofErr w:type="spellStart"/>
      <w:r>
        <w:rPr>
          <w:rFonts w:ascii="Times New Roman" w:eastAsia="Times New Roman" w:hAnsi="Times New Roman" w:cs="Times New Roman"/>
          <w:sz w:val="24"/>
          <w:szCs w:val="24"/>
        </w:rPr>
        <w:t>Bihi</w:t>
      </w:r>
      <w:proofErr w:type="spellEnd"/>
      <w:r>
        <w:rPr>
          <w:rFonts w:ascii="Times New Roman" w:eastAsia="Times New Roman" w:hAnsi="Times New Roman" w:cs="Times New Roman"/>
          <w:sz w:val="24"/>
          <w:szCs w:val="24"/>
        </w:rPr>
        <w:t xml:space="preserve">’ and ‘Lalit’, which possess </w:t>
      </w:r>
      <w:proofErr w:type="spellStart"/>
      <w:r>
        <w:rPr>
          <w:rFonts w:ascii="Times New Roman" w:eastAsia="Times New Roman" w:hAnsi="Times New Roman" w:cs="Times New Roman"/>
          <w:sz w:val="24"/>
          <w:szCs w:val="24"/>
        </w:rPr>
        <w:t>favorable</w:t>
      </w:r>
      <w:proofErr w:type="spellEnd"/>
      <w:r>
        <w:rPr>
          <w:rFonts w:ascii="Times New Roman" w:eastAsia="Times New Roman" w:hAnsi="Times New Roman" w:cs="Times New Roman"/>
          <w:sz w:val="24"/>
          <w:szCs w:val="24"/>
        </w:rPr>
        <w:t xml:space="preserve"> attributes for jelly pr</w:t>
      </w:r>
      <w:r>
        <w:rPr>
          <w:rFonts w:ascii="Times New Roman" w:eastAsia="Times New Roman" w:hAnsi="Times New Roman" w:cs="Times New Roman"/>
          <w:sz w:val="24"/>
          <w:szCs w:val="24"/>
        </w:rPr>
        <w:t>ocessing. The gradual increase in TSS and acidity, and the decrease in ascorbic acid content are in line with expected changes in fruit-based products during storage. The sensory evaluation confirmed that well-prepared guava jelly can remain acceptable and</w:t>
      </w:r>
      <w:r>
        <w:rPr>
          <w:rFonts w:ascii="Times New Roman" w:eastAsia="Times New Roman" w:hAnsi="Times New Roman" w:cs="Times New Roman"/>
          <w:sz w:val="24"/>
          <w:szCs w:val="24"/>
        </w:rPr>
        <w:t xml:space="preserve"> stable up to 60 days under proper conditions. These results underscore the importance of selecting suitable guava varieties and processing methods for developing shelf-stable and nutritionally rich guava jelly products.</w:t>
      </w:r>
    </w:p>
    <w:p w14:paraId="09110120" w14:textId="77777777" w:rsidR="00EB673B" w:rsidRDefault="00EB673B">
      <w:pPr>
        <w:spacing w:before="280" w:after="280" w:line="360" w:lineRule="auto"/>
        <w:jc w:val="both"/>
        <w:rPr>
          <w:rFonts w:ascii="Times New Roman" w:eastAsia="Times New Roman" w:hAnsi="Times New Roman" w:cs="Times New Roman"/>
          <w:sz w:val="24"/>
          <w:szCs w:val="24"/>
        </w:rPr>
      </w:pPr>
    </w:p>
    <w:p w14:paraId="4140942A" w14:textId="623B58B7" w:rsidR="003B23D7" w:rsidRDefault="003B23D7">
      <w:pPr>
        <w:rPr>
          <w:rFonts w:ascii="Times New Roman" w:eastAsia="Times New Roman" w:hAnsi="Times New Roman" w:cs="Times New Roman"/>
          <w:b/>
          <w:sz w:val="24"/>
          <w:szCs w:val="24"/>
        </w:rPr>
      </w:pPr>
    </w:p>
    <w:p w14:paraId="6580DC6F" w14:textId="77777777" w:rsidR="003B23D7" w:rsidRDefault="00DB169B">
      <w:pPr>
        <w:pBdr>
          <w:top w:val="nil"/>
          <w:left w:val="nil"/>
          <w:bottom w:val="nil"/>
          <w:right w:val="nil"/>
          <w:between w:val="nil"/>
        </w:pBdr>
        <w:spacing w:before="280" w:after="28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Table 1. Total Soluble Solids (°B</w:t>
      </w:r>
      <w:r>
        <w:rPr>
          <w:rFonts w:ascii="Times New Roman" w:eastAsia="Times New Roman" w:hAnsi="Times New Roman" w:cs="Times New Roman"/>
          <w:b/>
          <w:color w:val="000000"/>
          <w:sz w:val="24"/>
          <w:szCs w:val="24"/>
        </w:rPr>
        <w:t>rix) of Guava (</w:t>
      </w:r>
      <w:r>
        <w:rPr>
          <w:rFonts w:ascii="Times New Roman" w:eastAsia="Times New Roman" w:hAnsi="Times New Roman" w:cs="Times New Roman"/>
          <w:b/>
          <w:i/>
          <w:color w:val="000000"/>
          <w:sz w:val="24"/>
          <w:szCs w:val="24"/>
        </w:rPr>
        <w:t xml:space="preserve">Psidium </w:t>
      </w:r>
      <w:proofErr w:type="spellStart"/>
      <w:r>
        <w:rPr>
          <w:rFonts w:ascii="Times New Roman" w:eastAsia="Times New Roman" w:hAnsi="Times New Roman" w:cs="Times New Roman"/>
          <w:b/>
          <w:i/>
          <w:color w:val="000000"/>
          <w:sz w:val="24"/>
          <w:szCs w:val="24"/>
        </w:rPr>
        <w:t>guajava</w:t>
      </w:r>
      <w:proofErr w:type="spellEnd"/>
      <w:r>
        <w:rPr>
          <w:rFonts w:ascii="Times New Roman" w:eastAsia="Times New Roman" w:hAnsi="Times New Roman" w:cs="Times New Roman"/>
          <w:b/>
          <w:color w:val="000000"/>
          <w:sz w:val="24"/>
          <w:szCs w:val="24"/>
        </w:rPr>
        <w:t xml:space="preserve"> L.) Jellies During Different Storage Periods</w:t>
      </w:r>
    </w:p>
    <w:tbl>
      <w:tblPr>
        <w:tblStyle w:val="a0"/>
        <w:tblW w:w="790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0"/>
        <w:gridCol w:w="1297"/>
        <w:gridCol w:w="1217"/>
        <w:gridCol w:w="1933"/>
        <w:gridCol w:w="1933"/>
      </w:tblGrid>
      <w:tr w:rsidR="003B23D7" w14:paraId="18184196" w14:textId="77777777">
        <w:trPr>
          <w:trHeight w:val="586"/>
          <w:jc w:val="center"/>
        </w:trPr>
        <w:tc>
          <w:tcPr>
            <w:tcW w:w="1520" w:type="dxa"/>
          </w:tcPr>
          <w:p w14:paraId="1B956B9D"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Treatments</w:t>
            </w:r>
          </w:p>
        </w:tc>
        <w:tc>
          <w:tcPr>
            <w:tcW w:w="1297" w:type="dxa"/>
          </w:tcPr>
          <w:p w14:paraId="4E4E1EFB"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0 Days</w:t>
            </w:r>
          </w:p>
        </w:tc>
        <w:tc>
          <w:tcPr>
            <w:tcW w:w="1217" w:type="dxa"/>
          </w:tcPr>
          <w:p w14:paraId="26075ED3"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30 Days</w:t>
            </w:r>
          </w:p>
        </w:tc>
        <w:tc>
          <w:tcPr>
            <w:tcW w:w="1933" w:type="dxa"/>
          </w:tcPr>
          <w:p w14:paraId="03CD7DC0"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45 days</w:t>
            </w:r>
          </w:p>
        </w:tc>
        <w:tc>
          <w:tcPr>
            <w:tcW w:w="1933" w:type="dxa"/>
          </w:tcPr>
          <w:p w14:paraId="7D5DF1F5"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60 Days</w:t>
            </w:r>
          </w:p>
        </w:tc>
      </w:tr>
      <w:tr w:rsidR="003B23D7" w14:paraId="1BE81C6C" w14:textId="77777777">
        <w:trPr>
          <w:trHeight w:val="586"/>
          <w:jc w:val="center"/>
        </w:trPr>
        <w:tc>
          <w:tcPr>
            <w:tcW w:w="1520" w:type="dxa"/>
          </w:tcPr>
          <w:p w14:paraId="7598DB73"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T1</w:t>
            </w:r>
          </w:p>
        </w:tc>
        <w:tc>
          <w:tcPr>
            <w:tcW w:w="1297" w:type="dxa"/>
          </w:tcPr>
          <w:p w14:paraId="0427C151"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w:t>
            </w:r>
          </w:p>
        </w:tc>
        <w:tc>
          <w:tcPr>
            <w:tcW w:w="1217" w:type="dxa"/>
          </w:tcPr>
          <w:p w14:paraId="043001B1"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64.14</w:t>
            </w:r>
          </w:p>
        </w:tc>
        <w:tc>
          <w:tcPr>
            <w:tcW w:w="1933" w:type="dxa"/>
          </w:tcPr>
          <w:p w14:paraId="40BD9ECB"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64.32</w:t>
            </w:r>
          </w:p>
        </w:tc>
        <w:tc>
          <w:tcPr>
            <w:tcW w:w="1933" w:type="dxa"/>
          </w:tcPr>
          <w:p w14:paraId="4581B420"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65.27</w:t>
            </w:r>
          </w:p>
        </w:tc>
      </w:tr>
      <w:tr w:rsidR="003B23D7" w14:paraId="3DC7F5D6" w14:textId="77777777">
        <w:trPr>
          <w:trHeight w:val="586"/>
          <w:jc w:val="center"/>
        </w:trPr>
        <w:tc>
          <w:tcPr>
            <w:tcW w:w="1520" w:type="dxa"/>
          </w:tcPr>
          <w:p w14:paraId="32972B2F"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T2</w:t>
            </w:r>
          </w:p>
        </w:tc>
        <w:tc>
          <w:tcPr>
            <w:tcW w:w="1297" w:type="dxa"/>
          </w:tcPr>
          <w:p w14:paraId="6C607CA5"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65.01</w:t>
            </w:r>
          </w:p>
        </w:tc>
        <w:tc>
          <w:tcPr>
            <w:tcW w:w="1217" w:type="dxa"/>
          </w:tcPr>
          <w:p w14:paraId="4C9AA639"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w:t>
            </w:r>
          </w:p>
        </w:tc>
        <w:tc>
          <w:tcPr>
            <w:tcW w:w="1933" w:type="dxa"/>
          </w:tcPr>
          <w:p w14:paraId="63E7C247"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66.18</w:t>
            </w:r>
          </w:p>
        </w:tc>
        <w:tc>
          <w:tcPr>
            <w:tcW w:w="1933" w:type="dxa"/>
          </w:tcPr>
          <w:p w14:paraId="4D151B5F"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67.33</w:t>
            </w:r>
          </w:p>
        </w:tc>
      </w:tr>
      <w:tr w:rsidR="003B23D7" w14:paraId="4448B02A" w14:textId="77777777">
        <w:trPr>
          <w:trHeight w:val="586"/>
          <w:jc w:val="center"/>
        </w:trPr>
        <w:tc>
          <w:tcPr>
            <w:tcW w:w="1520" w:type="dxa"/>
          </w:tcPr>
          <w:p w14:paraId="3B2EE2EB"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T3</w:t>
            </w:r>
          </w:p>
        </w:tc>
        <w:tc>
          <w:tcPr>
            <w:tcW w:w="1297" w:type="dxa"/>
          </w:tcPr>
          <w:p w14:paraId="10C4127D"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66.01</w:t>
            </w:r>
          </w:p>
        </w:tc>
        <w:tc>
          <w:tcPr>
            <w:tcW w:w="1217" w:type="dxa"/>
          </w:tcPr>
          <w:p w14:paraId="4D05F2F7"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66.59</w:t>
            </w:r>
          </w:p>
        </w:tc>
        <w:tc>
          <w:tcPr>
            <w:tcW w:w="1933" w:type="dxa"/>
          </w:tcPr>
          <w:p w14:paraId="7846D85A"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67.00</w:t>
            </w:r>
          </w:p>
        </w:tc>
        <w:tc>
          <w:tcPr>
            <w:tcW w:w="1933" w:type="dxa"/>
          </w:tcPr>
          <w:p w14:paraId="50E6E0BE"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67.30</w:t>
            </w:r>
          </w:p>
        </w:tc>
      </w:tr>
      <w:tr w:rsidR="003B23D7" w14:paraId="22260A45" w14:textId="77777777">
        <w:trPr>
          <w:trHeight w:val="586"/>
          <w:jc w:val="center"/>
        </w:trPr>
        <w:tc>
          <w:tcPr>
            <w:tcW w:w="1520" w:type="dxa"/>
          </w:tcPr>
          <w:p w14:paraId="339B1E9D"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T4</w:t>
            </w:r>
          </w:p>
        </w:tc>
        <w:tc>
          <w:tcPr>
            <w:tcW w:w="1297" w:type="dxa"/>
          </w:tcPr>
          <w:p w14:paraId="60F24154"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62.33</w:t>
            </w:r>
          </w:p>
        </w:tc>
        <w:tc>
          <w:tcPr>
            <w:tcW w:w="1217" w:type="dxa"/>
          </w:tcPr>
          <w:p w14:paraId="48C11A9E"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63.08</w:t>
            </w:r>
          </w:p>
        </w:tc>
        <w:tc>
          <w:tcPr>
            <w:tcW w:w="1933" w:type="dxa"/>
          </w:tcPr>
          <w:p w14:paraId="3326F6D7"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64.02</w:t>
            </w:r>
          </w:p>
        </w:tc>
        <w:tc>
          <w:tcPr>
            <w:tcW w:w="1933" w:type="dxa"/>
          </w:tcPr>
          <w:p w14:paraId="78D86EF8"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64.16</w:t>
            </w:r>
          </w:p>
        </w:tc>
      </w:tr>
      <w:tr w:rsidR="003B23D7" w14:paraId="41D7852A" w14:textId="77777777">
        <w:trPr>
          <w:trHeight w:val="586"/>
          <w:jc w:val="center"/>
        </w:trPr>
        <w:tc>
          <w:tcPr>
            <w:tcW w:w="1520" w:type="dxa"/>
          </w:tcPr>
          <w:p w14:paraId="2864BB61"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T5</w:t>
            </w:r>
          </w:p>
        </w:tc>
        <w:tc>
          <w:tcPr>
            <w:tcW w:w="1297" w:type="dxa"/>
          </w:tcPr>
          <w:p w14:paraId="3B754890"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62.66</w:t>
            </w:r>
          </w:p>
        </w:tc>
        <w:tc>
          <w:tcPr>
            <w:tcW w:w="1217" w:type="dxa"/>
          </w:tcPr>
          <w:p w14:paraId="1D6D8B5D"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63.217</w:t>
            </w:r>
          </w:p>
        </w:tc>
        <w:tc>
          <w:tcPr>
            <w:tcW w:w="1933" w:type="dxa"/>
          </w:tcPr>
          <w:p w14:paraId="0E883A77"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63.56</w:t>
            </w:r>
          </w:p>
        </w:tc>
        <w:tc>
          <w:tcPr>
            <w:tcW w:w="1933" w:type="dxa"/>
          </w:tcPr>
          <w:p w14:paraId="1B37AC3E"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64.16</w:t>
            </w:r>
          </w:p>
        </w:tc>
      </w:tr>
      <w:tr w:rsidR="003B23D7" w14:paraId="3211C943" w14:textId="77777777">
        <w:trPr>
          <w:trHeight w:val="586"/>
          <w:jc w:val="center"/>
        </w:trPr>
        <w:tc>
          <w:tcPr>
            <w:tcW w:w="1520" w:type="dxa"/>
          </w:tcPr>
          <w:p w14:paraId="041C7068"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T6</w:t>
            </w:r>
          </w:p>
        </w:tc>
        <w:tc>
          <w:tcPr>
            <w:tcW w:w="1297" w:type="dxa"/>
          </w:tcPr>
          <w:p w14:paraId="5210F895"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64.02</w:t>
            </w:r>
          </w:p>
        </w:tc>
        <w:tc>
          <w:tcPr>
            <w:tcW w:w="1217" w:type="dxa"/>
          </w:tcPr>
          <w:p w14:paraId="701D4BCF"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64.21</w:t>
            </w:r>
          </w:p>
        </w:tc>
        <w:tc>
          <w:tcPr>
            <w:tcW w:w="1933" w:type="dxa"/>
          </w:tcPr>
          <w:p w14:paraId="2EF242AE"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64.75</w:t>
            </w:r>
          </w:p>
        </w:tc>
        <w:tc>
          <w:tcPr>
            <w:tcW w:w="1933" w:type="dxa"/>
          </w:tcPr>
          <w:p w14:paraId="1EF4D811"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65.50</w:t>
            </w:r>
          </w:p>
        </w:tc>
      </w:tr>
      <w:tr w:rsidR="003B23D7" w14:paraId="6E950BD9" w14:textId="77777777">
        <w:trPr>
          <w:trHeight w:val="586"/>
          <w:jc w:val="center"/>
        </w:trPr>
        <w:tc>
          <w:tcPr>
            <w:tcW w:w="1520" w:type="dxa"/>
          </w:tcPr>
          <w:p w14:paraId="6F62D4F2"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T7</w:t>
            </w:r>
          </w:p>
        </w:tc>
        <w:tc>
          <w:tcPr>
            <w:tcW w:w="1297" w:type="dxa"/>
          </w:tcPr>
          <w:p w14:paraId="3D903E4D"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65.01</w:t>
            </w:r>
          </w:p>
        </w:tc>
        <w:tc>
          <w:tcPr>
            <w:tcW w:w="1217" w:type="dxa"/>
          </w:tcPr>
          <w:p w14:paraId="61B2E983"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65.17</w:t>
            </w:r>
          </w:p>
        </w:tc>
        <w:tc>
          <w:tcPr>
            <w:tcW w:w="1933" w:type="dxa"/>
          </w:tcPr>
          <w:p w14:paraId="27B522C1"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65.59</w:t>
            </w:r>
          </w:p>
        </w:tc>
        <w:tc>
          <w:tcPr>
            <w:tcW w:w="1933" w:type="dxa"/>
          </w:tcPr>
          <w:p w14:paraId="6B03099F"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66.18</w:t>
            </w:r>
          </w:p>
        </w:tc>
      </w:tr>
      <w:tr w:rsidR="003B23D7" w14:paraId="4C6FA4B5" w14:textId="77777777">
        <w:trPr>
          <w:trHeight w:val="586"/>
          <w:jc w:val="center"/>
        </w:trPr>
        <w:tc>
          <w:tcPr>
            <w:tcW w:w="1520" w:type="dxa"/>
          </w:tcPr>
          <w:p w14:paraId="66F48408"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T8</w:t>
            </w:r>
          </w:p>
        </w:tc>
        <w:tc>
          <w:tcPr>
            <w:tcW w:w="1297" w:type="dxa"/>
          </w:tcPr>
          <w:p w14:paraId="4D7A1F04"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65.16</w:t>
            </w:r>
          </w:p>
        </w:tc>
        <w:tc>
          <w:tcPr>
            <w:tcW w:w="1217" w:type="dxa"/>
          </w:tcPr>
          <w:p w14:paraId="6104BCCF"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65.32</w:t>
            </w:r>
          </w:p>
        </w:tc>
        <w:tc>
          <w:tcPr>
            <w:tcW w:w="1933" w:type="dxa"/>
          </w:tcPr>
          <w:p w14:paraId="0DCC41AC"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66.37</w:t>
            </w:r>
          </w:p>
        </w:tc>
        <w:tc>
          <w:tcPr>
            <w:tcW w:w="1933" w:type="dxa"/>
          </w:tcPr>
          <w:p w14:paraId="7000093F"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67.17</w:t>
            </w:r>
          </w:p>
        </w:tc>
      </w:tr>
      <w:tr w:rsidR="003B23D7" w14:paraId="18D2400C" w14:textId="77777777">
        <w:trPr>
          <w:trHeight w:val="586"/>
          <w:jc w:val="center"/>
        </w:trPr>
        <w:tc>
          <w:tcPr>
            <w:tcW w:w="1520" w:type="dxa"/>
          </w:tcPr>
          <w:p w14:paraId="720E801A"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T9</w:t>
            </w:r>
          </w:p>
        </w:tc>
        <w:tc>
          <w:tcPr>
            <w:tcW w:w="1297" w:type="dxa"/>
          </w:tcPr>
          <w:p w14:paraId="3155692C"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w:t>
            </w:r>
          </w:p>
        </w:tc>
        <w:tc>
          <w:tcPr>
            <w:tcW w:w="1217" w:type="dxa"/>
          </w:tcPr>
          <w:p w14:paraId="34B07D0D"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63.11</w:t>
            </w:r>
          </w:p>
        </w:tc>
        <w:tc>
          <w:tcPr>
            <w:tcW w:w="1933" w:type="dxa"/>
          </w:tcPr>
          <w:p w14:paraId="71BA1ACF"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63.76</w:t>
            </w:r>
          </w:p>
        </w:tc>
        <w:tc>
          <w:tcPr>
            <w:tcW w:w="1933" w:type="dxa"/>
          </w:tcPr>
          <w:p w14:paraId="0BA37528"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64.22</w:t>
            </w:r>
          </w:p>
        </w:tc>
      </w:tr>
      <w:tr w:rsidR="003B23D7" w14:paraId="21F03E52" w14:textId="77777777">
        <w:trPr>
          <w:trHeight w:val="586"/>
          <w:jc w:val="center"/>
        </w:trPr>
        <w:tc>
          <w:tcPr>
            <w:tcW w:w="1520" w:type="dxa"/>
          </w:tcPr>
          <w:p w14:paraId="54EFCEE5"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lastRenderedPageBreak/>
              <w:t>Sem ±</w:t>
            </w:r>
          </w:p>
        </w:tc>
        <w:tc>
          <w:tcPr>
            <w:tcW w:w="1297" w:type="dxa"/>
          </w:tcPr>
          <w:p w14:paraId="0EE10C6C"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2.26</w:t>
            </w:r>
          </w:p>
        </w:tc>
        <w:tc>
          <w:tcPr>
            <w:tcW w:w="1217" w:type="dxa"/>
          </w:tcPr>
          <w:p w14:paraId="6AA64DEB"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2.17</w:t>
            </w:r>
          </w:p>
        </w:tc>
        <w:tc>
          <w:tcPr>
            <w:tcW w:w="1933" w:type="dxa"/>
          </w:tcPr>
          <w:p w14:paraId="0908238A"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1.94</w:t>
            </w:r>
          </w:p>
        </w:tc>
        <w:tc>
          <w:tcPr>
            <w:tcW w:w="1933" w:type="dxa"/>
          </w:tcPr>
          <w:p w14:paraId="18481F94"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1.67</w:t>
            </w:r>
          </w:p>
        </w:tc>
      </w:tr>
      <w:tr w:rsidR="003B23D7" w14:paraId="26242834" w14:textId="77777777">
        <w:trPr>
          <w:trHeight w:val="586"/>
          <w:jc w:val="center"/>
        </w:trPr>
        <w:tc>
          <w:tcPr>
            <w:tcW w:w="1520" w:type="dxa"/>
          </w:tcPr>
          <w:p w14:paraId="18938331"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 xml:space="preserve">CD </w:t>
            </w:r>
            <w:bookmarkStart w:id="1" w:name="_GoBack"/>
            <w:r>
              <w:rPr>
                <w:rFonts w:ascii="Times New Roman" w:eastAsia="Times New Roman" w:hAnsi="Times New Roman" w:cs="Times New Roman"/>
                <w:b/>
                <w:color w:val="000000"/>
                <w:sz w:val="24"/>
                <w:szCs w:val="24"/>
              </w:rPr>
              <w:t>@</w:t>
            </w:r>
            <w:bookmarkEnd w:id="1"/>
            <w:r>
              <w:rPr>
                <w:rFonts w:ascii="Times New Roman" w:eastAsia="Times New Roman" w:hAnsi="Times New Roman" w:cs="Times New Roman"/>
                <w:b/>
                <w:color w:val="000000"/>
                <w:sz w:val="24"/>
                <w:szCs w:val="24"/>
              </w:rPr>
              <w:t>5%</w:t>
            </w:r>
          </w:p>
        </w:tc>
        <w:tc>
          <w:tcPr>
            <w:tcW w:w="1297" w:type="dxa"/>
          </w:tcPr>
          <w:p w14:paraId="6E1CB980"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0.75</w:t>
            </w:r>
          </w:p>
        </w:tc>
        <w:tc>
          <w:tcPr>
            <w:tcW w:w="1217" w:type="dxa"/>
          </w:tcPr>
          <w:p w14:paraId="5F05675F"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0.72</w:t>
            </w:r>
          </w:p>
        </w:tc>
        <w:tc>
          <w:tcPr>
            <w:tcW w:w="1933" w:type="dxa"/>
          </w:tcPr>
          <w:p w14:paraId="6D5B9BB9"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0.65</w:t>
            </w:r>
          </w:p>
        </w:tc>
        <w:tc>
          <w:tcPr>
            <w:tcW w:w="1933" w:type="dxa"/>
          </w:tcPr>
          <w:p w14:paraId="6E71FDD8"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0.56</w:t>
            </w:r>
          </w:p>
        </w:tc>
      </w:tr>
    </w:tbl>
    <w:p w14:paraId="5427198C" w14:textId="77777777" w:rsidR="003B23D7" w:rsidRDefault="003B23D7">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14B7D6B1" w14:textId="77777777" w:rsidR="003B23D7" w:rsidRDefault="00DB169B">
      <w:pPr>
        <w:pBdr>
          <w:top w:val="nil"/>
          <w:left w:val="nil"/>
          <w:bottom w:val="nil"/>
          <w:right w:val="nil"/>
          <w:between w:val="nil"/>
        </w:pBdr>
        <w:spacing w:before="280" w:after="28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 xml:space="preserve">Table 2. </w:t>
      </w:r>
      <w:proofErr w:type="spellStart"/>
      <w:r>
        <w:rPr>
          <w:rFonts w:ascii="Times New Roman" w:eastAsia="Times New Roman" w:hAnsi="Times New Roman" w:cs="Times New Roman"/>
          <w:b/>
          <w:color w:val="000000"/>
          <w:sz w:val="24"/>
          <w:szCs w:val="24"/>
        </w:rPr>
        <w:t>Titrable</w:t>
      </w:r>
      <w:proofErr w:type="spellEnd"/>
      <w:r>
        <w:rPr>
          <w:rFonts w:ascii="Times New Roman" w:eastAsia="Times New Roman" w:hAnsi="Times New Roman" w:cs="Times New Roman"/>
          <w:b/>
          <w:color w:val="000000"/>
          <w:sz w:val="24"/>
          <w:szCs w:val="24"/>
        </w:rPr>
        <w:t xml:space="preserve"> acidity of Guava (</w:t>
      </w:r>
      <w:r>
        <w:rPr>
          <w:rFonts w:ascii="Times New Roman" w:eastAsia="Times New Roman" w:hAnsi="Times New Roman" w:cs="Times New Roman"/>
          <w:b/>
          <w:i/>
          <w:color w:val="000000"/>
          <w:sz w:val="24"/>
          <w:szCs w:val="24"/>
        </w:rPr>
        <w:t xml:space="preserve">Psidium </w:t>
      </w:r>
      <w:proofErr w:type="spellStart"/>
      <w:r>
        <w:rPr>
          <w:rFonts w:ascii="Times New Roman" w:eastAsia="Times New Roman" w:hAnsi="Times New Roman" w:cs="Times New Roman"/>
          <w:b/>
          <w:i/>
          <w:color w:val="000000"/>
          <w:sz w:val="24"/>
          <w:szCs w:val="24"/>
        </w:rPr>
        <w:t>guajava</w:t>
      </w:r>
      <w:proofErr w:type="spellEnd"/>
      <w:r>
        <w:rPr>
          <w:rFonts w:ascii="Times New Roman" w:eastAsia="Times New Roman" w:hAnsi="Times New Roman" w:cs="Times New Roman"/>
          <w:b/>
          <w:color w:val="000000"/>
          <w:sz w:val="24"/>
          <w:szCs w:val="24"/>
        </w:rPr>
        <w:t xml:space="preserve"> L.) Jellies During Different Storage Periods</w:t>
      </w:r>
    </w:p>
    <w:tbl>
      <w:tblPr>
        <w:tblStyle w:val="a1"/>
        <w:tblW w:w="81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00"/>
        <w:gridCol w:w="1580"/>
        <w:gridCol w:w="1640"/>
        <w:gridCol w:w="1640"/>
        <w:gridCol w:w="1460"/>
      </w:tblGrid>
      <w:tr w:rsidR="003B23D7" w14:paraId="74386E73" w14:textId="77777777">
        <w:trPr>
          <w:trHeight w:val="582"/>
          <w:jc w:val="center"/>
        </w:trPr>
        <w:tc>
          <w:tcPr>
            <w:tcW w:w="1800" w:type="dxa"/>
          </w:tcPr>
          <w:p w14:paraId="6BB3FF6B"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Treatments</w:t>
            </w:r>
          </w:p>
        </w:tc>
        <w:tc>
          <w:tcPr>
            <w:tcW w:w="1580" w:type="dxa"/>
          </w:tcPr>
          <w:p w14:paraId="735A91C5"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0 Days</w:t>
            </w:r>
          </w:p>
        </w:tc>
        <w:tc>
          <w:tcPr>
            <w:tcW w:w="1640" w:type="dxa"/>
          </w:tcPr>
          <w:p w14:paraId="749733F7"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30 Days</w:t>
            </w:r>
          </w:p>
        </w:tc>
        <w:tc>
          <w:tcPr>
            <w:tcW w:w="1640" w:type="dxa"/>
          </w:tcPr>
          <w:p w14:paraId="67B17F3E"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45 days</w:t>
            </w:r>
          </w:p>
        </w:tc>
        <w:tc>
          <w:tcPr>
            <w:tcW w:w="1460" w:type="dxa"/>
          </w:tcPr>
          <w:p w14:paraId="1F6B58C0"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60 Days</w:t>
            </w:r>
          </w:p>
        </w:tc>
      </w:tr>
      <w:tr w:rsidR="003B23D7" w14:paraId="29184891" w14:textId="77777777">
        <w:trPr>
          <w:trHeight w:val="582"/>
          <w:jc w:val="center"/>
        </w:trPr>
        <w:tc>
          <w:tcPr>
            <w:tcW w:w="1800" w:type="dxa"/>
          </w:tcPr>
          <w:p w14:paraId="33F23487"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T1</w:t>
            </w:r>
          </w:p>
        </w:tc>
        <w:tc>
          <w:tcPr>
            <w:tcW w:w="1580" w:type="dxa"/>
          </w:tcPr>
          <w:p w14:paraId="6DD5F788"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w:t>
            </w:r>
          </w:p>
        </w:tc>
        <w:tc>
          <w:tcPr>
            <w:tcW w:w="1640" w:type="dxa"/>
          </w:tcPr>
          <w:p w14:paraId="44860A1A"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0.14</w:t>
            </w:r>
          </w:p>
        </w:tc>
        <w:tc>
          <w:tcPr>
            <w:tcW w:w="1640" w:type="dxa"/>
          </w:tcPr>
          <w:p w14:paraId="653E5E49"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w:t>
            </w:r>
          </w:p>
        </w:tc>
        <w:tc>
          <w:tcPr>
            <w:tcW w:w="1460" w:type="dxa"/>
          </w:tcPr>
          <w:p w14:paraId="24B4045E"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w:t>
            </w:r>
          </w:p>
        </w:tc>
      </w:tr>
      <w:tr w:rsidR="003B23D7" w14:paraId="73C57733" w14:textId="77777777">
        <w:trPr>
          <w:trHeight w:val="582"/>
          <w:jc w:val="center"/>
        </w:trPr>
        <w:tc>
          <w:tcPr>
            <w:tcW w:w="1800" w:type="dxa"/>
          </w:tcPr>
          <w:p w14:paraId="23A4A1EB"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T2</w:t>
            </w:r>
          </w:p>
        </w:tc>
        <w:tc>
          <w:tcPr>
            <w:tcW w:w="1580" w:type="dxa"/>
          </w:tcPr>
          <w:p w14:paraId="7DE47388"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w:t>
            </w:r>
          </w:p>
        </w:tc>
        <w:tc>
          <w:tcPr>
            <w:tcW w:w="1640" w:type="dxa"/>
          </w:tcPr>
          <w:p w14:paraId="40312D54"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w:t>
            </w:r>
          </w:p>
        </w:tc>
        <w:tc>
          <w:tcPr>
            <w:tcW w:w="1640" w:type="dxa"/>
          </w:tcPr>
          <w:p w14:paraId="39A4D259"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0.29</w:t>
            </w:r>
          </w:p>
        </w:tc>
        <w:tc>
          <w:tcPr>
            <w:tcW w:w="1460" w:type="dxa"/>
          </w:tcPr>
          <w:p w14:paraId="03266A37"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0.29</w:t>
            </w:r>
          </w:p>
        </w:tc>
      </w:tr>
      <w:tr w:rsidR="003B23D7" w14:paraId="14D6BE24" w14:textId="77777777">
        <w:trPr>
          <w:trHeight w:val="582"/>
          <w:jc w:val="center"/>
        </w:trPr>
        <w:tc>
          <w:tcPr>
            <w:tcW w:w="1800" w:type="dxa"/>
          </w:tcPr>
          <w:p w14:paraId="797ADAB5"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T3</w:t>
            </w:r>
          </w:p>
        </w:tc>
        <w:tc>
          <w:tcPr>
            <w:tcW w:w="1580" w:type="dxa"/>
          </w:tcPr>
          <w:p w14:paraId="79255A58"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c>
          <w:tcPr>
            <w:tcW w:w="1640" w:type="dxa"/>
          </w:tcPr>
          <w:p w14:paraId="2907E745"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w:t>
            </w:r>
          </w:p>
        </w:tc>
        <w:tc>
          <w:tcPr>
            <w:tcW w:w="1640" w:type="dxa"/>
          </w:tcPr>
          <w:p w14:paraId="2F3FFAF0"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0.35</w:t>
            </w:r>
          </w:p>
        </w:tc>
        <w:tc>
          <w:tcPr>
            <w:tcW w:w="1460" w:type="dxa"/>
          </w:tcPr>
          <w:p w14:paraId="448A9DDB"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0.35</w:t>
            </w:r>
          </w:p>
        </w:tc>
      </w:tr>
      <w:tr w:rsidR="003B23D7" w14:paraId="28E51A4A" w14:textId="77777777">
        <w:trPr>
          <w:trHeight w:val="582"/>
          <w:jc w:val="center"/>
        </w:trPr>
        <w:tc>
          <w:tcPr>
            <w:tcW w:w="1800" w:type="dxa"/>
          </w:tcPr>
          <w:p w14:paraId="0D492DEB"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T4</w:t>
            </w:r>
          </w:p>
        </w:tc>
        <w:tc>
          <w:tcPr>
            <w:tcW w:w="1580" w:type="dxa"/>
          </w:tcPr>
          <w:p w14:paraId="4B7344BF"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w:t>
            </w:r>
          </w:p>
        </w:tc>
        <w:tc>
          <w:tcPr>
            <w:tcW w:w="1640" w:type="dxa"/>
          </w:tcPr>
          <w:p w14:paraId="20212BF4"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0.09</w:t>
            </w:r>
          </w:p>
        </w:tc>
        <w:tc>
          <w:tcPr>
            <w:tcW w:w="1640" w:type="dxa"/>
          </w:tcPr>
          <w:p w14:paraId="339FFDF1"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w:t>
            </w:r>
          </w:p>
        </w:tc>
        <w:tc>
          <w:tcPr>
            <w:tcW w:w="1460" w:type="dxa"/>
          </w:tcPr>
          <w:p w14:paraId="1BDDD946"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w:t>
            </w:r>
          </w:p>
        </w:tc>
      </w:tr>
      <w:tr w:rsidR="003B23D7" w14:paraId="79DD961D" w14:textId="77777777">
        <w:trPr>
          <w:trHeight w:val="582"/>
          <w:jc w:val="center"/>
        </w:trPr>
        <w:tc>
          <w:tcPr>
            <w:tcW w:w="1800" w:type="dxa"/>
          </w:tcPr>
          <w:p w14:paraId="782E43C6"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T5</w:t>
            </w:r>
          </w:p>
        </w:tc>
        <w:tc>
          <w:tcPr>
            <w:tcW w:w="1580" w:type="dxa"/>
          </w:tcPr>
          <w:p w14:paraId="21EAFA4B"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w:t>
            </w:r>
          </w:p>
        </w:tc>
        <w:tc>
          <w:tcPr>
            <w:tcW w:w="1640" w:type="dxa"/>
          </w:tcPr>
          <w:p w14:paraId="4E90D05C"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0.15</w:t>
            </w:r>
          </w:p>
        </w:tc>
        <w:tc>
          <w:tcPr>
            <w:tcW w:w="1640" w:type="dxa"/>
          </w:tcPr>
          <w:p w14:paraId="24962D58"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w:t>
            </w:r>
          </w:p>
        </w:tc>
        <w:tc>
          <w:tcPr>
            <w:tcW w:w="1460" w:type="dxa"/>
          </w:tcPr>
          <w:p w14:paraId="30564D3B"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0.26</w:t>
            </w:r>
          </w:p>
        </w:tc>
      </w:tr>
      <w:tr w:rsidR="003B23D7" w14:paraId="1D0276E7" w14:textId="77777777">
        <w:trPr>
          <w:trHeight w:val="582"/>
          <w:jc w:val="center"/>
        </w:trPr>
        <w:tc>
          <w:tcPr>
            <w:tcW w:w="1800" w:type="dxa"/>
          </w:tcPr>
          <w:p w14:paraId="44D4D3E4"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T6</w:t>
            </w:r>
          </w:p>
        </w:tc>
        <w:tc>
          <w:tcPr>
            <w:tcW w:w="1580" w:type="dxa"/>
          </w:tcPr>
          <w:p w14:paraId="33D1A753"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w:t>
            </w:r>
          </w:p>
        </w:tc>
        <w:tc>
          <w:tcPr>
            <w:tcW w:w="1640" w:type="dxa"/>
          </w:tcPr>
          <w:p w14:paraId="0D0CD84C"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w:t>
            </w:r>
          </w:p>
        </w:tc>
        <w:tc>
          <w:tcPr>
            <w:tcW w:w="1640" w:type="dxa"/>
          </w:tcPr>
          <w:p w14:paraId="40D2977A"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0.29</w:t>
            </w:r>
          </w:p>
        </w:tc>
        <w:tc>
          <w:tcPr>
            <w:tcW w:w="1460" w:type="dxa"/>
          </w:tcPr>
          <w:p w14:paraId="6A0A022D"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0.29</w:t>
            </w:r>
          </w:p>
        </w:tc>
      </w:tr>
      <w:tr w:rsidR="003B23D7" w14:paraId="2AECD70D" w14:textId="77777777">
        <w:trPr>
          <w:trHeight w:val="582"/>
          <w:jc w:val="center"/>
        </w:trPr>
        <w:tc>
          <w:tcPr>
            <w:tcW w:w="1800" w:type="dxa"/>
          </w:tcPr>
          <w:p w14:paraId="02984DBE"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T7</w:t>
            </w:r>
          </w:p>
        </w:tc>
        <w:tc>
          <w:tcPr>
            <w:tcW w:w="1580" w:type="dxa"/>
          </w:tcPr>
          <w:p w14:paraId="27EB32FD"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0.19</w:t>
            </w:r>
          </w:p>
        </w:tc>
        <w:tc>
          <w:tcPr>
            <w:tcW w:w="1640" w:type="dxa"/>
          </w:tcPr>
          <w:p w14:paraId="050FD9E6"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w:t>
            </w:r>
          </w:p>
        </w:tc>
        <w:tc>
          <w:tcPr>
            <w:tcW w:w="1640" w:type="dxa"/>
          </w:tcPr>
          <w:p w14:paraId="4C2709B2"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0.24</w:t>
            </w:r>
          </w:p>
        </w:tc>
        <w:tc>
          <w:tcPr>
            <w:tcW w:w="1460" w:type="dxa"/>
          </w:tcPr>
          <w:p w14:paraId="10ABD3E6"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0.29</w:t>
            </w:r>
          </w:p>
        </w:tc>
      </w:tr>
      <w:tr w:rsidR="003B23D7" w14:paraId="7C30555F" w14:textId="77777777">
        <w:trPr>
          <w:trHeight w:val="582"/>
          <w:jc w:val="center"/>
        </w:trPr>
        <w:tc>
          <w:tcPr>
            <w:tcW w:w="1800" w:type="dxa"/>
          </w:tcPr>
          <w:p w14:paraId="5B02E5E9"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T8</w:t>
            </w:r>
          </w:p>
        </w:tc>
        <w:tc>
          <w:tcPr>
            <w:tcW w:w="1580" w:type="dxa"/>
          </w:tcPr>
          <w:p w14:paraId="193B13D5"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w:t>
            </w:r>
          </w:p>
        </w:tc>
        <w:tc>
          <w:tcPr>
            <w:tcW w:w="1640" w:type="dxa"/>
          </w:tcPr>
          <w:p w14:paraId="0A749358"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0.20</w:t>
            </w:r>
          </w:p>
        </w:tc>
        <w:tc>
          <w:tcPr>
            <w:tcW w:w="1640" w:type="dxa"/>
          </w:tcPr>
          <w:p w14:paraId="35455CF4"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0.29</w:t>
            </w:r>
          </w:p>
        </w:tc>
        <w:tc>
          <w:tcPr>
            <w:tcW w:w="1460" w:type="dxa"/>
          </w:tcPr>
          <w:p w14:paraId="410BC925"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0.32</w:t>
            </w:r>
          </w:p>
        </w:tc>
      </w:tr>
      <w:tr w:rsidR="003B23D7" w14:paraId="1D56356D" w14:textId="77777777">
        <w:trPr>
          <w:trHeight w:val="582"/>
          <w:jc w:val="center"/>
        </w:trPr>
        <w:tc>
          <w:tcPr>
            <w:tcW w:w="1800" w:type="dxa"/>
          </w:tcPr>
          <w:p w14:paraId="654821E8"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T9</w:t>
            </w:r>
          </w:p>
        </w:tc>
        <w:tc>
          <w:tcPr>
            <w:tcW w:w="1580" w:type="dxa"/>
          </w:tcPr>
          <w:p w14:paraId="1B49BFFD"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w:t>
            </w:r>
          </w:p>
        </w:tc>
        <w:tc>
          <w:tcPr>
            <w:tcW w:w="1640" w:type="dxa"/>
          </w:tcPr>
          <w:p w14:paraId="7757064D"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0.23</w:t>
            </w:r>
          </w:p>
        </w:tc>
        <w:tc>
          <w:tcPr>
            <w:tcW w:w="1640" w:type="dxa"/>
          </w:tcPr>
          <w:p w14:paraId="6099BD6B"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0.28</w:t>
            </w:r>
          </w:p>
        </w:tc>
        <w:tc>
          <w:tcPr>
            <w:tcW w:w="1460" w:type="dxa"/>
          </w:tcPr>
          <w:p w14:paraId="05049F0C"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0.33</w:t>
            </w:r>
          </w:p>
        </w:tc>
      </w:tr>
      <w:tr w:rsidR="003B23D7" w14:paraId="3F7F7D63" w14:textId="77777777">
        <w:trPr>
          <w:trHeight w:val="582"/>
          <w:jc w:val="center"/>
        </w:trPr>
        <w:tc>
          <w:tcPr>
            <w:tcW w:w="1800" w:type="dxa"/>
          </w:tcPr>
          <w:p w14:paraId="0F4C5491"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w:t>
            </w:r>
          </w:p>
        </w:tc>
        <w:tc>
          <w:tcPr>
            <w:tcW w:w="1580" w:type="dxa"/>
          </w:tcPr>
          <w:p w14:paraId="7E54FA77"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0.006</w:t>
            </w:r>
          </w:p>
        </w:tc>
        <w:tc>
          <w:tcPr>
            <w:tcW w:w="1640" w:type="dxa"/>
          </w:tcPr>
          <w:p w14:paraId="1D19A57D"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0.006</w:t>
            </w:r>
          </w:p>
        </w:tc>
        <w:tc>
          <w:tcPr>
            <w:tcW w:w="1640" w:type="dxa"/>
          </w:tcPr>
          <w:p w14:paraId="7BEE626E"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0.006</w:t>
            </w:r>
          </w:p>
        </w:tc>
        <w:tc>
          <w:tcPr>
            <w:tcW w:w="1460" w:type="dxa"/>
          </w:tcPr>
          <w:p w14:paraId="034314BE"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0.006</w:t>
            </w:r>
          </w:p>
        </w:tc>
      </w:tr>
      <w:tr w:rsidR="003B23D7" w14:paraId="02006599" w14:textId="77777777">
        <w:trPr>
          <w:trHeight w:val="582"/>
          <w:jc w:val="center"/>
        </w:trPr>
        <w:tc>
          <w:tcPr>
            <w:tcW w:w="1800" w:type="dxa"/>
          </w:tcPr>
          <w:p w14:paraId="18FA19EF"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CD@5%</w:t>
            </w:r>
          </w:p>
        </w:tc>
        <w:tc>
          <w:tcPr>
            <w:tcW w:w="1580" w:type="dxa"/>
          </w:tcPr>
          <w:p w14:paraId="4DC19D92"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0.019</w:t>
            </w:r>
          </w:p>
        </w:tc>
        <w:tc>
          <w:tcPr>
            <w:tcW w:w="1640" w:type="dxa"/>
          </w:tcPr>
          <w:p w14:paraId="17C6C947"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0.018</w:t>
            </w:r>
          </w:p>
        </w:tc>
        <w:tc>
          <w:tcPr>
            <w:tcW w:w="1640" w:type="dxa"/>
          </w:tcPr>
          <w:p w14:paraId="40245719"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0.017</w:t>
            </w:r>
          </w:p>
        </w:tc>
        <w:tc>
          <w:tcPr>
            <w:tcW w:w="1460" w:type="dxa"/>
          </w:tcPr>
          <w:p w14:paraId="4D2E3DA9"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0.017</w:t>
            </w:r>
          </w:p>
        </w:tc>
      </w:tr>
    </w:tbl>
    <w:p w14:paraId="644652F4" w14:textId="77777777" w:rsidR="003B23D7" w:rsidRDefault="003B23D7">
      <w:pPr>
        <w:pBdr>
          <w:top w:val="nil"/>
          <w:left w:val="nil"/>
          <w:bottom w:val="nil"/>
          <w:right w:val="nil"/>
          <w:between w:val="nil"/>
        </w:pBdr>
        <w:spacing w:before="280" w:after="280" w:line="360" w:lineRule="auto"/>
        <w:rPr>
          <w:rFonts w:ascii="Times New Roman" w:eastAsia="Times New Roman" w:hAnsi="Times New Roman" w:cs="Times New Roman"/>
          <w:b/>
          <w:color w:val="000000"/>
          <w:sz w:val="24"/>
          <w:szCs w:val="24"/>
        </w:rPr>
      </w:pPr>
    </w:p>
    <w:p w14:paraId="78E95991" w14:textId="77777777" w:rsidR="003B23D7" w:rsidRDefault="00DB169B">
      <w:pPr>
        <w:rPr>
          <w:rFonts w:ascii="Times New Roman" w:eastAsia="Times New Roman" w:hAnsi="Times New Roman" w:cs="Times New Roman"/>
          <w:b/>
          <w:sz w:val="24"/>
          <w:szCs w:val="24"/>
        </w:rPr>
      </w:pPr>
      <w:r>
        <w:br w:type="page"/>
      </w:r>
    </w:p>
    <w:p w14:paraId="2B1E1B58" w14:textId="77777777" w:rsidR="003B23D7" w:rsidRDefault="00DB169B">
      <w:pPr>
        <w:pBdr>
          <w:top w:val="nil"/>
          <w:left w:val="nil"/>
          <w:bottom w:val="nil"/>
          <w:right w:val="nil"/>
          <w:between w:val="nil"/>
        </w:pBdr>
        <w:spacing w:before="280" w:after="280" w:line="36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Table 3. Ascorbic acid of Guava (</w:t>
      </w:r>
      <w:r>
        <w:rPr>
          <w:rFonts w:ascii="Times New Roman" w:eastAsia="Times New Roman" w:hAnsi="Times New Roman" w:cs="Times New Roman"/>
          <w:b/>
          <w:i/>
          <w:color w:val="000000"/>
          <w:sz w:val="24"/>
          <w:szCs w:val="24"/>
        </w:rPr>
        <w:t xml:space="preserve">Psidium </w:t>
      </w:r>
      <w:proofErr w:type="spellStart"/>
      <w:r>
        <w:rPr>
          <w:rFonts w:ascii="Times New Roman" w:eastAsia="Times New Roman" w:hAnsi="Times New Roman" w:cs="Times New Roman"/>
          <w:b/>
          <w:i/>
          <w:color w:val="000000"/>
          <w:sz w:val="24"/>
          <w:szCs w:val="24"/>
        </w:rPr>
        <w:t>guajava</w:t>
      </w:r>
      <w:proofErr w:type="spellEnd"/>
      <w:r>
        <w:rPr>
          <w:rFonts w:ascii="Times New Roman" w:eastAsia="Times New Roman" w:hAnsi="Times New Roman" w:cs="Times New Roman"/>
          <w:b/>
          <w:color w:val="000000"/>
          <w:sz w:val="24"/>
          <w:szCs w:val="24"/>
        </w:rPr>
        <w:t xml:space="preserve"> L.) Jellies During Different Storage Periods</w:t>
      </w:r>
    </w:p>
    <w:tbl>
      <w:tblPr>
        <w:tblStyle w:val="a2"/>
        <w:tblW w:w="7251"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72"/>
        <w:gridCol w:w="1102"/>
        <w:gridCol w:w="1234"/>
        <w:gridCol w:w="1309"/>
        <w:gridCol w:w="1934"/>
      </w:tblGrid>
      <w:tr w:rsidR="003B23D7" w14:paraId="69F53CD9" w14:textId="77777777">
        <w:trPr>
          <w:trHeight w:val="620"/>
          <w:jc w:val="center"/>
        </w:trPr>
        <w:tc>
          <w:tcPr>
            <w:tcW w:w="1673" w:type="dxa"/>
          </w:tcPr>
          <w:p w14:paraId="3D0BC8A0" w14:textId="77777777" w:rsidR="003B23D7" w:rsidRDefault="00DB169B">
            <w:pPr>
              <w:pBdr>
                <w:top w:val="nil"/>
                <w:left w:val="nil"/>
                <w:bottom w:val="nil"/>
                <w:right w:val="nil"/>
                <w:between w:val="nil"/>
              </w:pBdr>
              <w:spacing w:after="20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Treatments</w:t>
            </w:r>
          </w:p>
        </w:tc>
        <w:tc>
          <w:tcPr>
            <w:tcW w:w="1102" w:type="dxa"/>
          </w:tcPr>
          <w:p w14:paraId="081C6ACF" w14:textId="77777777" w:rsidR="003B23D7" w:rsidRDefault="00DB169B">
            <w:pPr>
              <w:pBdr>
                <w:top w:val="nil"/>
                <w:left w:val="nil"/>
                <w:bottom w:val="nil"/>
                <w:right w:val="nil"/>
                <w:between w:val="nil"/>
              </w:pBdr>
              <w:spacing w:after="20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0 Days</w:t>
            </w:r>
          </w:p>
        </w:tc>
        <w:tc>
          <w:tcPr>
            <w:tcW w:w="1234" w:type="dxa"/>
          </w:tcPr>
          <w:p w14:paraId="453A4205" w14:textId="77777777" w:rsidR="003B23D7" w:rsidRDefault="00DB169B">
            <w:pPr>
              <w:pBdr>
                <w:top w:val="nil"/>
                <w:left w:val="nil"/>
                <w:bottom w:val="nil"/>
                <w:right w:val="nil"/>
                <w:between w:val="nil"/>
              </w:pBdr>
              <w:spacing w:after="20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30 Days</w:t>
            </w:r>
          </w:p>
        </w:tc>
        <w:tc>
          <w:tcPr>
            <w:tcW w:w="1309" w:type="dxa"/>
          </w:tcPr>
          <w:p w14:paraId="670383D8" w14:textId="77777777" w:rsidR="003B23D7" w:rsidRDefault="00DB169B">
            <w:pPr>
              <w:pBdr>
                <w:top w:val="nil"/>
                <w:left w:val="nil"/>
                <w:bottom w:val="nil"/>
                <w:right w:val="nil"/>
                <w:between w:val="nil"/>
              </w:pBdr>
              <w:spacing w:after="20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45 days</w:t>
            </w:r>
          </w:p>
        </w:tc>
        <w:tc>
          <w:tcPr>
            <w:tcW w:w="1934" w:type="dxa"/>
          </w:tcPr>
          <w:p w14:paraId="0CE5E0FF" w14:textId="77777777" w:rsidR="003B23D7" w:rsidRDefault="00DB169B">
            <w:pPr>
              <w:pBdr>
                <w:top w:val="nil"/>
                <w:left w:val="nil"/>
                <w:bottom w:val="nil"/>
                <w:right w:val="nil"/>
                <w:between w:val="nil"/>
              </w:pBdr>
              <w:spacing w:after="200"/>
              <w:rPr>
                <w:rFonts w:ascii="Times New Roman" w:eastAsia="Times New Roman" w:hAnsi="Times New Roman" w:cs="Times New Roman"/>
                <w:color w:val="000000"/>
                <w:sz w:val="24"/>
                <w:szCs w:val="24"/>
              </w:rPr>
            </w:pPr>
            <w:r>
              <w:rPr>
                <w:rFonts w:ascii="Times New Roman" w:eastAsia="Times New Roman" w:hAnsi="Times New Roman" w:cs="Times New Roman"/>
                <w:b/>
                <w:color w:val="000000"/>
                <w:sz w:val="24"/>
                <w:szCs w:val="24"/>
              </w:rPr>
              <w:t>60 Days</w:t>
            </w:r>
          </w:p>
        </w:tc>
      </w:tr>
      <w:tr w:rsidR="003B23D7" w14:paraId="098664C0" w14:textId="77777777">
        <w:trPr>
          <w:trHeight w:val="620"/>
          <w:jc w:val="center"/>
        </w:trPr>
        <w:tc>
          <w:tcPr>
            <w:tcW w:w="1673" w:type="dxa"/>
          </w:tcPr>
          <w:p w14:paraId="002C431A"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w:t>
            </w:r>
          </w:p>
        </w:tc>
        <w:tc>
          <w:tcPr>
            <w:tcW w:w="1102" w:type="dxa"/>
          </w:tcPr>
          <w:p w14:paraId="3D16EFFF"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105.37</w:t>
            </w:r>
          </w:p>
        </w:tc>
        <w:tc>
          <w:tcPr>
            <w:tcW w:w="1234" w:type="dxa"/>
          </w:tcPr>
          <w:p w14:paraId="3401E248"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105.13</w:t>
            </w:r>
          </w:p>
        </w:tc>
        <w:tc>
          <w:tcPr>
            <w:tcW w:w="1309" w:type="dxa"/>
          </w:tcPr>
          <w:p w14:paraId="4752A173"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105.19</w:t>
            </w:r>
          </w:p>
        </w:tc>
        <w:tc>
          <w:tcPr>
            <w:tcW w:w="1934" w:type="dxa"/>
          </w:tcPr>
          <w:p w14:paraId="48088295"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105.18</w:t>
            </w:r>
          </w:p>
        </w:tc>
      </w:tr>
      <w:tr w:rsidR="003B23D7" w14:paraId="340ED2B7" w14:textId="77777777">
        <w:trPr>
          <w:trHeight w:val="620"/>
          <w:jc w:val="center"/>
        </w:trPr>
        <w:tc>
          <w:tcPr>
            <w:tcW w:w="1673" w:type="dxa"/>
          </w:tcPr>
          <w:p w14:paraId="03D3CC55"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w:t>
            </w:r>
          </w:p>
        </w:tc>
        <w:tc>
          <w:tcPr>
            <w:tcW w:w="1102" w:type="dxa"/>
          </w:tcPr>
          <w:p w14:paraId="6F527D4B"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104.13</w:t>
            </w:r>
          </w:p>
        </w:tc>
        <w:tc>
          <w:tcPr>
            <w:tcW w:w="1234" w:type="dxa"/>
          </w:tcPr>
          <w:p w14:paraId="4A9D8ABA"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103.04</w:t>
            </w:r>
          </w:p>
        </w:tc>
        <w:tc>
          <w:tcPr>
            <w:tcW w:w="1309" w:type="dxa"/>
          </w:tcPr>
          <w:p w14:paraId="18DFCB61"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103.55</w:t>
            </w:r>
          </w:p>
        </w:tc>
        <w:tc>
          <w:tcPr>
            <w:tcW w:w="1934" w:type="dxa"/>
          </w:tcPr>
          <w:p w14:paraId="5C89F87E"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103.93</w:t>
            </w:r>
          </w:p>
        </w:tc>
      </w:tr>
      <w:tr w:rsidR="003B23D7" w14:paraId="14CD40BA" w14:textId="77777777">
        <w:trPr>
          <w:trHeight w:val="620"/>
          <w:jc w:val="center"/>
        </w:trPr>
        <w:tc>
          <w:tcPr>
            <w:tcW w:w="1673" w:type="dxa"/>
          </w:tcPr>
          <w:p w14:paraId="37B68142"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w:t>
            </w:r>
          </w:p>
        </w:tc>
        <w:tc>
          <w:tcPr>
            <w:tcW w:w="1102" w:type="dxa"/>
          </w:tcPr>
          <w:p w14:paraId="6F89A574"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106.61</w:t>
            </w:r>
          </w:p>
        </w:tc>
        <w:tc>
          <w:tcPr>
            <w:tcW w:w="1234" w:type="dxa"/>
          </w:tcPr>
          <w:p w14:paraId="0E9D433D"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106.52</w:t>
            </w:r>
          </w:p>
        </w:tc>
        <w:tc>
          <w:tcPr>
            <w:tcW w:w="1309" w:type="dxa"/>
          </w:tcPr>
          <w:p w14:paraId="42292472"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106.47</w:t>
            </w:r>
          </w:p>
        </w:tc>
        <w:tc>
          <w:tcPr>
            <w:tcW w:w="1934" w:type="dxa"/>
          </w:tcPr>
          <w:p w14:paraId="3F68067A"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106.61</w:t>
            </w:r>
          </w:p>
        </w:tc>
      </w:tr>
      <w:tr w:rsidR="003B23D7" w14:paraId="4B9E6C4D" w14:textId="77777777">
        <w:trPr>
          <w:trHeight w:val="620"/>
          <w:jc w:val="center"/>
        </w:trPr>
        <w:tc>
          <w:tcPr>
            <w:tcW w:w="1673" w:type="dxa"/>
          </w:tcPr>
          <w:p w14:paraId="2138E136"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w:t>
            </w:r>
          </w:p>
        </w:tc>
        <w:tc>
          <w:tcPr>
            <w:tcW w:w="1102" w:type="dxa"/>
          </w:tcPr>
          <w:p w14:paraId="1E248C97"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102.29</w:t>
            </w:r>
          </w:p>
        </w:tc>
        <w:tc>
          <w:tcPr>
            <w:tcW w:w="1234" w:type="dxa"/>
          </w:tcPr>
          <w:p w14:paraId="7B324AA1"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101.21</w:t>
            </w:r>
          </w:p>
        </w:tc>
        <w:tc>
          <w:tcPr>
            <w:tcW w:w="1309" w:type="dxa"/>
          </w:tcPr>
          <w:p w14:paraId="5365F128"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101.27</w:t>
            </w:r>
          </w:p>
        </w:tc>
        <w:tc>
          <w:tcPr>
            <w:tcW w:w="1934" w:type="dxa"/>
          </w:tcPr>
          <w:p w14:paraId="08E17050"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101.20</w:t>
            </w:r>
          </w:p>
        </w:tc>
      </w:tr>
      <w:tr w:rsidR="003B23D7" w14:paraId="466CD7DD" w14:textId="77777777">
        <w:trPr>
          <w:trHeight w:val="620"/>
          <w:jc w:val="center"/>
        </w:trPr>
        <w:tc>
          <w:tcPr>
            <w:tcW w:w="1673" w:type="dxa"/>
          </w:tcPr>
          <w:p w14:paraId="17ADAB81"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T5</w:t>
            </w:r>
          </w:p>
        </w:tc>
        <w:tc>
          <w:tcPr>
            <w:tcW w:w="1102" w:type="dxa"/>
          </w:tcPr>
          <w:p w14:paraId="7C992C0E"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102.50</w:t>
            </w:r>
          </w:p>
        </w:tc>
        <w:tc>
          <w:tcPr>
            <w:tcW w:w="1234" w:type="dxa"/>
          </w:tcPr>
          <w:p w14:paraId="1B3C1E22"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102.35</w:t>
            </w:r>
          </w:p>
        </w:tc>
        <w:tc>
          <w:tcPr>
            <w:tcW w:w="1309" w:type="dxa"/>
          </w:tcPr>
          <w:p w14:paraId="6C5CBA5E"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102.30</w:t>
            </w:r>
          </w:p>
        </w:tc>
        <w:tc>
          <w:tcPr>
            <w:tcW w:w="1934" w:type="dxa"/>
          </w:tcPr>
          <w:p w14:paraId="3C6694F2"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102.29</w:t>
            </w:r>
          </w:p>
        </w:tc>
      </w:tr>
      <w:tr w:rsidR="003B23D7" w14:paraId="2273CFB5" w14:textId="77777777">
        <w:trPr>
          <w:trHeight w:val="620"/>
          <w:jc w:val="center"/>
        </w:trPr>
        <w:tc>
          <w:tcPr>
            <w:tcW w:w="1673" w:type="dxa"/>
          </w:tcPr>
          <w:p w14:paraId="58A20BDB"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T6</w:t>
            </w:r>
          </w:p>
        </w:tc>
        <w:tc>
          <w:tcPr>
            <w:tcW w:w="1102" w:type="dxa"/>
          </w:tcPr>
          <w:p w14:paraId="5BADB0D7"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101.27</w:t>
            </w:r>
          </w:p>
        </w:tc>
        <w:tc>
          <w:tcPr>
            <w:tcW w:w="1234" w:type="dxa"/>
          </w:tcPr>
          <w:p w14:paraId="3166119B"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101.18</w:t>
            </w:r>
          </w:p>
        </w:tc>
        <w:tc>
          <w:tcPr>
            <w:tcW w:w="1309" w:type="dxa"/>
          </w:tcPr>
          <w:p w14:paraId="33BE378F"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101.17</w:t>
            </w:r>
          </w:p>
        </w:tc>
        <w:tc>
          <w:tcPr>
            <w:tcW w:w="1934" w:type="dxa"/>
          </w:tcPr>
          <w:p w14:paraId="23663108"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101.16</w:t>
            </w:r>
          </w:p>
        </w:tc>
      </w:tr>
      <w:tr w:rsidR="003B23D7" w14:paraId="116CE734" w14:textId="77777777">
        <w:trPr>
          <w:trHeight w:val="620"/>
          <w:jc w:val="center"/>
        </w:trPr>
        <w:tc>
          <w:tcPr>
            <w:tcW w:w="1673" w:type="dxa"/>
          </w:tcPr>
          <w:p w14:paraId="4FF41763"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T7</w:t>
            </w:r>
          </w:p>
        </w:tc>
        <w:tc>
          <w:tcPr>
            <w:tcW w:w="1102" w:type="dxa"/>
          </w:tcPr>
          <w:p w14:paraId="6232197D"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102.97</w:t>
            </w:r>
          </w:p>
        </w:tc>
        <w:tc>
          <w:tcPr>
            <w:tcW w:w="1234" w:type="dxa"/>
          </w:tcPr>
          <w:p w14:paraId="3708B929"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102.69</w:t>
            </w:r>
          </w:p>
        </w:tc>
        <w:tc>
          <w:tcPr>
            <w:tcW w:w="1309" w:type="dxa"/>
          </w:tcPr>
          <w:p w14:paraId="64B4312F"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102.67</w:t>
            </w:r>
          </w:p>
        </w:tc>
        <w:tc>
          <w:tcPr>
            <w:tcW w:w="1934" w:type="dxa"/>
          </w:tcPr>
          <w:p w14:paraId="6FCFC95D"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102.70</w:t>
            </w:r>
          </w:p>
        </w:tc>
      </w:tr>
      <w:tr w:rsidR="003B23D7" w14:paraId="09B81555" w14:textId="77777777">
        <w:trPr>
          <w:trHeight w:val="620"/>
          <w:jc w:val="center"/>
        </w:trPr>
        <w:tc>
          <w:tcPr>
            <w:tcW w:w="1673" w:type="dxa"/>
          </w:tcPr>
          <w:p w14:paraId="19EE7775"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T8</w:t>
            </w:r>
          </w:p>
        </w:tc>
        <w:tc>
          <w:tcPr>
            <w:tcW w:w="1102" w:type="dxa"/>
          </w:tcPr>
          <w:p w14:paraId="6C697481"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103.07</w:t>
            </w:r>
          </w:p>
        </w:tc>
        <w:tc>
          <w:tcPr>
            <w:tcW w:w="1234" w:type="dxa"/>
          </w:tcPr>
          <w:p w14:paraId="24A77120"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102.26</w:t>
            </w:r>
          </w:p>
        </w:tc>
        <w:tc>
          <w:tcPr>
            <w:tcW w:w="1309" w:type="dxa"/>
          </w:tcPr>
          <w:p w14:paraId="46ABA0A2"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102.43</w:t>
            </w:r>
          </w:p>
        </w:tc>
        <w:tc>
          <w:tcPr>
            <w:tcW w:w="1934" w:type="dxa"/>
          </w:tcPr>
          <w:p w14:paraId="413E2FAF"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102.80</w:t>
            </w:r>
          </w:p>
        </w:tc>
      </w:tr>
      <w:tr w:rsidR="003B23D7" w14:paraId="7E2E7F79" w14:textId="77777777">
        <w:trPr>
          <w:trHeight w:val="620"/>
          <w:jc w:val="center"/>
        </w:trPr>
        <w:tc>
          <w:tcPr>
            <w:tcW w:w="1673" w:type="dxa"/>
          </w:tcPr>
          <w:p w14:paraId="76171FAA"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T9</w:t>
            </w:r>
          </w:p>
        </w:tc>
        <w:tc>
          <w:tcPr>
            <w:tcW w:w="1102" w:type="dxa"/>
          </w:tcPr>
          <w:p w14:paraId="7026A907"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103.08</w:t>
            </w:r>
          </w:p>
        </w:tc>
        <w:tc>
          <w:tcPr>
            <w:tcW w:w="1234" w:type="dxa"/>
          </w:tcPr>
          <w:p w14:paraId="162F5D84"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103.12</w:t>
            </w:r>
          </w:p>
        </w:tc>
        <w:tc>
          <w:tcPr>
            <w:tcW w:w="1309" w:type="dxa"/>
          </w:tcPr>
          <w:p w14:paraId="3223610D"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102.74</w:t>
            </w:r>
          </w:p>
        </w:tc>
        <w:tc>
          <w:tcPr>
            <w:tcW w:w="1934" w:type="dxa"/>
          </w:tcPr>
          <w:p w14:paraId="124F103C"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103.13</w:t>
            </w:r>
          </w:p>
        </w:tc>
      </w:tr>
      <w:tr w:rsidR="003B23D7" w14:paraId="3C14331D" w14:textId="77777777">
        <w:trPr>
          <w:trHeight w:val="620"/>
          <w:jc w:val="center"/>
        </w:trPr>
        <w:tc>
          <w:tcPr>
            <w:tcW w:w="1673" w:type="dxa"/>
          </w:tcPr>
          <w:p w14:paraId="58DD2F34"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SE±(m)</w:t>
            </w:r>
          </w:p>
        </w:tc>
        <w:tc>
          <w:tcPr>
            <w:tcW w:w="1102" w:type="dxa"/>
          </w:tcPr>
          <w:p w14:paraId="3868CD9C"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0.54</w:t>
            </w:r>
          </w:p>
        </w:tc>
        <w:tc>
          <w:tcPr>
            <w:tcW w:w="1234" w:type="dxa"/>
          </w:tcPr>
          <w:p w14:paraId="27A4ACD8"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0.62</w:t>
            </w:r>
          </w:p>
        </w:tc>
        <w:tc>
          <w:tcPr>
            <w:tcW w:w="1309" w:type="dxa"/>
          </w:tcPr>
          <w:p w14:paraId="7387A5C5"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0.46</w:t>
            </w:r>
          </w:p>
        </w:tc>
        <w:tc>
          <w:tcPr>
            <w:tcW w:w="1934" w:type="dxa"/>
          </w:tcPr>
          <w:p w14:paraId="35EF6576"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0.51</w:t>
            </w:r>
          </w:p>
        </w:tc>
      </w:tr>
      <w:tr w:rsidR="003B23D7" w14:paraId="63E2FD88" w14:textId="77777777">
        <w:trPr>
          <w:trHeight w:val="620"/>
          <w:jc w:val="center"/>
        </w:trPr>
        <w:tc>
          <w:tcPr>
            <w:tcW w:w="1673" w:type="dxa"/>
          </w:tcPr>
          <w:p w14:paraId="6DF9B1CE"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CD@5%</w:t>
            </w:r>
          </w:p>
        </w:tc>
        <w:tc>
          <w:tcPr>
            <w:tcW w:w="1102" w:type="dxa"/>
          </w:tcPr>
          <w:p w14:paraId="1F27169C"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1.62</w:t>
            </w:r>
          </w:p>
        </w:tc>
        <w:tc>
          <w:tcPr>
            <w:tcW w:w="1234" w:type="dxa"/>
          </w:tcPr>
          <w:p w14:paraId="399B325E"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1.86</w:t>
            </w:r>
          </w:p>
        </w:tc>
        <w:tc>
          <w:tcPr>
            <w:tcW w:w="1309" w:type="dxa"/>
          </w:tcPr>
          <w:p w14:paraId="11E815DF"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1.38</w:t>
            </w:r>
          </w:p>
        </w:tc>
        <w:tc>
          <w:tcPr>
            <w:tcW w:w="1934" w:type="dxa"/>
          </w:tcPr>
          <w:p w14:paraId="0F9BB7B3" w14:textId="77777777" w:rsidR="003B23D7" w:rsidRDefault="00DB169B">
            <w:pPr>
              <w:pBdr>
                <w:top w:val="nil"/>
                <w:left w:val="nil"/>
                <w:bottom w:val="nil"/>
                <w:right w:val="nil"/>
                <w:between w:val="nil"/>
              </w:pBdr>
              <w:spacing w:after="200"/>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1.54</w:t>
            </w:r>
          </w:p>
        </w:tc>
      </w:tr>
    </w:tbl>
    <w:p w14:paraId="16252A64" w14:textId="77777777" w:rsidR="003B23D7" w:rsidRDefault="003B23D7">
      <w:pPr>
        <w:spacing w:before="280" w:after="280" w:line="360" w:lineRule="auto"/>
        <w:rPr>
          <w:rFonts w:ascii="Times New Roman" w:eastAsia="Times New Roman" w:hAnsi="Times New Roman" w:cs="Times New Roman"/>
          <w:b/>
        </w:rPr>
      </w:pPr>
    </w:p>
    <w:p w14:paraId="2AD80BF5" w14:textId="77777777" w:rsidR="003B23D7" w:rsidRDefault="00DB169B">
      <w:pPr>
        <w:rPr>
          <w:rFonts w:ascii="Times New Roman" w:eastAsia="Times New Roman" w:hAnsi="Times New Roman" w:cs="Times New Roman"/>
          <w:b/>
        </w:rPr>
      </w:pPr>
      <w:r>
        <w:br w:type="page"/>
      </w:r>
    </w:p>
    <w:p w14:paraId="3D4F7060" w14:textId="77777777" w:rsidR="003B23D7" w:rsidRDefault="00DB169B">
      <w:pPr>
        <w:spacing w:before="280" w:after="280" w:line="36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Table 4. Organoleptic parameters of different treatments at 0 days after storage</w:t>
      </w:r>
    </w:p>
    <w:tbl>
      <w:tblPr>
        <w:tblStyle w:val="a3"/>
        <w:tblW w:w="792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46"/>
        <w:gridCol w:w="1530"/>
        <w:gridCol w:w="1607"/>
        <w:gridCol w:w="1530"/>
        <w:gridCol w:w="1607"/>
      </w:tblGrid>
      <w:tr w:rsidR="003B23D7" w14:paraId="3AA7336A" w14:textId="77777777">
        <w:trPr>
          <w:trHeight w:val="1202"/>
          <w:jc w:val="center"/>
        </w:trPr>
        <w:tc>
          <w:tcPr>
            <w:tcW w:w="1646" w:type="dxa"/>
          </w:tcPr>
          <w:p w14:paraId="2B96D976"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Treatments</w:t>
            </w:r>
          </w:p>
        </w:tc>
        <w:tc>
          <w:tcPr>
            <w:tcW w:w="1530" w:type="dxa"/>
          </w:tcPr>
          <w:p w14:paraId="55213B63"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Colour and Appearance</w:t>
            </w:r>
          </w:p>
        </w:tc>
        <w:tc>
          <w:tcPr>
            <w:tcW w:w="1607" w:type="dxa"/>
          </w:tcPr>
          <w:p w14:paraId="76F035A7"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Texture</w:t>
            </w:r>
          </w:p>
        </w:tc>
        <w:tc>
          <w:tcPr>
            <w:tcW w:w="1530" w:type="dxa"/>
          </w:tcPr>
          <w:p w14:paraId="78474F0F"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Taste</w:t>
            </w:r>
          </w:p>
        </w:tc>
        <w:tc>
          <w:tcPr>
            <w:tcW w:w="1607" w:type="dxa"/>
          </w:tcPr>
          <w:p w14:paraId="62B0FB57"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Overall Acceptability</w:t>
            </w:r>
          </w:p>
        </w:tc>
      </w:tr>
      <w:tr w:rsidR="003B23D7" w14:paraId="1E04B958" w14:textId="77777777">
        <w:trPr>
          <w:trHeight w:val="586"/>
          <w:jc w:val="center"/>
        </w:trPr>
        <w:tc>
          <w:tcPr>
            <w:tcW w:w="1646" w:type="dxa"/>
          </w:tcPr>
          <w:p w14:paraId="3B6C382F"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T1</w:t>
            </w:r>
          </w:p>
        </w:tc>
        <w:tc>
          <w:tcPr>
            <w:tcW w:w="1530" w:type="dxa"/>
          </w:tcPr>
          <w:p w14:paraId="41B43246"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6.01</w:t>
            </w:r>
          </w:p>
        </w:tc>
        <w:tc>
          <w:tcPr>
            <w:tcW w:w="1607" w:type="dxa"/>
          </w:tcPr>
          <w:p w14:paraId="38F9810B"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9.16</w:t>
            </w:r>
          </w:p>
        </w:tc>
        <w:tc>
          <w:tcPr>
            <w:tcW w:w="1530" w:type="dxa"/>
          </w:tcPr>
          <w:p w14:paraId="56D86620"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w:t>
            </w:r>
          </w:p>
        </w:tc>
        <w:tc>
          <w:tcPr>
            <w:tcW w:w="1607" w:type="dxa"/>
          </w:tcPr>
          <w:p w14:paraId="46D2BF61"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4.05</w:t>
            </w:r>
          </w:p>
        </w:tc>
      </w:tr>
      <w:tr w:rsidR="003B23D7" w14:paraId="17D705F2" w14:textId="77777777">
        <w:trPr>
          <w:trHeight w:val="586"/>
          <w:jc w:val="center"/>
        </w:trPr>
        <w:tc>
          <w:tcPr>
            <w:tcW w:w="1646" w:type="dxa"/>
          </w:tcPr>
          <w:p w14:paraId="364714EC"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T2</w:t>
            </w:r>
          </w:p>
        </w:tc>
        <w:tc>
          <w:tcPr>
            <w:tcW w:w="1530" w:type="dxa"/>
          </w:tcPr>
          <w:p w14:paraId="5FFA852A"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7.20</w:t>
            </w:r>
          </w:p>
        </w:tc>
        <w:tc>
          <w:tcPr>
            <w:tcW w:w="1607" w:type="dxa"/>
          </w:tcPr>
          <w:p w14:paraId="28D37786"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8.19</w:t>
            </w:r>
          </w:p>
        </w:tc>
        <w:tc>
          <w:tcPr>
            <w:tcW w:w="1530" w:type="dxa"/>
          </w:tcPr>
          <w:p w14:paraId="539D0C4C"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6.573</w:t>
            </w:r>
          </w:p>
        </w:tc>
        <w:tc>
          <w:tcPr>
            <w:tcW w:w="1607" w:type="dxa"/>
          </w:tcPr>
          <w:p w14:paraId="4AED976D"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4.23</w:t>
            </w:r>
          </w:p>
        </w:tc>
      </w:tr>
      <w:tr w:rsidR="003B23D7" w14:paraId="0BA103EB" w14:textId="77777777">
        <w:trPr>
          <w:trHeight w:val="586"/>
          <w:jc w:val="center"/>
        </w:trPr>
        <w:tc>
          <w:tcPr>
            <w:tcW w:w="1646" w:type="dxa"/>
          </w:tcPr>
          <w:p w14:paraId="2F0BC41F"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T3</w:t>
            </w:r>
          </w:p>
        </w:tc>
        <w:tc>
          <w:tcPr>
            <w:tcW w:w="1530" w:type="dxa"/>
          </w:tcPr>
          <w:p w14:paraId="716F9D5E"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8.10</w:t>
            </w:r>
          </w:p>
        </w:tc>
        <w:tc>
          <w:tcPr>
            <w:tcW w:w="1607" w:type="dxa"/>
          </w:tcPr>
          <w:p w14:paraId="61F5239F"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7.32</w:t>
            </w:r>
          </w:p>
        </w:tc>
        <w:tc>
          <w:tcPr>
            <w:tcW w:w="1530" w:type="dxa"/>
          </w:tcPr>
          <w:p w14:paraId="14646A00"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7.56</w:t>
            </w:r>
          </w:p>
        </w:tc>
        <w:tc>
          <w:tcPr>
            <w:tcW w:w="1607" w:type="dxa"/>
          </w:tcPr>
          <w:p w14:paraId="6B43304E"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6.07</w:t>
            </w:r>
          </w:p>
        </w:tc>
      </w:tr>
      <w:tr w:rsidR="003B23D7" w14:paraId="3820DDA0" w14:textId="77777777">
        <w:trPr>
          <w:trHeight w:val="586"/>
          <w:jc w:val="center"/>
        </w:trPr>
        <w:tc>
          <w:tcPr>
            <w:tcW w:w="1646" w:type="dxa"/>
          </w:tcPr>
          <w:p w14:paraId="3B201148"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T4</w:t>
            </w:r>
          </w:p>
        </w:tc>
        <w:tc>
          <w:tcPr>
            <w:tcW w:w="1530" w:type="dxa"/>
          </w:tcPr>
          <w:p w14:paraId="5843D8DD"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9.07</w:t>
            </w:r>
          </w:p>
        </w:tc>
        <w:tc>
          <w:tcPr>
            <w:tcW w:w="1607" w:type="dxa"/>
          </w:tcPr>
          <w:p w14:paraId="3DE36ABB"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6.60</w:t>
            </w:r>
          </w:p>
        </w:tc>
        <w:tc>
          <w:tcPr>
            <w:tcW w:w="1530" w:type="dxa"/>
          </w:tcPr>
          <w:p w14:paraId="5882569B"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7.32</w:t>
            </w:r>
          </w:p>
        </w:tc>
        <w:tc>
          <w:tcPr>
            <w:tcW w:w="1607" w:type="dxa"/>
          </w:tcPr>
          <w:p w14:paraId="1B416DE0"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5.72</w:t>
            </w:r>
          </w:p>
        </w:tc>
      </w:tr>
      <w:tr w:rsidR="003B23D7" w14:paraId="644D9212" w14:textId="77777777">
        <w:trPr>
          <w:trHeight w:val="586"/>
          <w:jc w:val="center"/>
        </w:trPr>
        <w:tc>
          <w:tcPr>
            <w:tcW w:w="1646" w:type="dxa"/>
          </w:tcPr>
          <w:p w14:paraId="5FE32641"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T5</w:t>
            </w:r>
          </w:p>
        </w:tc>
        <w:tc>
          <w:tcPr>
            <w:tcW w:w="1530" w:type="dxa"/>
          </w:tcPr>
          <w:p w14:paraId="283F715E"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7.04</w:t>
            </w:r>
          </w:p>
        </w:tc>
        <w:tc>
          <w:tcPr>
            <w:tcW w:w="1607" w:type="dxa"/>
          </w:tcPr>
          <w:p w14:paraId="24ECF040"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6.13</w:t>
            </w:r>
          </w:p>
        </w:tc>
        <w:tc>
          <w:tcPr>
            <w:tcW w:w="1530" w:type="dxa"/>
          </w:tcPr>
          <w:p w14:paraId="30C99D92"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8.01</w:t>
            </w:r>
          </w:p>
        </w:tc>
        <w:tc>
          <w:tcPr>
            <w:tcW w:w="1607" w:type="dxa"/>
          </w:tcPr>
          <w:p w14:paraId="41AEA71B"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6.63</w:t>
            </w:r>
          </w:p>
        </w:tc>
      </w:tr>
      <w:tr w:rsidR="003B23D7" w14:paraId="0DB54B65" w14:textId="77777777">
        <w:trPr>
          <w:trHeight w:val="586"/>
          <w:jc w:val="center"/>
        </w:trPr>
        <w:tc>
          <w:tcPr>
            <w:tcW w:w="1646" w:type="dxa"/>
          </w:tcPr>
          <w:p w14:paraId="0EE99F86"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T6</w:t>
            </w:r>
          </w:p>
        </w:tc>
        <w:tc>
          <w:tcPr>
            <w:tcW w:w="1530" w:type="dxa"/>
          </w:tcPr>
          <w:p w14:paraId="33998922"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7.32</w:t>
            </w:r>
          </w:p>
        </w:tc>
        <w:tc>
          <w:tcPr>
            <w:tcW w:w="1607" w:type="dxa"/>
          </w:tcPr>
          <w:p w14:paraId="242EB2B2"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7.65</w:t>
            </w:r>
          </w:p>
        </w:tc>
        <w:tc>
          <w:tcPr>
            <w:tcW w:w="1530" w:type="dxa"/>
          </w:tcPr>
          <w:p w14:paraId="2E8A2C3C"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5.07</w:t>
            </w:r>
          </w:p>
        </w:tc>
        <w:tc>
          <w:tcPr>
            <w:tcW w:w="1607" w:type="dxa"/>
          </w:tcPr>
          <w:p w14:paraId="05CFBDE9"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7.18</w:t>
            </w:r>
          </w:p>
        </w:tc>
      </w:tr>
      <w:tr w:rsidR="003B23D7" w14:paraId="61A2937B" w14:textId="77777777">
        <w:trPr>
          <w:trHeight w:val="586"/>
          <w:jc w:val="center"/>
        </w:trPr>
        <w:tc>
          <w:tcPr>
            <w:tcW w:w="1646" w:type="dxa"/>
          </w:tcPr>
          <w:p w14:paraId="7F1A1A8F"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T7</w:t>
            </w:r>
          </w:p>
        </w:tc>
        <w:tc>
          <w:tcPr>
            <w:tcW w:w="1530" w:type="dxa"/>
          </w:tcPr>
          <w:p w14:paraId="2779DAFC"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8.13</w:t>
            </w:r>
          </w:p>
        </w:tc>
        <w:tc>
          <w:tcPr>
            <w:tcW w:w="1607" w:type="dxa"/>
          </w:tcPr>
          <w:p w14:paraId="08D2B2EB"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8.12</w:t>
            </w:r>
          </w:p>
        </w:tc>
        <w:tc>
          <w:tcPr>
            <w:tcW w:w="1530" w:type="dxa"/>
          </w:tcPr>
          <w:p w14:paraId="16268BC9"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4.23</w:t>
            </w:r>
          </w:p>
        </w:tc>
        <w:tc>
          <w:tcPr>
            <w:tcW w:w="1607" w:type="dxa"/>
          </w:tcPr>
          <w:p w14:paraId="5FCD4A27"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w:t>
            </w:r>
          </w:p>
        </w:tc>
      </w:tr>
      <w:tr w:rsidR="003B23D7" w14:paraId="5AB44540" w14:textId="77777777">
        <w:trPr>
          <w:trHeight w:val="586"/>
          <w:jc w:val="center"/>
        </w:trPr>
        <w:tc>
          <w:tcPr>
            <w:tcW w:w="1646" w:type="dxa"/>
          </w:tcPr>
          <w:p w14:paraId="3500C34E"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T8</w:t>
            </w:r>
          </w:p>
        </w:tc>
        <w:tc>
          <w:tcPr>
            <w:tcW w:w="1530" w:type="dxa"/>
          </w:tcPr>
          <w:p w14:paraId="79515735"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7.25</w:t>
            </w:r>
          </w:p>
        </w:tc>
        <w:tc>
          <w:tcPr>
            <w:tcW w:w="1607" w:type="dxa"/>
          </w:tcPr>
          <w:p w14:paraId="408B7E38"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7.05</w:t>
            </w:r>
          </w:p>
        </w:tc>
        <w:tc>
          <w:tcPr>
            <w:tcW w:w="1530" w:type="dxa"/>
          </w:tcPr>
          <w:p w14:paraId="42760ED3"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7.13</w:t>
            </w:r>
          </w:p>
        </w:tc>
        <w:tc>
          <w:tcPr>
            <w:tcW w:w="1607" w:type="dxa"/>
          </w:tcPr>
          <w:p w14:paraId="46237E62"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6.70</w:t>
            </w:r>
          </w:p>
        </w:tc>
      </w:tr>
      <w:tr w:rsidR="003B23D7" w14:paraId="76AC6538" w14:textId="77777777">
        <w:trPr>
          <w:trHeight w:val="586"/>
          <w:jc w:val="center"/>
        </w:trPr>
        <w:tc>
          <w:tcPr>
            <w:tcW w:w="1646" w:type="dxa"/>
          </w:tcPr>
          <w:p w14:paraId="50D1854F"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T9</w:t>
            </w:r>
          </w:p>
        </w:tc>
        <w:tc>
          <w:tcPr>
            <w:tcW w:w="1530" w:type="dxa"/>
          </w:tcPr>
          <w:p w14:paraId="10F41878"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10.19</w:t>
            </w:r>
          </w:p>
        </w:tc>
        <w:tc>
          <w:tcPr>
            <w:tcW w:w="1607" w:type="dxa"/>
          </w:tcPr>
          <w:p w14:paraId="7F5B753A"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8.75</w:t>
            </w:r>
          </w:p>
        </w:tc>
        <w:tc>
          <w:tcPr>
            <w:tcW w:w="1530" w:type="dxa"/>
          </w:tcPr>
          <w:p w14:paraId="72AD36C4"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7.60</w:t>
            </w:r>
          </w:p>
        </w:tc>
        <w:tc>
          <w:tcPr>
            <w:tcW w:w="1607" w:type="dxa"/>
          </w:tcPr>
          <w:p w14:paraId="7A1AF16A"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7.80</w:t>
            </w:r>
          </w:p>
        </w:tc>
      </w:tr>
      <w:tr w:rsidR="003B23D7" w14:paraId="6EA9D5AB" w14:textId="77777777">
        <w:trPr>
          <w:trHeight w:val="586"/>
          <w:jc w:val="center"/>
        </w:trPr>
        <w:tc>
          <w:tcPr>
            <w:tcW w:w="1646" w:type="dxa"/>
          </w:tcPr>
          <w:p w14:paraId="4EB3FCF8"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SE±(m)</w:t>
            </w:r>
          </w:p>
        </w:tc>
        <w:tc>
          <w:tcPr>
            <w:tcW w:w="1530" w:type="dxa"/>
          </w:tcPr>
          <w:p w14:paraId="69FC9806"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0.55</w:t>
            </w:r>
          </w:p>
        </w:tc>
        <w:tc>
          <w:tcPr>
            <w:tcW w:w="1607" w:type="dxa"/>
          </w:tcPr>
          <w:p w14:paraId="1A610788"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0.38</w:t>
            </w:r>
          </w:p>
        </w:tc>
        <w:tc>
          <w:tcPr>
            <w:tcW w:w="1530" w:type="dxa"/>
          </w:tcPr>
          <w:p w14:paraId="176AAEB8"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0.33</w:t>
            </w:r>
          </w:p>
        </w:tc>
        <w:tc>
          <w:tcPr>
            <w:tcW w:w="1607" w:type="dxa"/>
          </w:tcPr>
          <w:p w14:paraId="72BD992A"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0.47</w:t>
            </w:r>
          </w:p>
        </w:tc>
      </w:tr>
      <w:tr w:rsidR="003B23D7" w14:paraId="3972D7CE" w14:textId="77777777">
        <w:trPr>
          <w:trHeight w:val="586"/>
          <w:jc w:val="center"/>
        </w:trPr>
        <w:tc>
          <w:tcPr>
            <w:tcW w:w="1646" w:type="dxa"/>
          </w:tcPr>
          <w:p w14:paraId="0476F33E"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CD@5%</w:t>
            </w:r>
          </w:p>
        </w:tc>
        <w:tc>
          <w:tcPr>
            <w:tcW w:w="1530" w:type="dxa"/>
          </w:tcPr>
          <w:p w14:paraId="625E3736"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1.663</w:t>
            </w:r>
          </w:p>
        </w:tc>
        <w:tc>
          <w:tcPr>
            <w:tcW w:w="1607" w:type="dxa"/>
          </w:tcPr>
          <w:p w14:paraId="5378FA78"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1.14</w:t>
            </w:r>
          </w:p>
        </w:tc>
        <w:tc>
          <w:tcPr>
            <w:tcW w:w="1530" w:type="dxa"/>
          </w:tcPr>
          <w:p w14:paraId="632D9DFD"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w:t>
            </w:r>
          </w:p>
        </w:tc>
        <w:tc>
          <w:tcPr>
            <w:tcW w:w="1607" w:type="dxa"/>
          </w:tcPr>
          <w:p w14:paraId="6812EF4A"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1.43</w:t>
            </w:r>
          </w:p>
        </w:tc>
      </w:tr>
    </w:tbl>
    <w:p w14:paraId="05CDBF39" w14:textId="77777777" w:rsidR="003B23D7" w:rsidRDefault="003B23D7">
      <w:pPr>
        <w:spacing w:before="280" w:after="280" w:line="360" w:lineRule="auto"/>
        <w:rPr>
          <w:rFonts w:ascii="Times New Roman" w:eastAsia="Times New Roman" w:hAnsi="Times New Roman" w:cs="Times New Roman"/>
          <w:b/>
          <w:sz w:val="24"/>
          <w:szCs w:val="24"/>
        </w:rPr>
      </w:pPr>
    </w:p>
    <w:p w14:paraId="412DA8D3" w14:textId="77777777" w:rsidR="003B23D7" w:rsidRDefault="00DB169B">
      <w:pPr>
        <w:rPr>
          <w:rFonts w:ascii="Times New Roman" w:eastAsia="Times New Roman" w:hAnsi="Times New Roman" w:cs="Times New Roman"/>
          <w:b/>
          <w:sz w:val="24"/>
          <w:szCs w:val="24"/>
        </w:rPr>
      </w:pPr>
      <w:r>
        <w:br w:type="page"/>
      </w:r>
    </w:p>
    <w:p w14:paraId="0FB28C8F" w14:textId="77777777" w:rsidR="003B23D7" w:rsidRDefault="00DB169B">
      <w:pPr>
        <w:spacing w:before="280" w:after="280" w:line="360" w:lineRule="auto"/>
        <w:jc w:val="center"/>
        <w:rPr>
          <w:rFonts w:ascii="Times New Roman" w:eastAsia="Times New Roman" w:hAnsi="Times New Roman" w:cs="Times New Roman"/>
          <w:b/>
        </w:rPr>
      </w:pPr>
      <w:r>
        <w:rPr>
          <w:rFonts w:ascii="Times New Roman" w:eastAsia="Times New Roman" w:hAnsi="Times New Roman" w:cs="Times New Roman"/>
          <w:b/>
        </w:rPr>
        <w:lastRenderedPageBreak/>
        <w:t>Table 5. Organoleptic parameters of different treatments at 30 days after storage</w:t>
      </w:r>
    </w:p>
    <w:tbl>
      <w:tblPr>
        <w:tblStyle w:val="a4"/>
        <w:tblW w:w="7960"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980"/>
        <w:gridCol w:w="1920"/>
        <w:gridCol w:w="1180"/>
        <w:gridCol w:w="1000"/>
        <w:gridCol w:w="1880"/>
      </w:tblGrid>
      <w:tr w:rsidR="003B23D7" w14:paraId="4E2ACD6B" w14:textId="77777777">
        <w:trPr>
          <w:trHeight w:val="1094"/>
          <w:jc w:val="center"/>
        </w:trPr>
        <w:tc>
          <w:tcPr>
            <w:tcW w:w="1980" w:type="dxa"/>
          </w:tcPr>
          <w:p w14:paraId="4FC6FEA0"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Treatments</w:t>
            </w:r>
          </w:p>
        </w:tc>
        <w:tc>
          <w:tcPr>
            <w:tcW w:w="1920" w:type="dxa"/>
          </w:tcPr>
          <w:p w14:paraId="20230E34"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Colour and Appearance</w:t>
            </w:r>
          </w:p>
        </w:tc>
        <w:tc>
          <w:tcPr>
            <w:tcW w:w="1180" w:type="dxa"/>
          </w:tcPr>
          <w:p w14:paraId="7BE49EB4"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Texture</w:t>
            </w:r>
          </w:p>
        </w:tc>
        <w:tc>
          <w:tcPr>
            <w:tcW w:w="1000" w:type="dxa"/>
          </w:tcPr>
          <w:p w14:paraId="0CA959FA"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Taste</w:t>
            </w:r>
          </w:p>
        </w:tc>
        <w:tc>
          <w:tcPr>
            <w:tcW w:w="1880" w:type="dxa"/>
          </w:tcPr>
          <w:p w14:paraId="57ED8597"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Overall Acceptability</w:t>
            </w:r>
          </w:p>
        </w:tc>
      </w:tr>
      <w:tr w:rsidR="003B23D7" w14:paraId="4DD8D02E" w14:textId="77777777">
        <w:trPr>
          <w:trHeight w:val="572"/>
          <w:jc w:val="center"/>
        </w:trPr>
        <w:tc>
          <w:tcPr>
            <w:tcW w:w="1980" w:type="dxa"/>
          </w:tcPr>
          <w:p w14:paraId="5B175A5C"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T1</w:t>
            </w:r>
          </w:p>
        </w:tc>
        <w:tc>
          <w:tcPr>
            <w:tcW w:w="1920" w:type="dxa"/>
          </w:tcPr>
          <w:p w14:paraId="29F2691E"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6.35</w:t>
            </w:r>
          </w:p>
        </w:tc>
        <w:tc>
          <w:tcPr>
            <w:tcW w:w="1180" w:type="dxa"/>
          </w:tcPr>
          <w:p w14:paraId="53B77ABD"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8.94</w:t>
            </w:r>
          </w:p>
        </w:tc>
        <w:tc>
          <w:tcPr>
            <w:tcW w:w="1000" w:type="dxa"/>
          </w:tcPr>
          <w:p w14:paraId="40EC9281"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7.72</w:t>
            </w:r>
          </w:p>
        </w:tc>
        <w:tc>
          <w:tcPr>
            <w:tcW w:w="1880" w:type="dxa"/>
          </w:tcPr>
          <w:p w14:paraId="4EBD43A4"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6.64</w:t>
            </w:r>
          </w:p>
        </w:tc>
      </w:tr>
      <w:tr w:rsidR="003B23D7" w14:paraId="30E5FEF2" w14:textId="77777777">
        <w:trPr>
          <w:trHeight w:val="572"/>
          <w:jc w:val="center"/>
        </w:trPr>
        <w:tc>
          <w:tcPr>
            <w:tcW w:w="1980" w:type="dxa"/>
          </w:tcPr>
          <w:p w14:paraId="11B75A3E"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T2</w:t>
            </w:r>
          </w:p>
        </w:tc>
        <w:tc>
          <w:tcPr>
            <w:tcW w:w="1920" w:type="dxa"/>
          </w:tcPr>
          <w:p w14:paraId="420DB4B8"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7.44</w:t>
            </w:r>
          </w:p>
        </w:tc>
        <w:tc>
          <w:tcPr>
            <w:tcW w:w="1180" w:type="dxa"/>
          </w:tcPr>
          <w:p w14:paraId="22DAD987"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7.91</w:t>
            </w:r>
          </w:p>
        </w:tc>
        <w:tc>
          <w:tcPr>
            <w:tcW w:w="1000" w:type="dxa"/>
          </w:tcPr>
          <w:p w14:paraId="40D7CBFC"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7.04</w:t>
            </w:r>
          </w:p>
        </w:tc>
        <w:tc>
          <w:tcPr>
            <w:tcW w:w="1880" w:type="dxa"/>
          </w:tcPr>
          <w:p w14:paraId="31B96860"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6.98</w:t>
            </w:r>
          </w:p>
        </w:tc>
      </w:tr>
      <w:tr w:rsidR="003B23D7" w14:paraId="56673E87" w14:textId="77777777">
        <w:trPr>
          <w:trHeight w:val="572"/>
          <w:jc w:val="center"/>
        </w:trPr>
        <w:tc>
          <w:tcPr>
            <w:tcW w:w="1980" w:type="dxa"/>
          </w:tcPr>
          <w:p w14:paraId="02725C1D"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T3</w:t>
            </w:r>
          </w:p>
        </w:tc>
        <w:tc>
          <w:tcPr>
            <w:tcW w:w="1920" w:type="dxa"/>
          </w:tcPr>
          <w:p w14:paraId="784481F9"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7.88</w:t>
            </w:r>
          </w:p>
        </w:tc>
        <w:tc>
          <w:tcPr>
            <w:tcW w:w="1180" w:type="dxa"/>
          </w:tcPr>
          <w:p w14:paraId="773B2B90"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8.20</w:t>
            </w:r>
          </w:p>
        </w:tc>
        <w:tc>
          <w:tcPr>
            <w:tcW w:w="1000" w:type="dxa"/>
          </w:tcPr>
          <w:p w14:paraId="340318B1"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7.47</w:t>
            </w:r>
          </w:p>
        </w:tc>
        <w:tc>
          <w:tcPr>
            <w:tcW w:w="1880" w:type="dxa"/>
          </w:tcPr>
          <w:p w14:paraId="75D70EFF"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7.72</w:t>
            </w:r>
          </w:p>
        </w:tc>
      </w:tr>
      <w:tr w:rsidR="003B23D7" w14:paraId="758FDBD0" w14:textId="77777777">
        <w:trPr>
          <w:trHeight w:val="572"/>
          <w:jc w:val="center"/>
        </w:trPr>
        <w:tc>
          <w:tcPr>
            <w:tcW w:w="1980" w:type="dxa"/>
          </w:tcPr>
          <w:p w14:paraId="51D69E7A"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T4</w:t>
            </w:r>
          </w:p>
        </w:tc>
        <w:tc>
          <w:tcPr>
            <w:tcW w:w="1920" w:type="dxa"/>
          </w:tcPr>
          <w:p w14:paraId="318A9B91"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8.02</w:t>
            </w:r>
          </w:p>
        </w:tc>
        <w:tc>
          <w:tcPr>
            <w:tcW w:w="1180" w:type="dxa"/>
          </w:tcPr>
          <w:p w14:paraId="2D7EDD13"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6.52</w:t>
            </w:r>
          </w:p>
        </w:tc>
        <w:tc>
          <w:tcPr>
            <w:tcW w:w="1000" w:type="dxa"/>
          </w:tcPr>
          <w:p w14:paraId="76F3DBBE"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7.77</w:t>
            </w:r>
          </w:p>
        </w:tc>
        <w:tc>
          <w:tcPr>
            <w:tcW w:w="1880" w:type="dxa"/>
          </w:tcPr>
          <w:p w14:paraId="044210EC"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7.07</w:t>
            </w:r>
          </w:p>
        </w:tc>
      </w:tr>
      <w:tr w:rsidR="003B23D7" w14:paraId="62E25DEA" w14:textId="77777777">
        <w:trPr>
          <w:trHeight w:val="572"/>
          <w:jc w:val="center"/>
        </w:trPr>
        <w:tc>
          <w:tcPr>
            <w:tcW w:w="1980" w:type="dxa"/>
          </w:tcPr>
          <w:p w14:paraId="2AF0AF9A"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T5</w:t>
            </w:r>
          </w:p>
        </w:tc>
        <w:tc>
          <w:tcPr>
            <w:tcW w:w="1920" w:type="dxa"/>
          </w:tcPr>
          <w:p w14:paraId="6E8D764B"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6.98</w:t>
            </w:r>
          </w:p>
        </w:tc>
        <w:tc>
          <w:tcPr>
            <w:tcW w:w="1180" w:type="dxa"/>
          </w:tcPr>
          <w:p w14:paraId="440002CC"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6.25</w:t>
            </w:r>
          </w:p>
        </w:tc>
        <w:tc>
          <w:tcPr>
            <w:tcW w:w="1000" w:type="dxa"/>
          </w:tcPr>
          <w:p w14:paraId="4F782726"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8.17</w:t>
            </w:r>
          </w:p>
        </w:tc>
        <w:tc>
          <w:tcPr>
            <w:tcW w:w="1880" w:type="dxa"/>
          </w:tcPr>
          <w:p w14:paraId="4F82AAE1"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7.74</w:t>
            </w:r>
          </w:p>
        </w:tc>
      </w:tr>
      <w:tr w:rsidR="003B23D7" w14:paraId="6CE90703" w14:textId="77777777">
        <w:trPr>
          <w:trHeight w:val="572"/>
          <w:jc w:val="center"/>
        </w:trPr>
        <w:tc>
          <w:tcPr>
            <w:tcW w:w="1980" w:type="dxa"/>
          </w:tcPr>
          <w:p w14:paraId="2139D498"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T6</w:t>
            </w:r>
          </w:p>
        </w:tc>
        <w:tc>
          <w:tcPr>
            <w:tcW w:w="1920" w:type="dxa"/>
          </w:tcPr>
          <w:p w14:paraId="429D84FD"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6.89</w:t>
            </w:r>
          </w:p>
        </w:tc>
        <w:tc>
          <w:tcPr>
            <w:tcW w:w="1180" w:type="dxa"/>
          </w:tcPr>
          <w:p w14:paraId="3003B979"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7.92</w:t>
            </w:r>
          </w:p>
        </w:tc>
        <w:tc>
          <w:tcPr>
            <w:tcW w:w="1000" w:type="dxa"/>
          </w:tcPr>
          <w:p w14:paraId="19EF2F73"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5.98</w:t>
            </w:r>
          </w:p>
        </w:tc>
        <w:tc>
          <w:tcPr>
            <w:tcW w:w="1880" w:type="dxa"/>
          </w:tcPr>
          <w:p w14:paraId="07FC161D"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7.82</w:t>
            </w:r>
          </w:p>
        </w:tc>
      </w:tr>
      <w:tr w:rsidR="003B23D7" w14:paraId="104A1B1A" w14:textId="77777777">
        <w:trPr>
          <w:trHeight w:val="572"/>
          <w:jc w:val="center"/>
        </w:trPr>
        <w:tc>
          <w:tcPr>
            <w:tcW w:w="1980" w:type="dxa"/>
          </w:tcPr>
          <w:p w14:paraId="42BEEBEF"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T7</w:t>
            </w:r>
          </w:p>
        </w:tc>
        <w:tc>
          <w:tcPr>
            <w:tcW w:w="1920" w:type="dxa"/>
          </w:tcPr>
          <w:p w14:paraId="316E14C1"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7.95</w:t>
            </w:r>
          </w:p>
        </w:tc>
        <w:tc>
          <w:tcPr>
            <w:tcW w:w="1180" w:type="dxa"/>
          </w:tcPr>
          <w:p w14:paraId="671EFD4A"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7.93</w:t>
            </w:r>
          </w:p>
        </w:tc>
        <w:tc>
          <w:tcPr>
            <w:tcW w:w="1000" w:type="dxa"/>
          </w:tcPr>
          <w:p w14:paraId="2AE7DD2C"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5.36</w:t>
            </w:r>
          </w:p>
        </w:tc>
        <w:tc>
          <w:tcPr>
            <w:tcW w:w="1880" w:type="dxa"/>
          </w:tcPr>
          <w:p w14:paraId="1C1C99EF"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7.68</w:t>
            </w:r>
          </w:p>
        </w:tc>
      </w:tr>
      <w:tr w:rsidR="003B23D7" w14:paraId="0291147A" w14:textId="77777777">
        <w:trPr>
          <w:trHeight w:val="572"/>
          <w:jc w:val="center"/>
        </w:trPr>
        <w:tc>
          <w:tcPr>
            <w:tcW w:w="1980" w:type="dxa"/>
          </w:tcPr>
          <w:p w14:paraId="05FE6D8B"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T8</w:t>
            </w:r>
          </w:p>
        </w:tc>
        <w:tc>
          <w:tcPr>
            <w:tcW w:w="1920" w:type="dxa"/>
          </w:tcPr>
          <w:p w14:paraId="0CBD30B6"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7.95</w:t>
            </w:r>
          </w:p>
        </w:tc>
        <w:tc>
          <w:tcPr>
            <w:tcW w:w="1180" w:type="dxa"/>
          </w:tcPr>
          <w:p w14:paraId="510266F8"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6.75</w:t>
            </w:r>
          </w:p>
        </w:tc>
        <w:tc>
          <w:tcPr>
            <w:tcW w:w="1000" w:type="dxa"/>
          </w:tcPr>
          <w:p w14:paraId="6435226A"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7.52</w:t>
            </w:r>
          </w:p>
        </w:tc>
        <w:tc>
          <w:tcPr>
            <w:tcW w:w="1880" w:type="dxa"/>
          </w:tcPr>
          <w:p w14:paraId="6576330B"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8.18</w:t>
            </w:r>
          </w:p>
        </w:tc>
      </w:tr>
      <w:tr w:rsidR="003B23D7" w14:paraId="4BFD5D81" w14:textId="77777777">
        <w:trPr>
          <w:trHeight w:val="572"/>
          <w:jc w:val="center"/>
        </w:trPr>
        <w:tc>
          <w:tcPr>
            <w:tcW w:w="1980" w:type="dxa"/>
          </w:tcPr>
          <w:p w14:paraId="12CB39E1"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T9</w:t>
            </w:r>
          </w:p>
        </w:tc>
        <w:tc>
          <w:tcPr>
            <w:tcW w:w="1920" w:type="dxa"/>
          </w:tcPr>
          <w:p w14:paraId="19783101"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9.07</w:t>
            </w:r>
          </w:p>
        </w:tc>
        <w:tc>
          <w:tcPr>
            <w:tcW w:w="1180" w:type="dxa"/>
          </w:tcPr>
          <w:p w14:paraId="32FCA9B0"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8.53</w:t>
            </w:r>
          </w:p>
        </w:tc>
        <w:tc>
          <w:tcPr>
            <w:tcW w:w="1000" w:type="dxa"/>
          </w:tcPr>
          <w:p w14:paraId="220692DD"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7.87</w:t>
            </w:r>
          </w:p>
        </w:tc>
        <w:tc>
          <w:tcPr>
            <w:tcW w:w="1880" w:type="dxa"/>
          </w:tcPr>
          <w:p w14:paraId="713CFE86"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8.80</w:t>
            </w:r>
          </w:p>
        </w:tc>
      </w:tr>
      <w:tr w:rsidR="003B23D7" w14:paraId="25755389" w14:textId="77777777">
        <w:trPr>
          <w:trHeight w:val="572"/>
          <w:jc w:val="center"/>
        </w:trPr>
        <w:tc>
          <w:tcPr>
            <w:tcW w:w="1980" w:type="dxa"/>
          </w:tcPr>
          <w:p w14:paraId="51F8FD65"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SE±(m)</w:t>
            </w:r>
          </w:p>
        </w:tc>
        <w:tc>
          <w:tcPr>
            <w:tcW w:w="1920" w:type="dxa"/>
          </w:tcPr>
          <w:p w14:paraId="581DFC3C"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0.67</w:t>
            </w:r>
          </w:p>
        </w:tc>
        <w:tc>
          <w:tcPr>
            <w:tcW w:w="1180" w:type="dxa"/>
          </w:tcPr>
          <w:p w14:paraId="11625CE5"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0.33</w:t>
            </w:r>
          </w:p>
        </w:tc>
        <w:tc>
          <w:tcPr>
            <w:tcW w:w="1000" w:type="dxa"/>
          </w:tcPr>
          <w:p w14:paraId="05928188"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0.57</w:t>
            </w:r>
          </w:p>
        </w:tc>
        <w:tc>
          <w:tcPr>
            <w:tcW w:w="1880" w:type="dxa"/>
          </w:tcPr>
          <w:p w14:paraId="607FE4B1"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0.68</w:t>
            </w:r>
          </w:p>
        </w:tc>
      </w:tr>
      <w:tr w:rsidR="003B23D7" w14:paraId="484CE07B" w14:textId="77777777">
        <w:trPr>
          <w:trHeight w:val="572"/>
          <w:jc w:val="center"/>
        </w:trPr>
        <w:tc>
          <w:tcPr>
            <w:tcW w:w="1980" w:type="dxa"/>
          </w:tcPr>
          <w:p w14:paraId="21128491"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CD@5%</w:t>
            </w:r>
          </w:p>
        </w:tc>
        <w:tc>
          <w:tcPr>
            <w:tcW w:w="1920" w:type="dxa"/>
          </w:tcPr>
          <w:p w14:paraId="5E746153"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0.21</w:t>
            </w:r>
          </w:p>
        </w:tc>
        <w:tc>
          <w:tcPr>
            <w:tcW w:w="1180" w:type="dxa"/>
          </w:tcPr>
          <w:p w14:paraId="31C6A543"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0.99</w:t>
            </w:r>
          </w:p>
        </w:tc>
        <w:tc>
          <w:tcPr>
            <w:tcW w:w="1000" w:type="dxa"/>
          </w:tcPr>
          <w:p w14:paraId="2CBEDBB3"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1.71</w:t>
            </w:r>
          </w:p>
        </w:tc>
        <w:tc>
          <w:tcPr>
            <w:tcW w:w="1880" w:type="dxa"/>
          </w:tcPr>
          <w:p w14:paraId="30FF2C22"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0.11</w:t>
            </w:r>
          </w:p>
        </w:tc>
      </w:tr>
    </w:tbl>
    <w:p w14:paraId="484C9724" w14:textId="77777777" w:rsidR="003B23D7" w:rsidRDefault="003B23D7">
      <w:pPr>
        <w:spacing w:before="280" w:after="280" w:line="360" w:lineRule="auto"/>
        <w:rPr>
          <w:rFonts w:ascii="Times New Roman" w:eastAsia="Times New Roman" w:hAnsi="Times New Roman" w:cs="Times New Roman"/>
          <w:b/>
          <w:sz w:val="24"/>
          <w:szCs w:val="24"/>
        </w:rPr>
      </w:pPr>
    </w:p>
    <w:p w14:paraId="1C99D574" w14:textId="77777777" w:rsidR="003B23D7" w:rsidRDefault="00DB169B">
      <w:pPr>
        <w:spacing w:before="280" w:after="280" w:line="360" w:lineRule="auto"/>
        <w:rPr>
          <w:rFonts w:ascii="Times New Roman" w:eastAsia="Times New Roman" w:hAnsi="Times New Roman" w:cs="Times New Roman"/>
          <w:b/>
          <w:sz w:val="24"/>
          <w:szCs w:val="24"/>
        </w:rPr>
      </w:pPr>
      <w:r>
        <w:rPr>
          <w:rFonts w:ascii="Times New Roman" w:eastAsia="Times New Roman" w:hAnsi="Times New Roman" w:cs="Times New Roman"/>
          <w:b/>
          <w:sz w:val="24"/>
          <w:szCs w:val="24"/>
        </w:rPr>
        <w:t xml:space="preserve">Table 6. Organoleptic parameters of different treatments at 45 days after storage </w:t>
      </w:r>
    </w:p>
    <w:tbl>
      <w:tblPr>
        <w:tblStyle w:val="a5"/>
        <w:tblW w:w="738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46"/>
        <w:gridCol w:w="1783"/>
        <w:gridCol w:w="1104"/>
        <w:gridCol w:w="912"/>
        <w:gridCol w:w="1741"/>
      </w:tblGrid>
      <w:tr w:rsidR="003B23D7" w14:paraId="50D78F9A" w14:textId="77777777">
        <w:trPr>
          <w:trHeight w:val="855"/>
          <w:jc w:val="center"/>
        </w:trPr>
        <w:tc>
          <w:tcPr>
            <w:tcW w:w="1846" w:type="dxa"/>
          </w:tcPr>
          <w:p w14:paraId="549E872D"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Treatments</w:t>
            </w:r>
          </w:p>
        </w:tc>
        <w:tc>
          <w:tcPr>
            <w:tcW w:w="1783" w:type="dxa"/>
          </w:tcPr>
          <w:p w14:paraId="60B4A07D"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Colour and Appearance</w:t>
            </w:r>
          </w:p>
        </w:tc>
        <w:tc>
          <w:tcPr>
            <w:tcW w:w="1104" w:type="dxa"/>
          </w:tcPr>
          <w:p w14:paraId="0C7DBEC5"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Texture</w:t>
            </w:r>
          </w:p>
        </w:tc>
        <w:tc>
          <w:tcPr>
            <w:tcW w:w="912" w:type="dxa"/>
          </w:tcPr>
          <w:p w14:paraId="4F0C397F"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Taste</w:t>
            </w:r>
          </w:p>
        </w:tc>
        <w:tc>
          <w:tcPr>
            <w:tcW w:w="1741" w:type="dxa"/>
          </w:tcPr>
          <w:p w14:paraId="2306A43D"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sz w:val="24"/>
                <w:szCs w:val="24"/>
              </w:rPr>
              <w:t>Overall Acceptability</w:t>
            </w:r>
          </w:p>
        </w:tc>
      </w:tr>
      <w:tr w:rsidR="003B23D7" w14:paraId="32349582" w14:textId="77777777">
        <w:trPr>
          <w:trHeight w:val="569"/>
          <w:jc w:val="center"/>
        </w:trPr>
        <w:tc>
          <w:tcPr>
            <w:tcW w:w="1846" w:type="dxa"/>
          </w:tcPr>
          <w:p w14:paraId="78ACDFCF"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T1</w:t>
            </w:r>
          </w:p>
        </w:tc>
        <w:tc>
          <w:tcPr>
            <w:tcW w:w="1783" w:type="dxa"/>
          </w:tcPr>
          <w:p w14:paraId="1B12F260"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7.39</w:t>
            </w:r>
          </w:p>
        </w:tc>
        <w:tc>
          <w:tcPr>
            <w:tcW w:w="1104" w:type="dxa"/>
          </w:tcPr>
          <w:p w14:paraId="40E90F30"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8.52</w:t>
            </w:r>
          </w:p>
        </w:tc>
        <w:tc>
          <w:tcPr>
            <w:tcW w:w="912" w:type="dxa"/>
          </w:tcPr>
          <w:p w14:paraId="47F874C3"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8.77</w:t>
            </w:r>
          </w:p>
        </w:tc>
        <w:tc>
          <w:tcPr>
            <w:tcW w:w="1741" w:type="dxa"/>
          </w:tcPr>
          <w:p w14:paraId="21A42BE4"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7.86</w:t>
            </w:r>
          </w:p>
        </w:tc>
      </w:tr>
      <w:tr w:rsidR="003B23D7" w14:paraId="457CD67E" w14:textId="77777777">
        <w:trPr>
          <w:trHeight w:val="569"/>
          <w:jc w:val="center"/>
        </w:trPr>
        <w:tc>
          <w:tcPr>
            <w:tcW w:w="1846" w:type="dxa"/>
          </w:tcPr>
          <w:p w14:paraId="2658613D"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T2</w:t>
            </w:r>
          </w:p>
        </w:tc>
        <w:tc>
          <w:tcPr>
            <w:tcW w:w="1783" w:type="dxa"/>
          </w:tcPr>
          <w:p w14:paraId="27971FCD"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8.72</w:t>
            </w:r>
          </w:p>
        </w:tc>
        <w:tc>
          <w:tcPr>
            <w:tcW w:w="1104" w:type="dxa"/>
          </w:tcPr>
          <w:p w14:paraId="6BABCF9D"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8.20</w:t>
            </w:r>
          </w:p>
        </w:tc>
        <w:tc>
          <w:tcPr>
            <w:tcW w:w="912" w:type="dxa"/>
          </w:tcPr>
          <w:p w14:paraId="3948B990"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7.64</w:t>
            </w:r>
          </w:p>
        </w:tc>
        <w:tc>
          <w:tcPr>
            <w:tcW w:w="1741" w:type="dxa"/>
          </w:tcPr>
          <w:p w14:paraId="3603A926"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8.10</w:t>
            </w:r>
          </w:p>
        </w:tc>
      </w:tr>
      <w:tr w:rsidR="003B23D7" w14:paraId="2EFBA288" w14:textId="77777777">
        <w:trPr>
          <w:trHeight w:val="569"/>
          <w:jc w:val="center"/>
        </w:trPr>
        <w:tc>
          <w:tcPr>
            <w:tcW w:w="1846" w:type="dxa"/>
          </w:tcPr>
          <w:p w14:paraId="613D88BF"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T3</w:t>
            </w:r>
          </w:p>
        </w:tc>
        <w:tc>
          <w:tcPr>
            <w:tcW w:w="1783" w:type="dxa"/>
          </w:tcPr>
          <w:p w14:paraId="10B3F396"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8.97</w:t>
            </w:r>
          </w:p>
        </w:tc>
        <w:tc>
          <w:tcPr>
            <w:tcW w:w="1104" w:type="dxa"/>
          </w:tcPr>
          <w:p w14:paraId="6294800E"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8.89</w:t>
            </w:r>
          </w:p>
        </w:tc>
        <w:tc>
          <w:tcPr>
            <w:tcW w:w="912" w:type="dxa"/>
          </w:tcPr>
          <w:p w14:paraId="76018C9F"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7.83</w:t>
            </w:r>
          </w:p>
        </w:tc>
        <w:tc>
          <w:tcPr>
            <w:tcW w:w="1741" w:type="dxa"/>
          </w:tcPr>
          <w:p w14:paraId="347CB369"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8.54</w:t>
            </w:r>
          </w:p>
        </w:tc>
      </w:tr>
      <w:tr w:rsidR="003B23D7" w14:paraId="24E08828" w14:textId="77777777">
        <w:trPr>
          <w:trHeight w:val="569"/>
          <w:jc w:val="center"/>
        </w:trPr>
        <w:tc>
          <w:tcPr>
            <w:tcW w:w="1846" w:type="dxa"/>
          </w:tcPr>
          <w:p w14:paraId="0696F7A7"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T4</w:t>
            </w:r>
          </w:p>
        </w:tc>
        <w:tc>
          <w:tcPr>
            <w:tcW w:w="1783" w:type="dxa"/>
          </w:tcPr>
          <w:p w14:paraId="68A776A4"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6.59</w:t>
            </w:r>
          </w:p>
        </w:tc>
        <w:tc>
          <w:tcPr>
            <w:tcW w:w="1104" w:type="dxa"/>
          </w:tcPr>
          <w:p w14:paraId="7B7F5B86"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6.63</w:t>
            </w:r>
          </w:p>
        </w:tc>
        <w:tc>
          <w:tcPr>
            <w:tcW w:w="912" w:type="dxa"/>
          </w:tcPr>
          <w:p w14:paraId="5FE71DBC"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8.04</w:t>
            </w:r>
          </w:p>
        </w:tc>
        <w:tc>
          <w:tcPr>
            <w:tcW w:w="1741" w:type="dxa"/>
          </w:tcPr>
          <w:p w14:paraId="406CB174"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7.86</w:t>
            </w:r>
          </w:p>
        </w:tc>
      </w:tr>
      <w:tr w:rsidR="003B23D7" w14:paraId="07D58F57" w14:textId="77777777">
        <w:trPr>
          <w:trHeight w:val="569"/>
          <w:jc w:val="center"/>
        </w:trPr>
        <w:tc>
          <w:tcPr>
            <w:tcW w:w="1846" w:type="dxa"/>
          </w:tcPr>
          <w:p w14:paraId="54D43847"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T5</w:t>
            </w:r>
          </w:p>
        </w:tc>
        <w:tc>
          <w:tcPr>
            <w:tcW w:w="1783" w:type="dxa"/>
          </w:tcPr>
          <w:p w14:paraId="6C7FDC26"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6.29</w:t>
            </w:r>
          </w:p>
        </w:tc>
        <w:tc>
          <w:tcPr>
            <w:tcW w:w="1104" w:type="dxa"/>
          </w:tcPr>
          <w:p w14:paraId="002D8E47"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w:t>
            </w:r>
          </w:p>
        </w:tc>
        <w:tc>
          <w:tcPr>
            <w:tcW w:w="912" w:type="dxa"/>
          </w:tcPr>
          <w:p w14:paraId="6EB7DFA1"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8.55</w:t>
            </w:r>
          </w:p>
        </w:tc>
        <w:tc>
          <w:tcPr>
            <w:tcW w:w="1741" w:type="dxa"/>
          </w:tcPr>
          <w:p w14:paraId="1F0B1948"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8.01</w:t>
            </w:r>
          </w:p>
        </w:tc>
      </w:tr>
      <w:tr w:rsidR="003B23D7" w14:paraId="156AF346" w14:textId="77777777">
        <w:trPr>
          <w:trHeight w:val="569"/>
          <w:jc w:val="center"/>
        </w:trPr>
        <w:tc>
          <w:tcPr>
            <w:tcW w:w="1846" w:type="dxa"/>
          </w:tcPr>
          <w:p w14:paraId="26E8A837"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T6</w:t>
            </w:r>
          </w:p>
        </w:tc>
        <w:tc>
          <w:tcPr>
            <w:tcW w:w="1783" w:type="dxa"/>
          </w:tcPr>
          <w:p w14:paraId="468A14E1"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6.97</w:t>
            </w:r>
          </w:p>
        </w:tc>
        <w:tc>
          <w:tcPr>
            <w:tcW w:w="1104" w:type="dxa"/>
          </w:tcPr>
          <w:p w14:paraId="3A4FDFD8"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8.44</w:t>
            </w:r>
          </w:p>
        </w:tc>
        <w:tc>
          <w:tcPr>
            <w:tcW w:w="912" w:type="dxa"/>
          </w:tcPr>
          <w:p w14:paraId="254B2EB9"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7.64</w:t>
            </w:r>
          </w:p>
        </w:tc>
        <w:tc>
          <w:tcPr>
            <w:tcW w:w="1741" w:type="dxa"/>
          </w:tcPr>
          <w:p w14:paraId="504C2D19"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7.62</w:t>
            </w:r>
          </w:p>
        </w:tc>
      </w:tr>
      <w:tr w:rsidR="003B23D7" w14:paraId="6B759ECC" w14:textId="77777777">
        <w:trPr>
          <w:trHeight w:val="569"/>
          <w:jc w:val="center"/>
        </w:trPr>
        <w:tc>
          <w:tcPr>
            <w:tcW w:w="1846" w:type="dxa"/>
          </w:tcPr>
          <w:p w14:paraId="43037A14"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T7</w:t>
            </w:r>
          </w:p>
        </w:tc>
        <w:tc>
          <w:tcPr>
            <w:tcW w:w="1783" w:type="dxa"/>
          </w:tcPr>
          <w:p w14:paraId="776F2D33"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8.10</w:t>
            </w:r>
          </w:p>
        </w:tc>
        <w:tc>
          <w:tcPr>
            <w:tcW w:w="1104" w:type="dxa"/>
          </w:tcPr>
          <w:p w14:paraId="7F25F8DB"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7.82</w:t>
            </w:r>
          </w:p>
        </w:tc>
        <w:tc>
          <w:tcPr>
            <w:tcW w:w="912" w:type="dxa"/>
          </w:tcPr>
          <w:p w14:paraId="6EC8E929"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7.95</w:t>
            </w:r>
          </w:p>
        </w:tc>
        <w:tc>
          <w:tcPr>
            <w:tcW w:w="1741" w:type="dxa"/>
          </w:tcPr>
          <w:p w14:paraId="2CA5B09F"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8.04</w:t>
            </w:r>
          </w:p>
        </w:tc>
      </w:tr>
      <w:tr w:rsidR="003B23D7" w14:paraId="11EC3D7F" w14:textId="77777777">
        <w:trPr>
          <w:trHeight w:val="569"/>
          <w:jc w:val="center"/>
        </w:trPr>
        <w:tc>
          <w:tcPr>
            <w:tcW w:w="1846" w:type="dxa"/>
          </w:tcPr>
          <w:p w14:paraId="1A59EC8D"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T8</w:t>
            </w:r>
          </w:p>
        </w:tc>
        <w:tc>
          <w:tcPr>
            <w:tcW w:w="1783" w:type="dxa"/>
          </w:tcPr>
          <w:p w14:paraId="06D49B31"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9.1</w:t>
            </w:r>
          </w:p>
        </w:tc>
        <w:tc>
          <w:tcPr>
            <w:tcW w:w="1104" w:type="dxa"/>
          </w:tcPr>
          <w:p w14:paraId="25526298"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7.25</w:t>
            </w:r>
          </w:p>
        </w:tc>
        <w:tc>
          <w:tcPr>
            <w:tcW w:w="912" w:type="dxa"/>
          </w:tcPr>
          <w:p w14:paraId="649D391C"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36.98</w:t>
            </w:r>
          </w:p>
        </w:tc>
        <w:tc>
          <w:tcPr>
            <w:tcW w:w="1741" w:type="dxa"/>
          </w:tcPr>
          <w:p w14:paraId="7EA4C37B"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9.30</w:t>
            </w:r>
          </w:p>
        </w:tc>
      </w:tr>
      <w:tr w:rsidR="003B23D7" w14:paraId="06EF887D" w14:textId="77777777">
        <w:trPr>
          <w:trHeight w:val="569"/>
          <w:jc w:val="center"/>
        </w:trPr>
        <w:tc>
          <w:tcPr>
            <w:tcW w:w="1846" w:type="dxa"/>
          </w:tcPr>
          <w:p w14:paraId="2EFFF5B3"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T9</w:t>
            </w:r>
          </w:p>
        </w:tc>
        <w:tc>
          <w:tcPr>
            <w:tcW w:w="1783" w:type="dxa"/>
          </w:tcPr>
          <w:p w14:paraId="2C818F39"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8.58</w:t>
            </w:r>
          </w:p>
        </w:tc>
        <w:tc>
          <w:tcPr>
            <w:tcW w:w="1104" w:type="dxa"/>
          </w:tcPr>
          <w:p w14:paraId="01604438"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8.55</w:t>
            </w:r>
          </w:p>
        </w:tc>
        <w:tc>
          <w:tcPr>
            <w:tcW w:w="912" w:type="dxa"/>
          </w:tcPr>
          <w:p w14:paraId="6525C8E5"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8.86</w:t>
            </w:r>
          </w:p>
        </w:tc>
        <w:tc>
          <w:tcPr>
            <w:tcW w:w="1741" w:type="dxa"/>
          </w:tcPr>
          <w:p w14:paraId="7598EE01"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9.05</w:t>
            </w:r>
          </w:p>
        </w:tc>
      </w:tr>
      <w:tr w:rsidR="003B23D7" w14:paraId="5A713BEB" w14:textId="77777777">
        <w:trPr>
          <w:trHeight w:val="569"/>
          <w:jc w:val="center"/>
        </w:trPr>
        <w:tc>
          <w:tcPr>
            <w:tcW w:w="1846" w:type="dxa"/>
          </w:tcPr>
          <w:p w14:paraId="2E53DB15"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SE±(m)</w:t>
            </w:r>
          </w:p>
        </w:tc>
        <w:tc>
          <w:tcPr>
            <w:tcW w:w="1783" w:type="dxa"/>
          </w:tcPr>
          <w:p w14:paraId="62088CE5"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0.35</w:t>
            </w:r>
          </w:p>
        </w:tc>
        <w:tc>
          <w:tcPr>
            <w:tcW w:w="1104" w:type="dxa"/>
          </w:tcPr>
          <w:p w14:paraId="7D1205FA"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0.25</w:t>
            </w:r>
          </w:p>
        </w:tc>
        <w:tc>
          <w:tcPr>
            <w:tcW w:w="912" w:type="dxa"/>
          </w:tcPr>
          <w:p w14:paraId="377C5164"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9.34</w:t>
            </w:r>
          </w:p>
        </w:tc>
        <w:tc>
          <w:tcPr>
            <w:tcW w:w="1741" w:type="dxa"/>
          </w:tcPr>
          <w:p w14:paraId="374B2FB0"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0.32</w:t>
            </w:r>
          </w:p>
        </w:tc>
      </w:tr>
      <w:tr w:rsidR="003B23D7" w14:paraId="596B54ED" w14:textId="77777777">
        <w:trPr>
          <w:trHeight w:val="569"/>
          <w:jc w:val="center"/>
        </w:trPr>
        <w:tc>
          <w:tcPr>
            <w:tcW w:w="1846" w:type="dxa"/>
          </w:tcPr>
          <w:p w14:paraId="45147D10"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CD@5%</w:t>
            </w:r>
          </w:p>
        </w:tc>
        <w:tc>
          <w:tcPr>
            <w:tcW w:w="1783" w:type="dxa"/>
          </w:tcPr>
          <w:p w14:paraId="3E0EAEB9"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1.04</w:t>
            </w:r>
          </w:p>
        </w:tc>
        <w:tc>
          <w:tcPr>
            <w:tcW w:w="1104" w:type="dxa"/>
          </w:tcPr>
          <w:p w14:paraId="5451B5DD"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0.77</w:t>
            </w:r>
          </w:p>
        </w:tc>
        <w:tc>
          <w:tcPr>
            <w:tcW w:w="912" w:type="dxa"/>
          </w:tcPr>
          <w:p w14:paraId="5DBAC423"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0.01</w:t>
            </w:r>
          </w:p>
        </w:tc>
        <w:tc>
          <w:tcPr>
            <w:tcW w:w="1741" w:type="dxa"/>
          </w:tcPr>
          <w:p w14:paraId="61035F49" w14:textId="77777777" w:rsidR="003B23D7" w:rsidRDefault="00DB169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0.98</w:t>
            </w:r>
          </w:p>
        </w:tc>
      </w:tr>
    </w:tbl>
    <w:p w14:paraId="05A5E709" w14:textId="77777777" w:rsidR="003B23D7" w:rsidRDefault="003B23D7">
      <w:pPr>
        <w:spacing w:before="280" w:after="280" w:line="360" w:lineRule="auto"/>
        <w:rPr>
          <w:rFonts w:ascii="Times New Roman" w:eastAsia="Times New Roman" w:hAnsi="Times New Roman" w:cs="Times New Roman"/>
          <w:b/>
        </w:rPr>
      </w:pPr>
    </w:p>
    <w:p w14:paraId="49A542E0" w14:textId="77777777" w:rsidR="003B23D7" w:rsidRDefault="00DB169B">
      <w:pPr>
        <w:spacing w:before="280" w:after="280" w:line="360" w:lineRule="auto"/>
        <w:rPr>
          <w:rFonts w:ascii="Times New Roman" w:eastAsia="Times New Roman" w:hAnsi="Times New Roman" w:cs="Times New Roman"/>
          <w:sz w:val="24"/>
          <w:szCs w:val="24"/>
        </w:rPr>
      </w:pPr>
      <w:r>
        <w:rPr>
          <w:rFonts w:ascii="Times New Roman" w:eastAsia="Times New Roman" w:hAnsi="Times New Roman" w:cs="Times New Roman"/>
          <w:b/>
        </w:rPr>
        <w:t xml:space="preserve">Table 7. Organoleptic parameters of different treatments at 60 days after storage </w:t>
      </w:r>
    </w:p>
    <w:tbl>
      <w:tblPr>
        <w:tblStyle w:val="a6"/>
        <w:tblW w:w="6876" w:type="dxa"/>
        <w:jc w:val="cente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83"/>
        <w:gridCol w:w="1540"/>
        <w:gridCol w:w="1095"/>
        <w:gridCol w:w="1093"/>
        <w:gridCol w:w="1665"/>
      </w:tblGrid>
      <w:tr w:rsidR="003B23D7" w14:paraId="63AA3A65" w14:textId="77777777">
        <w:trPr>
          <w:trHeight w:val="562"/>
          <w:jc w:val="center"/>
        </w:trPr>
        <w:tc>
          <w:tcPr>
            <w:tcW w:w="1484" w:type="dxa"/>
            <w:shd w:val="clear" w:color="auto" w:fill="auto"/>
          </w:tcPr>
          <w:p w14:paraId="64037313" w14:textId="77777777" w:rsidR="003B23D7" w:rsidRDefault="00DB169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Treatments</w:t>
            </w:r>
          </w:p>
        </w:tc>
        <w:tc>
          <w:tcPr>
            <w:tcW w:w="1540" w:type="dxa"/>
            <w:shd w:val="clear" w:color="auto" w:fill="auto"/>
          </w:tcPr>
          <w:p w14:paraId="736288B9" w14:textId="77777777" w:rsidR="003B23D7" w:rsidRDefault="00DB169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Colour and Appearance</w:t>
            </w:r>
          </w:p>
        </w:tc>
        <w:tc>
          <w:tcPr>
            <w:tcW w:w="1095" w:type="dxa"/>
            <w:shd w:val="clear" w:color="auto" w:fill="auto"/>
          </w:tcPr>
          <w:p w14:paraId="262425D5" w14:textId="77777777" w:rsidR="003B23D7" w:rsidRDefault="00DB169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Texture</w:t>
            </w:r>
          </w:p>
        </w:tc>
        <w:tc>
          <w:tcPr>
            <w:tcW w:w="1093" w:type="dxa"/>
            <w:shd w:val="clear" w:color="auto" w:fill="auto"/>
          </w:tcPr>
          <w:p w14:paraId="53CC2356" w14:textId="77777777" w:rsidR="003B23D7" w:rsidRDefault="00DB169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Taste</w:t>
            </w:r>
          </w:p>
        </w:tc>
        <w:tc>
          <w:tcPr>
            <w:tcW w:w="1665" w:type="dxa"/>
            <w:shd w:val="clear" w:color="auto" w:fill="auto"/>
          </w:tcPr>
          <w:p w14:paraId="5974749B" w14:textId="77777777" w:rsidR="003B23D7" w:rsidRDefault="00DB169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t>Overall Acceptability</w:t>
            </w:r>
          </w:p>
        </w:tc>
      </w:tr>
      <w:tr w:rsidR="003B23D7" w14:paraId="153DE898" w14:textId="77777777">
        <w:trPr>
          <w:trHeight w:val="562"/>
          <w:jc w:val="center"/>
        </w:trPr>
        <w:tc>
          <w:tcPr>
            <w:tcW w:w="1484" w:type="dxa"/>
            <w:shd w:val="clear" w:color="auto" w:fill="auto"/>
            <w:vAlign w:val="bottom"/>
          </w:tcPr>
          <w:p w14:paraId="148F179A"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T1</w:t>
            </w:r>
          </w:p>
        </w:tc>
        <w:tc>
          <w:tcPr>
            <w:tcW w:w="1540" w:type="dxa"/>
            <w:shd w:val="clear" w:color="auto" w:fill="auto"/>
          </w:tcPr>
          <w:p w14:paraId="5089196E"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7.22</w:t>
            </w:r>
          </w:p>
        </w:tc>
        <w:tc>
          <w:tcPr>
            <w:tcW w:w="1095" w:type="dxa"/>
            <w:shd w:val="clear" w:color="auto" w:fill="auto"/>
          </w:tcPr>
          <w:p w14:paraId="36A16A6D"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8.22</w:t>
            </w:r>
          </w:p>
        </w:tc>
        <w:tc>
          <w:tcPr>
            <w:tcW w:w="1093" w:type="dxa"/>
            <w:shd w:val="clear" w:color="auto" w:fill="auto"/>
          </w:tcPr>
          <w:p w14:paraId="697CACCA"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8.47</w:t>
            </w:r>
          </w:p>
        </w:tc>
        <w:tc>
          <w:tcPr>
            <w:tcW w:w="1665" w:type="dxa"/>
            <w:shd w:val="clear" w:color="auto" w:fill="auto"/>
          </w:tcPr>
          <w:p w14:paraId="6EFDAF60"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7.89</w:t>
            </w:r>
          </w:p>
        </w:tc>
      </w:tr>
      <w:tr w:rsidR="003B23D7" w14:paraId="5B7473E3" w14:textId="77777777">
        <w:trPr>
          <w:trHeight w:val="562"/>
          <w:jc w:val="center"/>
        </w:trPr>
        <w:tc>
          <w:tcPr>
            <w:tcW w:w="1484" w:type="dxa"/>
            <w:shd w:val="clear" w:color="auto" w:fill="auto"/>
            <w:vAlign w:val="bottom"/>
          </w:tcPr>
          <w:p w14:paraId="0310C64C"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T2</w:t>
            </w:r>
          </w:p>
        </w:tc>
        <w:tc>
          <w:tcPr>
            <w:tcW w:w="1540" w:type="dxa"/>
            <w:shd w:val="clear" w:color="auto" w:fill="auto"/>
          </w:tcPr>
          <w:p w14:paraId="3593F221"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8.35</w:t>
            </w:r>
          </w:p>
        </w:tc>
        <w:tc>
          <w:tcPr>
            <w:tcW w:w="1095" w:type="dxa"/>
            <w:shd w:val="clear" w:color="auto" w:fill="auto"/>
          </w:tcPr>
          <w:p w14:paraId="07BCAF64"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8.08</w:t>
            </w:r>
          </w:p>
        </w:tc>
        <w:tc>
          <w:tcPr>
            <w:tcW w:w="1093" w:type="dxa"/>
            <w:shd w:val="clear" w:color="auto" w:fill="auto"/>
          </w:tcPr>
          <w:p w14:paraId="6CA139CF"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7.69</w:t>
            </w:r>
          </w:p>
        </w:tc>
        <w:tc>
          <w:tcPr>
            <w:tcW w:w="1665" w:type="dxa"/>
            <w:shd w:val="clear" w:color="auto" w:fill="auto"/>
          </w:tcPr>
          <w:p w14:paraId="0033BA08"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7.98</w:t>
            </w:r>
          </w:p>
        </w:tc>
      </w:tr>
      <w:tr w:rsidR="003B23D7" w14:paraId="7EB0E764" w14:textId="77777777">
        <w:trPr>
          <w:trHeight w:val="562"/>
          <w:jc w:val="center"/>
        </w:trPr>
        <w:tc>
          <w:tcPr>
            <w:tcW w:w="1484" w:type="dxa"/>
            <w:shd w:val="clear" w:color="auto" w:fill="auto"/>
            <w:vAlign w:val="bottom"/>
          </w:tcPr>
          <w:p w14:paraId="1D8EA109"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T3</w:t>
            </w:r>
          </w:p>
        </w:tc>
        <w:tc>
          <w:tcPr>
            <w:tcW w:w="1540" w:type="dxa"/>
            <w:shd w:val="clear" w:color="auto" w:fill="auto"/>
          </w:tcPr>
          <w:p w14:paraId="03C4A8C5"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8.72</w:t>
            </w:r>
          </w:p>
        </w:tc>
        <w:tc>
          <w:tcPr>
            <w:tcW w:w="1095" w:type="dxa"/>
            <w:shd w:val="clear" w:color="auto" w:fill="auto"/>
          </w:tcPr>
          <w:p w14:paraId="2A8B4085"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8.69</w:t>
            </w:r>
          </w:p>
        </w:tc>
        <w:tc>
          <w:tcPr>
            <w:tcW w:w="1093" w:type="dxa"/>
            <w:shd w:val="clear" w:color="auto" w:fill="auto"/>
          </w:tcPr>
          <w:p w14:paraId="3B36F593"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7.96</w:t>
            </w:r>
          </w:p>
        </w:tc>
        <w:tc>
          <w:tcPr>
            <w:tcW w:w="1665" w:type="dxa"/>
            <w:shd w:val="clear" w:color="auto" w:fill="auto"/>
          </w:tcPr>
          <w:p w14:paraId="4677D847"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8.55</w:t>
            </w:r>
          </w:p>
        </w:tc>
      </w:tr>
      <w:tr w:rsidR="003B23D7" w14:paraId="2E7207B8" w14:textId="77777777">
        <w:trPr>
          <w:trHeight w:val="562"/>
          <w:jc w:val="center"/>
        </w:trPr>
        <w:tc>
          <w:tcPr>
            <w:tcW w:w="1484" w:type="dxa"/>
            <w:shd w:val="clear" w:color="auto" w:fill="auto"/>
            <w:vAlign w:val="bottom"/>
          </w:tcPr>
          <w:p w14:paraId="63A9F218"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T4</w:t>
            </w:r>
          </w:p>
        </w:tc>
        <w:tc>
          <w:tcPr>
            <w:tcW w:w="1540" w:type="dxa"/>
            <w:shd w:val="clear" w:color="auto" w:fill="auto"/>
          </w:tcPr>
          <w:p w14:paraId="09B96BD9"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5.66</w:t>
            </w:r>
          </w:p>
        </w:tc>
        <w:tc>
          <w:tcPr>
            <w:tcW w:w="1095" w:type="dxa"/>
            <w:shd w:val="clear" w:color="auto" w:fill="auto"/>
          </w:tcPr>
          <w:p w14:paraId="296B113E"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6.64</w:t>
            </w:r>
          </w:p>
        </w:tc>
        <w:tc>
          <w:tcPr>
            <w:tcW w:w="1093" w:type="dxa"/>
            <w:shd w:val="clear" w:color="auto" w:fill="auto"/>
          </w:tcPr>
          <w:p w14:paraId="0B812DDA"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7.78</w:t>
            </w:r>
          </w:p>
        </w:tc>
        <w:tc>
          <w:tcPr>
            <w:tcW w:w="1665" w:type="dxa"/>
            <w:shd w:val="clear" w:color="auto" w:fill="auto"/>
          </w:tcPr>
          <w:p w14:paraId="75C8ABC1"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7.65</w:t>
            </w:r>
          </w:p>
        </w:tc>
      </w:tr>
      <w:tr w:rsidR="003B23D7" w14:paraId="7FBF2EA5" w14:textId="77777777">
        <w:trPr>
          <w:trHeight w:val="562"/>
          <w:jc w:val="center"/>
        </w:trPr>
        <w:tc>
          <w:tcPr>
            <w:tcW w:w="1484" w:type="dxa"/>
            <w:shd w:val="clear" w:color="auto" w:fill="auto"/>
            <w:vAlign w:val="bottom"/>
          </w:tcPr>
          <w:p w14:paraId="679EFA61"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T5</w:t>
            </w:r>
          </w:p>
        </w:tc>
        <w:tc>
          <w:tcPr>
            <w:tcW w:w="1540" w:type="dxa"/>
            <w:shd w:val="clear" w:color="auto" w:fill="auto"/>
          </w:tcPr>
          <w:p w14:paraId="58F84197"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6.01</w:t>
            </w:r>
          </w:p>
        </w:tc>
        <w:tc>
          <w:tcPr>
            <w:tcW w:w="1095" w:type="dxa"/>
            <w:shd w:val="clear" w:color="auto" w:fill="auto"/>
          </w:tcPr>
          <w:p w14:paraId="46F91C57"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6.55</w:t>
            </w:r>
          </w:p>
        </w:tc>
        <w:tc>
          <w:tcPr>
            <w:tcW w:w="1093" w:type="dxa"/>
            <w:shd w:val="clear" w:color="auto" w:fill="auto"/>
          </w:tcPr>
          <w:p w14:paraId="5DC11151"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8.00</w:t>
            </w:r>
          </w:p>
        </w:tc>
        <w:tc>
          <w:tcPr>
            <w:tcW w:w="1665" w:type="dxa"/>
            <w:shd w:val="clear" w:color="auto" w:fill="auto"/>
          </w:tcPr>
          <w:p w14:paraId="52C236DA"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7.21</w:t>
            </w:r>
          </w:p>
        </w:tc>
      </w:tr>
      <w:tr w:rsidR="003B23D7" w14:paraId="5DD5D34E" w14:textId="77777777">
        <w:trPr>
          <w:trHeight w:val="562"/>
          <w:jc w:val="center"/>
        </w:trPr>
        <w:tc>
          <w:tcPr>
            <w:tcW w:w="1484" w:type="dxa"/>
            <w:shd w:val="clear" w:color="auto" w:fill="auto"/>
            <w:vAlign w:val="bottom"/>
          </w:tcPr>
          <w:p w14:paraId="646D6DE5"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T6</w:t>
            </w:r>
          </w:p>
        </w:tc>
        <w:tc>
          <w:tcPr>
            <w:tcW w:w="1540" w:type="dxa"/>
            <w:shd w:val="clear" w:color="auto" w:fill="auto"/>
          </w:tcPr>
          <w:p w14:paraId="551DD111"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6.16</w:t>
            </w:r>
          </w:p>
        </w:tc>
        <w:tc>
          <w:tcPr>
            <w:tcW w:w="1095" w:type="dxa"/>
            <w:shd w:val="clear" w:color="auto" w:fill="auto"/>
          </w:tcPr>
          <w:p w14:paraId="73EA6213"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7.25</w:t>
            </w:r>
          </w:p>
        </w:tc>
        <w:tc>
          <w:tcPr>
            <w:tcW w:w="1093" w:type="dxa"/>
            <w:shd w:val="clear" w:color="auto" w:fill="auto"/>
          </w:tcPr>
          <w:p w14:paraId="01C15822"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7.10</w:t>
            </w:r>
          </w:p>
        </w:tc>
        <w:tc>
          <w:tcPr>
            <w:tcW w:w="1665" w:type="dxa"/>
            <w:shd w:val="clear" w:color="auto" w:fill="auto"/>
          </w:tcPr>
          <w:p w14:paraId="715ED31C"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7.61</w:t>
            </w:r>
          </w:p>
        </w:tc>
      </w:tr>
      <w:tr w:rsidR="003B23D7" w14:paraId="2EAAF54C" w14:textId="77777777">
        <w:trPr>
          <w:trHeight w:val="562"/>
          <w:jc w:val="center"/>
        </w:trPr>
        <w:tc>
          <w:tcPr>
            <w:tcW w:w="1484" w:type="dxa"/>
            <w:shd w:val="clear" w:color="auto" w:fill="auto"/>
            <w:vAlign w:val="bottom"/>
          </w:tcPr>
          <w:p w14:paraId="6F184B19"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T7</w:t>
            </w:r>
          </w:p>
        </w:tc>
        <w:tc>
          <w:tcPr>
            <w:tcW w:w="1540" w:type="dxa"/>
            <w:shd w:val="clear" w:color="auto" w:fill="auto"/>
          </w:tcPr>
          <w:p w14:paraId="1205F047"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7.12</w:t>
            </w:r>
          </w:p>
        </w:tc>
        <w:tc>
          <w:tcPr>
            <w:tcW w:w="1095" w:type="dxa"/>
            <w:shd w:val="clear" w:color="auto" w:fill="auto"/>
          </w:tcPr>
          <w:p w14:paraId="08DF8061"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7.22</w:t>
            </w:r>
          </w:p>
        </w:tc>
        <w:tc>
          <w:tcPr>
            <w:tcW w:w="1093" w:type="dxa"/>
            <w:shd w:val="clear" w:color="auto" w:fill="auto"/>
          </w:tcPr>
          <w:p w14:paraId="014CBFA4"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7.88</w:t>
            </w:r>
          </w:p>
        </w:tc>
        <w:tc>
          <w:tcPr>
            <w:tcW w:w="1665" w:type="dxa"/>
            <w:shd w:val="clear" w:color="auto" w:fill="auto"/>
          </w:tcPr>
          <w:p w14:paraId="7860A51B"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8.08</w:t>
            </w:r>
          </w:p>
        </w:tc>
      </w:tr>
      <w:tr w:rsidR="003B23D7" w14:paraId="06D21D3A" w14:textId="77777777">
        <w:trPr>
          <w:trHeight w:val="562"/>
          <w:jc w:val="center"/>
        </w:trPr>
        <w:tc>
          <w:tcPr>
            <w:tcW w:w="1484" w:type="dxa"/>
            <w:shd w:val="clear" w:color="auto" w:fill="auto"/>
            <w:vAlign w:val="bottom"/>
          </w:tcPr>
          <w:p w14:paraId="6F91269E"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T8</w:t>
            </w:r>
          </w:p>
        </w:tc>
        <w:tc>
          <w:tcPr>
            <w:tcW w:w="1540" w:type="dxa"/>
            <w:shd w:val="clear" w:color="auto" w:fill="auto"/>
          </w:tcPr>
          <w:p w14:paraId="2E837C94"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8.49</w:t>
            </w:r>
          </w:p>
        </w:tc>
        <w:tc>
          <w:tcPr>
            <w:tcW w:w="1095" w:type="dxa"/>
            <w:shd w:val="clear" w:color="auto" w:fill="auto"/>
          </w:tcPr>
          <w:p w14:paraId="054EF2F1"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7.11</w:t>
            </w:r>
          </w:p>
        </w:tc>
        <w:tc>
          <w:tcPr>
            <w:tcW w:w="1093" w:type="dxa"/>
            <w:shd w:val="clear" w:color="auto" w:fill="auto"/>
          </w:tcPr>
          <w:p w14:paraId="40CAAB5E"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17.67</w:t>
            </w:r>
          </w:p>
        </w:tc>
        <w:tc>
          <w:tcPr>
            <w:tcW w:w="1665" w:type="dxa"/>
            <w:shd w:val="clear" w:color="auto" w:fill="auto"/>
          </w:tcPr>
          <w:p w14:paraId="3A1D083F"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8.42</w:t>
            </w:r>
          </w:p>
        </w:tc>
      </w:tr>
      <w:tr w:rsidR="003B23D7" w14:paraId="35EFB028" w14:textId="77777777">
        <w:trPr>
          <w:trHeight w:val="562"/>
          <w:jc w:val="center"/>
        </w:trPr>
        <w:tc>
          <w:tcPr>
            <w:tcW w:w="1484" w:type="dxa"/>
            <w:shd w:val="clear" w:color="auto" w:fill="auto"/>
            <w:vAlign w:val="bottom"/>
          </w:tcPr>
          <w:p w14:paraId="45B7E05C"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T9</w:t>
            </w:r>
          </w:p>
        </w:tc>
        <w:tc>
          <w:tcPr>
            <w:tcW w:w="1540" w:type="dxa"/>
            <w:shd w:val="clear" w:color="auto" w:fill="auto"/>
          </w:tcPr>
          <w:p w14:paraId="3A26FC4B"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6.93</w:t>
            </w:r>
          </w:p>
        </w:tc>
        <w:tc>
          <w:tcPr>
            <w:tcW w:w="1095" w:type="dxa"/>
            <w:shd w:val="clear" w:color="auto" w:fill="auto"/>
          </w:tcPr>
          <w:p w14:paraId="04A99F0B"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8.26</w:t>
            </w:r>
          </w:p>
        </w:tc>
        <w:tc>
          <w:tcPr>
            <w:tcW w:w="1093" w:type="dxa"/>
            <w:shd w:val="clear" w:color="auto" w:fill="auto"/>
          </w:tcPr>
          <w:p w14:paraId="7A471BA5"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8.17</w:t>
            </w:r>
          </w:p>
        </w:tc>
        <w:tc>
          <w:tcPr>
            <w:tcW w:w="1665" w:type="dxa"/>
            <w:shd w:val="clear" w:color="auto" w:fill="auto"/>
          </w:tcPr>
          <w:p w14:paraId="14FC810E"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8.23</w:t>
            </w:r>
          </w:p>
        </w:tc>
      </w:tr>
      <w:tr w:rsidR="003B23D7" w14:paraId="50F1A4E6" w14:textId="77777777">
        <w:trPr>
          <w:trHeight w:val="562"/>
          <w:jc w:val="center"/>
        </w:trPr>
        <w:tc>
          <w:tcPr>
            <w:tcW w:w="1484" w:type="dxa"/>
            <w:shd w:val="clear" w:color="auto" w:fill="auto"/>
          </w:tcPr>
          <w:p w14:paraId="4745BF9B"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SE±(m)</w:t>
            </w:r>
          </w:p>
        </w:tc>
        <w:tc>
          <w:tcPr>
            <w:tcW w:w="1540" w:type="dxa"/>
            <w:shd w:val="clear" w:color="auto" w:fill="auto"/>
          </w:tcPr>
          <w:p w14:paraId="59D46550"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0.67</w:t>
            </w:r>
          </w:p>
        </w:tc>
        <w:tc>
          <w:tcPr>
            <w:tcW w:w="1095" w:type="dxa"/>
            <w:shd w:val="clear" w:color="auto" w:fill="auto"/>
          </w:tcPr>
          <w:p w14:paraId="443F9D42"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0.43</w:t>
            </w:r>
          </w:p>
        </w:tc>
        <w:tc>
          <w:tcPr>
            <w:tcW w:w="1093" w:type="dxa"/>
            <w:shd w:val="clear" w:color="auto" w:fill="auto"/>
          </w:tcPr>
          <w:p w14:paraId="5780B5BB"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3.23</w:t>
            </w:r>
          </w:p>
        </w:tc>
        <w:tc>
          <w:tcPr>
            <w:tcW w:w="1665" w:type="dxa"/>
            <w:shd w:val="clear" w:color="auto" w:fill="auto"/>
          </w:tcPr>
          <w:p w14:paraId="7FC8AF15" w14:textId="77777777" w:rsidR="003B23D7" w:rsidRDefault="00DB169B">
            <w:pPr>
              <w:jc w:val="center"/>
              <w:rPr>
                <w:rFonts w:ascii="Times New Roman" w:eastAsia="Times New Roman" w:hAnsi="Times New Roman" w:cs="Times New Roman"/>
                <w:color w:val="000000"/>
                <w:sz w:val="24"/>
                <w:szCs w:val="24"/>
              </w:rPr>
            </w:pPr>
            <w:r>
              <w:rPr>
                <w:rFonts w:ascii="Times New Roman" w:eastAsia="Times New Roman" w:hAnsi="Times New Roman" w:cs="Times New Roman"/>
                <w:sz w:val="24"/>
                <w:szCs w:val="24"/>
              </w:rPr>
              <w:t>0.40</w:t>
            </w:r>
          </w:p>
        </w:tc>
      </w:tr>
      <w:tr w:rsidR="003B23D7" w14:paraId="211ABEDF" w14:textId="77777777">
        <w:trPr>
          <w:trHeight w:val="562"/>
          <w:jc w:val="center"/>
        </w:trPr>
        <w:tc>
          <w:tcPr>
            <w:tcW w:w="1484" w:type="dxa"/>
            <w:shd w:val="clear" w:color="auto" w:fill="auto"/>
          </w:tcPr>
          <w:p w14:paraId="614FF786" w14:textId="77777777" w:rsidR="003B23D7" w:rsidRDefault="00DB169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CD@5%</w:t>
            </w:r>
          </w:p>
        </w:tc>
        <w:tc>
          <w:tcPr>
            <w:tcW w:w="1540" w:type="dxa"/>
            <w:shd w:val="clear" w:color="auto" w:fill="auto"/>
          </w:tcPr>
          <w:p w14:paraId="53D7C611" w14:textId="77777777" w:rsidR="003B23D7" w:rsidRDefault="00DB169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2.03</w:t>
            </w:r>
          </w:p>
        </w:tc>
        <w:tc>
          <w:tcPr>
            <w:tcW w:w="1095" w:type="dxa"/>
            <w:shd w:val="clear" w:color="auto" w:fill="auto"/>
          </w:tcPr>
          <w:p w14:paraId="17D653B8" w14:textId="77777777" w:rsidR="003B23D7" w:rsidRDefault="00DB169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1.28</w:t>
            </w:r>
          </w:p>
        </w:tc>
        <w:tc>
          <w:tcPr>
            <w:tcW w:w="1093" w:type="dxa"/>
            <w:shd w:val="clear" w:color="auto" w:fill="auto"/>
          </w:tcPr>
          <w:p w14:paraId="14566FA5" w14:textId="77777777" w:rsidR="003B23D7" w:rsidRDefault="00DB169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0.02</w:t>
            </w:r>
          </w:p>
        </w:tc>
        <w:tc>
          <w:tcPr>
            <w:tcW w:w="1665" w:type="dxa"/>
            <w:shd w:val="clear" w:color="auto" w:fill="auto"/>
          </w:tcPr>
          <w:p w14:paraId="5305D073" w14:textId="77777777" w:rsidR="003B23D7" w:rsidRDefault="00DB169B">
            <w:pPr>
              <w:jc w:val="center"/>
              <w:rPr>
                <w:rFonts w:ascii="Times New Roman" w:eastAsia="Times New Roman" w:hAnsi="Times New Roman" w:cs="Times New Roman"/>
                <w:b/>
                <w:color w:val="000000"/>
                <w:sz w:val="24"/>
                <w:szCs w:val="24"/>
              </w:rPr>
            </w:pPr>
            <w:r>
              <w:rPr>
                <w:rFonts w:ascii="Times New Roman" w:eastAsia="Times New Roman" w:hAnsi="Times New Roman" w:cs="Times New Roman"/>
                <w:sz w:val="24"/>
                <w:szCs w:val="24"/>
              </w:rPr>
              <w:t>0.11</w:t>
            </w:r>
          </w:p>
        </w:tc>
      </w:tr>
    </w:tbl>
    <w:p w14:paraId="1A19247D" w14:textId="77777777" w:rsidR="003B23D7" w:rsidRDefault="003B23D7">
      <w:pPr>
        <w:pBdr>
          <w:top w:val="nil"/>
          <w:left w:val="nil"/>
          <w:bottom w:val="nil"/>
          <w:right w:val="nil"/>
          <w:between w:val="nil"/>
        </w:pBdr>
        <w:spacing w:line="240" w:lineRule="auto"/>
        <w:rPr>
          <w:rFonts w:ascii="Times New Roman" w:eastAsia="Times New Roman" w:hAnsi="Times New Roman" w:cs="Times New Roman"/>
          <w:color w:val="000000"/>
          <w:sz w:val="24"/>
          <w:szCs w:val="24"/>
        </w:rPr>
      </w:pPr>
    </w:p>
    <w:p w14:paraId="5199A115" w14:textId="77777777" w:rsidR="003B23D7" w:rsidRDefault="00DB169B">
      <w:pPr>
        <w:rPr>
          <w:rFonts w:ascii="Times New Roman" w:eastAsia="Times New Roman" w:hAnsi="Times New Roman" w:cs="Times New Roman"/>
          <w:b/>
          <w:sz w:val="24"/>
          <w:szCs w:val="24"/>
        </w:rPr>
      </w:pPr>
      <w:r>
        <w:br w:type="page"/>
      </w:r>
    </w:p>
    <w:p w14:paraId="0DC57C06" w14:textId="77777777" w:rsidR="003B23D7" w:rsidRDefault="00DB169B">
      <w:pPr>
        <w:pBdr>
          <w:top w:val="nil"/>
          <w:left w:val="nil"/>
          <w:bottom w:val="nil"/>
          <w:right w:val="nil"/>
          <w:between w:val="nil"/>
        </w:pBdr>
        <w:spacing w:line="240" w:lineRule="auto"/>
        <w:rPr>
          <w:rFonts w:ascii="Times New Roman" w:eastAsia="Times New Roman" w:hAnsi="Times New Roman" w:cs="Times New Roman"/>
          <w:b/>
          <w:color w:val="000000"/>
          <w:sz w:val="24"/>
          <w:szCs w:val="24"/>
        </w:rPr>
      </w:pPr>
      <w:r>
        <w:rPr>
          <w:rFonts w:ascii="Times New Roman" w:eastAsia="Times New Roman" w:hAnsi="Times New Roman" w:cs="Times New Roman"/>
          <w:b/>
          <w:color w:val="000000"/>
          <w:sz w:val="24"/>
          <w:szCs w:val="24"/>
        </w:rPr>
        <w:lastRenderedPageBreak/>
        <w:t xml:space="preserve">References </w:t>
      </w:r>
    </w:p>
    <w:p w14:paraId="6C339A0A" w14:textId="77777777" w:rsidR="003B23D7" w:rsidRDefault="00DB169B">
      <w:pPr>
        <w:spacing w:before="280" w:after="28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Aradhita</w:t>
      </w:r>
      <w:proofErr w:type="spellEnd"/>
      <w:r>
        <w:rPr>
          <w:rFonts w:ascii="Times New Roman" w:eastAsia="Times New Roman" w:hAnsi="Times New Roman" w:cs="Times New Roman"/>
          <w:sz w:val="24"/>
          <w:szCs w:val="24"/>
        </w:rPr>
        <w:t xml:space="preserve"> K, Bhattarai SP, Sharma S (1996) </w:t>
      </w:r>
      <w:proofErr w:type="spellStart"/>
      <w:r>
        <w:rPr>
          <w:rFonts w:ascii="Times New Roman" w:eastAsia="Times New Roman" w:hAnsi="Times New Roman" w:cs="Times New Roman"/>
          <w:sz w:val="24"/>
          <w:szCs w:val="24"/>
        </w:rPr>
        <w:t>Physico</w:t>
      </w:r>
      <w:proofErr w:type="spellEnd"/>
      <w:r>
        <w:rPr>
          <w:rFonts w:ascii="Times New Roman" w:eastAsia="Times New Roman" w:hAnsi="Times New Roman" w:cs="Times New Roman"/>
          <w:sz w:val="24"/>
          <w:szCs w:val="24"/>
        </w:rPr>
        <w:t xml:space="preserve">-chemical changes during storage of guava jelly. </w:t>
      </w:r>
      <w:r>
        <w:rPr>
          <w:rFonts w:ascii="Times New Roman" w:eastAsia="Times New Roman" w:hAnsi="Times New Roman" w:cs="Times New Roman"/>
          <w:i/>
          <w:sz w:val="24"/>
          <w:szCs w:val="24"/>
        </w:rPr>
        <w:t xml:space="preserve">J Food Sci </w:t>
      </w:r>
      <w:proofErr w:type="spellStart"/>
      <w:r>
        <w:rPr>
          <w:rFonts w:ascii="Times New Roman" w:eastAsia="Times New Roman" w:hAnsi="Times New Roman" w:cs="Times New Roman"/>
          <w:i/>
          <w:sz w:val="24"/>
          <w:szCs w:val="24"/>
        </w:rPr>
        <w:t>Technol</w:t>
      </w:r>
      <w:proofErr w:type="spellEnd"/>
      <w:r>
        <w:rPr>
          <w:rFonts w:ascii="Times New Roman" w:eastAsia="Times New Roman" w:hAnsi="Times New Roman" w:cs="Times New Roman"/>
          <w:sz w:val="24"/>
          <w:szCs w:val="24"/>
        </w:rPr>
        <w:t xml:space="preserve"> 33(5):399–402</w:t>
      </w:r>
    </w:p>
    <w:p w14:paraId="12A963C0" w14:textId="77777777" w:rsidR="003B23D7" w:rsidRDefault="00DB169B">
      <w:pPr>
        <w:spacing w:before="280" w:after="28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Bamji</w:t>
      </w:r>
      <w:proofErr w:type="spellEnd"/>
      <w:r>
        <w:rPr>
          <w:rFonts w:ascii="Times New Roman" w:eastAsia="Times New Roman" w:hAnsi="Times New Roman" w:cs="Times New Roman"/>
          <w:sz w:val="24"/>
          <w:szCs w:val="24"/>
        </w:rPr>
        <w:t xml:space="preserve">, M. S., </w:t>
      </w:r>
      <w:proofErr w:type="spellStart"/>
      <w:r>
        <w:rPr>
          <w:rFonts w:ascii="Times New Roman" w:eastAsia="Times New Roman" w:hAnsi="Times New Roman" w:cs="Times New Roman"/>
          <w:sz w:val="24"/>
          <w:szCs w:val="24"/>
        </w:rPr>
        <w:t>Murty</w:t>
      </w:r>
      <w:proofErr w:type="spellEnd"/>
      <w:r>
        <w:rPr>
          <w:rFonts w:ascii="Times New Roman" w:eastAsia="Times New Roman" w:hAnsi="Times New Roman" w:cs="Times New Roman"/>
          <w:sz w:val="24"/>
          <w:szCs w:val="24"/>
        </w:rPr>
        <w:t>, P. V. V. S., &amp; Sudhir, P. D. (2020). Nutritionally sensitive agriculture—An approach to re</w:t>
      </w:r>
      <w:r>
        <w:rPr>
          <w:rFonts w:ascii="Times New Roman" w:eastAsia="Times New Roman" w:hAnsi="Times New Roman" w:cs="Times New Roman"/>
          <w:sz w:val="24"/>
          <w:szCs w:val="24"/>
        </w:rPr>
        <w:t xml:space="preserve">ducing hidden hunger. </w:t>
      </w:r>
      <w:r>
        <w:rPr>
          <w:rFonts w:ascii="Times New Roman" w:eastAsia="Times New Roman" w:hAnsi="Times New Roman" w:cs="Times New Roman"/>
          <w:i/>
          <w:sz w:val="24"/>
          <w:szCs w:val="24"/>
        </w:rPr>
        <w:t>European Journal of Clinical Nutrition, 75</w:t>
      </w:r>
      <w:r>
        <w:rPr>
          <w:rFonts w:ascii="Times New Roman" w:eastAsia="Times New Roman" w:hAnsi="Times New Roman" w:cs="Times New Roman"/>
          <w:sz w:val="24"/>
          <w:szCs w:val="24"/>
        </w:rPr>
        <w:t>(6), 1001–1009. https://doi.org/10.1038/s41430-020-00760-x</w:t>
      </w:r>
    </w:p>
    <w:p w14:paraId="076488CE" w14:textId="77777777" w:rsidR="003B23D7" w:rsidRDefault="00DB169B">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Bansal S, Sharma A, Kaur R (2023) Effect of sugar concentration on physicochemical properties of guava jelly. </w:t>
      </w:r>
      <w:r>
        <w:rPr>
          <w:rFonts w:ascii="Times New Roman" w:eastAsia="Times New Roman" w:hAnsi="Times New Roman" w:cs="Times New Roman"/>
          <w:i/>
          <w:sz w:val="24"/>
          <w:szCs w:val="24"/>
        </w:rPr>
        <w:t xml:space="preserve">J Food Process </w:t>
      </w:r>
      <w:proofErr w:type="spellStart"/>
      <w:r>
        <w:rPr>
          <w:rFonts w:ascii="Times New Roman" w:eastAsia="Times New Roman" w:hAnsi="Times New Roman" w:cs="Times New Roman"/>
          <w:i/>
          <w:sz w:val="24"/>
          <w:szCs w:val="24"/>
        </w:rPr>
        <w:t>Preserv</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47(2</w:t>
      </w:r>
      <w:proofErr w:type="gramStart"/>
      <w:r>
        <w:rPr>
          <w:rFonts w:ascii="Times New Roman" w:eastAsia="Times New Roman" w:hAnsi="Times New Roman" w:cs="Times New Roman"/>
          <w:sz w:val="24"/>
          <w:szCs w:val="24"/>
        </w:rPr>
        <w:t>):e</w:t>
      </w:r>
      <w:proofErr w:type="gramEnd"/>
      <w:r>
        <w:rPr>
          <w:rFonts w:ascii="Times New Roman" w:eastAsia="Times New Roman" w:hAnsi="Times New Roman" w:cs="Times New Roman"/>
          <w:sz w:val="24"/>
          <w:szCs w:val="24"/>
        </w:rPr>
        <w:t>16734. https://doi.org/10.1111/jfpp.16734</w:t>
      </w:r>
    </w:p>
    <w:p w14:paraId="36E10853" w14:textId="77777777" w:rsidR="003B23D7" w:rsidRDefault="00DB169B">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Codex Alimentarius Commission (CAC) (2020) Codex standard for jams, jellies and marmalades. CODEX STAN 296-2009. </w:t>
      </w:r>
      <w:hyperlink r:id="rId7">
        <w:r>
          <w:rPr>
            <w:rFonts w:ascii="Times New Roman" w:eastAsia="Times New Roman" w:hAnsi="Times New Roman" w:cs="Times New Roman"/>
            <w:color w:val="0000FF"/>
            <w:sz w:val="24"/>
            <w:szCs w:val="24"/>
            <w:u w:val="single"/>
          </w:rPr>
          <w:t>http://www.fao.org/fao-who-cod</w:t>
        </w:r>
        <w:r>
          <w:rPr>
            <w:rFonts w:ascii="Times New Roman" w:eastAsia="Times New Roman" w:hAnsi="Times New Roman" w:cs="Times New Roman"/>
            <w:color w:val="0000FF"/>
            <w:sz w:val="24"/>
            <w:szCs w:val="24"/>
            <w:u w:val="single"/>
          </w:rPr>
          <w:t>exalimentarius</w:t>
        </w:r>
      </w:hyperlink>
    </w:p>
    <w:p w14:paraId="7209288C" w14:textId="77777777" w:rsidR="003B23D7" w:rsidRDefault="00DB169B">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Dubey S, Singh RK, Patel R (2022) Jaggery: A traditional Indian sweetener with therapeutic properties. </w:t>
      </w:r>
      <w:r>
        <w:rPr>
          <w:rFonts w:ascii="Times New Roman" w:eastAsia="Times New Roman" w:hAnsi="Times New Roman" w:cs="Times New Roman"/>
          <w:i/>
          <w:sz w:val="24"/>
          <w:szCs w:val="24"/>
        </w:rPr>
        <w:t xml:space="preserve">J </w:t>
      </w:r>
      <w:proofErr w:type="spellStart"/>
      <w:r>
        <w:rPr>
          <w:rFonts w:ascii="Times New Roman" w:eastAsia="Times New Roman" w:hAnsi="Times New Roman" w:cs="Times New Roman"/>
          <w:i/>
          <w:sz w:val="24"/>
          <w:szCs w:val="24"/>
        </w:rPr>
        <w:t>Ethn</w:t>
      </w:r>
      <w:proofErr w:type="spellEnd"/>
      <w:r>
        <w:rPr>
          <w:rFonts w:ascii="Times New Roman" w:eastAsia="Times New Roman" w:hAnsi="Times New Roman" w:cs="Times New Roman"/>
          <w:i/>
          <w:sz w:val="24"/>
          <w:szCs w:val="24"/>
        </w:rPr>
        <w:t xml:space="preserve"> Foods</w:t>
      </w:r>
      <w:r>
        <w:rPr>
          <w:rFonts w:ascii="Times New Roman" w:eastAsia="Times New Roman" w:hAnsi="Times New Roman" w:cs="Times New Roman"/>
          <w:sz w:val="24"/>
          <w:szCs w:val="24"/>
        </w:rPr>
        <w:t xml:space="preserve"> 9(1):23–29. https://doi.org/10.1016/j.jef.2022.100463</w:t>
      </w:r>
    </w:p>
    <w:p w14:paraId="64657F3D" w14:textId="77777777" w:rsidR="003B23D7" w:rsidRDefault="00DB169B">
      <w:pPr>
        <w:spacing w:before="280" w:after="280" w:line="240" w:lineRule="auto"/>
        <w:rPr>
          <w:rFonts w:ascii="Times New Roman" w:eastAsia="Times New Roman" w:hAnsi="Times New Roman" w:cs="Times New Roman"/>
          <w:sz w:val="24"/>
          <w:szCs w:val="24"/>
        </w:rPr>
      </w:pPr>
      <w:proofErr w:type="spellStart"/>
      <w:r>
        <w:rPr>
          <w:rFonts w:ascii="Times New Roman" w:eastAsia="Times New Roman" w:hAnsi="Times New Roman" w:cs="Times New Roman"/>
          <w:sz w:val="24"/>
          <w:szCs w:val="24"/>
        </w:rPr>
        <w:t>Kuchi</w:t>
      </w:r>
      <w:proofErr w:type="spellEnd"/>
      <w:r>
        <w:rPr>
          <w:rFonts w:ascii="Times New Roman" w:eastAsia="Times New Roman" w:hAnsi="Times New Roman" w:cs="Times New Roman"/>
          <w:sz w:val="24"/>
          <w:szCs w:val="24"/>
        </w:rPr>
        <w:t xml:space="preserve"> VS, Rao MV, Reddy K (2014) Storage studies on guava jelly bar und</w:t>
      </w:r>
      <w:r>
        <w:rPr>
          <w:rFonts w:ascii="Times New Roman" w:eastAsia="Times New Roman" w:hAnsi="Times New Roman" w:cs="Times New Roman"/>
          <w:sz w:val="24"/>
          <w:szCs w:val="24"/>
        </w:rPr>
        <w:t xml:space="preserve">er ambient and refrigerated conditions. </w:t>
      </w:r>
      <w:r>
        <w:rPr>
          <w:rFonts w:ascii="Times New Roman" w:eastAsia="Times New Roman" w:hAnsi="Times New Roman" w:cs="Times New Roman"/>
          <w:i/>
          <w:sz w:val="24"/>
          <w:szCs w:val="24"/>
        </w:rPr>
        <w:t>Int J Agric Sci</w:t>
      </w:r>
      <w:r>
        <w:rPr>
          <w:rFonts w:ascii="Times New Roman" w:eastAsia="Times New Roman" w:hAnsi="Times New Roman" w:cs="Times New Roman"/>
          <w:sz w:val="24"/>
          <w:szCs w:val="24"/>
        </w:rPr>
        <w:t xml:space="preserve"> 10(2):567–572</w:t>
      </w:r>
    </w:p>
    <w:p w14:paraId="24CF3515" w14:textId="77777777" w:rsidR="003B23D7" w:rsidRDefault="00DB169B">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R, </w:t>
      </w:r>
      <w:proofErr w:type="spellStart"/>
      <w:r>
        <w:rPr>
          <w:rFonts w:ascii="Times New Roman" w:eastAsia="Times New Roman" w:hAnsi="Times New Roman" w:cs="Times New Roman"/>
          <w:sz w:val="24"/>
          <w:szCs w:val="24"/>
        </w:rPr>
        <w:t>Deen</w:t>
      </w:r>
      <w:proofErr w:type="spellEnd"/>
      <w:r>
        <w:rPr>
          <w:rFonts w:ascii="Times New Roman" w:eastAsia="Times New Roman" w:hAnsi="Times New Roman" w:cs="Times New Roman"/>
          <w:sz w:val="24"/>
          <w:szCs w:val="24"/>
        </w:rPr>
        <w:t xml:space="preserve"> B (2017) Effect of storage on quality attributes of wood apple jelly. </w:t>
      </w:r>
      <w:r>
        <w:rPr>
          <w:rFonts w:ascii="Times New Roman" w:eastAsia="Times New Roman" w:hAnsi="Times New Roman" w:cs="Times New Roman"/>
          <w:i/>
          <w:sz w:val="24"/>
          <w:szCs w:val="24"/>
        </w:rPr>
        <w:t xml:space="preserve">Int J </w:t>
      </w:r>
      <w:proofErr w:type="spellStart"/>
      <w:r>
        <w:rPr>
          <w:rFonts w:ascii="Times New Roman" w:eastAsia="Times New Roman" w:hAnsi="Times New Roman" w:cs="Times New Roman"/>
          <w:i/>
          <w:sz w:val="24"/>
          <w:szCs w:val="24"/>
        </w:rPr>
        <w:t>Curr</w:t>
      </w:r>
      <w:proofErr w:type="spellEnd"/>
      <w:r>
        <w:rPr>
          <w:rFonts w:ascii="Times New Roman" w:eastAsia="Times New Roman" w:hAnsi="Times New Roman" w:cs="Times New Roman"/>
          <w:i/>
          <w:sz w:val="24"/>
          <w:szCs w:val="24"/>
        </w:rPr>
        <w:t xml:space="preserve"> </w:t>
      </w:r>
      <w:proofErr w:type="spellStart"/>
      <w:r>
        <w:rPr>
          <w:rFonts w:ascii="Times New Roman" w:eastAsia="Times New Roman" w:hAnsi="Times New Roman" w:cs="Times New Roman"/>
          <w:i/>
          <w:sz w:val="24"/>
          <w:szCs w:val="24"/>
        </w:rPr>
        <w:t>Microbiol</w:t>
      </w:r>
      <w:proofErr w:type="spellEnd"/>
      <w:r>
        <w:rPr>
          <w:rFonts w:ascii="Times New Roman" w:eastAsia="Times New Roman" w:hAnsi="Times New Roman" w:cs="Times New Roman"/>
          <w:i/>
          <w:sz w:val="24"/>
          <w:szCs w:val="24"/>
        </w:rPr>
        <w:t xml:space="preserve"> App Sci</w:t>
      </w:r>
      <w:r>
        <w:rPr>
          <w:rFonts w:ascii="Times New Roman" w:eastAsia="Times New Roman" w:hAnsi="Times New Roman" w:cs="Times New Roman"/>
          <w:sz w:val="24"/>
          <w:szCs w:val="24"/>
        </w:rPr>
        <w:t xml:space="preserve"> 6(5):1230–1238. https://doi.org/10.20546/ijcmas.2017.605.133</w:t>
      </w:r>
    </w:p>
    <w:p w14:paraId="3C342C03" w14:textId="77777777" w:rsidR="003B23D7" w:rsidRDefault="00DB169B">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Kumar R, Yad</w:t>
      </w:r>
      <w:r>
        <w:rPr>
          <w:rFonts w:ascii="Times New Roman" w:eastAsia="Times New Roman" w:hAnsi="Times New Roman" w:cs="Times New Roman"/>
          <w:sz w:val="24"/>
          <w:szCs w:val="24"/>
        </w:rPr>
        <w:t xml:space="preserve">av A (2023) Stability and sensory properties of guava jelly with ascorbic acid. </w:t>
      </w:r>
      <w:r>
        <w:rPr>
          <w:rFonts w:ascii="Times New Roman" w:eastAsia="Times New Roman" w:hAnsi="Times New Roman" w:cs="Times New Roman"/>
          <w:i/>
          <w:sz w:val="24"/>
          <w:szCs w:val="24"/>
        </w:rPr>
        <w:t xml:space="preserve">J Food Sci </w:t>
      </w:r>
      <w:proofErr w:type="spellStart"/>
      <w:r>
        <w:rPr>
          <w:rFonts w:ascii="Times New Roman" w:eastAsia="Times New Roman" w:hAnsi="Times New Roman" w:cs="Times New Roman"/>
          <w:i/>
          <w:sz w:val="24"/>
          <w:szCs w:val="24"/>
        </w:rPr>
        <w:t>Technol</w:t>
      </w:r>
      <w:proofErr w:type="spellEnd"/>
      <w:r>
        <w:rPr>
          <w:rFonts w:ascii="Times New Roman" w:eastAsia="Times New Roman" w:hAnsi="Times New Roman" w:cs="Times New Roman"/>
          <w:sz w:val="24"/>
          <w:szCs w:val="24"/>
        </w:rPr>
        <w:t xml:space="preserve"> 60(3):458–466. https://doi.org/10.1007/s13197-022-05548-3</w:t>
      </w:r>
    </w:p>
    <w:p w14:paraId="38895093" w14:textId="77777777" w:rsidR="003B23D7" w:rsidRDefault="00DB169B">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Kumar R, Yadav A, Singh P (2023) Nutritional composition and health benefits of guava and its proce</w:t>
      </w:r>
      <w:r>
        <w:rPr>
          <w:rFonts w:ascii="Times New Roman" w:eastAsia="Times New Roman" w:hAnsi="Times New Roman" w:cs="Times New Roman"/>
          <w:sz w:val="24"/>
          <w:szCs w:val="24"/>
        </w:rPr>
        <w:t xml:space="preserve">ssed products: A review. </w:t>
      </w:r>
      <w:r>
        <w:rPr>
          <w:rFonts w:ascii="Times New Roman" w:eastAsia="Times New Roman" w:hAnsi="Times New Roman" w:cs="Times New Roman"/>
          <w:i/>
          <w:sz w:val="24"/>
          <w:szCs w:val="24"/>
        </w:rPr>
        <w:t xml:space="preserve">J Food Sci </w:t>
      </w:r>
      <w:proofErr w:type="spellStart"/>
      <w:r>
        <w:rPr>
          <w:rFonts w:ascii="Times New Roman" w:eastAsia="Times New Roman" w:hAnsi="Times New Roman" w:cs="Times New Roman"/>
          <w:i/>
          <w:sz w:val="24"/>
          <w:szCs w:val="24"/>
        </w:rPr>
        <w:t>Technol</w:t>
      </w:r>
      <w:proofErr w:type="spellEnd"/>
      <w:r>
        <w:rPr>
          <w:rFonts w:ascii="Times New Roman" w:eastAsia="Times New Roman" w:hAnsi="Times New Roman" w:cs="Times New Roman"/>
          <w:sz w:val="24"/>
          <w:szCs w:val="24"/>
        </w:rPr>
        <w:t xml:space="preserve"> 60(3):458–466. https://doi.org/10.1007/s13197-022-05548-3</w:t>
      </w:r>
    </w:p>
    <w:p w14:paraId="06E4D6F2" w14:textId="77777777" w:rsidR="003B23D7" w:rsidRDefault="00DB169B">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A., Yadav, V. K., Meena, D. S., &amp; Meena, R. K. (2023). Value addition in guava: Processing and preservation methods. </w:t>
      </w:r>
      <w:r>
        <w:rPr>
          <w:rFonts w:ascii="Times New Roman" w:eastAsia="Times New Roman" w:hAnsi="Times New Roman" w:cs="Times New Roman"/>
          <w:i/>
          <w:sz w:val="24"/>
          <w:szCs w:val="24"/>
        </w:rPr>
        <w:t>Journal of Food Processing &amp; T</w:t>
      </w:r>
      <w:r>
        <w:rPr>
          <w:rFonts w:ascii="Times New Roman" w:eastAsia="Times New Roman" w:hAnsi="Times New Roman" w:cs="Times New Roman"/>
          <w:i/>
          <w:sz w:val="24"/>
          <w:szCs w:val="24"/>
        </w:rPr>
        <w:t>echnology, 14</w:t>
      </w:r>
      <w:r>
        <w:rPr>
          <w:rFonts w:ascii="Times New Roman" w:eastAsia="Times New Roman" w:hAnsi="Times New Roman" w:cs="Times New Roman"/>
          <w:sz w:val="24"/>
          <w:szCs w:val="24"/>
        </w:rPr>
        <w:t>(1), 1–8. https://doi.org/10.37421/2157-7110.2023.14.100096</w:t>
      </w:r>
    </w:p>
    <w:p w14:paraId="1416B697" w14:textId="77777777" w:rsidR="003B23D7" w:rsidRDefault="00DB169B">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Kumar, S., Rai, A., &amp; Ranjan, R. (2020). Standardization and evaluation of guava jelly with added pectin. </w:t>
      </w:r>
      <w:r>
        <w:rPr>
          <w:rFonts w:ascii="Times New Roman" w:eastAsia="Times New Roman" w:hAnsi="Times New Roman" w:cs="Times New Roman"/>
          <w:i/>
          <w:sz w:val="24"/>
          <w:szCs w:val="24"/>
        </w:rPr>
        <w:t>The Pharma Innovation Journal, 9</w:t>
      </w:r>
      <w:r>
        <w:rPr>
          <w:rFonts w:ascii="Times New Roman" w:eastAsia="Times New Roman" w:hAnsi="Times New Roman" w:cs="Times New Roman"/>
          <w:sz w:val="24"/>
          <w:szCs w:val="24"/>
        </w:rPr>
        <w:t>(5), 347–351.</w:t>
      </w:r>
    </w:p>
    <w:p w14:paraId="46678CEE" w14:textId="77777777" w:rsidR="003B23D7" w:rsidRDefault="00DB169B">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Mehta S, Sharma R (2024) Effect</w:t>
      </w:r>
      <w:r>
        <w:rPr>
          <w:rFonts w:ascii="Times New Roman" w:eastAsia="Times New Roman" w:hAnsi="Times New Roman" w:cs="Times New Roman"/>
          <w:sz w:val="24"/>
          <w:szCs w:val="24"/>
        </w:rPr>
        <w:t xml:space="preserve"> of pectin and citric acid on guava jelly characteristics. </w:t>
      </w:r>
      <w:r>
        <w:rPr>
          <w:rFonts w:ascii="Times New Roman" w:eastAsia="Times New Roman" w:hAnsi="Times New Roman" w:cs="Times New Roman"/>
          <w:i/>
          <w:sz w:val="24"/>
          <w:szCs w:val="24"/>
        </w:rPr>
        <w:t xml:space="preserve">Indian J </w:t>
      </w:r>
      <w:proofErr w:type="spellStart"/>
      <w:r>
        <w:rPr>
          <w:rFonts w:ascii="Times New Roman" w:eastAsia="Times New Roman" w:hAnsi="Times New Roman" w:cs="Times New Roman"/>
          <w:i/>
          <w:sz w:val="24"/>
          <w:szCs w:val="24"/>
        </w:rPr>
        <w:t>Hortic</w:t>
      </w:r>
      <w:proofErr w:type="spellEnd"/>
      <w:r>
        <w:rPr>
          <w:rFonts w:ascii="Times New Roman" w:eastAsia="Times New Roman" w:hAnsi="Times New Roman" w:cs="Times New Roman"/>
          <w:sz w:val="24"/>
          <w:szCs w:val="24"/>
        </w:rPr>
        <w:t xml:space="preserve"> 81(1):98–104. https://doi.org/10.5958/0974-0112.2024.00015.7</w:t>
      </w:r>
    </w:p>
    <w:p w14:paraId="0D966AA5" w14:textId="77777777" w:rsidR="003B23D7" w:rsidRDefault="00DB169B">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Patel D, Shah R, Jain A (2024) Influence of natural preservatives on vitamin C retention in guava jelly. </w:t>
      </w:r>
      <w:r>
        <w:rPr>
          <w:rFonts w:ascii="Times New Roman" w:eastAsia="Times New Roman" w:hAnsi="Times New Roman" w:cs="Times New Roman"/>
          <w:i/>
          <w:sz w:val="24"/>
          <w:szCs w:val="24"/>
        </w:rPr>
        <w:t>Food Chem Adv</w:t>
      </w:r>
      <w:r>
        <w:rPr>
          <w:rFonts w:ascii="Times New Roman" w:eastAsia="Times New Roman" w:hAnsi="Times New Roman" w:cs="Times New Roman"/>
          <w:sz w:val="24"/>
          <w:szCs w:val="24"/>
        </w:rPr>
        <w:t xml:space="preserve"> 3:100152. https://doi.org/10.1016/j.focha.2024.100152</w:t>
      </w:r>
    </w:p>
    <w:p w14:paraId="5E85E9CC" w14:textId="77777777" w:rsidR="003B23D7" w:rsidRDefault="00DB169B">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Paul DS, Kaur M, Gill BS (2007) Physicochemical and sensory characteristics of guava jelly. </w:t>
      </w:r>
      <w:r>
        <w:rPr>
          <w:rFonts w:ascii="Times New Roman" w:eastAsia="Times New Roman" w:hAnsi="Times New Roman" w:cs="Times New Roman"/>
          <w:i/>
          <w:sz w:val="24"/>
          <w:szCs w:val="24"/>
        </w:rPr>
        <w:t xml:space="preserve">J Food Sci </w:t>
      </w:r>
      <w:proofErr w:type="spellStart"/>
      <w:r>
        <w:rPr>
          <w:rFonts w:ascii="Times New Roman" w:eastAsia="Times New Roman" w:hAnsi="Times New Roman" w:cs="Times New Roman"/>
          <w:i/>
          <w:sz w:val="24"/>
          <w:szCs w:val="24"/>
        </w:rPr>
        <w:t>Technol</w:t>
      </w:r>
      <w:proofErr w:type="spellEnd"/>
      <w:r>
        <w:rPr>
          <w:rFonts w:ascii="Times New Roman" w:eastAsia="Times New Roman" w:hAnsi="Times New Roman" w:cs="Times New Roman"/>
          <w:sz w:val="24"/>
          <w:szCs w:val="24"/>
        </w:rPr>
        <w:t xml:space="preserve"> 44(1):63–66</w:t>
      </w:r>
    </w:p>
    <w:p w14:paraId="5267173E" w14:textId="77777777" w:rsidR="003B23D7" w:rsidRDefault="00DB169B">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Rani P, Kapoor S (2022) Optimization of sugar and pectin concentration for gua</w:t>
      </w:r>
      <w:r>
        <w:rPr>
          <w:rFonts w:ascii="Times New Roman" w:eastAsia="Times New Roman" w:hAnsi="Times New Roman" w:cs="Times New Roman"/>
          <w:sz w:val="24"/>
          <w:szCs w:val="24"/>
        </w:rPr>
        <w:t xml:space="preserve">va jelly using response surface methodology. </w:t>
      </w:r>
      <w:r>
        <w:rPr>
          <w:rFonts w:ascii="Times New Roman" w:eastAsia="Times New Roman" w:hAnsi="Times New Roman" w:cs="Times New Roman"/>
          <w:i/>
          <w:sz w:val="24"/>
          <w:szCs w:val="24"/>
        </w:rPr>
        <w:t xml:space="preserve">J Food </w:t>
      </w:r>
      <w:proofErr w:type="spellStart"/>
      <w:r>
        <w:rPr>
          <w:rFonts w:ascii="Times New Roman" w:eastAsia="Times New Roman" w:hAnsi="Times New Roman" w:cs="Times New Roman"/>
          <w:i/>
          <w:sz w:val="24"/>
          <w:szCs w:val="24"/>
        </w:rPr>
        <w:t>Eng</w:t>
      </w:r>
      <w:proofErr w:type="spellEnd"/>
      <w:r>
        <w:rPr>
          <w:rFonts w:ascii="Times New Roman" w:eastAsia="Times New Roman" w:hAnsi="Times New Roman" w:cs="Times New Roman"/>
          <w:sz w:val="24"/>
          <w:szCs w:val="24"/>
        </w:rPr>
        <w:t xml:space="preserve"> 311:110708. https://doi.org/10.1016/j.jfoodeng.2021.110708</w:t>
      </w:r>
    </w:p>
    <w:p w14:paraId="57F38116" w14:textId="77777777" w:rsidR="003B23D7" w:rsidRDefault="00DB169B">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Rao M, Roy SK (1980) Effect of storage temperature on vitamin C content of mango leather. </w:t>
      </w:r>
      <w:r>
        <w:rPr>
          <w:rFonts w:ascii="Times New Roman" w:eastAsia="Times New Roman" w:hAnsi="Times New Roman" w:cs="Times New Roman"/>
          <w:i/>
          <w:sz w:val="24"/>
          <w:szCs w:val="24"/>
        </w:rPr>
        <w:t xml:space="preserve">Food Sci </w:t>
      </w:r>
      <w:proofErr w:type="spellStart"/>
      <w:r>
        <w:rPr>
          <w:rFonts w:ascii="Times New Roman" w:eastAsia="Times New Roman" w:hAnsi="Times New Roman" w:cs="Times New Roman"/>
          <w:i/>
          <w:sz w:val="24"/>
          <w:szCs w:val="24"/>
        </w:rPr>
        <w:t>Technol</w:t>
      </w:r>
      <w:proofErr w:type="spellEnd"/>
      <w:r>
        <w:rPr>
          <w:rFonts w:ascii="Times New Roman" w:eastAsia="Times New Roman" w:hAnsi="Times New Roman" w:cs="Times New Roman"/>
          <w:sz w:val="24"/>
          <w:szCs w:val="24"/>
        </w:rPr>
        <w:t xml:space="preserve"> 17(1):27–29</w:t>
      </w:r>
    </w:p>
    <w:p w14:paraId="33AC017C" w14:textId="77777777" w:rsidR="003B23D7" w:rsidRDefault="00DB169B">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Reddy B, Bhatt V (2024</w:t>
      </w:r>
      <w:r>
        <w:rPr>
          <w:rFonts w:ascii="Times New Roman" w:eastAsia="Times New Roman" w:hAnsi="Times New Roman" w:cs="Times New Roman"/>
          <w:sz w:val="24"/>
          <w:szCs w:val="24"/>
        </w:rPr>
        <w:t xml:space="preserve">) Functional attributes and value addition in guava. </w:t>
      </w:r>
      <w:r>
        <w:rPr>
          <w:rFonts w:ascii="Times New Roman" w:eastAsia="Times New Roman" w:hAnsi="Times New Roman" w:cs="Times New Roman"/>
          <w:i/>
          <w:sz w:val="24"/>
          <w:szCs w:val="24"/>
        </w:rPr>
        <w:t>Nutraceuticals Today</w:t>
      </w:r>
      <w:r>
        <w:rPr>
          <w:rFonts w:ascii="Times New Roman" w:eastAsia="Times New Roman" w:hAnsi="Times New Roman" w:cs="Times New Roman"/>
          <w:sz w:val="24"/>
          <w:szCs w:val="24"/>
        </w:rPr>
        <w:t xml:space="preserve"> 10(1):55–63</w:t>
      </w:r>
    </w:p>
    <w:p w14:paraId="68C1B960" w14:textId="77777777" w:rsidR="003B23D7" w:rsidRDefault="00DB169B">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Reddy B, Bhatt V (2024) Functional attributes of guava and its value-added products: A review. </w:t>
      </w:r>
      <w:r>
        <w:rPr>
          <w:rFonts w:ascii="Times New Roman" w:eastAsia="Times New Roman" w:hAnsi="Times New Roman" w:cs="Times New Roman"/>
          <w:i/>
          <w:sz w:val="24"/>
          <w:szCs w:val="24"/>
        </w:rPr>
        <w:t>Nutraceuticals Today</w:t>
      </w:r>
      <w:r>
        <w:rPr>
          <w:rFonts w:ascii="Times New Roman" w:eastAsia="Times New Roman" w:hAnsi="Times New Roman" w:cs="Times New Roman"/>
          <w:sz w:val="24"/>
          <w:szCs w:val="24"/>
        </w:rPr>
        <w:t xml:space="preserve"> 10(1):55–63</w:t>
      </w:r>
    </w:p>
    <w:p w14:paraId="6AF19514" w14:textId="77777777" w:rsidR="003B23D7" w:rsidRDefault="00DB169B">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Reddy RS, Sharma R, Yadav PK (2019) Postha</w:t>
      </w:r>
      <w:r>
        <w:rPr>
          <w:rFonts w:ascii="Times New Roman" w:eastAsia="Times New Roman" w:hAnsi="Times New Roman" w:cs="Times New Roman"/>
          <w:sz w:val="24"/>
          <w:szCs w:val="24"/>
        </w:rPr>
        <w:t xml:space="preserve">rvest losses and processing potential of guava in India. </w:t>
      </w:r>
      <w:r>
        <w:rPr>
          <w:rFonts w:ascii="Times New Roman" w:eastAsia="Times New Roman" w:hAnsi="Times New Roman" w:cs="Times New Roman"/>
          <w:i/>
          <w:sz w:val="24"/>
          <w:szCs w:val="24"/>
        </w:rPr>
        <w:t xml:space="preserve">J Postharvest </w:t>
      </w:r>
      <w:proofErr w:type="spellStart"/>
      <w:r>
        <w:rPr>
          <w:rFonts w:ascii="Times New Roman" w:eastAsia="Times New Roman" w:hAnsi="Times New Roman" w:cs="Times New Roman"/>
          <w:i/>
          <w:sz w:val="24"/>
          <w:szCs w:val="24"/>
        </w:rPr>
        <w:t>Technol</w:t>
      </w:r>
      <w:proofErr w:type="spellEnd"/>
      <w:r>
        <w:rPr>
          <w:rFonts w:ascii="Times New Roman" w:eastAsia="Times New Roman" w:hAnsi="Times New Roman" w:cs="Times New Roman"/>
          <w:sz w:val="24"/>
          <w:szCs w:val="24"/>
        </w:rPr>
        <w:t xml:space="preserve"> 7(4):56–62</w:t>
      </w:r>
    </w:p>
    <w:p w14:paraId="50F10E1C" w14:textId="77777777" w:rsidR="003B23D7" w:rsidRDefault="00DB169B">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Ritchie, H., Reay, S. D., &amp; Higgins, P. (2018). Quantifying, projecting and addressing India’s hidden hunger. </w:t>
      </w:r>
      <w:r>
        <w:rPr>
          <w:rFonts w:ascii="Times New Roman" w:eastAsia="Times New Roman" w:hAnsi="Times New Roman" w:cs="Times New Roman"/>
          <w:i/>
          <w:sz w:val="24"/>
          <w:szCs w:val="24"/>
        </w:rPr>
        <w:t>Frontiers in Sustainable Food Systems, 2</w:t>
      </w:r>
      <w:r>
        <w:rPr>
          <w:rFonts w:ascii="Times New Roman" w:eastAsia="Times New Roman" w:hAnsi="Times New Roman" w:cs="Times New Roman"/>
          <w:sz w:val="24"/>
          <w:szCs w:val="24"/>
        </w:rPr>
        <w:t>, 11. https://do</w:t>
      </w:r>
      <w:r>
        <w:rPr>
          <w:rFonts w:ascii="Times New Roman" w:eastAsia="Times New Roman" w:hAnsi="Times New Roman" w:cs="Times New Roman"/>
          <w:sz w:val="24"/>
          <w:szCs w:val="24"/>
        </w:rPr>
        <w:t>i.org/10.3389/fsufs.2018.00011</w:t>
      </w:r>
    </w:p>
    <w:p w14:paraId="4AB72D1A" w14:textId="77777777" w:rsidR="003B23D7" w:rsidRDefault="00DB169B">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Sagar, V. R., &amp; Kumar, R. (2014). Quality and safety aspects of fruit and vegetable products. </w:t>
      </w:r>
      <w:r>
        <w:rPr>
          <w:rFonts w:ascii="Times New Roman" w:eastAsia="Times New Roman" w:hAnsi="Times New Roman" w:cs="Times New Roman"/>
          <w:i/>
          <w:sz w:val="24"/>
          <w:szCs w:val="24"/>
        </w:rPr>
        <w:t>Food Science Research Journal, 5</w:t>
      </w:r>
      <w:r>
        <w:rPr>
          <w:rFonts w:ascii="Times New Roman" w:eastAsia="Times New Roman" w:hAnsi="Times New Roman" w:cs="Times New Roman"/>
          <w:sz w:val="24"/>
          <w:szCs w:val="24"/>
        </w:rPr>
        <w:t>(2), 164–172.</w:t>
      </w:r>
    </w:p>
    <w:p w14:paraId="704A0B9E" w14:textId="77777777" w:rsidR="003B23D7" w:rsidRDefault="00DB169B">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Sharma A, Mehta V, Singh J (2023) Sensory evaluation of guava jelly with varying pulp content and </w:t>
      </w:r>
      <w:proofErr w:type="spellStart"/>
      <w:r>
        <w:rPr>
          <w:rFonts w:ascii="Times New Roman" w:eastAsia="Times New Roman" w:hAnsi="Times New Roman" w:cs="Times New Roman"/>
          <w:sz w:val="24"/>
          <w:szCs w:val="24"/>
        </w:rPr>
        <w:t>pH.</w:t>
      </w:r>
      <w:proofErr w:type="spellEnd"/>
      <w:r>
        <w:rPr>
          <w:rFonts w:ascii="Times New Roman" w:eastAsia="Times New Roman" w:hAnsi="Times New Roman" w:cs="Times New Roman"/>
          <w:sz w:val="24"/>
          <w:szCs w:val="24"/>
        </w:rPr>
        <w:t xml:space="preserve"> </w:t>
      </w:r>
      <w:r>
        <w:rPr>
          <w:rFonts w:ascii="Times New Roman" w:eastAsia="Times New Roman" w:hAnsi="Times New Roman" w:cs="Times New Roman"/>
          <w:i/>
          <w:sz w:val="24"/>
          <w:szCs w:val="24"/>
        </w:rPr>
        <w:t>J Food Qual</w:t>
      </w:r>
      <w:r>
        <w:rPr>
          <w:rFonts w:ascii="Times New Roman" w:eastAsia="Times New Roman" w:hAnsi="Times New Roman" w:cs="Times New Roman"/>
          <w:sz w:val="24"/>
          <w:szCs w:val="24"/>
        </w:rPr>
        <w:t xml:space="preserve"> 2023:1–8. https://doi.org/10.1155/2023/5589027</w:t>
      </w:r>
    </w:p>
    <w:p w14:paraId="63ACB00C" w14:textId="77777777" w:rsidR="003B23D7" w:rsidRDefault="00DB169B">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Sharma RK, Kumar D, Tiwari AK (2021) Area, production and productivity of guava in major states</w:t>
      </w:r>
      <w:r>
        <w:rPr>
          <w:rFonts w:ascii="Times New Roman" w:eastAsia="Times New Roman" w:hAnsi="Times New Roman" w:cs="Times New Roman"/>
          <w:sz w:val="24"/>
          <w:szCs w:val="24"/>
        </w:rPr>
        <w:t xml:space="preserve"> of India. </w:t>
      </w:r>
      <w:r>
        <w:rPr>
          <w:rFonts w:ascii="Times New Roman" w:eastAsia="Times New Roman" w:hAnsi="Times New Roman" w:cs="Times New Roman"/>
          <w:i/>
          <w:sz w:val="24"/>
          <w:szCs w:val="24"/>
        </w:rPr>
        <w:t xml:space="preserve">Indian </w:t>
      </w:r>
      <w:proofErr w:type="spellStart"/>
      <w:r>
        <w:rPr>
          <w:rFonts w:ascii="Times New Roman" w:eastAsia="Times New Roman" w:hAnsi="Times New Roman" w:cs="Times New Roman"/>
          <w:i/>
          <w:sz w:val="24"/>
          <w:szCs w:val="24"/>
        </w:rPr>
        <w:t>Hortic</w:t>
      </w:r>
      <w:proofErr w:type="spellEnd"/>
      <w:r>
        <w:rPr>
          <w:rFonts w:ascii="Times New Roman" w:eastAsia="Times New Roman" w:hAnsi="Times New Roman" w:cs="Times New Roman"/>
          <w:i/>
          <w:sz w:val="24"/>
          <w:szCs w:val="24"/>
        </w:rPr>
        <w:t xml:space="preserve"> J</w:t>
      </w:r>
      <w:r>
        <w:rPr>
          <w:rFonts w:ascii="Times New Roman" w:eastAsia="Times New Roman" w:hAnsi="Times New Roman" w:cs="Times New Roman"/>
          <w:sz w:val="24"/>
          <w:szCs w:val="24"/>
        </w:rPr>
        <w:t xml:space="preserve"> 11(2):25–30</w:t>
      </w:r>
    </w:p>
    <w:p w14:paraId="72EA9BBE" w14:textId="77777777" w:rsidR="003B23D7" w:rsidRDefault="00DB169B">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Sharma, R., &amp; Thakur, N. S. (2021). Effect of different storage conditions on the quality characteristics of fruit jellies. </w:t>
      </w:r>
      <w:r>
        <w:rPr>
          <w:rFonts w:ascii="Times New Roman" w:eastAsia="Times New Roman" w:hAnsi="Times New Roman" w:cs="Times New Roman"/>
          <w:i/>
          <w:sz w:val="24"/>
          <w:szCs w:val="24"/>
        </w:rPr>
        <w:t>International Journal of Chemical Studies, 9</w:t>
      </w:r>
      <w:r>
        <w:rPr>
          <w:rFonts w:ascii="Times New Roman" w:eastAsia="Times New Roman" w:hAnsi="Times New Roman" w:cs="Times New Roman"/>
          <w:sz w:val="24"/>
          <w:szCs w:val="24"/>
        </w:rPr>
        <w:t>(3), 45–49. https://doi.org/10.22271/chemi.2021.v</w:t>
      </w:r>
      <w:r>
        <w:rPr>
          <w:rFonts w:ascii="Times New Roman" w:eastAsia="Times New Roman" w:hAnsi="Times New Roman" w:cs="Times New Roman"/>
          <w:sz w:val="24"/>
          <w:szCs w:val="24"/>
        </w:rPr>
        <w:t>9.i3a.12214</w:t>
      </w:r>
    </w:p>
    <w:p w14:paraId="2D65AAA1" w14:textId="77777777" w:rsidR="003B23D7" w:rsidRDefault="00DB169B">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P, Chandra R (2012) Development of blended jelly from guava and carrot. </w:t>
      </w:r>
      <w:r>
        <w:rPr>
          <w:rFonts w:ascii="Times New Roman" w:eastAsia="Times New Roman" w:hAnsi="Times New Roman" w:cs="Times New Roman"/>
          <w:i/>
          <w:sz w:val="24"/>
          <w:szCs w:val="24"/>
        </w:rPr>
        <w:t xml:space="preserve">Acta </w:t>
      </w:r>
      <w:proofErr w:type="spellStart"/>
      <w:r>
        <w:rPr>
          <w:rFonts w:ascii="Times New Roman" w:eastAsia="Times New Roman" w:hAnsi="Times New Roman" w:cs="Times New Roman"/>
          <w:i/>
          <w:sz w:val="24"/>
          <w:szCs w:val="24"/>
        </w:rPr>
        <w:t>Hortic</w:t>
      </w:r>
      <w:proofErr w:type="spellEnd"/>
      <w:r>
        <w:rPr>
          <w:rFonts w:ascii="Times New Roman" w:eastAsia="Times New Roman" w:hAnsi="Times New Roman" w:cs="Times New Roman"/>
          <w:sz w:val="24"/>
          <w:szCs w:val="24"/>
        </w:rPr>
        <w:t xml:space="preserve"> 952:321–328. https://doi.org/10.17660/ActaHortic.2012.952.43</w:t>
      </w:r>
    </w:p>
    <w:p w14:paraId="304FBDD4" w14:textId="77777777" w:rsidR="003B23D7" w:rsidRDefault="00DB169B">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Singh R, Yadav A, Patel S (2024) Effect of storage temperature and pulp concentration on guav</w:t>
      </w:r>
      <w:r>
        <w:rPr>
          <w:rFonts w:ascii="Times New Roman" w:eastAsia="Times New Roman" w:hAnsi="Times New Roman" w:cs="Times New Roman"/>
          <w:sz w:val="24"/>
          <w:szCs w:val="24"/>
        </w:rPr>
        <w:t xml:space="preserve">a jelly quality. </w:t>
      </w:r>
      <w:r>
        <w:rPr>
          <w:rFonts w:ascii="Times New Roman" w:eastAsia="Times New Roman" w:hAnsi="Times New Roman" w:cs="Times New Roman"/>
          <w:i/>
          <w:sz w:val="24"/>
          <w:szCs w:val="24"/>
        </w:rPr>
        <w:t xml:space="preserve">J Food Process </w:t>
      </w:r>
      <w:proofErr w:type="spellStart"/>
      <w:r>
        <w:rPr>
          <w:rFonts w:ascii="Times New Roman" w:eastAsia="Times New Roman" w:hAnsi="Times New Roman" w:cs="Times New Roman"/>
          <w:i/>
          <w:sz w:val="24"/>
          <w:szCs w:val="24"/>
        </w:rPr>
        <w:t>Technol</w:t>
      </w:r>
      <w:proofErr w:type="spellEnd"/>
      <w:r>
        <w:rPr>
          <w:rFonts w:ascii="Times New Roman" w:eastAsia="Times New Roman" w:hAnsi="Times New Roman" w:cs="Times New Roman"/>
          <w:sz w:val="24"/>
          <w:szCs w:val="24"/>
        </w:rPr>
        <w:t xml:space="preserve"> 15(2):125–132. https://doi.org/10.4172/2157-7110.1000926</w:t>
      </w:r>
    </w:p>
    <w:p w14:paraId="7E323199" w14:textId="77777777" w:rsidR="003B23D7" w:rsidRDefault="00DB169B">
      <w:pPr>
        <w:spacing w:before="280" w:after="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Singh, A., &amp; </w:t>
      </w:r>
      <w:proofErr w:type="spellStart"/>
      <w:r>
        <w:rPr>
          <w:rFonts w:ascii="Times New Roman" w:eastAsia="Times New Roman" w:hAnsi="Times New Roman" w:cs="Times New Roman"/>
          <w:sz w:val="24"/>
          <w:szCs w:val="24"/>
        </w:rPr>
        <w:t>Bawa</w:t>
      </w:r>
      <w:proofErr w:type="spellEnd"/>
      <w:r>
        <w:rPr>
          <w:rFonts w:ascii="Times New Roman" w:eastAsia="Times New Roman" w:hAnsi="Times New Roman" w:cs="Times New Roman"/>
          <w:sz w:val="24"/>
          <w:szCs w:val="24"/>
        </w:rPr>
        <w:t xml:space="preserve">, A. S. (2006). Degradation of ascorbic acid during processing and storage of guava jam. </w:t>
      </w:r>
      <w:r>
        <w:rPr>
          <w:rFonts w:ascii="Times New Roman" w:eastAsia="Times New Roman" w:hAnsi="Times New Roman" w:cs="Times New Roman"/>
          <w:i/>
          <w:sz w:val="24"/>
          <w:szCs w:val="24"/>
        </w:rPr>
        <w:t>Indian Food Packer, 60</w:t>
      </w:r>
      <w:r>
        <w:rPr>
          <w:rFonts w:ascii="Times New Roman" w:eastAsia="Times New Roman" w:hAnsi="Times New Roman" w:cs="Times New Roman"/>
          <w:sz w:val="24"/>
          <w:szCs w:val="24"/>
        </w:rPr>
        <w:t>(1), 138–142.</w:t>
      </w:r>
    </w:p>
    <w:p w14:paraId="66A5B4A3" w14:textId="77777777" w:rsidR="003B23D7" w:rsidRDefault="00DB169B">
      <w:pPr>
        <w:spacing w:before="28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Verma AK, Shrivas</w:t>
      </w:r>
      <w:r>
        <w:rPr>
          <w:rFonts w:ascii="Times New Roman" w:eastAsia="Times New Roman" w:hAnsi="Times New Roman" w:cs="Times New Roman"/>
          <w:sz w:val="24"/>
          <w:szCs w:val="24"/>
        </w:rPr>
        <w:t xml:space="preserve">tava M (1965) Pectin content and jelly making quality of guava varieties. </w:t>
      </w:r>
      <w:r>
        <w:rPr>
          <w:rFonts w:ascii="Times New Roman" w:eastAsia="Times New Roman" w:hAnsi="Times New Roman" w:cs="Times New Roman"/>
          <w:i/>
          <w:sz w:val="24"/>
          <w:szCs w:val="24"/>
        </w:rPr>
        <w:t>Indian Food Packer</w:t>
      </w:r>
      <w:r>
        <w:rPr>
          <w:rFonts w:ascii="Times New Roman" w:eastAsia="Times New Roman" w:hAnsi="Times New Roman" w:cs="Times New Roman"/>
          <w:sz w:val="24"/>
          <w:szCs w:val="24"/>
        </w:rPr>
        <w:t xml:space="preserve"> 19(4):18–21</w:t>
      </w:r>
    </w:p>
    <w:sectPr w:rsidR="003B23D7">
      <w:headerReference w:type="even" r:id="rId8"/>
      <w:headerReference w:type="default" r:id="rId9"/>
      <w:footerReference w:type="even" r:id="rId10"/>
      <w:footerReference w:type="default" r:id="rId11"/>
      <w:headerReference w:type="first" r:id="rId12"/>
      <w:footerReference w:type="first" r:id="rId13"/>
      <w:pgSz w:w="11906" w:h="16838"/>
      <w:pgMar w:top="1440" w:right="1440" w:bottom="1440" w:left="1440"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B7EC492" w14:textId="77777777" w:rsidR="00DB169B" w:rsidRDefault="00DB169B" w:rsidP="006C20C5">
      <w:pPr>
        <w:spacing w:after="0" w:line="240" w:lineRule="auto"/>
      </w:pPr>
      <w:r>
        <w:separator/>
      </w:r>
    </w:p>
  </w:endnote>
  <w:endnote w:type="continuationSeparator" w:id="0">
    <w:p w14:paraId="6AE879ED" w14:textId="77777777" w:rsidR="00DB169B" w:rsidRDefault="00DB169B" w:rsidP="006C20C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Noto Sans Symbols">
    <w:charset w:val="00"/>
    <w:family w:val="auto"/>
    <w:pitch w:val="default"/>
    <w:embedRegular r:id="rId1" w:fontKey="{819AF16A-F57C-4C21-B3EA-ED49978F568E}"/>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4000ACFF" w:usb2="00000001" w:usb3="00000000" w:csb0="000001FF" w:csb1="00000000"/>
    <w:embedRegular r:id="rId2" w:fontKey="{6157F229-FFB7-4EDF-BE1E-2AA272B5CDAF}"/>
    <w:embedBold r:id="rId3" w:fontKey="{1BB67A2A-CF26-4D14-89A4-C0118DD1A912}"/>
  </w:font>
  <w:font w:name="Cambria">
    <w:panose1 w:val="02040503050406030204"/>
    <w:charset w:val="00"/>
    <w:family w:val="roman"/>
    <w:pitch w:val="variable"/>
    <w:sig w:usb0="E00006FF" w:usb1="420024FF" w:usb2="02000000" w:usb3="00000000" w:csb0="0000019F" w:csb1="00000000"/>
    <w:embedRegular r:id="rId4" w:fontKey="{8DBFF2E7-8480-477A-AEDB-66BA3CC53ED1}"/>
    <w:embedItalic r:id="rId5" w:fontKey="{29280339-1227-4491-9767-5C167C3C614D}"/>
  </w:font>
  <w:font w:name="Times New Roman">
    <w:panose1 w:val="02020603050405020304"/>
    <w:charset w:val="00"/>
    <w:family w:val="roman"/>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embedRegular r:id="rId6" w:fontKey="{033E4489-1DE4-4A41-9B47-16D804471646}"/>
    <w:embedItalic r:id="rId7" w:fontKey="{859E2E57-BB60-456B-9D24-E7DC7FE6311A}"/>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DC5423" w14:textId="77777777" w:rsidR="006C20C5" w:rsidRDefault="006C20C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85BBDE8" w14:textId="77777777" w:rsidR="006C20C5" w:rsidRDefault="006C20C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76B371" w14:textId="77777777" w:rsidR="006C20C5" w:rsidRDefault="006C20C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1FA342A" w14:textId="77777777" w:rsidR="00DB169B" w:rsidRDefault="00DB169B" w:rsidP="006C20C5">
      <w:pPr>
        <w:spacing w:after="0" w:line="240" w:lineRule="auto"/>
      </w:pPr>
      <w:r>
        <w:separator/>
      </w:r>
    </w:p>
  </w:footnote>
  <w:footnote w:type="continuationSeparator" w:id="0">
    <w:p w14:paraId="3C50DF1F" w14:textId="77777777" w:rsidR="00DB169B" w:rsidRDefault="00DB169B" w:rsidP="006C20C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1156D1" w14:textId="2C51EE7B" w:rsidR="006C20C5" w:rsidRDefault="006C20C5">
    <w:pPr>
      <w:pStyle w:val="Header"/>
    </w:pPr>
    <w:r>
      <w:rPr>
        <w:noProof/>
      </w:rPr>
      <w:pict w14:anchorId="3674724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866297" o:spid="_x0000_s2050"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1F90F6" w14:textId="0EAEF3F7" w:rsidR="006C20C5" w:rsidRDefault="006C20C5">
    <w:pPr>
      <w:pStyle w:val="Header"/>
    </w:pPr>
    <w:r>
      <w:rPr>
        <w:noProof/>
      </w:rPr>
      <w:pict w14:anchorId="49DBC20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866298" o:spid="_x0000_s2051"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4DC0190" w14:textId="260A2FBD" w:rsidR="006C20C5" w:rsidRDefault="006C20C5">
    <w:pPr>
      <w:pStyle w:val="Header"/>
    </w:pPr>
    <w:r>
      <w:rPr>
        <w:noProof/>
      </w:rPr>
      <w:pict w14:anchorId="1D74D48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50866296" o:spid="_x0000_s2049"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0794E17"/>
    <w:multiLevelType w:val="multilevel"/>
    <w:tmpl w:val="1D9682F8"/>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32A35C0E"/>
    <w:multiLevelType w:val="multilevel"/>
    <w:tmpl w:val="963CFD2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0"/>
  <w:embedTrueTypeFonts/>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B23D7"/>
    <w:rsid w:val="00273919"/>
    <w:rsid w:val="003B23D7"/>
    <w:rsid w:val="006C20C5"/>
    <w:rsid w:val="00987A17"/>
    <w:rsid w:val="00DB169B"/>
    <w:rsid w:val="00EB673B"/>
    <w:rsid w:val="00F55E0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2FFFBE"/>
  <w15:docId w15:val="{08F2A550-2CBE-4BDD-8FB8-7B88BD39F8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Calibri"/>
        <w:sz w:val="22"/>
        <w:szCs w:val="22"/>
        <w:lang w:val="en-IN" w:eastAsia="en-GB"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40" w:after="0"/>
      <w:outlineLvl w:val="1"/>
    </w:pPr>
    <w:rPr>
      <w:rFonts w:ascii="Cambria" w:eastAsia="Cambria" w:hAnsi="Cambria" w:cs="Cambria"/>
      <w:color w:val="366091"/>
      <w:sz w:val="26"/>
      <w:szCs w:val="26"/>
    </w:rPr>
  </w:style>
  <w:style w:type="paragraph" w:styleId="Heading3">
    <w:name w:val="heading 3"/>
    <w:basedOn w:val="Normal"/>
    <w:next w:val="Normal"/>
    <w:uiPriority w:val="9"/>
    <w:unhideWhenUsed/>
    <w:qFormat/>
    <w:pPr>
      <w:spacing w:line="240" w:lineRule="auto"/>
      <w:outlineLvl w:val="2"/>
    </w:pPr>
    <w:rPr>
      <w:rFonts w:ascii="Times New Roman" w:eastAsia="Times New Roman" w:hAnsi="Times New Roman" w:cs="Times New Roman"/>
      <w:b/>
      <w:sz w:val="27"/>
      <w:szCs w:val="27"/>
    </w:rPr>
  </w:style>
  <w:style w:type="paragraph" w:styleId="Heading4">
    <w:name w:val="heading 4"/>
    <w:basedOn w:val="Normal"/>
    <w:next w:val="Normal"/>
    <w:uiPriority w:val="9"/>
    <w:unhideWhenUsed/>
    <w:qFormat/>
    <w:pPr>
      <w:keepNext/>
      <w:keepLines/>
      <w:spacing w:before="40" w:after="0"/>
      <w:outlineLvl w:val="3"/>
    </w:pPr>
    <w:rPr>
      <w:rFonts w:ascii="Cambria" w:eastAsia="Cambria" w:hAnsi="Cambria" w:cs="Cambria"/>
      <w:i/>
      <w:color w:val="366091"/>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0" w:type="dxa"/>
        <w:left w:w="0" w:type="dxa"/>
        <w:bottom w:w="0" w:type="dxa"/>
        <w:right w:w="0" w:type="dxa"/>
      </w:tblCellMar>
    </w:tblPr>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0"/>
    <w:pPr>
      <w:spacing w:after="0" w:line="240" w:lineRule="auto"/>
    </w:pPr>
    <w:tblPr>
      <w:tblStyleRowBandSize w:val="1"/>
      <w:tblStyleColBandSize w:val="1"/>
      <w:tblCellMar>
        <w:left w:w="108" w:type="dxa"/>
        <w:right w:w="108" w:type="dxa"/>
      </w:tblCellMar>
    </w:tblPr>
  </w:style>
  <w:style w:type="table" w:customStyle="1" w:styleId="a0">
    <w:basedOn w:val="TableNormal0"/>
    <w:pPr>
      <w:spacing w:after="0" w:line="240" w:lineRule="auto"/>
    </w:pPr>
    <w:tblPr>
      <w:tblStyleRowBandSize w:val="1"/>
      <w:tblStyleColBandSize w:val="1"/>
      <w:tblCellMar>
        <w:left w:w="108" w:type="dxa"/>
        <w:right w:w="108" w:type="dxa"/>
      </w:tblCellMar>
    </w:tblPr>
  </w:style>
  <w:style w:type="table" w:customStyle="1" w:styleId="a1">
    <w:basedOn w:val="TableNormal0"/>
    <w:pPr>
      <w:spacing w:after="0" w:line="240" w:lineRule="auto"/>
    </w:pPr>
    <w:tblPr>
      <w:tblStyleRowBandSize w:val="1"/>
      <w:tblStyleColBandSize w:val="1"/>
      <w:tblCellMar>
        <w:left w:w="108" w:type="dxa"/>
        <w:right w:w="108" w:type="dxa"/>
      </w:tblCellMar>
    </w:tblPr>
  </w:style>
  <w:style w:type="table" w:customStyle="1" w:styleId="a2">
    <w:basedOn w:val="TableNormal0"/>
    <w:pPr>
      <w:spacing w:after="0" w:line="240" w:lineRule="auto"/>
    </w:pPr>
    <w:tblPr>
      <w:tblStyleRowBandSize w:val="1"/>
      <w:tblStyleColBandSize w:val="1"/>
      <w:tblCellMar>
        <w:left w:w="108" w:type="dxa"/>
        <w:right w:w="108" w:type="dxa"/>
      </w:tblCellMar>
    </w:tblPr>
  </w:style>
  <w:style w:type="table" w:customStyle="1" w:styleId="a3">
    <w:basedOn w:val="TableNormal0"/>
    <w:pPr>
      <w:spacing w:after="0" w:line="240" w:lineRule="auto"/>
    </w:pPr>
    <w:tblPr>
      <w:tblStyleRowBandSize w:val="1"/>
      <w:tblStyleColBandSize w:val="1"/>
      <w:tblCellMar>
        <w:left w:w="108" w:type="dxa"/>
        <w:right w:w="108" w:type="dxa"/>
      </w:tblCellMar>
    </w:tblPr>
  </w:style>
  <w:style w:type="table" w:customStyle="1" w:styleId="a4">
    <w:basedOn w:val="TableNormal0"/>
    <w:pPr>
      <w:spacing w:after="0" w:line="240" w:lineRule="auto"/>
    </w:pPr>
    <w:tblPr>
      <w:tblStyleRowBandSize w:val="1"/>
      <w:tblStyleColBandSize w:val="1"/>
      <w:tblCellMar>
        <w:left w:w="108" w:type="dxa"/>
        <w:right w:w="108" w:type="dxa"/>
      </w:tblCellMar>
    </w:tblPr>
  </w:style>
  <w:style w:type="table" w:customStyle="1" w:styleId="a5">
    <w:basedOn w:val="TableNormal0"/>
    <w:pPr>
      <w:spacing w:after="0" w:line="240" w:lineRule="auto"/>
    </w:pPr>
    <w:tblPr>
      <w:tblStyleRowBandSize w:val="1"/>
      <w:tblStyleColBandSize w:val="1"/>
      <w:tblCellMar>
        <w:left w:w="108" w:type="dxa"/>
        <w:right w:w="108" w:type="dxa"/>
      </w:tblCellMar>
    </w:tblPr>
  </w:style>
  <w:style w:type="table" w:customStyle="1" w:styleId="a6">
    <w:basedOn w:val="TableNormal0"/>
    <w:tblPr>
      <w:tblStyleRowBandSize w:val="1"/>
      <w:tblStyleColBandSize w:val="1"/>
      <w:tblCellMar>
        <w:left w:w="115" w:type="dxa"/>
        <w:right w:w="115" w:type="dxa"/>
      </w:tblCellMar>
    </w:tblPr>
  </w:style>
  <w:style w:type="character" w:styleId="Hyperlink">
    <w:name w:val="Hyperlink"/>
    <w:basedOn w:val="DefaultParagraphFont"/>
    <w:uiPriority w:val="99"/>
    <w:unhideWhenUsed/>
    <w:rsid w:val="00987A17"/>
    <w:rPr>
      <w:color w:val="0000FF" w:themeColor="hyperlink"/>
      <w:u w:val="single"/>
    </w:rPr>
  </w:style>
  <w:style w:type="character" w:styleId="UnresolvedMention">
    <w:name w:val="Unresolved Mention"/>
    <w:basedOn w:val="DefaultParagraphFont"/>
    <w:uiPriority w:val="99"/>
    <w:semiHidden/>
    <w:unhideWhenUsed/>
    <w:rsid w:val="00987A17"/>
    <w:rPr>
      <w:color w:val="605E5C"/>
      <w:shd w:val="clear" w:color="auto" w:fill="E1DFDD"/>
    </w:rPr>
  </w:style>
  <w:style w:type="paragraph" w:styleId="Header">
    <w:name w:val="header"/>
    <w:basedOn w:val="Normal"/>
    <w:link w:val="HeaderChar"/>
    <w:uiPriority w:val="99"/>
    <w:unhideWhenUsed/>
    <w:rsid w:val="006C20C5"/>
    <w:pPr>
      <w:tabs>
        <w:tab w:val="center" w:pos="4680"/>
        <w:tab w:val="right" w:pos="9360"/>
      </w:tabs>
      <w:spacing w:after="0" w:line="240" w:lineRule="auto"/>
    </w:pPr>
  </w:style>
  <w:style w:type="character" w:customStyle="1" w:styleId="HeaderChar">
    <w:name w:val="Header Char"/>
    <w:basedOn w:val="DefaultParagraphFont"/>
    <w:link w:val="Header"/>
    <w:uiPriority w:val="99"/>
    <w:rsid w:val="006C20C5"/>
  </w:style>
  <w:style w:type="paragraph" w:styleId="Footer">
    <w:name w:val="footer"/>
    <w:basedOn w:val="Normal"/>
    <w:link w:val="FooterChar"/>
    <w:uiPriority w:val="99"/>
    <w:unhideWhenUsed/>
    <w:rsid w:val="006C20C5"/>
    <w:pPr>
      <w:tabs>
        <w:tab w:val="center" w:pos="4680"/>
        <w:tab w:val="right" w:pos="9360"/>
      </w:tabs>
      <w:spacing w:after="0" w:line="240" w:lineRule="auto"/>
    </w:pPr>
  </w:style>
  <w:style w:type="character" w:customStyle="1" w:styleId="FooterChar">
    <w:name w:val="Footer Char"/>
    <w:basedOn w:val="DefaultParagraphFont"/>
    <w:link w:val="Footer"/>
    <w:uiPriority w:val="99"/>
    <w:rsid w:val="006C20C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6604280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http://www.fao.org/fao-who-codexalimentarius" TargetMode="External"/><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15</Pages>
  <Words>3313</Words>
  <Characters>18886</Characters>
  <Application>Microsoft Office Word</Application>
  <DocSecurity>0</DocSecurity>
  <Lines>157</Lines>
  <Paragraphs>44</Paragraphs>
  <ScaleCrop>false</ScaleCrop>
  <Company/>
  <LinksUpToDate>false</LinksUpToDate>
  <CharactersWithSpaces>22155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SDI 1180</cp:lastModifiedBy>
  <cp:revision>5</cp:revision>
  <dcterms:created xsi:type="dcterms:W3CDTF">2025-07-14T11:46:00Z</dcterms:created>
  <dcterms:modified xsi:type="dcterms:W3CDTF">2025-07-15T06:52:00Z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e58287e9-4224-4d94-8c1f-bb00cd719774</vt:lpwstr>
  </property>
</Properties>
</file>