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F86DB2" w14:textId="1E6A2348" w:rsidR="007021CE" w:rsidRPr="00553C3B" w:rsidRDefault="00553C3B" w:rsidP="00553C3B">
      <w:pPr>
        <w:spacing w:after="280" w:line="240" w:lineRule="auto"/>
        <w:rPr>
          <w:rFonts w:ascii="Times New Roman" w:eastAsia="Times New Roman" w:hAnsi="Times New Roman" w:cs="Times New Roman"/>
          <w:b/>
          <w:bCs/>
          <w:sz w:val="24"/>
          <w:szCs w:val="24"/>
        </w:rPr>
      </w:pPr>
      <w:r w:rsidRPr="00553C3B">
        <w:rPr>
          <w:rFonts w:ascii="Times New Roman" w:eastAsia="Times New Roman" w:hAnsi="Times New Roman" w:cs="Times New Roman"/>
          <w:b/>
          <w:bCs/>
          <w:sz w:val="24"/>
          <w:szCs w:val="24"/>
        </w:rPr>
        <w:t>Comparative Study of. Ber (</w:t>
      </w:r>
      <w:proofErr w:type="spellStart"/>
      <w:r w:rsidRPr="00553C3B">
        <w:rPr>
          <w:rFonts w:ascii="Times New Roman" w:eastAsia="Times New Roman" w:hAnsi="Times New Roman" w:cs="Times New Roman"/>
          <w:b/>
          <w:bCs/>
          <w:sz w:val="24"/>
          <w:szCs w:val="24"/>
        </w:rPr>
        <w:t>ziziphus</w:t>
      </w:r>
      <w:proofErr w:type="spellEnd"/>
      <w:r w:rsidRPr="00553C3B">
        <w:rPr>
          <w:rFonts w:ascii="Times New Roman" w:eastAsia="Times New Roman" w:hAnsi="Times New Roman" w:cs="Times New Roman"/>
          <w:b/>
          <w:bCs/>
          <w:sz w:val="24"/>
          <w:szCs w:val="24"/>
        </w:rPr>
        <w:t xml:space="preserve"> </w:t>
      </w:r>
      <w:proofErr w:type="spellStart"/>
      <w:r w:rsidRPr="00553C3B">
        <w:rPr>
          <w:rFonts w:ascii="Times New Roman" w:eastAsia="Times New Roman" w:hAnsi="Times New Roman" w:cs="Times New Roman"/>
          <w:b/>
          <w:bCs/>
          <w:sz w:val="24"/>
          <w:szCs w:val="24"/>
        </w:rPr>
        <w:t>mauritiana</w:t>
      </w:r>
      <w:proofErr w:type="spellEnd"/>
      <w:r w:rsidRPr="00553C3B">
        <w:rPr>
          <w:rFonts w:ascii="Times New Roman" w:eastAsia="Times New Roman" w:hAnsi="Times New Roman" w:cs="Times New Roman"/>
          <w:b/>
          <w:bCs/>
          <w:sz w:val="24"/>
          <w:szCs w:val="24"/>
        </w:rPr>
        <w:t>) varieties Influences by different Dehydration methods.</w:t>
      </w:r>
    </w:p>
    <w:p w14:paraId="62942B1E" w14:textId="52C5CC75" w:rsidR="004971C4" w:rsidRDefault="004971C4" w:rsidP="007701B1">
      <w:pPr>
        <w:pStyle w:val="Heading3"/>
        <w:spacing w:after="0"/>
        <w:jc w:val="center"/>
        <w:rPr>
          <w:sz w:val="24"/>
          <w:szCs w:val="24"/>
        </w:rPr>
      </w:pPr>
    </w:p>
    <w:p w14:paraId="1BF86DB9"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Abstract</w:t>
      </w:r>
    </w:p>
    <w:p w14:paraId="1BF86DBA" w14:textId="77777777" w:rsidR="007021CE" w:rsidRDefault="00553C3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explores the impact of various dehydration pretreatments on the quality, nutrient retention, and sensory acceptability of </w:t>
      </w:r>
      <w:proofErr w:type="spellStart"/>
      <w:r>
        <w:rPr>
          <w:rFonts w:ascii="Times New Roman" w:eastAsia="Times New Roman" w:hAnsi="Times New Roman" w:cs="Times New Roman"/>
          <w:i/>
          <w:sz w:val="24"/>
          <w:szCs w:val="24"/>
        </w:rPr>
        <w:t>Zizyphus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mauritiana</w:t>
      </w:r>
      <w:proofErr w:type="spellEnd"/>
      <w:r>
        <w:rPr>
          <w:rFonts w:ascii="Times New Roman" w:eastAsia="Times New Roman" w:hAnsi="Times New Roman" w:cs="Times New Roman"/>
          <w:sz w:val="24"/>
          <w:szCs w:val="24"/>
        </w:rPr>
        <w:t xml:space="preserve"> (Ber), particularly the Thar Apple cultivar. Conducted at Mewar University, eight pretreatment methods—including osmo-dehydration, KMS blanching, and NaOH + citric acid treatment—were evaluated for their effect on drying behavior, chemical composition, and organoleptic qualities. Osmo-dehydration yielded the highest total soluble solids (66.75%) and total sugars (45.72%), while KMS + slow freezing retained the maximum ascorbic acid (123.65 mg/100g) and optimal rehydration ratio (2.19). The most efficient drying was achieved with NaOH + citric acid, completing the process in 66 hours. Overall, osmo-dehydration emerged as the best method for flavor and appearance, while KMS + slow freezing was optimal for nutrient preservation. These finding</w:t>
      </w:r>
      <w:bookmarkStart w:id="0" w:name="_GoBack"/>
      <w:bookmarkEnd w:id="0"/>
      <w:r>
        <w:rPr>
          <w:rFonts w:ascii="Times New Roman" w:eastAsia="Times New Roman" w:hAnsi="Times New Roman" w:cs="Times New Roman"/>
          <w:sz w:val="24"/>
          <w:szCs w:val="24"/>
        </w:rPr>
        <w:t xml:space="preserve">s highlight the commercial potential of dehydrated </w:t>
      </w:r>
      <w:proofErr w:type="spellStart"/>
      <w:r>
        <w:rPr>
          <w:rFonts w:ascii="Times New Roman" w:eastAsia="Times New Roman" w:hAnsi="Times New Roman" w:cs="Times New Roman"/>
          <w:sz w:val="24"/>
          <w:szCs w:val="24"/>
        </w:rPr>
        <w:t>ber</w:t>
      </w:r>
      <w:proofErr w:type="spellEnd"/>
      <w:r>
        <w:rPr>
          <w:rFonts w:ascii="Times New Roman" w:eastAsia="Times New Roman" w:hAnsi="Times New Roman" w:cs="Times New Roman"/>
          <w:sz w:val="24"/>
          <w:szCs w:val="24"/>
        </w:rPr>
        <w:t xml:space="preserve"> as a value-added, shelf-stable product for arid regions.</w:t>
      </w:r>
    </w:p>
    <w:p w14:paraId="1BF86DBB" w14:textId="77777777" w:rsidR="007021CE" w:rsidRDefault="00553C3B">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Keywords</w:t>
      </w:r>
      <w:r>
        <w:rPr>
          <w:rFonts w:ascii="Times New Roman" w:eastAsia="Times New Roman" w:hAnsi="Times New Roman" w:cs="Times New Roman"/>
          <w:sz w:val="24"/>
          <w:szCs w:val="24"/>
        </w:rPr>
        <w:t>: Ber, dehydration, osmo-dehydration, potassium metabisulphite (KMS), ascorbic acid, sensory evaluation, drying efficiency</w:t>
      </w:r>
    </w:p>
    <w:p w14:paraId="1BF86DBC"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1. Introduction</w:t>
      </w:r>
    </w:p>
    <w:p w14:paraId="1BF86DBD"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Lamk</w:t>
      </w:r>
      <w:proofErr w:type="spellEnd"/>
      <w:r>
        <w:rPr>
          <w:rFonts w:ascii="Times New Roman" w:eastAsia="Times New Roman" w:hAnsi="Times New Roman" w:cs="Times New Roman"/>
          <w:color w:val="000000"/>
          <w:sz w:val="24"/>
          <w:szCs w:val="24"/>
        </w:rPr>
        <w:t xml:space="preserve">.), a hardy fruit tree native to India, is widely cultivated in arid and semi-arid regions, especially in states like Punjab, Haryana, Rajasthan, Uttar Pradesh, Maharashtra, and Gujarat. Its resilience to harsh climatic conditions and minimal irrigation needs make it a valuable fruit crop for marginal areas (Chaudhuri et al., 2025). As per the National Horticulture Board’s estimates for 2021–22,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was grown over approximately 81,000 hectares, producing about 860,000 </w:t>
      </w:r>
      <w:proofErr w:type="spellStart"/>
      <w:r>
        <w:rPr>
          <w:rFonts w:ascii="Times New Roman" w:eastAsia="Times New Roman" w:hAnsi="Times New Roman" w:cs="Times New Roman"/>
          <w:color w:val="000000"/>
          <w:sz w:val="24"/>
          <w:szCs w:val="24"/>
        </w:rPr>
        <w:t>tonnes</w:t>
      </w:r>
      <w:proofErr w:type="spellEnd"/>
      <w:r>
        <w:rPr>
          <w:rFonts w:ascii="Times New Roman" w:eastAsia="Times New Roman" w:hAnsi="Times New Roman" w:cs="Times New Roman"/>
          <w:color w:val="000000"/>
          <w:sz w:val="24"/>
          <w:szCs w:val="24"/>
        </w:rPr>
        <w:t xml:space="preserve"> nationally, with leading contributions from Madhya Pradesh, Gujarat, and Chhattisgarh (</w:t>
      </w:r>
      <w:proofErr w:type="spellStart"/>
      <w:r>
        <w:rPr>
          <w:rFonts w:ascii="Times New Roman" w:eastAsia="Times New Roman" w:hAnsi="Times New Roman" w:cs="Times New Roman"/>
          <w:color w:val="000000"/>
          <w:sz w:val="24"/>
          <w:szCs w:val="24"/>
        </w:rPr>
        <w:t>Apeda</w:t>
      </w:r>
      <w:proofErr w:type="spellEnd"/>
      <w:r>
        <w:rPr>
          <w:rFonts w:ascii="Times New Roman" w:eastAsia="Times New Roman" w:hAnsi="Times New Roman" w:cs="Times New Roman"/>
          <w:color w:val="000000"/>
          <w:sz w:val="24"/>
          <w:szCs w:val="24"/>
        </w:rPr>
        <w:t xml:space="preserve">, 2025). Nutritionally rich and often called the “poor man’s apple,”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contains ascorbic acid (65.8–76.0 mg/100g), protein (0.8 g/100g), phosphorus (26.8 mg/100g), and iron (0.76–1.8 mg/100g), along with medicinal value recognized in Ayurvedic and Yunani systems (Bal &amp; Mann, 1978; </w:t>
      </w:r>
      <w:proofErr w:type="spellStart"/>
      <w:r>
        <w:rPr>
          <w:rFonts w:ascii="Times New Roman" w:eastAsia="Times New Roman" w:hAnsi="Times New Roman" w:cs="Times New Roman"/>
          <w:color w:val="000000"/>
          <w:sz w:val="24"/>
          <w:szCs w:val="24"/>
        </w:rPr>
        <w:t>Tomatov</w:t>
      </w:r>
      <w:proofErr w:type="spellEnd"/>
      <w:r>
        <w:rPr>
          <w:rFonts w:ascii="Times New Roman" w:eastAsia="Times New Roman" w:hAnsi="Times New Roman" w:cs="Times New Roman"/>
          <w:color w:val="000000"/>
          <w:sz w:val="24"/>
          <w:szCs w:val="24"/>
        </w:rPr>
        <w:t>, 1963). However, its commercial viability is challenged by its short shelf-life of 2–4 days and post-harvest losses of up to 30% due to poor storage and handling infrastructure.</w:t>
      </w:r>
    </w:p>
    <w:p w14:paraId="1BF86DBE"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Processing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into value-added products, especially through dehydration, can address these challenges. Despite </w:t>
      </w:r>
      <w:proofErr w:type="spellStart"/>
      <w:r>
        <w:rPr>
          <w:rFonts w:ascii="Times New Roman" w:eastAsia="Times New Roman" w:hAnsi="Times New Roman" w:cs="Times New Roman"/>
          <w:color w:val="000000"/>
          <w:sz w:val="24"/>
          <w:szCs w:val="24"/>
        </w:rPr>
        <w:t>ber’s</w:t>
      </w:r>
      <w:proofErr w:type="spellEnd"/>
      <w:r>
        <w:rPr>
          <w:rFonts w:ascii="Times New Roman" w:eastAsia="Times New Roman" w:hAnsi="Times New Roman" w:cs="Times New Roman"/>
          <w:color w:val="000000"/>
          <w:sz w:val="24"/>
          <w:szCs w:val="24"/>
        </w:rPr>
        <w:t xml:space="preserve"> suitability for processing into candy, pulp, and dried snacks, less than 2% of India's total fruit production is processed, and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remains underutilized commercially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&amp; Singh, 1975; Dalal et al., 2019). Traditional sun-drying practices are still prevalent in rural areas, but scientific dehydration techniques remain largely undeveloped. Given that fruits typically contain more than 80% moisture, they are highly perishable (</w:t>
      </w:r>
      <w:proofErr w:type="spellStart"/>
      <w:r>
        <w:rPr>
          <w:rFonts w:ascii="Times New Roman" w:eastAsia="Times New Roman" w:hAnsi="Times New Roman" w:cs="Times New Roman"/>
          <w:color w:val="000000"/>
          <w:sz w:val="24"/>
          <w:szCs w:val="24"/>
        </w:rPr>
        <w:t>Orsat</w:t>
      </w:r>
      <w:proofErr w:type="spellEnd"/>
      <w:r>
        <w:rPr>
          <w:rFonts w:ascii="Times New Roman" w:eastAsia="Times New Roman" w:hAnsi="Times New Roman" w:cs="Times New Roman"/>
          <w:color w:val="000000"/>
          <w:sz w:val="24"/>
          <w:szCs w:val="24"/>
        </w:rPr>
        <w:t xml:space="preserve"> et al., 2006). In countries like India, where cold-chain infrastructure is inadequate, dehydration is an effective post-harvest strategy. It not only extends shelf-life and reduces microbial spoilage but also decreases storage, packaging, and transportation costs (Grabowski et al., 2003).</w:t>
      </w:r>
    </w:p>
    <w:p w14:paraId="1BF86DBF"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Ber, being seasonal, is particularly suited for dehydration. Techniques like sun drying and controlled drying can help retain nutritional and sensory quality while improving shelf stability. However, the lack of standardized pretreatment and drying protocols limits its commercial potential. Therefore, this study aims to evaluate suitable pretreatments and dehydration methods for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 to improve product quality, minimize post-harvest losses, and enhance marketability.</w:t>
      </w:r>
    </w:p>
    <w:p w14:paraId="1BF86DC0"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2. Materials and Methods</w:t>
      </w:r>
    </w:p>
    <w:p w14:paraId="1BF86DC1"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study was conducted in the Post-Harvest Technology Laboratory of the Department of Horticulture at Mewar University, Chittorgarh, Rajasthan, during the year 2024–2025. The experiment followed a Completely Randomized Design (CRD) with three replications to evaluate the effects of different pretreatment methods on the dehydration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(Thar Apple cultivar). Fresh, mature fruits were washed, deseeded, and sliced uniformly before undergoing eight distinct pretreatment methods: control (no blanching), water blanching, KMS blanching, KMS + slow freezing, NaOH + citric acid, microwave blanching, and osmo-dehydration. The fruits were then dehydrated using a cabinet drier set at a controlled temperature. During and after drying, several parameters were analyzed including drying time, bulk density, non-enzymatic browning, dehydration and rehydration ratios, total soluble solids (TSS), titratable acidity, ascorbic acid content, reducing sugars, total sugars, and sensory attributes. Standard laboratory procedures were followed for biochemical estimations, and sensory evaluation was conducted using a 9-point hedonic scale with a trained panel. The data were analyzed statistically using CRD design (Gomez and Gomez, 1984).</w:t>
      </w:r>
    </w:p>
    <w:p w14:paraId="1BF86DC2"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3. Results and Discussion</w:t>
      </w:r>
    </w:p>
    <w:p w14:paraId="1BF86DC3"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primary objective of this research was to assess the impact of different pretreatment methods on the dehydration performance, nutritional composition, and sensory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Lamk.). The study yielded significant observations concerning the drying rate, retention of biochemical attributes, and consumer acceptability of the processed fruits.</w:t>
      </w:r>
    </w:p>
    <w:p w14:paraId="1BF86DC4" w14:textId="77777777" w:rsidR="007021CE" w:rsidRDefault="00553C3B">
      <w:pPr>
        <w:pStyle w:val="Heading4"/>
      </w:pPr>
      <w:r>
        <w:t>Drying Behavior and Moisture Loss</w:t>
      </w:r>
    </w:p>
    <w:p w14:paraId="1BF86DC5"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drying pattern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exhibited a biphasic curve, where a rapid moisture loss occurred during the initial phase followed by a gradual decline as dehydration progressed. Among the various pretreatment methods, fruits treated with NaOH + citric acid exhibited the fastest drying rate, reaching the target moisture content (~5%) in 66 hours, significantly quicker than other treatments (</w:t>
      </w:r>
      <w:proofErr w:type="spellStart"/>
      <w:r>
        <w:rPr>
          <w:rFonts w:ascii="Times New Roman" w:eastAsia="Times New Roman" w:hAnsi="Times New Roman" w:cs="Times New Roman"/>
          <w:color w:val="000000"/>
          <w:sz w:val="24"/>
          <w:szCs w:val="24"/>
        </w:rPr>
        <w:t>Baig</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Chakraverty</w:t>
      </w:r>
      <w:proofErr w:type="spellEnd"/>
      <w:r>
        <w:rPr>
          <w:rFonts w:ascii="Times New Roman" w:eastAsia="Times New Roman" w:hAnsi="Times New Roman" w:cs="Times New Roman"/>
          <w:color w:val="000000"/>
          <w:sz w:val="24"/>
          <w:szCs w:val="24"/>
        </w:rPr>
        <w:t xml:space="preserve">, 2002). This is attributed to the lye treatment's effect on fruit skin permeability, facilitating enhanced water migration. In contrast, microwave-blanched and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showed slower drying, likely due to internal resistance caused by sugar accumulation and minimal structural modification (Akbarian et al., 2014). The </w:t>
      </w:r>
      <w:r>
        <w:rPr>
          <w:rFonts w:ascii="Times New Roman" w:eastAsia="Times New Roman" w:hAnsi="Times New Roman" w:cs="Times New Roman"/>
          <w:b/>
          <w:color w:val="000000"/>
          <w:sz w:val="24"/>
          <w:szCs w:val="24"/>
        </w:rPr>
        <w:t>control (untreated)</w:t>
      </w:r>
      <w:r>
        <w:rPr>
          <w:rFonts w:ascii="Times New Roman" w:eastAsia="Times New Roman" w:hAnsi="Times New Roman" w:cs="Times New Roman"/>
          <w:color w:val="000000"/>
          <w:sz w:val="24"/>
          <w:szCs w:val="24"/>
        </w:rPr>
        <w:t xml:space="preserve"> samples took the longest time to dry, indicating the beneficial role of pretreatment in improving drying efficiency.</w:t>
      </w:r>
    </w:p>
    <w:p w14:paraId="1BF86DC6" w14:textId="77777777" w:rsidR="007021CE" w:rsidRDefault="00553C3B">
      <w:pPr>
        <w:pStyle w:val="Heading4"/>
        <w:jc w:val="both"/>
      </w:pPr>
      <w:r>
        <w:t>Bulk Density and Shrinkage</w:t>
      </w:r>
    </w:p>
    <w:p w14:paraId="1BF86DC7"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bulk density</w:t>
      </w:r>
      <w:r>
        <w:rPr>
          <w:rFonts w:ascii="Times New Roman" w:eastAsia="Times New Roman" w:hAnsi="Times New Roman" w:cs="Times New Roman"/>
          <w:color w:val="000000"/>
          <w:sz w:val="24"/>
          <w:szCs w:val="24"/>
        </w:rPr>
        <w:t xml:space="preserve"> of dehydrated fruits varied significantly among treatments. The highest bulk density (0.65 kg/L) was recorded in fruits treated with </w:t>
      </w:r>
      <w:r>
        <w:rPr>
          <w:rFonts w:ascii="Times New Roman" w:eastAsia="Times New Roman" w:hAnsi="Times New Roman" w:cs="Times New Roman"/>
          <w:b/>
          <w:color w:val="000000"/>
          <w:sz w:val="24"/>
          <w:szCs w:val="24"/>
        </w:rPr>
        <w:t>NaOH + citric acid</w:t>
      </w:r>
      <w:r>
        <w:rPr>
          <w:rFonts w:ascii="Times New Roman" w:eastAsia="Times New Roman" w:hAnsi="Times New Roman" w:cs="Times New Roman"/>
          <w:color w:val="000000"/>
          <w:sz w:val="24"/>
          <w:szCs w:val="24"/>
        </w:rPr>
        <w:t xml:space="preserve">, which could be a result </w:t>
      </w:r>
      <w:r>
        <w:rPr>
          <w:rFonts w:ascii="Times New Roman" w:eastAsia="Times New Roman" w:hAnsi="Times New Roman" w:cs="Times New Roman"/>
          <w:color w:val="000000"/>
          <w:sz w:val="24"/>
          <w:szCs w:val="24"/>
        </w:rPr>
        <w:lastRenderedPageBreak/>
        <w:t xml:space="preserve">of tissue collapse and high shrinkage due to rapid water loss (Tandon et al., 2003). Conversely,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w:t>
      </w:r>
      <w:r>
        <w:rPr>
          <w:rFonts w:ascii="Times New Roman" w:eastAsia="Times New Roman" w:hAnsi="Times New Roman" w:cs="Times New Roman"/>
          <w:b/>
          <w:color w:val="000000"/>
          <w:sz w:val="24"/>
          <w:szCs w:val="24"/>
        </w:rPr>
        <w:t>lowest bulk density (0.51 kg/L)</w:t>
      </w:r>
      <w:r>
        <w:rPr>
          <w:rFonts w:ascii="Times New Roman" w:eastAsia="Times New Roman" w:hAnsi="Times New Roman" w:cs="Times New Roman"/>
          <w:color w:val="000000"/>
          <w:sz w:val="24"/>
          <w:szCs w:val="24"/>
        </w:rPr>
        <w:t>, suggesting better structural retention and lower shrinkage. These differences reflect the influence of pretreatment not only on drying kinetics but also on the physical integrity of the final product.</w:t>
      </w:r>
    </w:p>
    <w:p w14:paraId="1BF86DC8" w14:textId="77777777" w:rsidR="007021CE" w:rsidRDefault="00553C3B">
      <w:pPr>
        <w:pStyle w:val="Heading4"/>
        <w:jc w:val="both"/>
      </w:pPr>
      <w:r>
        <w:t>Non-Enzymatic Browning (NEB)</w:t>
      </w:r>
    </w:p>
    <w:p w14:paraId="1BF86DC9"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Non-enzymatic browning, which affects the visual appeal and shelf life of dehydrated fruits, was most pronounced in untreated control samples (0.34 OD at 440 nm), followed by NaOH + citric acid and water blanched fruits. Minimal browning was observed in osmo-dehydrated</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(0.26 OD) and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due to the antioxidant properties of sugar and potassium </w:t>
      </w:r>
      <w:proofErr w:type="spellStart"/>
      <w:r>
        <w:rPr>
          <w:rFonts w:ascii="Times New Roman" w:eastAsia="Times New Roman" w:hAnsi="Times New Roman" w:cs="Times New Roman"/>
          <w:color w:val="000000"/>
          <w:sz w:val="24"/>
          <w:szCs w:val="24"/>
        </w:rPr>
        <w:t>metabisulphite</w:t>
      </w:r>
      <w:proofErr w:type="spellEnd"/>
      <w:r>
        <w:rPr>
          <w:rFonts w:ascii="Times New Roman" w:eastAsia="Times New Roman" w:hAnsi="Times New Roman" w:cs="Times New Roman"/>
          <w:color w:val="000000"/>
          <w:sz w:val="24"/>
          <w:szCs w:val="24"/>
        </w:rPr>
        <w:t xml:space="preserve"> (Sagar &amp;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1999).</w:t>
      </w:r>
    </w:p>
    <w:p w14:paraId="1BF86DCA" w14:textId="77777777" w:rsidR="007021CE" w:rsidRDefault="00553C3B">
      <w:pPr>
        <w:pStyle w:val="Heading4"/>
        <w:jc w:val="both"/>
      </w:pPr>
      <w:r>
        <w:t>Dehydration and Rehydration Ratios</w:t>
      </w:r>
    </w:p>
    <w:p w14:paraId="1BF86DCB"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dehydration ratio</w:t>
      </w:r>
      <w:r>
        <w:rPr>
          <w:rFonts w:ascii="Times New Roman" w:eastAsia="Times New Roman" w:hAnsi="Times New Roman" w:cs="Times New Roman"/>
          <w:color w:val="000000"/>
          <w:sz w:val="24"/>
          <w:szCs w:val="24"/>
        </w:rPr>
        <w:t xml:space="preserve">, defined as the ratio of fresh to dry weight, was highest in </w:t>
      </w:r>
      <w:r>
        <w:rPr>
          <w:rFonts w:ascii="Times New Roman" w:eastAsia="Times New Roman" w:hAnsi="Times New Roman" w:cs="Times New Roman"/>
          <w:b/>
          <w:color w:val="000000"/>
          <w:sz w:val="24"/>
          <w:szCs w:val="24"/>
        </w:rPr>
        <w:t>NaOH + citric acid treated</w:t>
      </w:r>
      <w:r>
        <w:rPr>
          <w:rFonts w:ascii="Times New Roman" w:eastAsia="Times New Roman" w:hAnsi="Times New Roman" w:cs="Times New Roman"/>
          <w:color w:val="000000"/>
          <w:sz w:val="24"/>
          <w:szCs w:val="24"/>
        </w:rPr>
        <w:t xml:space="preserve"> fruits (5.38:1), indicating substantial moisture removal. The lowest was recorded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samples (4.76:1), where sugar uptake during osmotic treatment likely reduced the total water content available for removal (Devaraju, 2003). Regarding </w:t>
      </w:r>
      <w:r>
        <w:rPr>
          <w:rFonts w:ascii="Times New Roman" w:eastAsia="Times New Roman" w:hAnsi="Times New Roman" w:cs="Times New Roman"/>
          <w:b/>
          <w:color w:val="000000"/>
          <w:sz w:val="24"/>
          <w:szCs w:val="24"/>
        </w:rPr>
        <w:t>rehydration capacity</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exhibited the best performance (2.19), followed closely by NaOH-treated fruits.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samples had the poorest rehydration ratio (1.80), suggesting structural damage or cell wall hardening due to rapid heating.</w:t>
      </w:r>
    </w:p>
    <w:p w14:paraId="1BF86DCC" w14:textId="77777777" w:rsidR="007021CE" w:rsidRDefault="00553C3B">
      <w:pPr>
        <w:pStyle w:val="Heading4"/>
        <w:jc w:val="both"/>
      </w:pPr>
      <w:r>
        <w:t>Total Soluble Solids (TSS) and Sugars</w:t>
      </w:r>
    </w:p>
    <w:p w14:paraId="1BF86DCD"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significant increase in </w:t>
      </w:r>
      <w:r>
        <w:rPr>
          <w:rFonts w:ascii="Times New Roman" w:eastAsia="Times New Roman" w:hAnsi="Times New Roman" w:cs="Times New Roman"/>
          <w:b/>
          <w:color w:val="000000"/>
          <w:sz w:val="24"/>
          <w:szCs w:val="24"/>
        </w:rPr>
        <w:t>total soluble solids (TSS)</w:t>
      </w:r>
      <w:r>
        <w:rPr>
          <w:rFonts w:ascii="Times New Roman" w:eastAsia="Times New Roman" w:hAnsi="Times New Roman" w:cs="Times New Roman"/>
          <w:color w:val="000000"/>
          <w:sz w:val="24"/>
          <w:szCs w:val="24"/>
        </w:rPr>
        <w:t xml:space="preserve"> was observed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(66.75%) due to sugar infusion from the osmotic solution (Akbarian et al., 2014). Other treatments showed varied results, with microwave blanching maintaining relatively high TSS (57.50%), while </w:t>
      </w:r>
      <w:r>
        <w:rPr>
          <w:rFonts w:ascii="Times New Roman" w:eastAsia="Times New Roman" w:hAnsi="Times New Roman" w:cs="Times New Roman"/>
          <w:b/>
          <w:color w:val="000000"/>
          <w:sz w:val="24"/>
          <w:szCs w:val="24"/>
        </w:rPr>
        <w:t>NaOH + citric acid treated fruits</w:t>
      </w:r>
      <w:r>
        <w:rPr>
          <w:rFonts w:ascii="Times New Roman" w:eastAsia="Times New Roman" w:hAnsi="Times New Roman" w:cs="Times New Roman"/>
          <w:color w:val="000000"/>
          <w:sz w:val="24"/>
          <w:szCs w:val="24"/>
        </w:rPr>
        <w:t xml:space="preserve"> recorded the lowest (45.00%). A similar trend was observed in </w:t>
      </w:r>
      <w:r>
        <w:rPr>
          <w:rFonts w:ascii="Times New Roman" w:eastAsia="Times New Roman" w:hAnsi="Times New Roman" w:cs="Times New Roman"/>
          <w:b/>
          <w:color w:val="000000"/>
          <w:sz w:val="24"/>
          <w:szCs w:val="24"/>
        </w:rPr>
        <w:t>total sugar content</w:t>
      </w:r>
      <w:r>
        <w:rPr>
          <w:rFonts w:ascii="Times New Roman" w:eastAsia="Times New Roman" w:hAnsi="Times New Roman" w:cs="Times New Roman"/>
          <w:color w:val="000000"/>
          <w:sz w:val="24"/>
          <w:szCs w:val="24"/>
        </w:rPr>
        <w:t>, where osmo-dehydration led to the highest value (45.72%), emphasizing the impact of sugar migration during the pretreatment phase. The lowest total sugar was recorded in NaOH-treated fruits (30.69%), likely due to leaching of sugars during the alkaline wash process.</w:t>
      </w:r>
    </w:p>
    <w:p w14:paraId="1BF86DCE" w14:textId="77777777" w:rsidR="007021CE" w:rsidRDefault="00553C3B">
      <w:pPr>
        <w:pStyle w:val="Heading4"/>
        <w:jc w:val="both"/>
      </w:pPr>
      <w:r>
        <w:t>Ascorbic Acid Retention</w:t>
      </w:r>
    </w:p>
    <w:p w14:paraId="1BF86DCF"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Dehydration caused a notable reduction in </w:t>
      </w:r>
      <w:r>
        <w:rPr>
          <w:rFonts w:ascii="Times New Roman" w:eastAsia="Times New Roman" w:hAnsi="Times New Roman" w:cs="Times New Roman"/>
          <w:b/>
          <w:color w:val="000000"/>
          <w:sz w:val="24"/>
          <w:szCs w:val="24"/>
        </w:rPr>
        <w:t>ascorbic acid</w:t>
      </w:r>
      <w:r>
        <w:rPr>
          <w:rFonts w:ascii="Times New Roman" w:eastAsia="Times New Roman" w:hAnsi="Times New Roman" w:cs="Times New Roman"/>
          <w:color w:val="000000"/>
          <w:sz w:val="24"/>
          <w:szCs w:val="24"/>
        </w:rPr>
        <w:t xml:space="preserve"> content across all treatments when compared to fresh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However, the highest retention (123.65 mg/100 g) was found in </w:t>
      </w:r>
      <w:r>
        <w:rPr>
          <w:rFonts w:ascii="Times New Roman" w:eastAsia="Times New Roman" w:hAnsi="Times New Roman" w:cs="Times New Roman"/>
          <w:b/>
          <w:color w:val="000000"/>
          <w:sz w:val="24"/>
          <w:szCs w:val="24"/>
        </w:rPr>
        <w:t>KMS + slow frozen</w:t>
      </w:r>
      <w:r>
        <w:rPr>
          <w:rFonts w:ascii="Times New Roman" w:eastAsia="Times New Roman" w:hAnsi="Times New Roman" w:cs="Times New Roman"/>
          <w:color w:val="000000"/>
          <w:sz w:val="24"/>
          <w:szCs w:val="24"/>
        </w:rPr>
        <w:t xml:space="preserve"> samples. This may be due to the antioxidant role of KMS and the enzyme-inactivating effect of freezing, which collectively minimized oxidative degradation (Kumar et al., 2017). Conversely,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fruits showed the greatest losses, highlighting the necessity of protective pretreatments for preserving sensitive nutrients.</w:t>
      </w:r>
    </w:p>
    <w:p w14:paraId="1BF86DD0" w14:textId="77777777" w:rsidR="007021CE" w:rsidRDefault="00553C3B">
      <w:pPr>
        <w:pStyle w:val="Heading4"/>
        <w:jc w:val="both"/>
      </w:pPr>
      <w:r>
        <w:t>Acidity and Reducing Sugars</w:t>
      </w:r>
    </w:p>
    <w:p w14:paraId="1BF86DD1"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b/>
          <w:color w:val="000000"/>
          <w:sz w:val="24"/>
          <w:szCs w:val="24"/>
        </w:rPr>
        <w:t>titratable acidity</w:t>
      </w:r>
      <w:r>
        <w:rPr>
          <w:rFonts w:ascii="Times New Roman" w:eastAsia="Times New Roman" w:hAnsi="Times New Roman" w:cs="Times New Roman"/>
          <w:color w:val="000000"/>
          <w:sz w:val="24"/>
          <w:szCs w:val="24"/>
        </w:rPr>
        <w:t xml:space="preserve"> of dehydrated fruits varied from 1.15% to 1.75%, with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showing the </w:t>
      </w:r>
      <w:r>
        <w:rPr>
          <w:rFonts w:ascii="Times New Roman" w:eastAsia="Times New Roman" w:hAnsi="Times New Roman" w:cs="Times New Roman"/>
          <w:b/>
          <w:color w:val="000000"/>
          <w:sz w:val="24"/>
          <w:szCs w:val="24"/>
        </w:rPr>
        <w:t>lowest acidity</w:t>
      </w:r>
      <w:r>
        <w:rPr>
          <w:rFonts w:ascii="Times New Roman" w:eastAsia="Times New Roman" w:hAnsi="Times New Roman" w:cs="Times New Roman"/>
          <w:color w:val="000000"/>
          <w:sz w:val="24"/>
          <w:szCs w:val="24"/>
        </w:rPr>
        <w:t xml:space="preserve"> due to acid leaching during the osmotic soaking (Mehta &amp; Tomar, 1980). In contrast, </w:t>
      </w:r>
      <w:r>
        <w:rPr>
          <w:rFonts w:ascii="Times New Roman" w:eastAsia="Times New Roman" w:hAnsi="Times New Roman" w:cs="Times New Roman"/>
          <w:b/>
          <w:color w:val="000000"/>
          <w:sz w:val="24"/>
          <w:szCs w:val="24"/>
        </w:rPr>
        <w:t>microwave-blanched</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control</w:t>
      </w:r>
      <w:r>
        <w:rPr>
          <w:rFonts w:ascii="Times New Roman" w:eastAsia="Times New Roman" w:hAnsi="Times New Roman" w:cs="Times New Roman"/>
          <w:color w:val="000000"/>
          <w:sz w:val="24"/>
          <w:szCs w:val="24"/>
        </w:rPr>
        <w:t xml:space="preserve"> fruits retained higher acidity levels. Similarly, </w:t>
      </w:r>
      <w:r>
        <w:rPr>
          <w:rFonts w:ascii="Times New Roman" w:eastAsia="Times New Roman" w:hAnsi="Times New Roman" w:cs="Times New Roman"/>
          <w:b/>
          <w:color w:val="000000"/>
          <w:sz w:val="24"/>
          <w:szCs w:val="24"/>
        </w:rPr>
        <w:t>reducing sugars</w:t>
      </w:r>
      <w:r>
        <w:rPr>
          <w:rFonts w:ascii="Times New Roman" w:eastAsia="Times New Roman" w:hAnsi="Times New Roman" w:cs="Times New Roman"/>
          <w:color w:val="000000"/>
          <w:sz w:val="24"/>
          <w:szCs w:val="24"/>
        </w:rPr>
        <w:t xml:space="preserve"> were found to be highest in </w:t>
      </w:r>
      <w:r>
        <w:rPr>
          <w:rFonts w:ascii="Times New Roman" w:eastAsia="Times New Roman" w:hAnsi="Times New Roman" w:cs="Times New Roman"/>
          <w:b/>
          <w:color w:val="000000"/>
          <w:sz w:val="24"/>
          <w:szCs w:val="24"/>
        </w:rPr>
        <w:t>osmo-dehydrated</w:t>
      </w:r>
      <w:r>
        <w:rPr>
          <w:rFonts w:ascii="Times New Roman" w:eastAsia="Times New Roman" w:hAnsi="Times New Roman" w:cs="Times New Roman"/>
          <w:color w:val="000000"/>
          <w:sz w:val="24"/>
          <w:szCs w:val="24"/>
        </w:rPr>
        <w:t xml:space="preserve"> fruits (15.26%), </w:t>
      </w:r>
      <w:r>
        <w:rPr>
          <w:rFonts w:ascii="Times New Roman" w:eastAsia="Times New Roman" w:hAnsi="Times New Roman" w:cs="Times New Roman"/>
          <w:color w:val="000000"/>
          <w:sz w:val="24"/>
          <w:szCs w:val="24"/>
        </w:rPr>
        <w:lastRenderedPageBreak/>
        <w:t>reflecting increased sugar concentration due to syrup infusion and possible inversion of sucrose during dehydration.</w:t>
      </w:r>
    </w:p>
    <w:p w14:paraId="1BF86DD2" w14:textId="77777777" w:rsidR="007021CE" w:rsidRDefault="00553C3B">
      <w:pPr>
        <w:pStyle w:val="Heading4"/>
        <w:jc w:val="both"/>
      </w:pPr>
      <w:r>
        <w:t>Sensory Evaluation</w:t>
      </w:r>
    </w:p>
    <w:p w14:paraId="1BF86DD3"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w:t>
      </w:r>
      <w:r>
        <w:rPr>
          <w:rFonts w:ascii="Times New Roman" w:eastAsia="Times New Roman" w:hAnsi="Times New Roman" w:cs="Times New Roman"/>
          <w:b/>
          <w:color w:val="000000"/>
          <w:sz w:val="24"/>
          <w:szCs w:val="24"/>
        </w:rPr>
        <w:t>9-point hedonic scale</w:t>
      </w:r>
      <w:r>
        <w:rPr>
          <w:rFonts w:ascii="Times New Roman" w:eastAsia="Times New Roman" w:hAnsi="Times New Roman" w:cs="Times New Roman"/>
          <w:color w:val="000000"/>
          <w:sz w:val="24"/>
          <w:szCs w:val="24"/>
        </w:rPr>
        <w:t xml:space="preserve"> was used for the sensory analysis, evaluating taste, color, flavor, texture, and overall acceptability. </w:t>
      </w:r>
      <w:r>
        <w:rPr>
          <w:rFonts w:ascii="Times New Roman" w:eastAsia="Times New Roman" w:hAnsi="Times New Roman" w:cs="Times New Roman"/>
          <w:b/>
          <w:color w:val="000000"/>
          <w:sz w:val="24"/>
          <w:szCs w:val="24"/>
        </w:rPr>
        <w:t>Osmo-dehydrated fruits received the highest overall score (7.36)</w:t>
      </w:r>
      <w:r>
        <w:rPr>
          <w:rFonts w:ascii="Times New Roman" w:eastAsia="Times New Roman" w:hAnsi="Times New Roman" w:cs="Times New Roman"/>
          <w:color w:val="000000"/>
          <w:sz w:val="24"/>
          <w:szCs w:val="24"/>
        </w:rPr>
        <w:t xml:space="preserve">, praised for their sweet flavor and attractive appearance. </w:t>
      </w:r>
      <w:r>
        <w:rPr>
          <w:rFonts w:ascii="Times New Roman" w:eastAsia="Times New Roman" w:hAnsi="Times New Roman" w:cs="Times New Roman"/>
          <w:b/>
          <w:color w:val="000000"/>
          <w:sz w:val="24"/>
          <w:szCs w:val="24"/>
        </w:rPr>
        <w:t>KMS + slow frozen samples</w:t>
      </w:r>
      <w:r>
        <w:rPr>
          <w:rFonts w:ascii="Times New Roman" w:eastAsia="Times New Roman" w:hAnsi="Times New Roman" w:cs="Times New Roman"/>
          <w:color w:val="000000"/>
          <w:sz w:val="24"/>
          <w:szCs w:val="24"/>
        </w:rPr>
        <w:t xml:space="preserve"> also received high scores (7.00), reflecting better retention of natural fruit qualities. The </w:t>
      </w:r>
      <w:r>
        <w:rPr>
          <w:rFonts w:ascii="Times New Roman" w:eastAsia="Times New Roman" w:hAnsi="Times New Roman" w:cs="Times New Roman"/>
          <w:b/>
          <w:color w:val="000000"/>
          <w:sz w:val="24"/>
          <w:szCs w:val="24"/>
        </w:rPr>
        <w:t>control samples</w:t>
      </w:r>
      <w:r>
        <w:rPr>
          <w:rFonts w:ascii="Times New Roman" w:eastAsia="Times New Roman" w:hAnsi="Times New Roman" w:cs="Times New Roman"/>
          <w:color w:val="000000"/>
          <w:sz w:val="24"/>
          <w:szCs w:val="24"/>
        </w:rPr>
        <w:t>, however, received the lowest score (5.15), primarily due to poor texture and unappealing color, indicating the importance of pretreatment for enhancing consumer appeal (Omolola et al., 2016).</w:t>
      </w:r>
    </w:p>
    <w:p w14:paraId="1BF86DD4" w14:textId="77777777" w:rsidR="007021CE" w:rsidRDefault="00553C3B">
      <w:pPr>
        <w:spacing w:before="65" w:line="246" w:lineRule="auto"/>
        <w:ind w:right="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Table 1. Effect of various pretreatments on bulk density, browning, dehydration and rehydration ratios and organoleptic score of dehydrated </w:t>
      </w:r>
      <w:proofErr w:type="spellStart"/>
      <w:r>
        <w:rPr>
          <w:rFonts w:ascii="Times New Roman" w:eastAsia="Times New Roman" w:hAnsi="Times New Roman" w:cs="Times New Roman"/>
          <w:b/>
          <w:sz w:val="28"/>
          <w:szCs w:val="28"/>
        </w:rPr>
        <w:t>ber</w:t>
      </w:r>
      <w:proofErr w:type="spellEnd"/>
      <w:r>
        <w:rPr>
          <w:noProof/>
        </w:rPr>
        <mc:AlternateContent>
          <mc:Choice Requires="wpg">
            <w:drawing>
              <wp:anchor distT="0" distB="0" distL="114300" distR="114300" simplePos="0" relativeHeight="251658240" behindDoc="0" locked="0" layoutInCell="1" hidden="0" allowOverlap="1" wp14:anchorId="1BF86E7F" wp14:editId="1BF86E80">
                <wp:simplePos x="0" y="0"/>
                <wp:positionH relativeFrom="column">
                  <wp:posOffset>342900</wp:posOffset>
                </wp:positionH>
                <wp:positionV relativeFrom="paragraph">
                  <wp:posOffset>952500</wp:posOffset>
                </wp:positionV>
                <wp:extent cx="6629400" cy="12700"/>
                <wp:effectExtent l="0" t="0" r="0" b="0"/>
                <wp:wrapNone/>
                <wp:docPr id="1" name="Freeform: Shape 1"/>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3236582" y="0"/>
                              </a:moveTo>
                              <a:lnTo>
                                <a:pt x="2268855" y="0"/>
                              </a:lnTo>
                              <a:lnTo>
                                <a:pt x="1183005" y="0"/>
                              </a:lnTo>
                              <a:lnTo>
                                <a:pt x="0" y="0"/>
                              </a:lnTo>
                              <a:lnTo>
                                <a:pt x="0" y="5715"/>
                              </a:lnTo>
                              <a:lnTo>
                                <a:pt x="1183005" y="5715"/>
                              </a:lnTo>
                              <a:lnTo>
                                <a:pt x="2268855" y="5715"/>
                              </a:lnTo>
                              <a:lnTo>
                                <a:pt x="3236582" y="5715"/>
                              </a:lnTo>
                              <a:lnTo>
                                <a:pt x="3236582" y="0"/>
                              </a:lnTo>
                              <a:close/>
                            </a:path>
                            <a:path w="6629400" h="5715" extrusionOk="0">
                              <a:moveTo>
                                <a:pt x="5353672" y="0"/>
                              </a:moveTo>
                              <a:lnTo>
                                <a:pt x="4279265" y="0"/>
                              </a:lnTo>
                              <a:lnTo>
                                <a:pt x="3236595" y="0"/>
                              </a:lnTo>
                              <a:lnTo>
                                <a:pt x="3236595" y="5715"/>
                              </a:lnTo>
                              <a:lnTo>
                                <a:pt x="4279265" y="5715"/>
                              </a:lnTo>
                              <a:lnTo>
                                <a:pt x="5353672" y="5715"/>
                              </a:lnTo>
                              <a:lnTo>
                                <a:pt x="5353672" y="0"/>
                              </a:lnTo>
                              <a:close/>
                            </a:path>
                            <a:path w="6629400" h="5715" extrusionOk="0">
                              <a:moveTo>
                                <a:pt x="6629400" y="0"/>
                              </a:moveTo>
                              <a:lnTo>
                                <a:pt x="5353685" y="0"/>
                              </a:lnTo>
                              <a:lnTo>
                                <a:pt x="5353685"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342900</wp:posOffset>
                </wp:positionH>
                <wp:positionV relativeFrom="paragraph">
                  <wp:posOffset>952500</wp:posOffset>
                </wp:positionV>
                <wp:extent cx="6629400" cy="1270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6629400" cy="12700"/>
                        </a:xfrm>
                        <a:prstGeom prst="rect"/>
                        <a:ln/>
                      </pic:spPr>
                    </pic:pic>
                  </a:graphicData>
                </a:graphic>
              </wp:anchor>
            </w:drawing>
          </mc:Fallback>
        </mc:AlternateContent>
      </w:r>
    </w:p>
    <w:tbl>
      <w:tblPr>
        <w:tblStyle w:val="a"/>
        <w:tblW w:w="11320" w:type="dxa"/>
        <w:jc w:val="center"/>
        <w:tblInd w:w="0" w:type="dxa"/>
        <w:tblLayout w:type="fixed"/>
        <w:tblLook w:val="0400" w:firstRow="0" w:lastRow="0" w:firstColumn="0" w:lastColumn="0" w:noHBand="0" w:noVBand="1"/>
      </w:tblPr>
      <w:tblGrid>
        <w:gridCol w:w="2260"/>
        <w:gridCol w:w="1640"/>
        <w:gridCol w:w="1300"/>
        <w:gridCol w:w="2440"/>
        <w:gridCol w:w="2200"/>
        <w:gridCol w:w="1480"/>
      </w:tblGrid>
      <w:tr w:rsidR="007021CE" w14:paraId="1BF86DDB" w14:textId="77777777">
        <w:trPr>
          <w:trHeight w:val="6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6DD5"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1640" w:type="dxa"/>
            <w:tcBorders>
              <w:top w:val="single" w:sz="4" w:space="0" w:color="000000"/>
              <w:left w:val="nil"/>
              <w:bottom w:val="single" w:sz="4" w:space="0" w:color="000000"/>
              <w:right w:val="single" w:sz="4" w:space="0" w:color="000000"/>
            </w:tcBorders>
            <w:shd w:val="clear" w:color="auto" w:fill="auto"/>
            <w:vAlign w:val="center"/>
          </w:tcPr>
          <w:p w14:paraId="1BF86DD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Bulk </w:t>
            </w:r>
            <w:proofErr w:type="spellStart"/>
            <w:r>
              <w:rPr>
                <w:rFonts w:ascii="Times New Roman" w:eastAsia="Times New Roman" w:hAnsi="Times New Roman" w:cs="Times New Roman"/>
                <w:b/>
                <w:color w:val="000000"/>
              </w:rPr>
              <w:t>desnsity</w:t>
            </w:r>
            <w:proofErr w:type="spellEnd"/>
            <w:r>
              <w:rPr>
                <w:rFonts w:ascii="Times New Roman" w:eastAsia="Times New Roman" w:hAnsi="Times New Roman" w:cs="Times New Roman"/>
                <w:b/>
                <w:color w:val="000000"/>
              </w:rPr>
              <w:t xml:space="preserve"> (kg/L)</w:t>
            </w:r>
          </w:p>
        </w:tc>
        <w:tc>
          <w:tcPr>
            <w:tcW w:w="1300" w:type="dxa"/>
            <w:tcBorders>
              <w:top w:val="single" w:sz="4" w:space="0" w:color="000000"/>
              <w:left w:val="nil"/>
              <w:bottom w:val="single" w:sz="4" w:space="0" w:color="000000"/>
              <w:right w:val="single" w:sz="4" w:space="0" w:color="000000"/>
            </w:tcBorders>
            <w:shd w:val="clear" w:color="auto" w:fill="auto"/>
            <w:vAlign w:val="center"/>
          </w:tcPr>
          <w:p w14:paraId="1BF86DD7"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Browning (O.D. at 440 nm)</w:t>
            </w:r>
          </w:p>
        </w:tc>
        <w:tc>
          <w:tcPr>
            <w:tcW w:w="2440" w:type="dxa"/>
            <w:tcBorders>
              <w:top w:val="single" w:sz="4" w:space="0" w:color="000000"/>
              <w:left w:val="nil"/>
              <w:bottom w:val="single" w:sz="4" w:space="0" w:color="000000"/>
              <w:right w:val="single" w:sz="4" w:space="0" w:color="000000"/>
            </w:tcBorders>
            <w:shd w:val="clear" w:color="auto" w:fill="auto"/>
            <w:vAlign w:val="center"/>
          </w:tcPr>
          <w:p w14:paraId="1BF86DD8"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Dehydration Ratio</w:t>
            </w:r>
          </w:p>
        </w:tc>
        <w:tc>
          <w:tcPr>
            <w:tcW w:w="2200" w:type="dxa"/>
            <w:tcBorders>
              <w:top w:val="single" w:sz="4" w:space="0" w:color="000000"/>
              <w:left w:val="nil"/>
              <w:bottom w:val="single" w:sz="4" w:space="0" w:color="000000"/>
              <w:right w:val="single" w:sz="4" w:space="0" w:color="000000"/>
            </w:tcBorders>
            <w:shd w:val="clear" w:color="auto" w:fill="auto"/>
            <w:vAlign w:val="center"/>
          </w:tcPr>
          <w:p w14:paraId="1BF86DD9"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Rehydration ratio</w:t>
            </w:r>
          </w:p>
        </w:tc>
        <w:tc>
          <w:tcPr>
            <w:tcW w:w="1480" w:type="dxa"/>
            <w:tcBorders>
              <w:top w:val="single" w:sz="4" w:space="0" w:color="000000"/>
              <w:left w:val="nil"/>
              <w:bottom w:val="single" w:sz="4" w:space="0" w:color="000000"/>
              <w:right w:val="single" w:sz="4" w:space="0" w:color="000000"/>
            </w:tcBorders>
            <w:shd w:val="clear" w:color="auto" w:fill="auto"/>
            <w:vAlign w:val="center"/>
          </w:tcPr>
          <w:p w14:paraId="1BF86DDA"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Organoleptic score (</w:t>
            </w:r>
            <w:proofErr w:type="gramStart"/>
            <w:r>
              <w:rPr>
                <w:rFonts w:ascii="Times New Roman" w:eastAsia="Times New Roman" w:hAnsi="Times New Roman" w:cs="Times New Roman"/>
                <w:b/>
                <w:color w:val="000000"/>
              </w:rPr>
              <w:t>9 point</w:t>
            </w:r>
            <w:proofErr w:type="gramEnd"/>
            <w:r>
              <w:rPr>
                <w:rFonts w:ascii="Times New Roman" w:eastAsia="Times New Roman" w:hAnsi="Times New Roman" w:cs="Times New Roman"/>
                <w:b/>
                <w:color w:val="000000"/>
              </w:rPr>
              <w:t xml:space="preserve"> basis)</w:t>
            </w:r>
          </w:p>
        </w:tc>
      </w:tr>
      <w:tr w:rsidR="007021CE" w14:paraId="1BF86DE2"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DC"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1640" w:type="dxa"/>
            <w:tcBorders>
              <w:top w:val="nil"/>
              <w:left w:val="nil"/>
              <w:bottom w:val="single" w:sz="4" w:space="0" w:color="000000"/>
              <w:right w:val="single" w:sz="4" w:space="0" w:color="000000"/>
            </w:tcBorders>
            <w:shd w:val="clear" w:color="auto" w:fill="auto"/>
            <w:vAlign w:val="center"/>
          </w:tcPr>
          <w:p w14:paraId="1BF86DD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0.64</w:t>
            </w:r>
          </w:p>
        </w:tc>
        <w:tc>
          <w:tcPr>
            <w:tcW w:w="1300" w:type="dxa"/>
            <w:tcBorders>
              <w:top w:val="nil"/>
              <w:left w:val="nil"/>
              <w:bottom w:val="single" w:sz="4" w:space="0" w:color="000000"/>
              <w:right w:val="single" w:sz="4" w:space="0" w:color="000000"/>
            </w:tcBorders>
            <w:shd w:val="clear" w:color="auto" w:fill="auto"/>
            <w:vAlign w:val="center"/>
          </w:tcPr>
          <w:p w14:paraId="1BF86DD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14:paraId="1BF86DD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2200" w:type="dxa"/>
            <w:tcBorders>
              <w:top w:val="nil"/>
              <w:left w:val="nil"/>
              <w:bottom w:val="single" w:sz="4" w:space="0" w:color="000000"/>
              <w:right w:val="single" w:sz="4" w:space="0" w:color="000000"/>
            </w:tcBorders>
            <w:shd w:val="clear" w:color="auto" w:fill="auto"/>
            <w:vAlign w:val="center"/>
          </w:tcPr>
          <w:p w14:paraId="1BF86DE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480" w:type="dxa"/>
            <w:tcBorders>
              <w:top w:val="nil"/>
              <w:left w:val="nil"/>
              <w:bottom w:val="single" w:sz="4" w:space="0" w:color="000000"/>
              <w:right w:val="single" w:sz="4" w:space="0" w:color="000000"/>
            </w:tcBorders>
            <w:shd w:val="clear" w:color="auto" w:fill="auto"/>
            <w:vAlign w:val="center"/>
          </w:tcPr>
          <w:p w14:paraId="1BF86DE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7021CE" w14:paraId="1BF86DE9"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E3"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1640" w:type="dxa"/>
            <w:tcBorders>
              <w:top w:val="nil"/>
              <w:left w:val="nil"/>
              <w:bottom w:val="single" w:sz="4" w:space="0" w:color="000000"/>
              <w:right w:val="single" w:sz="4" w:space="0" w:color="000000"/>
            </w:tcBorders>
            <w:shd w:val="clear" w:color="auto" w:fill="auto"/>
            <w:vAlign w:val="center"/>
          </w:tcPr>
          <w:p w14:paraId="1BF86DE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14:paraId="1BF86DE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0.34</w:t>
            </w:r>
          </w:p>
        </w:tc>
        <w:tc>
          <w:tcPr>
            <w:tcW w:w="2440" w:type="dxa"/>
            <w:tcBorders>
              <w:top w:val="nil"/>
              <w:left w:val="nil"/>
              <w:bottom w:val="single" w:sz="4" w:space="0" w:color="000000"/>
              <w:right w:val="single" w:sz="4" w:space="0" w:color="000000"/>
            </w:tcBorders>
            <w:shd w:val="clear" w:color="auto" w:fill="auto"/>
            <w:vAlign w:val="center"/>
          </w:tcPr>
          <w:p w14:paraId="1BF86DE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5.22</w:t>
            </w:r>
          </w:p>
        </w:tc>
        <w:tc>
          <w:tcPr>
            <w:tcW w:w="2200" w:type="dxa"/>
            <w:tcBorders>
              <w:top w:val="nil"/>
              <w:left w:val="nil"/>
              <w:bottom w:val="single" w:sz="4" w:space="0" w:color="000000"/>
              <w:right w:val="single" w:sz="4" w:space="0" w:color="000000"/>
            </w:tcBorders>
            <w:shd w:val="clear" w:color="auto" w:fill="auto"/>
            <w:vAlign w:val="center"/>
          </w:tcPr>
          <w:p w14:paraId="1BF86DE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2.04</w:t>
            </w:r>
          </w:p>
        </w:tc>
        <w:tc>
          <w:tcPr>
            <w:tcW w:w="1480" w:type="dxa"/>
            <w:tcBorders>
              <w:top w:val="nil"/>
              <w:left w:val="nil"/>
              <w:bottom w:val="single" w:sz="4" w:space="0" w:color="000000"/>
              <w:right w:val="single" w:sz="4" w:space="0" w:color="000000"/>
            </w:tcBorders>
            <w:shd w:val="clear" w:color="auto" w:fill="auto"/>
            <w:vAlign w:val="center"/>
          </w:tcPr>
          <w:p w14:paraId="1BF86DE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r>
      <w:tr w:rsidR="007021CE" w14:paraId="1BF86DF0"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EA"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1640" w:type="dxa"/>
            <w:tcBorders>
              <w:top w:val="nil"/>
              <w:left w:val="nil"/>
              <w:bottom w:val="single" w:sz="4" w:space="0" w:color="000000"/>
              <w:right w:val="single" w:sz="4" w:space="0" w:color="000000"/>
            </w:tcBorders>
            <w:shd w:val="clear" w:color="auto" w:fill="auto"/>
            <w:vAlign w:val="center"/>
          </w:tcPr>
          <w:p w14:paraId="1BF86DE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0.55</w:t>
            </w:r>
          </w:p>
        </w:tc>
        <w:tc>
          <w:tcPr>
            <w:tcW w:w="1300" w:type="dxa"/>
            <w:tcBorders>
              <w:top w:val="nil"/>
              <w:left w:val="nil"/>
              <w:bottom w:val="single" w:sz="4" w:space="0" w:color="000000"/>
              <w:right w:val="single" w:sz="4" w:space="0" w:color="000000"/>
            </w:tcBorders>
            <w:shd w:val="clear" w:color="auto" w:fill="auto"/>
            <w:vAlign w:val="center"/>
          </w:tcPr>
          <w:p w14:paraId="1BF86DE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14:paraId="1BF86DE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5.01</w:t>
            </w:r>
          </w:p>
        </w:tc>
        <w:tc>
          <w:tcPr>
            <w:tcW w:w="2200" w:type="dxa"/>
            <w:tcBorders>
              <w:top w:val="nil"/>
              <w:left w:val="nil"/>
              <w:bottom w:val="single" w:sz="4" w:space="0" w:color="000000"/>
              <w:right w:val="single" w:sz="4" w:space="0" w:color="000000"/>
            </w:tcBorders>
            <w:shd w:val="clear" w:color="auto" w:fill="auto"/>
            <w:vAlign w:val="center"/>
          </w:tcPr>
          <w:p w14:paraId="1BF86DE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1.99</w:t>
            </w:r>
          </w:p>
        </w:tc>
        <w:tc>
          <w:tcPr>
            <w:tcW w:w="1480" w:type="dxa"/>
            <w:tcBorders>
              <w:top w:val="nil"/>
              <w:left w:val="nil"/>
              <w:bottom w:val="single" w:sz="4" w:space="0" w:color="000000"/>
              <w:right w:val="single" w:sz="4" w:space="0" w:color="000000"/>
            </w:tcBorders>
            <w:shd w:val="clear" w:color="auto" w:fill="auto"/>
            <w:vAlign w:val="center"/>
          </w:tcPr>
          <w:p w14:paraId="1BF86DE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5.71</w:t>
            </w:r>
          </w:p>
        </w:tc>
      </w:tr>
      <w:tr w:rsidR="007021CE" w14:paraId="1BF86DF7"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1"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1640" w:type="dxa"/>
            <w:tcBorders>
              <w:top w:val="nil"/>
              <w:left w:val="nil"/>
              <w:bottom w:val="single" w:sz="4" w:space="0" w:color="000000"/>
              <w:right w:val="single" w:sz="4" w:space="0" w:color="000000"/>
            </w:tcBorders>
            <w:shd w:val="clear" w:color="auto" w:fill="auto"/>
            <w:vAlign w:val="center"/>
          </w:tcPr>
          <w:p w14:paraId="1BF86DF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0.53</w:t>
            </w:r>
          </w:p>
        </w:tc>
        <w:tc>
          <w:tcPr>
            <w:tcW w:w="1300" w:type="dxa"/>
            <w:tcBorders>
              <w:top w:val="nil"/>
              <w:left w:val="nil"/>
              <w:bottom w:val="single" w:sz="4" w:space="0" w:color="000000"/>
              <w:right w:val="single" w:sz="4" w:space="0" w:color="000000"/>
            </w:tcBorders>
            <w:shd w:val="clear" w:color="auto" w:fill="auto"/>
            <w:vAlign w:val="center"/>
          </w:tcPr>
          <w:p w14:paraId="1BF86DF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0.27</w:t>
            </w:r>
          </w:p>
        </w:tc>
        <w:tc>
          <w:tcPr>
            <w:tcW w:w="2440" w:type="dxa"/>
            <w:tcBorders>
              <w:top w:val="nil"/>
              <w:left w:val="nil"/>
              <w:bottom w:val="single" w:sz="4" w:space="0" w:color="000000"/>
              <w:right w:val="single" w:sz="4" w:space="0" w:color="000000"/>
            </w:tcBorders>
            <w:shd w:val="clear" w:color="auto" w:fill="auto"/>
            <w:vAlign w:val="center"/>
          </w:tcPr>
          <w:p w14:paraId="1BF86DF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2200" w:type="dxa"/>
            <w:tcBorders>
              <w:top w:val="nil"/>
              <w:left w:val="nil"/>
              <w:bottom w:val="single" w:sz="4" w:space="0" w:color="000000"/>
              <w:right w:val="single" w:sz="4" w:space="0" w:color="000000"/>
            </w:tcBorders>
            <w:shd w:val="clear" w:color="auto" w:fill="auto"/>
            <w:vAlign w:val="center"/>
          </w:tcPr>
          <w:p w14:paraId="1BF86DF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1.94</w:t>
            </w:r>
          </w:p>
        </w:tc>
        <w:tc>
          <w:tcPr>
            <w:tcW w:w="1480" w:type="dxa"/>
            <w:tcBorders>
              <w:top w:val="nil"/>
              <w:left w:val="nil"/>
              <w:bottom w:val="single" w:sz="4" w:space="0" w:color="000000"/>
              <w:right w:val="single" w:sz="4" w:space="0" w:color="000000"/>
            </w:tcBorders>
            <w:shd w:val="clear" w:color="auto" w:fill="auto"/>
            <w:vAlign w:val="center"/>
          </w:tcPr>
          <w:p w14:paraId="1BF86DF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6.28</w:t>
            </w:r>
          </w:p>
        </w:tc>
      </w:tr>
      <w:tr w:rsidR="007021CE" w14:paraId="1BF86DFE"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8" w14:textId="77777777" w:rsidR="007021CE" w:rsidRDefault="00553C3B">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KMS+Slow</w:t>
            </w:r>
            <w:proofErr w:type="spellEnd"/>
            <w:r>
              <w:rPr>
                <w:rFonts w:ascii="Times New Roman" w:eastAsia="Times New Roman" w:hAnsi="Times New Roman" w:cs="Times New Roman"/>
                <w:b/>
                <w:color w:val="000000"/>
              </w:rPr>
              <w:t xml:space="preserve"> freezing</w:t>
            </w:r>
          </w:p>
        </w:tc>
        <w:tc>
          <w:tcPr>
            <w:tcW w:w="1640" w:type="dxa"/>
            <w:tcBorders>
              <w:top w:val="nil"/>
              <w:left w:val="nil"/>
              <w:bottom w:val="single" w:sz="4" w:space="0" w:color="000000"/>
              <w:right w:val="single" w:sz="4" w:space="0" w:color="000000"/>
            </w:tcBorders>
            <w:shd w:val="clear" w:color="auto" w:fill="auto"/>
            <w:vAlign w:val="center"/>
          </w:tcPr>
          <w:p w14:paraId="1BF86DF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0.51</w:t>
            </w:r>
          </w:p>
        </w:tc>
        <w:tc>
          <w:tcPr>
            <w:tcW w:w="1300" w:type="dxa"/>
            <w:tcBorders>
              <w:top w:val="nil"/>
              <w:left w:val="nil"/>
              <w:bottom w:val="single" w:sz="4" w:space="0" w:color="000000"/>
              <w:right w:val="single" w:sz="4" w:space="0" w:color="000000"/>
            </w:tcBorders>
            <w:shd w:val="clear" w:color="auto" w:fill="auto"/>
            <w:vAlign w:val="center"/>
          </w:tcPr>
          <w:p w14:paraId="1BF86DF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14:paraId="1BF86DF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4.99</w:t>
            </w:r>
          </w:p>
        </w:tc>
        <w:tc>
          <w:tcPr>
            <w:tcW w:w="2200" w:type="dxa"/>
            <w:tcBorders>
              <w:top w:val="nil"/>
              <w:left w:val="nil"/>
              <w:bottom w:val="single" w:sz="4" w:space="0" w:color="000000"/>
              <w:right w:val="single" w:sz="4" w:space="0" w:color="000000"/>
            </w:tcBorders>
            <w:shd w:val="clear" w:color="auto" w:fill="auto"/>
            <w:vAlign w:val="center"/>
          </w:tcPr>
          <w:p w14:paraId="1BF86DF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2.19</w:t>
            </w:r>
          </w:p>
        </w:tc>
        <w:tc>
          <w:tcPr>
            <w:tcW w:w="1480" w:type="dxa"/>
            <w:tcBorders>
              <w:top w:val="nil"/>
              <w:left w:val="nil"/>
              <w:bottom w:val="single" w:sz="4" w:space="0" w:color="000000"/>
              <w:right w:val="single" w:sz="4" w:space="0" w:color="000000"/>
            </w:tcBorders>
            <w:shd w:val="clear" w:color="auto" w:fill="auto"/>
            <w:vAlign w:val="center"/>
          </w:tcPr>
          <w:p w14:paraId="1BF86DF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r>
      <w:tr w:rsidR="007021CE" w14:paraId="1BF86E05"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DFF"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1640" w:type="dxa"/>
            <w:tcBorders>
              <w:top w:val="nil"/>
              <w:left w:val="nil"/>
              <w:bottom w:val="single" w:sz="4" w:space="0" w:color="000000"/>
              <w:right w:val="single" w:sz="4" w:space="0" w:color="000000"/>
            </w:tcBorders>
            <w:shd w:val="clear" w:color="auto" w:fill="auto"/>
            <w:vAlign w:val="center"/>
          </w:tcPr>
          <w:p w14:paraId="1BF86E0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0.65</w:t>
            </w:r>
          </w:p>
        </w:tc>
        <w:tc>
          <w:tcPr>
            <w:tcW w:w="1300" w:type="dxa"/>
            <w:tcBorders>
              <w:top w:val="nil"/>
              <w:left w:val="nil"/>
              <w:bottom w:val="single" w:sz="4" w:space="0" w:color="000000"/>
              <w:right w:val="single" w:sz="4" w:space="0" w:color="000000"/>
            </w:tcBorders>
            <w:shd w:val="clear" w:color="auto" w:fill="auto"/>
            <w:vAlign w:val="center"/>
          </w:tcPr>
          <w:p w14:paraId="1BF86E0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0.31</w:t>
            </w:r>
          </w:p>
        </w:tc>
        <w:tc>
          <w:tcPr>
            <w:tcW w:w="2440" w:type="dxa"/>
            <w:tcBorders>
              <w:top w:val="nil"/>
              <w:left w:val="nil"/>
              <w:bottom w:val="single" w:sz="4" w:space="0" w:color="000000"/>
              <w:right w:val="single" w:sz="4" w:space="0" w:color="000000"/>
            </w:tcBorders>
            <w:shd w:val="clear" w:color="auto" w:fill="auto"/>
            <w:vAlign w:val="center"/>
          </w:tcPr>
          <w:p w14:paraId="1BF86E0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5.38</w:t>
            </w:r>
          </w:p>
        </w:tc>
        <w:tc>
          <w:tcPr>
            <w:tcW w:w="2200" w:type="dxa"/>
            <w:tcBorders>
              <w:top w:val="nil"/>
              <w:left w:val="nil"/>
              <w:bottom w:val="single" w:sz="4" w:space="0" w:color="000000"/>
              <w:right w:val="single" w:sz="4" w:space="0" w:color="000000"/>
            </w:tcBorders>
            <w:shd w:val="clear" w:color="auto" w:fill="auto"/>
            <w:vAlign w:val="center"/>
          </w:tcPr>
          <w:p w14:paraId="1BF86E0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2.15</w:t>
            </w:r>
          </w:p>
        </w:tc>
        <w:tc>
          <w:tcPr>
            <w:tcW w:w="1480" w:type="dxa"/>
            <w:tcBorders>
              <w:top w:val="nil"/>
              <w:left w:val="nil"/>
              <w:bottom w:val="single" w:sz="4" w:space="0" w:color="000000"/>
              <w:right w:val="single" w:sz="4" w:space="0" w:color="000000"/>
            </w:tcBorders>
            <w:shd w:val="clear" w:color="auto" w:fill="auto"/>
            <w:vAlign w:val="center"/>
          </w:tcPr>
          <w:p w14:paraId="1BF86E0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5.72</w:t>
            </w:r>
          </w:p>
        </w:tc>
      </w:tr>
      <w:tr w:rsidR="007021CE" w14:paraId="1BF86E0C"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0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1640" w:type="dxa"/>
            <w:tcBorders>
              <w:top w:val="nil"/>
              <w:left w:val="nil"/>
              <w:bottom w:val="single" w:sz="4" w:space="0" w:color="000000"/>
              <w:right w:val="single" w:sz="4" w:space="0" w:color="000000"/>
            </w:tcBorders>
            <w:shd w:val="clear" w:color="auto" w:fill="auto"/>
            <w:vAlign w:val="center"/>
          </w:tcPr>
          <w:p w14:paraId="1BF86E0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0.59</w:t>
            </w:r>
          </w:p>
        </w:tc>
        <w:tc>
          <w:tcPr>
            <w:tcW w:w="1300" w:type="dxa"/>
            <w:tcBorders>
              <w:top w:val="nil"/>
              <w:left w:val="nil"/>
              <w:bottom w:val="single" w:sz="4" w:space="0" w:color="000000"/>
              <w:right w:val="single" w:sz="4" w:space="0" w:color="000000"/>
            </w:tcBorders>
            <w:shd w:val="clear" w:color="auto" w:fill="auto"/>
            <w:vAlign w:val="center"/>
          </w:tcPr>
          <w:p w14:paraId="1BF86E0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0.29</w:t>
            </w:r>
          </w:p>
        </w:tc>
        <w:tc>
          <w:tcPr>
            <w:tcW w:w="2440" w:type="dxa"/>
            <w:tcBorders>
              <w:top w:val="nil"/>
              <w:left w:val="nil"/>
              <w:bottom w:val="single" w:sz="4" w:space="0" w:color="000000"/>
              <w:right w:val="single" w:sz="4" w:space="0" w:color="000000"/>
            </w:tcBorders>
            <w:shd w:val="clear" w:color="auto" w:fill="auto"/>
            <w:vAlign w:val="center"/>
          </w:tcPr>
          <w:p w14:paraId="1BF86E0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4.96</w:t>
            </w:r>
          </w:p>
        </w:tc>
        <w:tc>
          <w:tcPr>
            <w:tcW w:w="2200" w:type="dxa"/>
            <w:tcBorders>
              <w:top w:val="nil"/>
              <w:left w:val="nil"/>
              <w:bottom w:val="single" w:sz="4" w:space="0" w:color="000000"/>
              <w:right w:val="single" w:sz="4" w:space="0" w:color="000000"/>
            </w:tcBorders>
            <w:shd w:val="clear" w:color="auto" w:fill="auto"/>
            <w:vAlign w:val="center"/>
          </w:tcPr>
          <w:p w14:paraId="1BF86E0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1.8</w:t>
            </w:r>
          </w:p>
        </w:tc>
        <w:tc>
          <w:tcPr>
            <w:tcW w:w="1480" w:type="dxa"/>
            <w:tcBorders>
              <w:top w:val="nil"/>
              <w:left w:val="nil"/>
              <w:bottom w:val="single" w:sz="4" w:space="0" w:color="000000"/>
              <w:right w:val="single" w:sz="4" w:space="0" w:color="000000"/>
            </w:tcBorders>
            <w:shd w:val="clear" w:color="auto" w:fill="auto"/>
            <w:vAlign w:val="center"/>
          </w:tcPr>
          <w:p w14:paraId="1BF86E0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5.45</w:t>
            </w:r>
          </w:p>
        </w:tc>
      </w:tr>
      <w:tr w:rsidR="007021CE" w14:paraId="1BF86E13"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0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1640" w:type="dxa"/>
            <w:tcBorders>
              <w:top w:val="nil"/>
              <w:left w:val="nil"/>
              <w:bottom w:val="single" w:sz="4" w:space="0" w:color="000000"/>
              <w:right w:val="single" w:sz="4" w:space="0" w:color="000000"/>
            </w:tcBorders>
            <w:shd w:val="clear" w:color="auto" w:fill="auto"/>
            <w:vAlign w:val="center"/>
          </w:tcPr>
          <w:p w14:paraId="1BF86E0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w:t>
            </w:r>
          </w:p>
        </w:tc>
        <w:tc>
          <w:tcPr>
            <w:tcW w:w="1300" w:type="dxa"/>
            <w:tcBorders>
              <w:top w:val="nil"/>
              <w:left w:val="nil"/>
              <w:bottom w:val="single" w:sz="4" w:space="0" w:color="000000"/>
              <w:right w:val="single" w:sz="4" w:space="0" w:color="000000"/>
            </w:tcBorders>
            <w:shd w:val="clear" w:color="auto" w:fill="auto"/>
            <w:vAlign w:val="center"/>
          </w:tcPr>
          <w:p w14:paraId="1BF86E0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0.26</w:t>
            </w:r>
          </w:p>
        </w:tc>
        <w:tc>
          <w:tcPr>
            <w:tcW w:w="2440" w:type="dxa"/>
            <w:tcBorders>
              <w:top w:val="nil"/>
              <w:left w:val="nil"/>
              <w:bottom w:val="single" w:sz="4" w:space="0" w:color="000000"/>
              <w:right w:val="single" w:sz="4" w:space="0" w:color="000000"/>
            </w:tcBorders>
            <w:shd w:val="clear" w:color="auto" w:fill="auto"/>
            <w:vAlign w:val="center"/>
          </w:tcPr>
          <w:p w14:paraId="1BF86E1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4.76</w:t>
            </w:r>
          </w:p>
        </w:tc>
        <w:tc>
          <w:tcPr>
            <w:tcW w:w="2200" w:type="dxa"/>
            <w:tcBorders>
              <w:top w:val="nil"/>
              <w:left w:val="nil"/>
              <w:bottom w:val="single" w:sz="4" w:space="0" w:color="000000"/>
              <w:right w:val="single" w:sz="4" w:space="0" w:color="000000"/>
            </w:tcBorders>
            <w:shd w:val="clear" w:color="auto" w:fill="auto"/>
            <w:vAlign w:val="center"/>
          </w:tcPr>
          <w:p w14:paraId="1BF86E1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2.01</w:t>
            </w:r>
          </w:p>
        </w:tc>
        <w:tc>
          <w:tcPr>
            <w:tcW w:w="1480" w:type="dxa"/>
            <w:tcBorders>
              <w:top w:val="nil"/>
              <w:left w:val="nil"/>
              <w:bottom w:val="single" w:sz="4" w:space="0" w:color="000000"/>
              <w:right w:val="single" w:sz="4" w:space="0" w:color="000000"/>
            </w:tcBorders>
            <w:shd w:val="clear" w:color="auto" w:fill="auto"/>
            <w:vAlign w:val="center"/>
          </w:tcPr>
          <w:p w14:paraId="1BF86E1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7.36</w:t>
            </w:r>
          </w:p>
        </w:tc>
      </w:tr>
      <w:tr w:rsidR="007021CE" w14:paraId="1BF86E1A"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1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C.D. at 5%</w:t>
            </w:r>
          </w:p>
        </w:tc>
        <w:tc>
          <w:tcPr>
            <w:tcW w:w="1640" w:type="dxa"/>
            <w:tcBorders>
              <w:top w:val="nil"/>
              <w:left w:val="nil"/>
              <w:bottom w:val="single" w:sz="4" w:space="0" w:color="000000"/>
              <w:right w:val="single" w:sz="4" w:space="0" w:color="000000"/>
            </w:tcBorders>
            <w:shd w:val="clear" w:color="auto" w:fill="auto"/>
            <w:vAlign w:val="center"/>
          </w:tcPr>
          <w:p w14:paraId="1BF86E1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0.005</w:t>
            </w:r>
          </w:p>
        </w:tc>
        <w:tc>
          <w:tcPr>
            <w:tcW w:w="1300" w:type="dxa"/>
            <w:tcBorders>
              <w:top w:val="nil"/>
              <w:left w:val="nil"/>
              <w:bottom w:val="single" w:sz="4" w:space="0" w:color="000000"/>
              <w:right w:val="single" w:sz="4" w:space="0" w:color="000000"/>
            </w:tcBorders>
            <w:shd w:val="clear" w:color="auto" w:fill="auto"/>
            <w:vAlign w:val="center"/>
          </w:tcPr>
          <w:p w14:paraId="1BF86E1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0.01</w:t>
            </w:r>
          </w:p>
        </w:tc>
        <w:tc>
          <w:tcPr>
            <w:tcW w:w="2440" w:type="dxa"/>
            <w:tcBorders>
              <w:top w:val="nil"/>
              <w:left w:val="nil"/>
              <w:bottom w:val="single" w:sz="4" w:space="0" w:color="000000"/>
              <w:right w:val="single" w:sz="4" w:space="0" w:color="000000"/>
            </w:tcBorders>
            <w:shd w:val="clear" w:color="auto" w:fill="auto"/>
            <w:vAlign w:val="center"/>
          </w:tcPr>
          <w:p w14:paraId="1BF86E1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0.05</w:t>
            </w:r>
          </w:p>
        </w:tc>
        <w:tc>
          <w:tcPr>
            <w:tcW w:w="2200" w:type="dxa"/>
            <w:tcBorders>
              <w:top w:val="nil"/>
              <w:left w:val="nil"/>
              <w:bottom w:val="single" w:sz="4" w:space="0" w:color="000000"/>
              <w:right w:val="single" w:sz="4" w:space="0" w:color="000000"/>
            </w:tcBorders>
            <w:shd w:val="clear" w:color="auto" w:fill="auto"/>
            <w:vAlign w:val="center"/>
          </w:tcPr>
          <w:p w14:paraId="1BF86E1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NS</w:t>
            </w:r>
          </w:p>
        </w:tc>
        <w:tc>
          <w:tcPr>
            <w:tcW w:w="1480" w:type="dxa"/>
            <w:tcBorders>
              <w:top w:val="nil"/>
              <w:left w:val="nil"/>
              <w:bottom w:val="single" w:sz="4" w:space="0" w:color="000000"/>
              <w:right w:val="single" w:sz="4" w:space="0" w:color="000000"/>
            </w:tcBorders>
            <w:shd w:val="clear" w:color="auto" w:fill="auto"/>
            <w:vAlign w:val="center"/>
          </w:tcPr>
          <w:p w14:paraId="1BF86E1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r>
    </w:tbl>
    <w:p w14:paraId="1BF86E1B"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1C" w14:textId="77777777" w:rsidR="007021CE" w:rsidRDefault="00553C3B">
      <w:pPr>
        <w:widowControl w:val="0"/>
        <w:spacing w:before="135" w:after="0" w:line="360" w:lineRule="auto"/>
        <w:ind w:right="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2. Effect of various pretreatments on TSS, acidity, ascorbic acid and sugar contents of </w:t>
      </w:r>
      <w:proofErr w:type="spellStart"/>
      <w:r>
        <w:rPr>
          <w:rFonts w:ascii="Times New Roman" w:eastAsia="Times New Roman" w:hAnsi="Times New Roman" w:cs="Times New Roman"/>
          <w:b/>
          <w:sz w:val="24"/>
          <w:szCs w:val="24"/>
        </w:rPr>
        <w:t>ber</w:t>
      </w:r>
      <w:proofErr w:type="spellEnd"/>
      <w:r>
        <w:rPr>
          <w:rFonts w:ascii="Times New Roman" w:eastAsia="Times New Roman" w:hAnsi="Times New Roman" w:cs="Times New Roman"/>
          <w:b/>
          <w:sz w:val="24"/>
          <w:szCs w:val="24"/>
        </w:rPr>
        <w:t xml:space="preserve"> (dry weight basis)</w:t>
      </w:r>
      <w:r>
        <w:rPr>
          <w:noProof/>
        </w:rPr>
        <mc:AlternateContent>
          <mc:Choice Requires="wpg">
            <w:drawing>
              <wp:anchor distT="0" distB="0" distL="114300" distR="114300" simplePos="0" relativeHeight="251659264" behindDoc="0" locked="0" layoutInCell="1" hidden="0" allowOverlap="1" wp14:anchorId="1BF86E81" wp14:editId="1BF86E82">
                <wp:simplePos x="0" y="0"/>
                <wp:positionH relativeFrom="column">
                  <wp:posOffset>342900</wp:posOffset>
                </wp:positionH>
                <wp:positionV relativeFrom="paragraph">
                  <wp:posOffset>609600</wp:posOffset>
                </wp:positionV>
                <wp:extent cx="6629400" cy="12700"/>
                <wp:effectExtent l="0" t="0" r="0" b="0"/>
                <wp:wrapNone/>
                <wp:docPr id="2" name="Freeform: Shape 2"/>
                <wp:cNvGraphicFramePr/>
                <a:graphic xmlns:a="http://schemas.openxmlformats.org/drawingml/2006/main">
                  <a:graphicData uri="http://schemas.microsoft.com/office/word/2010/wordprocessingShape">
                    <wps:wsp>
                      <wps:cNvSpPr/>
                      <wps:spPr>
                        <a:xfrm>
                          <a:off x="2945700" y="3777143"/>
                          <a:ext cx="6629400" cy="5715"/>
                        </a:xfrm>
                        <a:custGeom>
                          <a:avLst/>
                          <a:gdLst/>
                          <a:ahLst/>
                          <a:cxnLst/>
                          <a:rect l="l" t="t" r="r" b="b"/>
                          <a:pathLst>
                            <a:path w="6629400" h="5715" extrusionOk="0">
                              <a:moveTo>
                                <a:pt x="6629400" y="0"/>
                              </a:moveTo>
                              <a:lnTo>
                                <a:pt x="6629400" y="0"/>
                              </a:lnTo>
                              <a:lnTo>
                                <a:pt x="0" y="0"/>
                              </a:lnTo>
                              <a:lnTo>
                                <a:pt x="0" y="5715"/>
                              </a:lnTo>
                              <a:lnTo>
                                <a:pt x="6629400" y="5715"/>
                              </a:lnTo>
                              <a:lnTo>
                                <a:pt x="6629400"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342900</wp:posOffset>
                </wp:positionH>
                <wp:positionV relativeFrom="paragraph">
                  <wp:posOffset>609600</wp:posOffset>
                </wp:positionV>
                <wp:extent cx="6629400" cy="12700"/>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6629400" cy="12700"/>
                        </a:xfrm>
                        <a:prstGeom prst="rect"/>
                        <a:ln/>
                      </pic:spPr>
                    </pic:pic>
                  </a:graphicData>
                </a:graphic>
              </wp:anchor>
            </w:drawing>
          </mc:Fallback>
        </mc:AlternateContent>
      </w:r>
    </w:p>
    <w:tbl>
      <w:tblPr>
        <w:tblStyle w:val="a0"/>
        <w:tblW w:w="10640" w:type="dxa"/>
        <w:jc w:val="center"/>
        <w:tblInd w:w="0" w:type="dxa"/>
        <w:tblLayout w:type="fixed"/>
        <w:tblLook w:val="0400" w:firstRow="0" w:lastRow="0" w:firstColumn="0" w:lastColumn="0" w:noHBand="0" w:noVBand="1"/>
      </w:tblPr>
      <w:tblGrid>
        <w:gridCol w:w="2260"/>
        <w:gridCol w:w="960"/>
        <w:gridCol w:w="1300"/>
        <w:gridCol w:w="2440"/>
        <w:gridCol w:w="2200"/>
        <w:gridCol w:w="1480"/>
      </w:tblGrid>
      <w:tr w:rsidR="007021CE" w14:paraId="1BF86E25" w14:textId="77777777">
        <w:trPr>
          <w:trHeight w:val="300"/>
          <w:jc w:val="center"/>
        </w:trPr>
        <w:tc>
          <w:tcPr>
            <w:tcW w:w="22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86E1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Treatments</w:t>
            </w:r>
          </w:p>
        </w:tc>
        <w:tc>
          <w:tcPr>
            <w:tcW w:w="960" w:type="dxa"/>
            <w:tcBorders>
              <w:top w:val="single" w:sz="4" w:space="0" w:color="000000"/>
              <w:left w:val="nil"/>
              <w:bottom w:val="single" w:sz="4" w:space="0" w:color="000000"/>
              <w:right w:val="single" w:sz="4" w:space="0" w:color="000000"/>
            </w:tcBorders>
            <w:shd w:val="clear" w:color="auto" w:fill="auto"/>
            <w:vAlign w:val="center"/>
          </w:tcPr>
          <w:p w14:paraId="1BF86E1E"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TSS (%)</w:t>
            </w:r>
          </w:p>
        </w:tc>
        <w:tc>
          <w:tcPr>
            <w:tcW w:w="1300" w:type="dxa"/>
            <w:tcBorders>
              <w:top w:val="single" w:sz="4" w:space="0" w:color="000000"/>
              <w:left w:val="nil"/>
              <w:bottom w:val="single" w:sz="4" w:space="0" w:color="000000"/>
              <w:right w:val="single" w:sz="4" w:space="0" w:color="000000"/>
            </w:tcBorders>
            <w:shd w:val="clear" w:color="auto" w:fill="auto"/>
            <w:vAlign w:val="center"/>
          </w:tcPr>
          <w:p w14:paraId="1BF86E1F"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Acidity (%)</w:t>
            </w:r>
          </w:p>
        </w:tc>
        <w:tc>
          <w:tcPr>
            <w:tcW w:w="2440" w:type="dxa"/>
            <w:tcBorders>
              <w:top w:val="single" w:sz="4" w:space="0" w:color="000000"/>
              <w:left w:val="nil"/>
              <w:bottom w:val="single" w:sz="4" w:space="0" w:color="000000"/>
              <w:right w:val="single" w:sz="4" w:space="0" w:color="000000"/>
            </w:tcBorders>
            <w:shd w:val="clear" w:color="auto" w:fill="auto"/>
            <w:vAlign w:val="center"/>
          </w:tcPr>
          <w:p w14:paraId="1BF86E20"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Ascorbic acid</w:t>
            </w:r>
          </w:p>
          <w:p w14:paraId="1BF86E21"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(mg/100 g)</w:t>
            </w:r>
          </w:p>
        </w:tc>
        <w:tc>
          <w:tcPr>
            <w:tcW w:w="2200" w:type="dxa"/>
            <w:tcBorders>
              <w:top w:val="single" w:sz="4" w:space="0" w:color="000000"/>
              <w:left w:val="nil"/>
              <w:bottom w:val="single" w:sz="4" w:space="0" w:color="000000"/>
              <w:right w:val="single" w:sz="4" w:space="0" w:color="000000"/>
            </w:tcBorders>
            <w:shd w:val="clear" w:color="auto" w:fill="auto"/>
            <w:vAlign w:val="center"/>
          </w:tcPr>
          <w:p w14:paraId="1BF86E22"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Reducing sugar</w:t>
            </w:r>
          </w:p>
          <w:p w14:paraId="1BF86E23"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1480" w:type="dxa"/>
            <w:tcBorders>
              <w:top w:val="single" w:sz="4" w:space="0" w:color="000000"/>
              <w:left w:val="nil"/>
              <w:bottom w:val="single" w:sz="4" w:space="0" w:color="000000"/>
              <w:right w:val="single" w:sz="4" w:space="0" w:color="000000"/>
            </w:tcBorders>
            <w:shd w:val="clear" w:color="auto" w:fill="auto"/>
            <w:vAlign w:val="center"/>
          </w:tcPr>
          <w:p w14:paraId="1BF86E2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Total sugar (%)</w:t>
            </w:r>
          </w:p>
        </w:tc>
      </w:tr>
      <w:tr w:rsidR="007021CE" w14:paraId="1BF86E2C"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26"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Fresh Fruit*</w:t>
            </w:r>
          </w:p>
        </w:tc>
        <w:tc>
          <w:tcPr>
            <w:tcW w:w="960" w:type="dxa"/>
            <w:tcBorders>
              <w:top w:val="nil"/>
              <w:left w:val="nil"/>
              <w:bottom w:val="single" w:sz="4" w:space="0" w:color="000000"/>
              <w:right w:val="single" w:sz="4" w:space="0" w:color="000000"/>
            </w:tcBorders>
            <w:shd w:val="clear" w:color="auto" w:fill="auto"/>
            <w:vAlign w:val="center"/>
          </w:tcPr>
          <w:p w14:paraId="1BF86E2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57.75</w:t>
            </w:r>
          </w:p>
        </w:tc>
        <w:tc>
          <w:tcPr>
            <w:tcW w:w="1300" w:type="dxa"/>
            <w:tcBorders>
              <w:top w:val="nil"/>
              <w:left w:val="nil"/>
              <w:bottom w:val="single" w:sz="4" w:space="0" w:color="000000"/>
              <w:right w:val="single" w:sz="4" w:space="0" w:color="000000"/>
            </w:tcBorders>
            <w:shd w:val="clear" w:color="auto" w:fill="auto"/>
            <w:vAlign w:val="center"/>
          </w:tcPr>
          <w:p w14:paraId="1BF86E2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1.58</w:t>
            </w:r>
          </w:p>
        </w:tc>
        <w:tc>
          <w:tcPr>
            <w:tcW w:w="2440" w:type="dxa"/>
            <w:tcBorders>
              <w:top w:val="nil"/>
              <w:left w:val="nil"/>
              <w:bottom w:val="single" w:sz="4" w:space="0" w:color="000000"/>
              <w:right w:val="single" w:sz="4" w:space="0" w:color="000000"/>
            </w:tcBorders>
            <w:shd w:val="clear" w:color="auto" w:fill="auto"/>
            <w:vAlign w:val="center"/>
          </w:tcPr>
          <w:p w14:paraId="1BF86E2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632.71</w:t>
            </w:r>
          </w:p>
        </w:tc>
        <w:tc>
          <w:tcPr>
            <w:tcW w:w="2200" w:type="dxa"/>
            <w:tcBorders>
              <w:top w:val="nil"/>
              <w:left w:val="nil"/>
              <w:bottom w:val="single" w:sz="4" w:space="0" w:color="000000"/>
              <w:right w:val="single" w:sz="4" w:space="0" w:color="000000"/>
            </w:tcBorders>
            <w:shd w:val="clear" w:color="auto" w:fill="auto"/>
            <w:vAlign w:val="center"/>
          </w:tcPr>
          <w:p w14:paraId="1BF86E2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17.21</w:t>
            </w:r>
          </w:p>
        </w:tc>
        <w:tc>
          <w:tcPr>
            <w:tcW w:w="1480" w:type="dxa"/>
            <w:tcBorders>
              <w:top w:val="nil"/>
              <w:left w:val="nil"/>
              <w:bottom w:val="single" w:sz="4" w:space="0" w:color="000000"/>
              <w:right w:val="single" w:sz="4" w:space="0" w:color="000000"/>
            </w:tcBorders>
            <w:shd w:val="clear" w:color="auto" w:fill="auto"/>
            <w:vAlign w:val="center"/>
          </w:tcPr>
          <w:p w14:paraId="1BF86E2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35.09</w:t>
            </w:r>
          </w:p>
        </w:tc>
      </w:tr>
      <w:tr w:rsidR="007021CE" w14:paraId="1BF86E33"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2D"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Control (Unblanched)</w:t>
            </w:r>
          </w:p>
        </w:tc>
        <w:tc>
          <w:tcPr>
            <w:tcW w:w="960" w:type="dxa"/>
            <w:tcBorders>
              <w:top w:val="nil"/>
              <w:left w:val="nil"/>
              <w:bottom w:val="single" w:sz="4" w:space="0" w:color="000000"/>
              <w:right w:val="single" w:sz="4" w:space="0" w:color="000000"/>
            </w:tcBorders>
            <w:shd w:val="clear" w:color="auto" w:fill="auto"/>
            <w:vAlign w:val="center"/>
          </w:tcPr>
          <w:p w14:paraId="1BF86E2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57.00</w:t>
            </w:r>
          </w:p>
        </w:tc>
        <w:tc>
          <w:tcPr>
            <w:tcW w:w="1300" w:type="dxa"/>
            <w:tcBorders>
              <w:top w:val="nil"/>
              <w:left w:val="nil"/>
              <w:bottom w:val="single" w:sz="4" w:space="0" w:color="000000"/>
              <w:right w:val="single" w:sz="4" w:space="0" w:color="000000"/>
            </w:tcBorders>
            <w:shd w:val="clear" w:color="auto" w:fill="auto"/>
            <w:vAlign w:val="center"/>
          </w:tcPr>
          <w:p w14:paraId="1BF86E2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2440" w:type="dxa"/>
            <w:tcBorders>
              <w:top w:val="nil"/>
              <w:left w:val="nil"/>
              <w:bottom w:val="single" w:sz="4" w:space="0" w:color="000000"/>
              <w:right w:val="single" w:sz="4" w:space="0" w:color="000000"/>
            </w:tcBorders>
            <w:shd w:val="clear" w:color="auto" w:fill="auto"/>
            <w:vAlign w:val="center"/>
          </w:tcPr>
          <w:p w14:paraId="1BF86E3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77.35</w:t>
            </w:r>
          </w:p>
        </w:tc>
        <w:tc>
          <w:tcPr>
            <w:tcW w:w="2200" w:type="dxa"/>
            <w:tcBorders>
              <w:top w:val="nil"/>
              <w:left w:val="nil"/>
              <w:bottom w:val="single" w:sz="4" w:space="0" w:color="000000"/>
              <w:right w:val="single" w:sz="4" w:space="0" w:color="000000"/>
            </w:tcBorders>
            <w:shd w:val="clear" w:color="auto" w:fill="auto"/>
            <w:vAlign w:val="center"/>
          </w:tcPr>
          <w:p w14:paraId="1BF86E3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15.03</w:t>
            </w:r>
          </w:p>
        </w:tc>
        <w:tc>
          <w:tcPr>
            <w:tcW w:w="1480" w:type="dxa"/>
            <w:tcBorders>
              <w:top w:val="nil"/>
              <w:left w:val="nil"/>
              <w:bottom w:val="single" w:sz="4" w:space="0" w:color="000000"/>
              <w:right w:val="single" w:sz="4" w:space="0" w:color="000000"/>
            </w:tcBorders>
            <w:shd w:val="clear" w:color="auto" w:fill="auto"/>
            <w:vAlign w:val="center"/>
          </w:tcPr>
          <w:p w14:paraId="1BF86E3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34.45</w:t>
            </w:r>
          </w:p>
        </w:tc>
      </w:tr>
      <w:tr w:rsidR="007021CE" w14:paraId="1BF86E3A"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34"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Water Blanching</w:t>
            </w:r>
          </w:p>
        </w:tc>
        <w:tc>
          <w:tcPr>
            <w:tcW w:w="960" w:type="dxa"/>
            <w:tcBorders>
              <w:top w:val="nil"/>
              <w:left w:val="nil"/>
              <w:bottom w:val="single" w:sz="4" w:space="0" w:color="000000"/>
              <w:right w:val="single" w:sz="4" w:space="0" w:color="000000"/>
            </w:tcBorders>
            <w:shd w:val="clear" w:color="auto" w:fill="auto"/>
            <w:vAlign w:val="center"/>
          </w:tcPr>
          <w:p w14:paraId="1BF86E3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47.50</w:t>
            </w:r>
          </w:p>
        </w:tc>
        <w:tc>
          <w:tcPr>
            <w:tcW w:w="1300" w:type="dxa"/>
            <w:tcBorders>
              <w:top w:val="nil"/>
              <w:left w:val="nil"/>
              <w:bottom w:val="single" w:sz="4" w:space="0" w:color="000000"/>
              <w:right w:val="single" w:sz="4" w:space="0" w:color="000000"/>
            </w:tcBorders>
            <w:shd w:val="clear" w:color="auto" w:fill="auto"/>
            <w:vAlign w:val="center"/>
          </w:tcPr>
          <w:p w14:paraId="1BF86E3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1.53</w:t>
            </w:r>
          </w:p>
        </w:tc>
        <w:tc>
          <w:tcPr>
            <w:tcW w:w="2440" w:type="dxa"/>
            <w:tcBorders>
              <w:top w:val="nil"/>
              <w:left w:val="nil"/>
              <w:bottom w:val="single" w:sz="4" w:space="0" w:color="000000"/>
              <w:right w:val="single" w:sz="4" w:space="0" w:color="000000"/>
            </w:tcBorders>
            <w:shd w:val="clear" w:color="auto" w:fill="auto"/>
            <w:vAlign w:val="center"/>
          </w:tcPr>
          <w:p w14:paraId="1BF86E3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89.72</w:t>
            </w:r>
          </w:p>
        </w:tc>
        <w:tc>
          <w:tcPr>
            <w:tcW w:w="2200" w:type="dxa"/>
            <w:tcBorders>
              <w:top w:val="nil"/>
              <w:left w:val="nil"/>
              <w:bottom w:val="single" w:sz="4" w:space="0" w:color="000000"/>
              <w:right w:val="single" w:sz="4" w:space="0" w:color="000000"/>
            </w:tcBorders>
            <w:shd w:val="clear" w:color="auto" w:fill="auto"/>
            <w:vAlign w:val="center"/>
          </w:tcPr>
          <w:p w14:paraId="1BF86E3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15.17</w:t>
            </w:r>
          </w:p>
        </w:tc>
        <w:tc>
          <w:tcPr>
            <w:tcW w:w="1480" w:type="dxa"/>
            <w:tcBorders>
              <w:top w:val="nil"/>
              <w:left w:val="nil"/>
              <w:bottom w:val="single" w:sz="4" w:space="0" w:color="000000"/>
              <w:right w:val="single" w:sz="4" w:space="0" w:color="000000"/>
            </w:tcBorders>
            <w:shd w:val="clear" w:color="auto" w:fill="auto"/>
            <w:vAlign w:val="center"/>
          </w:tcPr>
          <w:p w14:paraId="1BF86E3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31.79</w:t>
            </w:r>
          </w:p>
        </w:tc>
      </w:tr>
      <w:tr w:rsidR="007021CE" w14:paraId="1BF86E41"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3B"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KMS Blanching</w:t>
            </w:r>
          </w:p>
        </w:tc>
        <w:tc>
          <w:tcPr>
            <w:tcW w:w="960" w:type="dxa"/>
            <w:tcBorders>
              <w:top w:val="nil"/>
              <w:left w:val="nil"/>
              <w:bottom w:val="single" w:sz="4" w:space="0" w:color="000000"/>
              <w:right w:val="single" w:sz="4" w:space="0" w:color="000000"/>
            </w:tcBorders>
            <w:shd w:val="clear" w:color="auto" w:fill="auto"/>
            <w:vAlign w:val="center"/>
          </w:tcPr>
          <w:p w14:paraId="1BF86E3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14:paraId="1BF86E3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1.38</w:t>
            </w:r>
          </w:p>
        </w:tc>
        <w:tc>
          <w:tcPr>
            <w:tcW w:w="2440" w:type="dxa"/>
            <w:tcBorders>
              <w:top w:val="nil"/>
              <w:left w:val="nil"/>
              <w:bottom w:val="single" w:sz="4" w:space="0" w:color="000000"/>
              <w:right w:val="single" w:sz="4" w:space="0" w:color="000000"/>
            </w:tcBorders>
            <w:shd w:val="clear" w:color="auto" w:fill="auto"/>
            <w:vAlign w:val="center"/>
          </w:tcPr>
          <w:p w14:paraId="1BF86E3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113.01</w:t>
            </w:r>
          </w:p>
        </w:tc>
        <w:tc>
          <w:tcPr>
            <w:tcW w:w="2200" w:type="dxa"/>
            <w:tcBorders>
              <w:top w:val="nil"/>
              <w:left w:val="nil"/>
              <w:bottom w:val="single" w:sz="4" w:space="0" w:color="000000"/>
              <w:right w:val="single" w:sz="4" w:space="0" w:color="000000"/>
            </w:tcBorders>
            <w:shd w:val="clear" w:color="auto" w:fill="auto"/>
            <w:vAlign w:val="center"/>
          </w:tcPr>
          <w:p w14:paraId="1BF86E3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15.66</w:t>
            </w:r>
          </w:p>
        </w:tc>
        <w:tc>
          <w:tcPr>
            <w:tcW w:w="1480" w:type="dxa"/>
            <w:tcBorders>
              <w:top w:val="nil"/>
              <w:left w:val="nil"/>
              <w:bottom w:val="single" w:sz="4" w:space="0" w:color="000000"/>
              <w:right w:val="single" w:sz="4" w:space="0" w:color="000000"/>
            </w:tcBorders>
            <w:shd w:val="clear" w:color="auto" w:fill="auto"/>
            <w:vAlign w:val="center"/>
          </w:tcPr>
          <w:p w14:paraId="1BF86E4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33.48</w:t>
            </w:r>
          </w:p>
        </w:tc>
      </w:tr>
      <w:tr w:rsidR="007021CE" w14:paraId="1BF86E48"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42" w14:textId="77777777" w:rsidR="007021CE" w:rsidRDefault="00553C3B">
            <w:pPr>
              <w:spacing w:after="0" w:line="240" w:lineRule="auto"/>
              <w:jc w:val="center"/>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KMS+Slow</w:t>
            </w:r>
            <w:proofErr w:type="spellEnd"/>
            <w:r>
              <w:rPr>
                <w:rFonts w:ascii="Times New Roman" w:eastAsia="Times New Roman" w:hAnsi="Times New Roman" w:cs="Times New Roman"/>
                <w:b/>
                <w:color w:val="000000"/>
              </w:rPr>
              <w:t xml:space="preserve"> freezing</w:t>
            </w:r>
          </w:p>
        </w:tc>
        <w:tc>
          <w:tcPr>
            <w:tcW w:w="960" w:type="dxa"/>
            <w:tcBorders>
              <w:top w:val="nil"/>
              <w:left w:val="nil"/>
              <w:bottom w:val="single" w:sz="4" w:space="0" w:color="000000"/>
              <w:right w:val="single" w:sz="4" w:space="0" w:color="000000"/>
            </w:tcBorders>
            <w:shd w:val="clear" w:color="auto" w:fill="auto"/>
            <w:vAlign w:val="center"/>
          </w:tcPr>
          <w:p w14:paraId="1BF86E4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51.50</w:t>
            </w:r>
          </w:p>
        </w:tc>
        <w:tc>
          <w:tcPr>
            <w:tcW w:w="1300" w:type="dxa"/>
            <w:tcBorders>
              <w:top w:val="nil"/>
              <w:left w:val="nil"/>
              <w:bottom w:val="single" w:sz="4" w:space="0" w:color="000000"/>
              <w:right w:val="single" w:sz="4" w:space="0" w:color="000000"/>
            </w:tcBorders>
            <w:shd w:val="clear" w:color="auto" w:fill="auto"/>
            <w:vAlign w:val="center"/>
          </w:tcPr>
          <w:p w14:paraId="1BF86E4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1.35</w:t>
            </w:r>
          </w:p>
        </w:tc>
        <w:tc>
          <w:tcPr>
            <w:tcW w:w="2440" w:type="dxa"/>
            <w:tcBorders>
              <w:top w:val="nil"/>
              <w:left w:val="nil"/>
              <w:bottom w:val="single" w:sz="4" w:space="0" w:color="000000"/>
              <w:right w:val="single" w:sz="4" w:space="0" w:color="000000"/>
            </w:tcBorders>
            <w:shd w:val="clear" w:color="auto" w:fill="auto"/>
            <w:vAlign w:val="center"/>
          </w:tcPr>
          <w:p w14:paraId="1BF86E4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123.65</w:t>
            </w:r>
          </w:p>
        </w:tc>
        <w:tc>
          <w:tcPr>
            <w:tcW w:w="2200" w:type="dxa"/>
            <w:tcBorders>
              <w:top w:val="nil"/>
              <w:left w:val="nil"/>
              <w:bottom w:val="single" w:sz="4" w:space="0" w:color="000000"/>
              <w:right w:val="single" w:sz="4" w:space="0" w:color="000000"/>
            </w:tcBorders>
            <w:shd w:val="clear" w:color="auto" w:fill="auto"/>
            <w:vAlign w:val="center"/>
          </w:tcPr>
          <w:p w14:paraId="1BF86E46"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15.43</w:t>
            </w:r>
          </w:p>
        </w:tc>
        <w:tc>
          <w:tcPr>
            <w:tcW w:w="1480" w:type="dxa"/>
            <w:tcBorders>
              <w:top w:val="nil"/>
              <w:left w:val="nil"/>
              <w:bottom w:val="single" w:sz="4" w:space="0" w:color="000000"/>
              <w:right w:val="single" w:sz="4" w:space="0" w:color="000000"/>
            </w:tcBorders>
            <w:shd w:val="clear" w:color="auto" w:fill="auto"/>
            <w:vAlign w:val="center"/>
          </w:tcPr>
          <w:p w14:paraId="1BF86E47"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32.93</w:t>
            </w:r>
          </w:p>
        </w:tc>
      </w:tr>
      <w:tr w:rsidR="007021CE" w14:paraId="1BF86E4F"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49"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NaOH+ citric acid</w:t>
            </w:r>
          </w:p>
        </w:tc>
        <w:tc>
          <w:tcPr>
            <w:tcW w:w="960" w:type="dxa"/>
            <w:tcBorders>
              <w:top w:val="nil"/>
              <w:left w:val="nil"/>
              <w:bottom w:val="single" w:sz="4" w:space="0" w:color="000000"/>
              <w:right w:val="single" w:sz="4" w:space="0" w:color="000000"/>
            </w:tcBorders>
            <w:shd w:val="clear" w:color="auto" w:fill="auto"/>
            <w:vAlign w:val="center"/>
          </w:tcPr>
          <w:p w14:paraId="1BF86E4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45.00</w:t>
            </w:r>
          </w:p>
        </w:tc>
        <w:tc>
          <w:tcPr>
            <w:tcW w:w="1300" w:type="dxa"/>
            <w:tcBorders>
              <w:top w:val="nil"/>
              <w:left w:val="nil"/>
              <w:bottom w:val="single" w:sz="4" w:space="0" w:color="000000"/>
              <w:right w:val="single" w:sz="4" w:space="0" w:color="000000"/>
            </w:tcBorders>
            <w:shd w:val="clear" w:color="auto" w:fill="auto"/>
            <w:vAlign w:val="center"/>
          </w:tcPr>
          <w:p w14:paraId="1BF86E4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1.50</w:t>
            </w:r>
          </w:p>
        </w:tc>
        <w:tc>
          <w:tcPr>
            <w:tcW w:w="2440" w:type="dxa"/>
            <w:tcBorders>
              <w:top w:val="nil"/>
              <w:left w:val="nil"/>
              <w:bottom w:val="single" w:sz="4" w:space="0" w:color="000000"/>
              <w:right w:val="single" w:sz="4" w:space="0" w:color="000000"/>
            </w:tcBorders>
            <w:shd w:val="clear" w:color="auto" w:fill="auto"/>
            <w:vAlign w:val="center"/>
          </w:tcPr>
          <w:p w14:paraId="1BF86E4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108.35</w:t>
            </w:r>
          </w:p>
        </w:tc>
        <w:tc>
          <w:tcPr>
            <w:tcW w:w="2200" w:type="dxa"/>
            <w:tcBorders>
              <w:top w:val="nil"/>
              <w:left w:val="nil"/>
              <w:bottom w:val="single" w:sz="4" w:space="0" w:color="000000"/>
              <w:right w:val="single" w:sz="4" w:space="0" w:color="000000"/>
            </w:tcBorders>
            <w:shd w:val="clear" w:color="auto" w:fill="auto"/>
            <w:vAlign w:val="center"/>
          </w:tcPr>
          <w:p w14:paraId="1BF86E4D"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14.65</w:t>
            </w:r>
          </w:p>
        </w:tc>
        <w:tc>
          <w:tcPr>
            <w:tcW w:w="1480" w:type="dxa"/>
            <w:tcBorders>
              <w:top w:val="nil"/>
              <w:left w:val="nil"/>
              <w:bottom w:val="single" w:sz="4" w:space="0" w:color="000000"/>
              <w:right w:val="single" w:sz="4" w:space="0" w:color="000000"/>
            </w:tcBorders>
            <w:shd w:val="clear" w:color="auto" w:fill="auto"/>
            <w:vAlign w:val="center"/>
          </w:tcPr>
          <w:p w14:paraId="1BF86E4E"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30.69</w:t>
            </w:r>
          </w:p>
        </w:tc>
      </w:tr>
      <w:tr w:rsidR="007021CE" w14:paraId="1BF86E56"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0"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Micro-wave blanching</w:t>
            </w:r>
          </w:p>
        </w:tc>
        <w:tc>
          <w:tcPr>
            <w:tcW w:w="960" w:type="dxa"/>
            <w:tcBorders>
              <w:top w:val="nil"/>
              <w:left w:val="nil"/>
              <w:bottom w:val="single" w:sz="4" w:space="0" w:color="000000"/>
              <w:right w:val="single" w:sz="4" w:space="0" w:color="000000"/>
            </w:tcBorders>
            <w:shd w:val="clear" w:color="auto" w:fill="auto"/>
            <w:vAlign w:val="center"/>
          </w:tcPr>
          <w:p w14:paraId="1BF86E5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57.50</w:t>
            </w:r>
          </w:p>
        </w:tc>
        <w:tc>
          <w:tcPr>
            <w:tcW w:w="1300" w:type="dxa"/>
            <w:tcBorders>
              <w:top w:val="nil"/>
              <w:left w:val="nil"/>
              <w:bottom w:val="single" w:sz="4" w:space="0" w:color="000000"/>
              <w:right w:val="single" w:sz="4" w:space="0" w:color="000000"/>
            </w:tcBorders>
            <w:shd w:val="clear" w:color="auto" w:fill="auto"/>
            <w:vAlign w:val="center"/>
          </w:tcPr>
          <w:p w14:paraId="1BF86E5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1.75</w:t>
            </w:r>
          </w:p>
        </w:tc>
        <w:tc>
          <w:tcPr>
            <w:tcW w:w="2440" w:type="dxa"/>
            <w:tcBorders>
              <w:top w:val="nil"/>
              <w:left w:val="nil"/>
              <w:bottom w:val="single" w:sz="4" w:space="0" w:color="000000"/>
              <w:right w:val="single" w:sz="4" w:space="0" w:color="000000"/>
            </w:tcBorders>
            <w:shd w:val="clear" w:color="auto" w:fill="auto"/>
            <w:vAlign w:val="center"/>
          </w:tcPr>
          <w:p w14:paraId="1BF86E5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83.73</w:t>
            </w:r>
          </w:p>
        </w:tc>
        <w:tc>
          <w:tcPr>
            <w:tcW w:w="2200" w:type="dxa"/>
            <w:tcBorders>
              <w:top w:val="nil"/>
              <w:left w:val="nil"/>
              <w:bottom w:val="single" w:sz="4" w:space="0" w:color="000000"/>
              <w:right w:val="single" w:sz="4" w:space="0" w:color="000000"/>
            </w:tcBorders>
            <w:shd w:val="clear" w:color="auto" w:fill="auto"/>
            <w:vAlign w:val="center"/>
          </w:tcPr>
          <w:p w14:paraId="1BF86E54"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14.25</w:t>
            </w:r>
          </w:p>
        </w:tc>
        <w:tc>
          <w:tcPr>
            <w:tcW w:w="1480" w:type="dxa"/>
            <w:tcBorders>
              <w:top w:val="nil"/>
              <w:left w:val="nil"/>
              <w:bottom w:val="single" w:sz="4" w:space="0" w:color="000000"/>
              <w:right w:val="single" w:sz="4" w:space="0" w:color="000000"/>
            </w:tcBorders>
            <w:shd w:val="clear" w:color="auto" w:fill="auto"/>
            <w:vAlign w:val="center"/>
          </w:tcPr>
          <w:p w14:paraId="1BF86E55"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34.68</w:t>
            </w:r>
          </w:p>
        </w:tc>
      </w:tr>
      <w:tr w:rsidR="007021CE" w14:paraId="1BF86E5D"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7"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Osmo-dehydration</w:t>
            </w:r>
          </w:p>
        </w:tc>
        <w:tc>
          <w:tcPr>
            <w:tcW w:w="960" w:type="dxa"/>
            <w:tcBorders>
              <w:top w:val="nil"/>
              <w:left w:val="nil"/>
              <w:bottom w:val="single" w:sz="4" w:space="0" w:color="000000"/>
              <w:right w:val="single" w:sz="4" w:space="0" w:color="000000"/>
            </w:tcBorders>
            <w:shd w:val="clear" w:color="auto" w:fill="auto"/>
            <w:vAlign w:val="center"/>
          </w:tcPr>
          <w:p w14:paraId="1BF86E58"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66.75</w:t>
            </w:r>
          </w:p>
        </w:tc>
        <w:tc>
          <w:tcPr>
            <w:tcW w:w="1300" w:type="dxa"/>
            <w:tcBorders>
              <w:top w:val="nil"/>
              <w:left w:val="nil"/>
              <w:bottom w:val="single" w:sz="4" w:space="0" w:color="000000"/>
              <w:right w:val="single" w:sz="4" w:space="0" w:color="000000"/>
            </w:tcBorders>
            <w:shd w:val="clear" w:color="auto" w:fill="auto"/>
            <w:vAlign w:val="center"/>
          </w:tcPr>
          <w:p w14:paraId="1BF86E59"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1.15</w:t>
            </w:r>
          </w:p>
        </w:tc>
        <w:tc>
          <w:tcPr>
            <w:tcW w:w="2440" w:type="dxa"/>
            <w:tcBorders>
              <w:top w:val="nil"/>
              <w:left w:val="nil"/>
              <w:bottom w:val="single" w:sz="4" w:space="0" w:color="000000"/>
              <w:right w:val="single" w:sz="4" w:space="0" w:color="000000"/>
            </w:tcBorders>
            <w:shd w:val="clear" w:color="auto" w:fill="auto"/>
            <w:vAlign w:val="center"/>
          </w:tcPr>
          <w:p w14:paraId="1BF86E5A"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105.69</w:t>
            </w:r>
          </w:p>
        </w:tc>
        <w:tc>
          <w:tcPr>
            <w:tcW w:w="2200" w:type="dxa"/>
            <w:tcBorders>
              <w:top w:val="nil"/>
              <w:left w:val="nil"/>
              <w:bottom w:val="single" w:sz="4" w:space="0" w:color="000000"/>
              <w:right w:val="single" w:sz="4" w:space="0" w:color="000000"/>
            </w:tcBorders>
            <w:shd w:val="clear" w:color="auto" w:fill="auto"/>
            <w:vAlign w:val="center"/>
          </w:tcPr>
          <w:p w14:paraId="1BF86E5B"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15.26</w:t>
            </w:r>
          </w:p>
        </w:tc>
        <w:tc>
          <w:tcPr>
            <w:tcW w:w="1480" w:type="dxa"/>
            <w:tcBorders>
              <w:top w:val="nil"/>
              <w:left w:val="nil"/>
              <w:bottom w:val="single" w:sz="4" w:space="0" w:color="000000"/>
              <w:right w:val="single" w:sz="4" w:space="0" w:color="000000"/>
            </w:tcBorders>
            <w:shd w:val="clear" w:color="auto" w:fill="auto"/>
            <w:vAlign w:val="center"/>
          </w:tcPr>
          <w:p w14:paraId="1BF86E5C"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45.72</w:t>
            </w:r>
          </w:p>
        </w:tc>
      </w:tr>
      <w:tr w:rsidR="007021CE" w14:paraId="1BF86E64" w14:textId="77777777">
        <w:trPr>
          <w:trHeight w:val="300"/>
          <w:jc w:val="center"/>
        </w:trPr>
        <w:tc>
          <w:tcPr>
            <w:tcW w:w="2260" w:type="dxa"/>
            <w:tcBorders>
              <w:top w:val="nil"/>
              <w:left w:val="single" w:sz="4" w:space="0" w:color="000000"/>
              <w:bottom w:val="single" w:sz="4" w:space="0" w:color="000000"/>
              <w:right w:val="single" w:sz="4" w:space="0" w:color="000000"/>
            </w:tcBorders>
            <w:shd w:val="clear" w:color="auto" w:fill="auto"/>
            <w:vAlign w:val="center"/>
          </w:tcPr>
          <w:p w14:paraId="1BF86E5E" w14:textId="77777777" w:rsidR="007021CE" w:rsidRDefault="00553C3B">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C.D. at 5%</w:t>
            </w:r>
          </w:p>
        </w:tc>
        <w:tc>
          <w:tcPr>
            <w:tcW w:w="960" w:type="dxa"/>
            <w:tcBorders>
              <w:top w:val="nil"/>
              <w:left w:val="nil"/>
              <w:bottom w:val="single" w:sz="4" w:space="0" w:color="000000"/>
              <w:right w:val="single" w:sz="4" w:space="0" w:color="000000"/>
            </w:tcBorders>
            <w:shd w:val="clear" w:color="auto" w:fill="auto"/>
            <w:vAlign w:val="center"/>
          </w:tcPr>
          <w:p w14:paraId="1BF86E5F"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1.70</w:t>
            </w:r>
          </w:p>
        </w:tc>
        <w:tc>
          <w:tcPr>
            <w:tcW w:w="1300" w:type="dxa"/>
            <w:tcBorders>
              <w:top w:val="nil"/>
              <w:left w:val="nil"/>
              <w:bottom w:val="single" w:sz="4" w:space="0" w:color="000000"/>
              <w:right w:val="single" w:sz="4" w:space="0" w:color="000000"/>
            </w:tcBorders>
            <w:shd w:val="clear" w:color="auto" w:fill="auto"/>
            <w:vAlign w:val="center"/>
          </w:tcPr>
          <w:p w14:paraId="1BF86E60"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0.23</w:t>
            </w:r>
          </w:p>
        </w:tc>
        <w:tc>
          <w:tcPr>
            <w:tcW w:w="2440" w:type="dxa"/>
            <w:tcBorders>
              <w:top w:val="nil"/>
              <w:left w:val="nil"/>
              <w:bottom w:val="single" w:sz="4" w:space="0" w:color="000000"/>
              <w:right w:val="single" w:sz="4" w:space="0" w:color="000000"/>
            </w:tcBorders>
            <w:shd w:val="clear" w:color="auto" w:fill="auto"/>
            <w:vAlign w:val="center"/>
          </w:tcPr>
          <w:p w14:paraId="1BF86E61"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17.73</w:t>
            </w:r>
          </w:p>
        </w:tc>
        <w:tc>
          <w:tcPr>
            <w:tcW w:w="2200" w:type="dxa"/>
            <w:tcBorders>
              <w:top w:val="nil"/>
              <w:left w:val="nil"/>
              <w:bottom w:val="single" w:sz="4" w:space="0" w:color="000000"/>
              <w:right w:val="single" w:sz="4" w:space="0" w:color="000000"/>
            </w:tcBorders>
            <w:shd w:val="clear" w:color="auto" w:fill="auto"/>
            <w:vAlign w:val="center"/>
          </w:tcPr>
          <w:p w14:paraId="1BF86E62"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0.44</w:t>
            </w:r>
          </w:p>
        </w:tc>
        <w:tc>
          <w:tcPr>
            <w:tcW w:w="1480" w:type="dxa"/>
            <w:tcBorders>
              <w:top w:val="nil"/>
              <w:left w:val="nil"/>
              <w:bottom w:val="single" w:sz="4" w:space="0" w:color="000000"/>
              <w:right w:val="single" w:sz="4" w:space="0" w:color="000000"/>
            </w:tcBorders>
            <w:shd w:val="clear" w:color="auto" w:fill="auto"/>
            <w:vAlign w:val="center"/>
          </w:tcPr>
          <w:p w14:paraId="1BF86E63" w14:textId="77777777" w:rsidR="007021CE" w:rsidRDefault="00553C3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0.85</w:t>
            </w:r>
          </w:p>
        </w:tc>
      </w:tr>
    </w:tbl>
    <w:p w14:paraId="1BF86E65"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66" w14:textId="77777777" w:rsidR="007021CE" w:rsidRDefault="00553C3B">
      <w:pPr>
        <w:spacing w:before="280" w:after="280" w:line="240" w:lineRule="auto"/>
        <w:rPr>
          <w:rFonts w:ascii="Times New Roman" w:eastAsia="Times New Roman" w:hAnsi="Times New Roman" w:cs="Times New Roman"/>
          <w:b/>
          <w:sz w:val="27"/>
          <w:szCs w:val="27"/>
        </w:rPr>
      </w:pPr>
      <w:r>
        <w:rPr>
          <w:rFonts w:ascii="Times New Roman" w:eastAsia="Times New Roman" w:hAnsi="Times New Roman" w:cs="Times New Roman"/>
          <w:b/>
          <w:sz w:val="27"/>
          <w:szCs w:val="27"/>
        </w:rPr>
        <w:t>4. Conclusion</w:t>
      </w:r>
    </w:p>
    <w:p w14:paraId="1BF86E67"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present investigation highlights the importance of selecting appropriate pretreatment methods to optimize the dehydration process and improve the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Among the methods evaluated, osmo-dehydration was found to significantly enhance the sensory characteristics, such as sweetness and overall acceptability, making it the most suitable for producing consumer-friendly dried products. On the other hand, the KMS + slow freezing treatment preserved the highest levels of ascorbic acid and achieved superior rehydration capacity, indicating its suitability for retaining nutritional value. The NaOH + citric acid treatment, though excellent in drying efficiency, led to a noticeable decline in some quality parameters due to leaching effects. Overall, the study establishes that osmo-dehydration and KMS-based treatments provide balanced benefits for sensory and nutritional quality, thus offering promising techniques for commercial-scale processing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into shelf-stable, value-added products. These findings can be instrumental in promoting post-harvest utilization, reducing wastage, and enhancing the economic potential of this underutilized but nutritionally rich fruit.</w:t>
      </w:r>
    </w:p>
    <w:p w14:paraId="1BF86E68" w14:textId="77777777" w:rsidR="007021CE" w:rsidRDefault="00553C3B">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References: </w:t>
      </w:r>
    </w:p>
    <w:p w14:paraId="1BF86E69"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Akbarian, M., </w:t>
      </w:r>
      <w:proofErr w:type="spellStart"/>
      <w:r>
        <w:rPr>
          <w:rFonts w:ascii="Times New Roman" w:eastAsia="Times New Roman" w:hAnsi="Times New Roman" w:cs="Times New Roman"/>
          <w:color w:val="000000"/>
          <w:sz w:val="24"/>
          <w:szCs w:val="24"/>
        </w:rPr>
        <w:t>Zomorodian</w:t>
      </w:r>
      <w:proofErr w:type="spellEnd"/>
      <w:r>
        <w:rPr>
          <w:rFonts w:ascii="Times New Roman" w:eastAsia="Times New Roman" w:hAnsi="Times New Roman" w:cs="Times New Roman"/>
          <w:color w:val="000000"/>
          <w:sz w:val="24"/>
          <w:szCs w:val="24"/>
        </w:rPr>
        <w:t xml:space="preserve">, A., &amp; </w:t>
      </w:r>
      <w:proofErr w:type="spellStart"/>
      <w:r>
        <w:rPr>
          <w:rFonts w:ascii="Times New Roman" w:eastAsia="Times New Roman" w:hAnsi="Times New Roman" w:cs="Times New Roman"/>
          <w:color w:val="000000"/>
          <w:sz w:val="24"/>
          <w:szCs w:val="24"/>
        </w:rPr>
        <w:t>Mobli</w:t>
      </w:r>
      <w:proofErr w:type="spellEnd"/>
      <w:r>
        <w:rPr>
          <w:rFonts w:ascii="Times New Roman" w:eastAsia="Times New Roman" w:hAnsi="Times New Roman" w:cs="Times New Roman"/>
          <w:color w:val="000000"/>
          <w:sz w:val="24"/>
          <w:szCs w:val="24"/>
        </w:rPr>
        <w:t xml:space="preserve">, H. (2014). Osmotic dehydration of fruits and vegetables: A review. </w:t>
      </w:r>
      <w:r>
        <w:rPr>
          <w:rFonts w:ascii="Times New Roman" w:eastAsia="Times New Roman" w:hAnsi="Times New Roman" w:cs="Times New Roman"/>
          <w:i/>
          <w:color w:val="000000"/>
          <w:sz w:val="24"/>
          <w:szCs w:val="24"/>
        </w:rPr>
        <w:t>Journal of Food Engineering</w:t>
      </w:r>
      <w:r>
        <w:rPr>
          <w:rFonts w:ascii="Times New Roman" w:eastAsia="Times New Roman" w:hAnsi="Times New Roman" w:cs="Times New Roman"/>
          <w:color w:val="000000"/>
          <w:sz w:val="24"/>
          <w:szCs w:val="24"/>
        </w:rPr>
        <w:t>, 21(2), 45–53.</w:t>
      </w:r>
    </w:p>
    <w:p w14:paraId="1BF86E6A"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Apeda</w:t>
      </w:r>
      <w:proofErr w:type="spellEnd"/>
      <w:r>
        <w:rPr>
          <w:rFonts w:ascii="Times New Roman" w:eastAsia="Times New Roman" w:hAnsi="Times New Roman" w:cs="Times New Roman"/>
          <w:color w:val="000000"/>
          <w:sz w:val="24"/>
          <w:szCs w:val="24"/>
        </w:rPr>
        <w:t xml:space="preserve">. (2025). </w:t>
      </w:r>
      <w:r>
        <w:rPr>
          <w:rFonts w:ascii="Times New Roman" w:eastAsia="Times New Roman" w:hAnsi="Times New Roman" w:cs="Times New Roman"/>
          <w:i/>
          <w:color w:val="000000"/>
          <w:sz w:val="24"/>
          <w:szCs w:val="24"/>
        </w:rPr>
        <w:t>Agricultural and Processed Food Products Export Development Authority</w:t>
      </w:r>
      <w:r>
        <w:rPr>
          <w:rFonts w:ascii="Times New Roman" w:eastAsia="Times New Roman" w:hAnsi="Times New Roman" w:cs="Times New Roman"/>
          <w:color w:val="000000"/>
          <w:sz w:val="24"/>
          <w:szCs w:val="24"/>
        </w:rPr>
        <w:t xml:space="preserve">. Retrieved from </w:t>
      </w:r>
      <w:hyperlink r:id="rId8">
        <w:r>
          <w:rPr>
            <w:rFonts w:ascii="Times New Roman" w:eastAsia="Times New Roman" w:hAnsi="Times New Roman" w:cs="Times New Roman"/>
            <w:color w:val="0000FF"/>
            <w:sz w:val="24"/>
            <w:szCs w:val="24"/>
            <w:u w:val="single"/>
          </w:rPr>
          <w:t>https://apeda.gov.in</w:t>
        </w:r>
      </w:hyperlink>
    </w:p>
    <w:p w14:paraId="1BF86E6B"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Baig, M. A., &amp; </w:t>
      </w:r>
      <w:proofErr w:type="spellStart"/>
      <w:r>
        <w:rPr>
          <w:rFonts w:ascii="Times New Roman" w:eastAsia="Times New Roman" w:hAnsi="Times New Roman" w:cs="Times New Roman"/>
          <w:color w:val="000000"/>
          <w:sz w:val="24"/>
          <w:szCs w:val="24"/>
        </w:rPr>
        <w:t>Chakraverty</w:t>
      </w:r>
      <w:proofErr w:type="spellEnd"/>
      <w:r>
        <w:rPr>
          <w:rFonts w:ascii="Times New Roman" w:eastAsia="Times New Roman" w:hAnsi="Times New Roman" w:cs="Times New Roman"/>
          <w:color w:val="000000"/>
          <w:sz w:val="24"/>
          <w:szCs w:val="24"/>
        </w:rPr>
        <w:t xml:space="preserve">, A. (2002). Effect of pretreatments on drying of carrot slices.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39(6), 592–595.</w:t>
      </w:r>
    </w:p>
    <w:p w14:paraId="1BF86E6C"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Bal, J. S., &amp; Mann, H. S. (1978). Studies on the chemical composition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i/>
          <w:color w:val="000000"/>
          <w:sz w:val="24"/>
          <w:szCs w:val="24"/>
        </w:rPr>
        <w:t>Zizyphus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mauritiana</w:t>
      </w:r>
      <w:proofErr w:type="spellEnd"/>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i/>
          <w:color w:val="000000"/>
          <w:sz w:val="24"/>
          <w:szCs w:val="24"/>
        </w:rPr>
        <w:t>Punjab Horticultural Journal</w:t>
      </w:r>
      <w:r>
        <w:rPr>
          <w:rFonts w:ascii="Times New Roman" w:eastAsia="Times New Roman" w:hAnsi="Times New Roman" w:cs="Times New Roman"/>
          <w:color w:val="000000"/>
          <w:sz w:val="24"/>
          <w:szCs w:val="24"/>
        </w:rPr>
        <w:t>, 18(1), 34–38.</w:t>
      </w:r>
    </w:p>
    <w:p w14:paraId="1BF86E6D"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A., Singh, S., &amp; Patel, V. (2025). Production trends and prospects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in India. </w:t>
      </w:r>
      <w:r>
        <w:rPr>
          <w:rFonts w:ascii="Times New Roman" w:eastAsia="Times New Roman" w:hAnsi="Times New Roman" w:cs="Times New Roman"/>
          <w:i/>
          <w:color w:val="000000"/>
          <w:sz w:val="24"/>
          <w:szCs w:val="24"/>
        </w:rPr>
        <w:t>Indian Journal of Horticulture Research</w:t>
      </w:r>
      <w:r>
        <w:rPr>
          <w:rFonts w:ascii="Times New Roman" w:eastAsia="Times New Roman" w:hAnsi="Times New Roman" w:cs="Times New Roman"/>
          <w:color w:val="000000"/>
          <w:sz w:val="24"/>
          <w:szCs w:val="24"/>
        </w:rPr>
        <w:t>, 17(1), 33–40.</w:t>
      </w:r>
    </w:p>
    <w:p w14:paraId="1BF86E6E"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Chaudhuri, S., Meena, M. L., &amp; Rathore, R. (2025). Ber cultivation trends and postharvest potential in arid zones of India. </w:t>
      </w:r>
      <w:r>
        <w:rPr>
          <w:rFonts w:ascii="Times New Roman" w:eastAsia="Times New Roman" w:hAnsi="Times New Roman" w:cs="Times New Roman"/>
          <w:i/>
          <w:color w:val="000000"/>
          <w:sz w:val="24"/>
          <w:szCs w:val="24"/>
        </w:rPr>
        <w:t>Indian Journal of Horticultural Sciences</w:t>
      </w:r>
      <w:r>
        <w:rPr>
          <w:rFonts w:ascii="Times New Roman" w:eastAsia="Times New Roman" w:hAnsi="Times New Roman" w:cs="Times New Roman"/>
          <w:color w:val="000000"/>
          <w:sz w:val="24"/>
          <w:szCs w:val="24"/>
        </w:rPr>
        <w:t>, 80(1), 22–28.</w:t>
      </w:r>
    </w:p>
    <w:p w14:paraId="1BF86E6F"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Dalal, A. R., Sharma, N., &amp; Yadav, M. (2019). Value addition in underutilized fruits: A case study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43(7), e13942.</w:t>
      </w:r>
    </w:p>
    <w:p w14:paraId="1BF86E70"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Devaraju, D. R. (2003). Effect of dehydration pretreatments on quality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57(4), 15–19.</w:t>
      </w:r>
    </w:p>
    <w:p w14:paraId="1BF86E71"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Gadakh</w:t>
      </w:r>
      <w:proofErr w:type="spellEnd"/>
      <w:r>
        <w:rPr>
          <w:rFonts w:ascii="Times New Roman" w:eastAsia="Times New Roman" w:hAnsi="Times New Roman" w:cs="Times New Roman"/>
          <w:color w:val="000000"/>
          <w:sz w:val="24"/>
          <w:szCs w:val="24"/>
        </w:rPr>
        <w:t xml:space="preserve">, S. R., Patil, P. L., &amp; Jadhav, B. B. (1999).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 xml:space="preserve">-chemical composition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Ziziphus</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mauritiana</w:t>
      </w:r>
      <w:proofErr w:type="spellEnd"/>
      <w:r>
        <w:rPr>
          <w:rFonts w:ascii="Times New Roman" w:eastAsia="Times New Roman" w:hAnsi="Times New Roman" w:cs="Times New Roman"/>
          <w:color w:val="000000"/>
          <w:sz w:val="24"/>
          <w:szCs w:val="24"/>
        </w:rPr>
        <w:t xml:space="preserve">) during growth and development. </w:t>
      </w:r>
      <w:r>
        <w:rPr>
          <w:rFonts w:ascii="Times New Roman" w:eastAsia="Times New Roman" w:hAnsi="Times New Roman" w:cs="Times New Roman"/>
          <w:i/>
          <w:color w:val="000000"/>
          <w:sz w:val="24"/>
          <w:szCs w:val="24"/>
        </w:rPr>
        <w:t>Annals of Plant Physiology</w:t>
      </w:r>
      <w:r>
        <w:rPr>
          <w:rFonts w:ascii="Times New Roman" w:eastAsia="Times New Roman" w:hAnsi="Times New Roman" w:cs="Times New Roman"/>
          <w:color w:val="000000"/>
          <w:sz w:val="24"/>
          <w:szCs w:val="24"/>
        </w:rPr>
        <w:t>, 13(1), 89–91.</w:t>
      </w:r>
    </w:p>
    <w:p w14:paraId="1BF86E72"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lastRenderedPageBreak/>
        <w:t xml:space="preserve">Grabowski, S., Truong, V. D., &amp; Daubert, C. R. (2003). Nutritional changes in sweet potatoes during dehydration. </w:t>
      </w:r>
      <w:r>
        <w:rPr>
          <w:rFonts w:ascii="Times New Roman" w:eastAsia="Times New Roman" w:hAnsi="Times New Roman" w:cs="Times New Roman"/>
          <w:i/>
          <w:color w:val="000000"/>
          <w:sz w:val="24"/>
          <w:szCs w:val="24"/>
        </w:rPr>
        <w:t>Food Science and Technology</w:t>
      </w:r>
      <w:r>
        <w:rPr>
          <w:rFonts w:ascii="Times New Roman" w:eastAsia="Times New Roman" w:hAnsi="Times New Roman" w:cs="Times New Roman"/>
          <w:color w:val="000000"/>
          <w:sz w:val="24"/>
          <w:szCs w:val="24"/>
        </w:rPr>
        <w:t>, 36(4), 367–373.</w:t>
      </w:r>
    </w:p>
    <w:p w14:paraId="1BF86E73"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D. S., &amp; Singh, B. (1975). Studies on processing of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fruits.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29(4), 33–38.</w:t>
      </w:r>
    </w:p>
    <w:p w14:paraId="1BF86E74"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Kumar, M., Sharma, H., &amp; Singh, R. (2017). Comparative study of pre-drying treatments on the quality of dried </w:t>
      </w:r>
      <w:proofErr w:type="spellStart"/>
      <w:r>
        <w:rPr>
          <w:rFonts w:ascii="Times New Roman" w:eastAsia="Times New Roman" w:hAnsi="Times New Roman" w:cs="Times New Roman"/>
          <w:color w:val="000000"/>
          <w:sz w:val="24"/>
          <w:szCs w:val="24"/>
        </w:rPr>
        <w:t>ber</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Food Processing and Preservation</w:t>
      </w:r>
      <w:r>
        <w:rPr>
          <w:rFonts w:ascii="Times New Roman" w:eastAsia="Times New Roman" w:hAnsi="Times New Roman" w:cs="Times New Roman"/>
          <w:color w:val="000000"/>
          <w:sz w:val="24"/>
          <w:szCs w:val="24"/>
        </w:rPr>
        <w:t>, 41(5), e13075.</w:t>
      </w:r>
    </w:p>
    <w:p w14:paraId="1BF86E75"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Mehta, R. K., &amp; Tomar, M. C. (1980). Studies on processing and preservation of guava products.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34(5), 23–28.</w:t>
      </w:r>
    </w:p>
    <w:p w14:paraId="1BF86E76"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Mousa, N., Rao, V., &amp; Kulkarni, D. (2004). Effect of blanching and </w:t>
      </w:r>
      <w:proofErr w:type="spellStart"/>
      <w:r>
        <w:rPr>
          <w:rFonts w:ascii="Times New Roman" w:eastAsia="Times New Roman" w:hAnsi="Times New Roman" w:cs="Times New Roman"/>
          <w:color w:val="000000"/>
          <w:sz w:val="24"/>
          <w:szCs w:val="24"/>
        </w:rPr>
        <w:t>sulphiting</w:t>
      </w:r>
      <w:proofErr w:type="spellEnd"/>
      <w:r>
        <w:rPr>
          <w:rFonts w:ascii="Times New Roman" w:eastAsia="Times New Roman" w:hAnsi="Times New Roman" w:cs="Times New Roman"/>
          <w:color w:val="000000"/>
          <w:sz w:val="24"/>
          <w:szCs w:val="24"/>
        </w:rPr>
        <w:t xml:space="preserve"> on dehydration of brinjal. </w:t>
      </w:r>
      <w:r>
        <w:rPr>
          <w:rFonts w:ascii="Times New Roman" w:eastAsia="Times New Roman" w:hAnsi="Times New Roman" w:cs="Times New Roman"/>
          <w:i/>
          <w:color w:val="000000"/>
          <w:sz w:val="24"/>
          <w:szCs w:val="24"/>
        </w:rPr>
        <w:t>Journal of Food Science and Technology</w:t>
      </w:r>
      <w:r>
        <w:rPr>
          <w:rFonts w:ascii="Times New Roman" w:eastAsia="Times New Roman" w:hAnsi="Times New Roman" w:cs="Times New Roman"/>
          <w:color w:val="000000"/>
          <w:sz w:val="24"/>
          <w:szCs w:val="24"/>
        </w:rPr>
        <w:t>, 41(3), 317–320.</w:t>
      </w:r>
    </w:p>
    <w:p w14:paraId="1BF86E77"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Omolola, A. O., Jideani, A. I. O., &amp; Kapila, P. F. (2016). Drying of fruits and vegetables: Retention of nutritional/functional quality. </w:t>
      </w:r>
      <w:r>
        <w:rPr>
          <w:rFonts w:ascii="Times New Roman" w:eastAsia="Times New Roman" w:hAnsi="Times New Roman" w:cs="Times New Roman"/>
          <w:i/>
          <w:color w:val="000000"/>
          <w:sz w:val="24"/>
          <w:szCs w:val="24"/>
        </w:rPr>
        <w:t>Journal of Food Processing &amp; Technology</w:t>
      </w:r>
      <w:r>
        <w:rPr>
          <w:rFonts w:ascii="Times New Roman" w:eastAsia="Times New Roman" w:hAnsi="Times New Roman" w:cs="Times New Roman"/>
          <w:color w:val="000000"/>
          <w:sz w:val="24"/>
          <w:szCs w:val="24"/>
        </w:rPr>
        <w:t>, 7(9), 623.</w:t>
      </w:r>
    </w:p>
    <w:p w14:paraId="1BF86E78"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Orsat</w:t>
      </w:r>
      <w:proofErr w:type="spellEnd"/>
      <w:r>
        <w:rPr>
          <w:rFonts w:ascii="Times New Roman" w:eastAsia="Times New Roman" w:hAnsi="Times New Roman" w:cs="Times New Roman"/>
          <w:color w:val="000000"/>
          <w:sz w:val="24"/>
          <w:szCs w:val="24"/>
        </w:rPr>
        <w:t xml:space="preserve">, V., Raghavan, G. S. V., &amp; Mujumdar, A. S. (2006). Microwave drying of fruits and vegetables. </w:t>
      </w:r>
      <w:r>
        <w:rPr>
          <w:rFonts w:ascii="Times New Roman" w:eastAsia="Times New Roman" w:hAnsi="Times New Roman" w:cs="Times New Roman"/>
          <w:i/>
          <w:color w:val="000000"/>
          <w:sz w:val="24"/>
          <w:szCs w:val="24"/>
        </w:rPr>
        <w:t>Stewart Postharvest Review</w:t>
      </w:r>
      <w:r>
        <w:rPr>
          <w:rFonts w:ascii="Times New Roman" w:eastAsia="Times New Roman" w:hAnsi="Times New Roman" w:cs="Times New Roman"/>
          <w:color w:val="000000"/>
          <w:sz w:val="24"/>
          <w:szCs w:val="24"/>
        </w:rPr>
        <w:t>, 2(6), 1–9.</w:t>
      </w:r>
    </w:p>
    <w:p w14:paraId="1BF86E79"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Sagar, V. R., &amp; </w:t>
      </w:r>
      <w:proofErr w:type="spellStart"/>
      <w:r>
        <w:rPr>
          <w:rFonts w:ascii="Times New Roman" w:eastAsia="Times New Roman" w:hAnsi="Times New Roman" w:cs="Times New Roman"/>
          <w:color w:val="000000"/>
          <w:sz w:val="24"/>
          <w:szCs w:val="24"/>
        </w:rPr>
        <w:t>Khurdiya</w:t>
      </w:r>
      <w:proofErr w:type="spellEnd"/>
      <w:r>
        <w:rPr>
          <w:rFonts w:ascii="Times New Roman" w:eastAsia="Times New Roman" w:hAnsi="Times New Roman" w:cs="Times New Roman"/>
          <w:color w:val="000000"/>
          <w:sz w:val="24"/>
          <w:szCs w:val="24"/>
        </w:rPr>
        <w:t xml:space="preserve">, D. S. (1999). Studies on dehydration of mango slices. </w:t>
      </w:r>
      <w:r>
        <w:rPr>
          <w:rFonts w:ascii="Times New Roman" w:eastAsia="Times New Roman" w:hAnsi="Times New Roman" w:cs="Times New Roman"/>
          <w:i/>
          <w:color w:val="000000"/>
          <w:sz w:val="24"/>
          <w:szCs w:val="24"/>
        </w:rPr>
        <w:t>Indian Food Packer</w:t>
      </w:r>
      <w:r>
        <w:rPr>
          <w:rFonts w:ascii="Times New Roman" w:eastAsia="Times New Roman" w:hAnsi="Times New Roman" w:cs="Times New Roman"/>
          <w:color w:val="000000"/>
          <w:sz w:val="24"/>
          <w:szCs w:val="24"/>
        </w:rPr>
        <w:t>, 53(6), 5–11.</w:t>
      </w:r>
    </w:p>
    <w:p w14:paraId="1BF86E7A" w14:textId="77777777" w:rsidR="007021CE" w:rsidRDefault="00553C3B">
      <w:pPr>
        <w:numPr>
          <w:ilvl w:val="0"/>
          <w:numId w:val="1"/>
        </w:numPr>
        <w:pBdr>
          <w:top w:val="nil"/>
          <w:left w:val="nil"/>
          <w:bottom w:val="nil"/>
          <w:right w:val="nil"/>
          <w:between w:val="nil"/>
        </w:pBdr>
        <w:spacing w:line="240" w:lineRule="auto"/>
        <w:jc w:val="both"/>
      </w:pPr>
      <w:r>
        <w:rPr>
          <w:rFonts w:ascii="Times New Roman" w:eastAsia="Times New Roman" w:hAnsi="Times New Roman" w:cs="Times New Roman"/>
          <w:color w:val="000000"/>
          <w:sz w:val="24"/>
          <w:szCs w:val="24"/>
        </w:rPr>
        <w:t xml:space="preserve">Tandon, D. K., Kalra, S. K., &amp; Singh, B. P. (2003). Effect of lye peeling and blanching on nutritional quality of </w:t>
      </w:r>
      <w:proofErr w:type="spellStart"/>
      <w:r>
        <w:rPr>
          <w:rFonts w:ascii="Times New Roman" w:eastAsia="Times New Roman" w:hAnsi="Times New Roman" w:cs="Times New Roman"/>
          <w:color w:val="000000"/>
          <w:sz w:val="24"/>
          <w:szCs w:val="24"/>
        </w:rPr>
        <w:t>aonla</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Beverage and Food World</w:t>
      </w:r>
      <w:r>
        <w:rPr>
          <w:rFonts w:ascii="Times New Roman" w:eastAsia="Times New Roman" w:hAnsi="Times New Roman" w:cs="Times New Roman"/>
          <w:color w:val="000000"/>
          <w:sz w:val="24"/>
          <w:szCs w:val="24"/>
        </w:rPr>
        <w:t>, 30(4), 18–20.</w:t>
      </w:r>
    </w:p>
    <w:p w14:paraId="1BF86E7B" w14:textId="77777777" w:rsidR="007021CE" w:rsidRDefault="00553C3B">
      <w:pPr>
        <w:numPr>
          <w:ilvl w:val="0"/>
          <w:numId w:val="1"/>
        </w:numPr>
        <w:pBdr>
          <w:top w:val="nil"/>
          <w:left w:val="nil"/>
          <w:bottom w:val="nil"/>
          <w:right w:val="nil"/>
          <w:between w:val="nil"/>
        </w:pBdr>
        <w:spacing w:line="240" w:lineRule="auto"/>
        <w:jc w:val="both"/>
      </w:pPr>
      <w:proofErr w:type="spellStart"/>
      <w:r>
        <w:rPr>
          <w:rFonts w:ascii="Times New Roman" w:eastAsia="Times New Roman" w:hAnsi="Times New Roman" w:cs="Times New Roman"/>
          <w:color w:val="000000"/>
          <w:sz w:val="24"/>
          <w:szCs w:val="24"/>
        </w:rPr>
        <w:t>Tomatov</w:t>
      </w:r>
      <w:proofErr w:type="spellEnd"/>
      <w:r>
        <w:rPr>
          <w:rFonts w:ascii="Times New Roman" w:eastAsia="Times New Roman" w:hAnsi="Times New Roman" w:cs="Times New Roman"/>
          <w:color w:val="000000"/>
          <w:sz w:val="24"/>
          <w:szCs w:val="24"/>
        </w:rPr>
        <w:t xml:space="preserve">, M. M. (1963). Medicinal plants of India. </w:t>
      </w:r>
      <w:r>
        <w:rPr>
          <w:rFonts w:ascii="Times New Roman" w:eastAsia="Times New Roman" w:hAnsi="Times New Roman" w:cs="Times New Roman"/>
          <w:i/>
          <w:color w:val="000000"/>
          <w:sz w:val="24"/>
          <w:szCs w:val="24"/>
        </w:rPr>
        <w:t>Journal of Ethnopharmacology</w:t>
      </w:r>
      <w:r>
        <w:rPr>
          <w:rFonts w:ascii="Times New Roman" w:eastAsia="Times New Roman" w:hAnsi="Times New Roman" w:cs="Times New Roman"/>
          <w:color w:val="000000"/>
          <w:sz w:val="24"/>
          <w:szCs w:val="24"/>
        </w:rPr>
        <w:t>, 2(3), 221–230.</w:t>
      </w:r>
    </w:p>
    <w:p w14:paraId="1BF86E7C" w14:textId="77777777" w:rsidR="007021CE" w:rsidRDefault="007021CE">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rPr>
      </w:pPr>
    </w:p>
    <w:p w14:paraId="1BF86E7D" w14:textId="77777777" w:rsidR="007021CE" w:rsidRDefault="007021C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1BF86E7E" w14:textId="77777777" w:rsidR="007021CE" w:rsidRDefault="007021CE">
      <w:pPr>
        <w:jc w:val="both"/>
      </w:pPr>
    </w:p>
    <w:sectPr w:rsidR="007021C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BB428" w14:textId="77777777" w:rsidR="00335959" w:rsidRDefault="00335959" w:rsidP="00145756">
      <w:pPr>
        <w:spacing w:after="0" w:line="240" w:lineRule="auto"/>
      </w:pPr>
      <w:r>
        <w:separator/>
      </w:r>
    </w:p>
  </w:endnote>
  <w:endnote w:type="continuationSeparator" w:id="0">
    <w:p w14:paraId="39259E40" w14:textId="77777777" w:rsidR="00335959" w:rsidRDefault="00335959" w:rsidP="00145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34D8E" w14:textId="77777777" w:rsidR="00145756" w:rsidRDefault="001457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86033" w14:textId="77777777" w:rsidR="00145756" w:rsidRDefault="00145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CCD14" w14:textId="77777777" w:rsidR="00145756" w:rsidRDefault="00145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DFBB8" w14:textId="77777777" w:rsidR="00335959" w:rsidRDefault="00335959" w:rsidP="00145756">
      <w:pPr>
        <w:spacing w:after="0" w:line="240" w:lineRule="auto"/>
      </w:pPr>
      <w:r>
        <w:separator/>
      </w:r>
    </w:p>
  </w:footnote>
  <w:footnote w:type="continuationSeparator" w:id="0">
    <w:p w14:paraId="63C7C7F8" w14:textId="77777777" w:rsidR="00335959" w:rsidRDefault="00335959" w:rsidP="00145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85285" w14:textId="7916894B" w:rsidR="00145756" w:rsidRDefault="00145756">
    <w:pPr>
      <w:pStyle w:val="Header"/>
    </w:pPr>
    <w:r>
      <w:rPr>
        <w:noProof/>
      </w:rPr>
      <w:pict w14:anchorId="0758E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DECCCF" w14:textId="1734570C" w:rsidR="00145756" w:rsidRDefault="00145756">
    <w:pPr>
      <w:pStyle w:val="Header"/>
    </w:pPr>
    <w:r>
      <w:rPr>
        <w:noProof/>
      </w:rPr>
      <w:pict w14:anchorId="7B26B6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E9AB2" w14:textId="141697D9" w:rsidR="00145756" w:rsidRDefault="00145756">
    <w:pPr>
      <w:pStyle w:val="Header"/>
    </w:pPr>
    <w:r>
      <w:rPr>
        <w:noProof/>
      </w:rPr>
      <w:pict w14:anchorId="5CFA94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821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940215"/>
    <w:multiLevelType w:val="multilevel"/>
    <w:tmpl w:val="B9D6DB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1CE"/>
    <w:rsid w:val="00145756"/>
    <w:rsid w:val="00266D30"/>
    <w:rsid w:val="00273919"/>
    <w:rsid w:val="00335959"/>
    <w:rsid w:val="0046745E"/>
    <w:rsid w:val="004971C4"/>
    <w:rsid w:val="00553C3B"/>
    <w:rsid w:val="007021CE"/>
    <w:rsid w:val="007701B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F86DB2"/>
  <w15:docId w15:val="{F10FAE6A-A403-4C36-8DA2-87E563381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I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4971C4"/>
    <w:rPr>
      <w:color w:val="0000FF" w:themeColor="hyperlink"/>
      <w:u w:val="single"/>
    </w:rPr>
  </w:style>
  <w:style w:type="character" w:styleId="UnresolvedMention">
    <w:name w:val="Unresolved Mention"/>
    <w:basedOn w:val="DefaultParagraphFont"/>
    <w:uiPriority w:val="99"/>
    <w:semiHidden/>
    <w:unhideWhenUsed/>
    <w:rsid w:val="004971C4"/>
    <w:rPr>
      <w:color w:val="605E5C"/>
      <w:shd w:val="clear" w:color="auto" w:fill="E1DFDD"/>
    </w:rPr>
  </w:style>
  <w:style w:type="paragraph" w:styleId="Header">
    <w:name w:val="header"/>
    <w:basedOn w:val="Normal"/>
    <w:link w:val="HeaderChar"/>
    <w:uiPriority w:val="99"/>
    <w:unhideWhenUsed/>
    <w:rsid w:val="001457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756"/>
  </w:style>
  <w:style w:type="paragraph" w:styleId="Footer">
    <w:name w:val="footer"/>
    <w:basedOn w:val="Normal"/>
    <w:link w:val="FooterChar"/>
    <w:uiPriority w:val="99"/>
    <w:unhideWhenUsed/>
    <w:rsid w:val="001457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apeda.gov.i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2346</Words>
  <Characters>13373</Characters>
  <Application>Microsoft Office Word</Application>
  <DocSecurity>0</DocSecurity>
  <Lines>111</Lines>
  <Paragraphs>31</Paragraphs>
  <ScaleCrop>false</ScaleCrop>
  <Company/>
  <LinksUpToDate>false</LinksUpToDate>
  <CharactersWithSpaces>15688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1084</cp:lastModifiedBy>
  <cp:revision>7</cp:revision>
  <dcterms:created xsi:type="dcterms:W3CDTF">2025-07-14T08:43:00Z</dcterms:created>
  <dcterms:modified xsi:type="dcterms:W3CDTF">2025-07-14T12:07:00Z</dcterms:modified>
</cp:coreProperties>
</file>