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C997" w14:textId="7BF0E46F" w:rsidR="00447048" w:rsidRDefault="001D28A1" w:rsidP="0070336F">
      <w:pPr>
        <w:ind w:firstLine="480"/>
        <w:jc w:val="center"/>
        <w:rPr>
          <w:rFonts w:ascii="Calibri" w:hAnsi="Calibri" w:cs="Calibri"/>
        </w:rPr>
      </w:pPr>
      <w:r w:rsidRPr="008A0805">
        <w:rPr>
          <w:rFonts w:ascii="Calibri" w:hAnsi="Calibri" w:cs="Calibri"/>
        </w:rPr>
        <w:t xml:space="preserve">Evaluation on the </w:t>
      </w:r>
      <w:r w:rsidR="008B0C18" w:rsidRPr="008A0805">
        <w:rPr>
          <w:rFonts w:ascii="Calibri" w:hAnsi="Calibri" w:cs="Calibri"/>
        </w:rPr>
        <w:t>I</w:t>
      </w:r>
      <w:r w:rsidRPr="008A0805">
        <w:rPr>
          <w:rFonts w:ascii="Calibri" w:hAnsi="Calibri" w:cs="Calibri"/>
        </w:rPr>
        <w:t xml:space="preserve">mpact </w:t>
      </w:r>
      <w:r w:rsidR="008059A4" w:rsidRPr="008A0805">
        <w:rPr>
          <w:rFonts w:ascii="Calibri" w:hAnsi="Calibri" w:cs="Calibri"/>
        </w:rPr>
        <w:t xml:space="preserve">of </w:t>
      </w:r>
      <w:r w:rsidR="008B0C18" w:rsidRPr="008A0805">
        <w:rPr>
          <w:rFonts w:ascii="Calibri" w:hAnsi="Calibri" w:cs="Calibri"/>
        </w:rPr>
        <w:t>O</w:t>
      </w:r>
      <w:r w:rsidR="008059A4" w:rsidRPr="008A0805">
        <w:rPr>
          <w:rFonts w:ascii="Calibri" w:hAnsi="Calibri" w:cs="Calibri"/>
        </w:rPr>
        <w:t xml:space="preserve">wnership </w:t>
      </w:r>
      <w:r w:rsidR="008B0C18" w:rsidRPr="008A0805">
        <w:rPr>
          <w:rFonts w:ascii="Calibri" w:hAnsi="Calibri" w:cs="Calibri"/>
        </w:rPr>
        <w:t>S</w:t>
      </w:r>
      <w:r w:rsidR="008059A4" w:rsidRPr="008A0805">
        <w:rPr>
          <w:rFonts w:ascii="Calibri" w:hAnsi="Calibri" w:cs="Calibri"/>
        </w:rPr>
        <w:t xml:space="preserve">tructure </w:t>
      </w:r>
      <w:r w:rsidR="00675F69" w:rsidRPr="008A0805">
        <w:rPr>
          <w:rFonts w:ascii="Calibri" w:hAnsi="Calibri" w:cs="Calibri"/>
        </w:rPr>
        <w:t xml:space="preserve">to </w:t>
      </w:r>
      <w:r w:rsidR="008B0C18" w:rsidRPr="008A0805">
        <w:rPr>
          <w:rFonts w:ascii="Calibri" w:hAnsi="Calibri" w:cs="Calibri"/>
        </w:rPr>
        <w:t>Internationalization</w:t>
      </w:r>
      <w:r w:rsidR="00C84F98">
        <w:rPr>
          <w:rFonts w:ascii="Calibri" w:hAnsi="Calibri" w:cs="Calibri" w:hint="eastAsia"/>
        </w:rPr>
        <w:t>: Case Studies</w:t>
      </w:r>
    </w:p>
    <w:p w14:paraId="7A40AFC1" w14:textId="77777777" w:rsidR="00F314E6" w:rsidRPr="008A0805" w:rsidRDefault="00F314E6" w:rsidP="00F314E6">
      <w:pPr>
        <w:pStyle w:val="Heading1"/>
        <w:rPr>
          <w:rFonts w:ascii="Calibri" w:hAnsi="Calibri" w:cs="Calibri"/>
        </w:rPr>
      </w:pPr>
    </w:p>
    <w:p w14:paraId="4140C1AB" w14:textId="77777777" w:rsidR="00F314E6" w:rsidRPr="008A0805" w:rsidRDefault="00F314E6" w:rsidP="00F314E6">
      <w:pPr>
        <w:pStyle w:val="Heading1"/>
        <w:rPr>
          <w:rFonts w:ascii="Calibri" w:hAnsi="Calibri" w:cs="Calibri"/>
        </w:rPr>
      </w:pPr>
    </w:p>
    <w:p w14:paraId="6C52A4F8" w14:textId="68ACB18D" w:rsidR="00F314E6" w:rsidRDefault="007763AC" w:rsidP="000824F7">
      <w:pPr>
        <w:pStyle w:val="Heading1"/>
        <w:rPr>
          <w:rFonts w:ascii="Calibri" w:hAnsi="Calibri" w:cs="Calibri"/>
        </w:rPr>
      </w:pPr>
      <w:r>
        <w:rPr>
          <w:rFonts w:ascii="Calibri" w:hAnsi="Calibri" w:cs="Calibri"/>
        </w:rPr>
        <w:t xml:space="preserve">Abstract </w:t>
      </w:r>
    </w:p>
    <w:p w14:paraId="3E837A8C" w14:textId="08A3A146" w:rsidR="00C14D09" w:rsidRPr="00C14D09" w:rsidRDefault="00B45F66" w:rsidP="00C14D09">
      <w:pPr>
        <w:ind w:firstLine="480"/>
      </w:pPr>
      <w:r w:rsidRPr="00B45F66">
        <w:t>This report analyzes how ownership structure impacts firms’ internationalization strategies, focusing on risk tolerance in state-owned enterprises (SOEs) and private-owned enterprises (POEs), as well as controlling vs. minority shareholders. SOEs show lower risk tolerance due to government oversight, delaying overseas investments. POEs, driven by profit, are more flexible and willing to take risks. Controlling shareholders (like families) prefer safer models to avoid losing control, while minority foreign investors push for internationalization to diversify, though family firms often ignore minority views. Family control initially limits risk-taking but can improve with foreign investment or experienced managers. Hybrid models with state and private stakes face conflicts, often leading to caution. In short, ownership structure shapes how firms approach global expansion: SOEs prioritize stability, POEs seek growth, and balancing control with expertise is key for success in emerging markets.</w:t>
      </w:r>
    </w:p>
    <w:p w14:paraId="7C0FA254" w14:textId="59C6CDCE" w:rsidR="00F314E6" w:rsidRPr="008A0805" w:rsidRDefault="00F314E6">
      <w:pPr>
        <w:widowControl/>
        <w:spacing w:line="240" w:lineRule="auto"/>
        <w:ind w:firstLineChars="0" w:firstLine="0"/>
        <w:rPr>
          <w:rFonts w:ascii="Calibri" w:hAnsi="Calibri" w:cs="Calibri"/>
        </w:rPr>
      </w:pPr>
      <w:r w:rsidRPr="008A0805">
        <w:rPr>
          <w:rFonts w:ascii="Calibri" w:hAnsi="Calibri" w:cs="Calibri"/>
        </w:rPr>
        <w:br w:type="page"/>
      </w:r>
    </w:p>
    <w:p w14:paraId="72217963" w14:textId="77B762E4" w:rsidR="0004224D" w:rsidRPr="008A0805" w:rsidRDefault="00D517C3" w:rsidP="002D10AB">
      <w:pPr>
        <w:pStyle w:val="Heading1"/>
        <w:rPr>
          <w:rFonts w:ascii="Calibri" w:hAnsi="Calibri" w:cs="Calibri"/>
        </w:rPr>
      </w:pPr>
      <w:bookmarkStart w:id="0" w:name="_Toc199890330"/>
      <w:r w:rsidRPr="008A0805">
        <w:rPr>
          <w:rFonts w:ascii="Calibri" w:hAnsi="Calibri" w:cs="Calibri"/>
        </w:rPr>
        <w:lastRenderedPageBreak/>
        <w:t>1.0 Introduction</w:t>
      </w:r>
      <w:bookmarkEnd w:id="0"/>
      <w:r w:rsidRPr="008A0805">
        <w:rPr>
          <w:rFonts w:ascii="Calibri" w:hAnsi="Calibri" w:cs="Calibri"/>
        </w:rPr>
        <w:t xml:space="preserve"> </w:t>
      </w:r>
    </w:p>
    <w:p w14:paraId="7B955B5D" w14:textId="18B355A8" w:rsidR="00F731D6" w:rsidRPr="008A0805" w:rsidRDefault="00F731D6" w:rsidP="00E1075D">
      <w:pPr>
        <w:ind w:firstLine="480"/>
        <w:rPr>
          <w:rFonts w:ascii="Calibri" w:hAnsi="Calibri" w:cs="Calibri"/>
        </w:rPr>
      </w:pPr>
      <w:r w:rsidRPr="008A0805">
        <w:rPr>
          <w:rFonts w:ascii="Calibri" w:hAnsi="Calibri" w:cs="Calibri"/>
        </w:rPr>
        <w:t>Internationalisation – the process by which firms expand their operations across national borders through exports, joint ventures (JVs), foreign direct investment (FDI), or other means – is a pivotal growth strategy for companies in emerging markets (EMs)</w:t>
      </w:r>
      <w:r w:rsidR="00B61526" w:rsidRPr="008A0805">
        <w:rPr>
          <w:rFonts w:ascii="Calibri" w:hAnsi="Calibri" w:cs="Calibri"/>
        </w:rPr>
        <w:t xml:space="preserve"> (Wang, 2024)</w:t>
      </w:r>
      <w:r w:rsidRPr="008A0805">
        <w:rPr>
          <w:rFonts w:ascii="Calibri" w:hAnsi="Calibri" w:cs="Calibri"/>
        </w:rPr>
        <w:t>.</w:t>
      </w:r>
      <w:r w:rsidR="00E1075D" w:rsidRPr="008A0805">
        <w:rPr>
          <w:rFonts w:ascii="Calibri" w:hAnsi="Calibri" w:cs="Calibri"/>
        </w:rPr>
        <w:t xml:space="preserve"> </w:t>
      </w:r>
      <w:r w:rsidR="00DD3876" w:rsidRPr="00DD3876">
        <w:rPr>
          <w:rFonts w:ascii="Calibri" w:hAnsi="Calibri" w:cs="Calibri"/>
        </w:rPr>
        <w:t>Over the past few decades, the emerging markets of China and India have experienced remarkable economic growth. From 1984 – widely regarded as the start of China's modern economic reform and opening-up drive – to 2018, China's GDP growth rates fluctuated between a low of 3.9 percent and a high of 15.1 percent on an annual average basis. During the same period, India saw its annual average GDP growth rates range from 1.1 percent to 9.6 percent.</w:t>
      </w:r>
      <w:r w:rsidR="00B65B9E" w:rsidRPr="008A0805">
        <w:rPr>
          <w:rFonts w:ascii="Calibri" w:hAnsi="Calibri" w:cs="Calibri"/>
        </w:rPr>
        <w:t xml:space="preserve"> (</w:t>
      </w:r>
      <w:proofErr w:type="spellStart"/>
      <w:r w:rsidR="00B65B9E" w:rsidRPr="008A0805">
        <w:rPr>
          <w:rFonts w:ascii="Calibri" w:hAnsi="Calibri" w:cs="Calibri"/>
        </w:rPr>
        <w:t>Loehde</w:t>
      </w:r>
      <w:proofErr w:type="spellEnd"/>
      <w:r w:rsidR="00B65B9E" w:rsidRPr="008A0805">
        <w:rPr>
          <w:rFonts w:ascii="Calibri" w:hAnsi="Calibri" w:cs="Calibri"/>
        </w:rPr>
        <w:t xml:space="preserve"> et al., 2020)</w:t>
      </w:r>
      <w:r w:rsidR="00E1075D" w:rsidRPr="008A0805">
        <w:rPr>
          <w:rFonts w:ascii="Calibri" w:hAnsi="Calibri" w:cs="Calibri"/>
        </w:rPr>
        <w:t>.</w:t>
      </w:r>
      <w:r w:rsidRPr="008A0805">
        <w:rPr>
          <w:rFonts w:ascii="Calibri" w:hAnsi="Calibri" w:cs="Calibri"/>
        </w:rPr>
        <w:t xml:space="preserve"> It offers access to larger markets, opportunities for learning and innovation, diversification benefits, and the potential to build global </w:t>
      </w:r>
      <w:r w:rsidR="00246259" w:rsidRPr="008A0805">
        <w:rPr>
          <w:rFonts w:ascii="Calibri" w:hAnsi="Calibri" w:cs="Calibri"/>
        </w:rPr>
        <w:t>brands (</w:t>
      </w:r>
      <w:r w:rsidR="007865AB" w:rsidRPr="008A0805">
        <w:rPr>
          <w:rFonts w:ascii="Calibri" w:hAnsi="Calibri" w:cs="Calibri"/>
        </w:rPr>
        <w:t>Costa et al., 2018)</w:t>
      </w:r>
      <w:r w:rsidRPr="008A0805">
        <w:rPr>
          <w:rFonts w:ascii="Calibri" w:hAnsi="Calibri" w:cs="Calibri"/>
        </w:rPr>
        <w:t xml:space="preserve">. However, </w:t>
      </w:r>
      <w:r w:rsidR="00B54C98" w:rsidRPr="008A0805">
        <w:rPr>
          <w:rFonts w:ascii="Calibri" w:hAnsi="Calibri" w:cs="Calibri"/>
        </w:rPr>
        <w:t>internationalization</w:t>
      </w:r>
      <w:r w:rsidR="00246259" w:rsidRPr="008A0805">
        <w:rPr>
          <w:rFonts w:ascii="Calibri" w:hAnsi="Calibri" w:cs="Calibri"/>
        </w:rPr>
        <w:t xml:space="preserve"> for </w:t>
      </w:r>
      <w:r w:rsidR="00724B80" w:rsidRPr="008A0805">
        <w:rPr>
          <w:rFonts w:ascii="Calibri" w:hAnsi="Calibri" w:cs="Calibri"/>
        </w:rPr>
        <w:t>emerging market</w:t>
      </w:r>
      <w:r w:rsidR="00263904" w:rsidRPr="008A0805">
        <w:rPr>
          <w:rFonts w:ascii="Calibri" w:hAnsi="Calibri" w:cs="Calibri"/>
        </w:rPr>
        <w:t xml:space="preserve"> companies</w:t>
      </w:r>
      <w:r w:rsidR="00724B80" w:rsidRPr="008A0805">
        <w:rPr>
          <w:rFonts w:ascii="Calibri" w:hAnsi="Calibri" w:cs="Calibri"/>
        </w:rPr>
        <w:t xml:space="preserve"> </w:t>
      </w:r>
      <w:r w:rsidR="00B54C98" w:rsidRPr="008A0805">
        <w:rPr>
          <w:rFonts w:ascii="Calibri" w:hAnsi="Calibri" w:cs="Calibri"/>
        </w:rPr>
        <w:t xml:space="preserve">is </w:t>
      </w:r>
      <w:r w:rsidRPr="008A0805">
        <w:rPr>
          <w:rFonts w:ascii="Calibri" w:hAnsi="Calibri" w:cs="Calibri"/>
        </w:rPr>
        <w:t xml:space="preserve">risky. </w:t>
      </w:r>
      <w:r w:rsidR="00071BF3" w:rsidRPr="008A0805">
        <w:rPr>
          <w:rFonts w:ascii="Calibri" w:hAnsi="Calibri" w:cs="Calibri"/>
        </w:rPr>
        <w:t xml:space="preserve">According to </w:t>
      </w:r>
      <w:r w:rsidR="0014593A" w:rsidRPr="008A0805">
        <w:rPr>
          <w:rFonts w:ascii="Calibri" w:hAnsi="Calibri" w:cs="Calibri"/>
        </w:rPr>
        <w:t xml:space="preserve">Dumitrescu et al. (2019), </w:t>
      </w:r>
      <w:r w:rsidR="00071BF3" w:rsidRPr="008A0805">
        <w:rPr>
          <w:rFonts w:ascii="Calibri" w:hAnsi="Calibri" w:cs="Calibri"/>
        </w:rPr>
        <w:t xml:space="preserve">international business encounters key challenges. Varying regulations across countries complicate operations and raise costs. Differences in consumer preferences, shaped by culture and market conditions, demand tailored strategies. </w:t>
      </w:r>
      <w:r w:rsidR="00654628" w:rsidRPr="008A0805">
        <w:rPr>
          <w:rFonts w:ascii="Calibri" w:hAnsi="Calibri" w:cs="Calibri"/>
        </w:rPr>
        <w:t>Specifically,</w:t>
      </w:r>
      <w:r w:rsidR="00845A47" w:rsidRPr="008A0805">
        <w:rPr>
          <w:rFonts w:ascii="Calibri" w:hAnsi="Calibri" w:cs="Calibri"/>
        </w:rPr>
        <w:t xml:space="preserve"> ownership structures </w:t>
      </w:r>
      <w:r w:rsidR="00EA79A4" w:rsidRPr="008A0805">
        <w:rPr>
          <w:rFonts w:ascii="Calibri" w:hAnsi="Calibri" w:cs="Calibri"/>
        </w:rPr>
        <w:t>of internat</w:t>
      </w:r>
      <w:r w:rsidR="00BE1C22" w:rsidRPr="008A0805">
        <w:rPr>
          <w:rFonts w:ascii="Calibri" w:hAnsi="Calibri" w:cs="Calibri"/>
        </w:rPr>
        <w:t xml:space="preserve">ional companies </w:t>
      </w:r>
      <w:r w:rsidR="00EA79A4" w:rsidRPr="008A0805">
        <w:rPr>
          <w:rFonts w:ascii="Calibri" w:hAnsi="Calibri" w:cs="Calibri"/>
        </w:rPr>
        <w:t>affect</w:t>
      </w:r>
      <w:r w:rsidR="00803E26" w:rsidRPr="008A0805">
        <w:rPr>
          <w:rFonts w:ascii="Calibri" w:hAnsi="Calibri" w:cs="Calibri"/>
        </w:rPr>
        <w:t xml:space="preserve"> </w:t>
      </w:r>
      <w:r w:rsidR="00BE1C22" w:rsidRPr="008A0805">
        <w:rPr>
          <w:rFonts w:ascii="Calibri" w:hAnsi="Calibri" w:cs="Calibri"/>
        </w:rPr>
        <w:t xml:space="preserve">operation </w:t>
      </w:r>
      <w:r w:rsidR="00803E26" w:rsidRPr="008A0805">
        <w:rPr>
          <w:rFonts w:ascii="Calibri" w:hAnsi="Calibri" w:cs="Calibri"/>
        </w:rPr>
        <w:t xml:space="preserve">in risk </w:t>
      </w:r>
      <w:r w:rsidR="00C77EE1" w:rsidRPr="008A0805">
        <w:rPr>
          <w:rFonts w:ascii="Calibri" w:hAnsi="Calibri" w:cs="Calibri"/>
        </w:rPr>
        <w:t>preferences</w:t>
      </w:r>
      <w:r w:rsidR="00EA79A4" w:rsidRPr="008A0805">
        <w:rPr>
          <w:rFonts w:ascii="Calibri" w:hAnsi="Calibri" w:cs="Calibri"/>
        </w:rPr>
        <w:t xml:space="preserve"> (Panicker et al., 2019)</w:t>
      </w:r>
      <w:r w:rsidR="000E434E" w:rsidRPr="008A0805">
        <w:rPr>
          <w:rFonts w:ascii="Calibri" w:hAnsi="Calibri" w:cs="Calibri"/>
        </w:rPr>
        <w:t>.</w:t>
      </w:r>
      <w:r w:rsidR="0028060D" w:rsidRPr="008A0805">
        <w:rPr>
          <w:rFonts w:ascii="Calibri" w:hAnsi="Calibri" w:cs="Calibri"/>
        </w:rPr>
        <w:t xml:space="preserve"> </w:t>
      </w:r>
      <w:r w:rsidRPr="008A0805">
        <w:rPr>
          <w:rFonts w:ascii="Calibri" w:hAnsi="Calibri" w:cs="Calibri"/>
        </w:rPr>
        <w:t>While firms leverage competitive advantages to overcome these hurdles, the decision to bear these risks is not uniform. This report posits that a firm's ownership structure is a fundamental determinant of its propensity to internationalise.</w:t>
      </w:r>
    </w:p>
    <w:p w14:paraId="2BDEEECE" w14:textId="31A9CD2D" w:rsidR="00F731D6" w:rsidRPr="008A0805" w:rsidRDefault="00032B1A" w:rsidP="00032B1A">
      <w:pPr>
        <w:pStyle w:val="Heading1"/>
        <w:rPr>
          <w:rFonts w:ascii="Calibri" w:hAnsi="Calibri" w:cs="Calibri"/>
        </w:rPr>
      </w:pPr>
      <w:bookmarkStart w:id="1" w:name="_Toc199890331"/>
      <w:r w:rsidRPr="008A0805">
        <w:rPr>
          <w:rFonts w:ascii="Calibri" w:hAnsi="Calibri" w:cs="Calibri"/>
        </w:rPr>
        <w:t xml:space="preserve">2.0 </w:t>
      </w:r>
      <w:r w:rsidR="00006E84" w:rsidRPr="008A0805">
        <w:rPr>
          <w:rFonts w:ascii="Calibri" w:hAnsi="Calibri" w:cs="Calibri"/>
        </w:rPr>
        <w:t xml:space="preserve">Types of </w:t>
      </w:r>
      <w:r w:rsidR="00F731D6" w:rsidRPr="008A0805">
        <w:rPr>
          <w:rFonts w:ascii="Calibri" w:hAnsi="Calibri" w:cs="Calibri"/>
        </w:rPr>
        <w:t>Ownership Structure</w:t>
      </w:r>
      <w:r w:rsidR="00006E84" w:rsidRPr="008A0805">
        <w:rPr>
          <w:rFonts w:ascii="Calibri" w:hAnsi="Calibri" w:cs="Calibri"/>
        </w:rPr>
        <w:t>s</w:t>
      </w:r>
      <w:r w:rsidR="000F2C96" w:rsidRPr="008A0805">
        <w:rPr>
          <w:rFonts w:ascii="Calibri" w:hAnsi="Calibri" w:cs="Calibri"/>
        </w:rPr>
        <w:t xml:space="preserve"> and Risk </w:t>
      </w:r>
      <w:r w:rsidR="006E4290" w:rsidRPr="008A0805">
        <w:rPr>
          <w:rFonts w:ascii="Calibri" w:hAnsi="Calibri" w:cs="Calibri"/>
        </w:rPr>
        <w:t>Tolerance</w:t>
      </w:r>
      <w:bookmarkEnd w:id="1"/>
    </w:p>
    <w:p w14:paraId="2AD72855" w14:textId="77777777" w:rsidR="005473B2" w:rsidRPr="008A0805" w:rsidRDefault="005473B2" w:rsidP="005473B2">
      <w:pPr>
        <w:ind w:firstLine="480"/>
        <w:rPr>
          <w:rFonts w:ascii="Calibri" w:hAnsi="Calibri" w:cs="Calibri"/>
        </w:rPr>
      </w:pPr>
      <w:r w:rsidRPr="008A0805">
        <w:rPr>
          <w:rFonts w:ascii="Calibri" w:hAnsi="Calibri" w:cs="Calibri"/>
        </w:rPr>
        <w:t>Ownership structure demonstrates who owns a business and how control is exercised, this structure determines whether ownership and management are separated or unified, directly influencing governance and risk perceptions (Moffett et al., 2020). The type of owners and the distribution of control within a firm significantly influence its strategic priorities, time horizons, and appetite for risk – all crucial factors in internationalisation.</w:t>
      </w:r>
    </w:p>
    <w:p w14:paraId="48F2131A" w14:textId="04920495" w:rsidR="00D51E93" w:rsidRPr="008A0805" w:rsidRDefault="00BD0318" w:rsidP="00BD0318">
      <w:pPr>
        <w:pStyle w:val="Heading2"/>
        <w:rPr>
          <w:rFonts w:ascii="Calibri" w:hAnsi="Calibri" w:cs="Calibri"/>
        </w:rPr>
      </w:pPr>
      <w:bookmarkStart w:id="2" w:name="_Toc199890332"/>
      <w:r w:rsidRPr="008A0805">
        <w:rPr>
          <w:rFonts w:ascii="Calibri" w:hAnsi="Calibri" w:cs="Calibri"/>
        </w:rPr>
        <w:t xml:space="preserve">2.1 </w:t>
      </w:r>
      <w:r w:rsidR="00D51E93" w:rsidRPr="008A0805">
        <w:rPr>
          <w:rFonts w:ascii="Calibri" w:hAnsi="Calibri" w:cs="Calibri"/>
        </w:rPr>
        <w:t>State vs. Private Ownership</w:t>
      </w:r>
      <w:bookmarkEnd w:id="2"/>
    </w:p>
    <w:p w14:paraId="4CDD0338" w14:textId="091FBD49" w:rsidR="00F43588" w:rsidRPr="008A0805" w:rsidRDefault="00F43588" w:rsidP="00F43588">
      <w:pPr>
        <w:ind w:firstLine="480"/>
        <w:rPr>
          <w:rFonts w:ascii="Calibri" w:hAnsi="Calibri" w:cs="Calibri"/>
        </w:rPr>
      </w:pPr>
      <w:r w:rsidRPr="008A0805">
        <w:rPr>
          <w:rFonts w:ascii="Calibri" w:hAnsi="Calibri" w:cs="Calibri"/>
        </w:rPr>
        <w:lastRenderedPageBreak/>
        <w:t xml:space="preserve">State ownership refers to government-controlled enterprises that balance public service objectives (e.g., infrastructure, social welfare) with profit generation. Private ownership involves firms controlled by individuals, families, or institutional </w:t>
      </w:r>
      <w:proofErr w:type="gramStart"/>
      <w:r w:rsidRPr="008A0805">
        <w:rPr>
          <w:rFonts w:ascii="Calibri" w:hAnsi="Calibri" w:cs="Calibri"/>
        </w:rPr>
        <w:t>investors,</w:t>
      </w:r>
      <w:proofErr w:type="gramEnd"/>
      <w:r w:rsidRPr="008A0805">
        <w:rPr>
          <w:rFonts w:ascii="Calibri" w:hAnsi="Calibri" w:cs="Calibri"/>
        </w:rPr>
        <w:t xml:space="preserve"> prioritizing profit maximization and shareholder returns</w:t>
      </w:r>
      <w:r w:rsidR="00B10146" w:rsidRPr="008A0805">
        <w:rPr>
          <w:rFonts w:ascii="Calibri" w:hAnsi="Calibri" w:cs="Calibri"/>
        </w:rPr>
        <w:t>. The difference in features resulted in different risk preference</w:t>
      </w:r>
      <w:r w:rsidR="00DD6DBF" w:rsidRPr="008A0805">
        <w:rPr>
          <w:rFonts w:ascii="Calibri" w:hAnsi="Calibri" w:cs="Calibri"/>
        </w:rPr>
        <w:t>s</w:t>
      </w:r>
      <w:r w:rsidR="00B10146" w:rsidRPr="008A0805">
        <w:rPr>
          <w:rFonts w:ascii="Calibri" w:hAnsi="Calibri" w:cs="Calibri"/>
        </w:rPr>
        <w:t>.</w:t>
      </w:r>
    </w:p>
    <w:p w14:paraId="09D398F3" w14:textId="3381D54E" w:rsidR="00D51E93" w:rsidRPr="008A0805" w:rsidRDefault="00BD0318" w:rsidP="00BD0318">
      <w:pPr>
        <w:pStyle w:val="Heading3"/>
        <w:rPr>
          <w:rFonts w:ascii="Calibri" w:hAnsi="Calibri" w:cs="Calibri"/>
        </w:rPr>
      </w:pPr>
      <w:bookmarkStart w:id="3" w:name="_Toc199890333"/>
      <w:r w:rsidRPr="008A0805">
        <w:rPr>
          <w:rFonts w:ascii="Calibri" w:hAnsi="Calibri" w:cs="Calibri"/>
        </w:rPr>
        <w:t xml:space="preserve">2.1.1 </w:t>
      </w:r>
      <w:r w:rsidR="00D51E93" w:rsidRPr="008A0805">
        <w:rPr>
          <w:rFonts w:ascii="Calibri" w:hAnsi="Calibri" w:cs="Calibri"/>
        </w:rPr>
        <w:t>State Ownership</w:t>
      </w:r>
      <w:r w:rsidRPr="008A0805">
        <w:rPr>
          <w:rFonts w:ascii="Calibri" w:hAnsi="Calibri" w:cs="Calibri"/>
        </w:rPr>
        <w:t>:</w:t>
      </w:r>
      <w:r w:rsidR="00D51E93" w:rsidRPr="008A0805">
        <w:rPr>
          <w:rFonts w:ascii="Calibri" w:hAnsi="Calibri" w:cs="Calibri"/>
        </w:rPr>
        <w:t xml:space="preserve"> Risk Aversion</w:t>
      </w:r>
      <w:bookmarkEnd w:id="3"/>
    </w:p>
    <w:p w14:paraId="159F6737" w14:textId="67E970D5" w:rsidR="00D51E93" w:rsidRPr="008A0805" w:rsidRDefault="00D51E93" w:rsidP="00D51E93">
      <w:pPr>
        <w:ind w:firstLine="480"/>
        <w:rPr>
          <w:rFonts w:ascii="Calibri" w:hAnsi="Calibri" w:cs="Calibri"/>
        </w:rPr>
      </w:pPr>
      <w:r w:rsidRPr="008A0805">
        <w:rPr>
          <w:rFonts w:ascii="Calibri" w:hAnsi="Calibri" w:cs="Calibri"/>
        </w:rPr>
        <w:t>State-owned enterprises (SOEs) often exhibit lower risk tolerance due to political mandates and bureaucratic inefficiencies. In China, SOEs face strict government oversight, which prioritizes stability and policy alignment over profit-driven risk-taking. For example, Chinese SOEs in capital-intensive sectors require multiple government approvals for overseas investments, delaying decisions and limiting exposure to high-risk markets (Hu &amp; Cui, 2014). Similarly, Indian SOEs in the automotive and pharmaceutical sectors were less likely to engage in outward foreign direct investment (FDI) compared to private peers, as state ownership correlated with risk aversion rooted in accountability to political stakeholders (Bhaumik et al., 2010).</w:t>
      </w:r>
    </w:p>
    <w:p w14:paraId="1053BEF0" w14:textId="65797D99" w:rsidR="00D51E93" w:rsidRPr="008A0805" w:rsidRDefault="00BD0318" w:rsidP="00BD0318">
      <w:pPr>
        <w:pStyle w:val="Heading3"/>
        <w:rPr>
          <w:rFonts w:ascii="Calibri" w:hAnsi="Calibri" w:cs="Calibri"/>
        </w:rPr>
      </w:pPr>
      <w:bookmarkStart w:id="4" w:name="_Toc199890334"/>
      <w:r w:rsidRPr="008A0805">
        <w:rPr>
          <w:rFonts w:ascii="Calibri" w:hAnsi="Calibri" w:cs="Calibri"/>
        </w:rPr>
        <w:t xml:space="preserve">2.1.2 </w:t>
      </w:r>
      <w:r w:rsidR="00D51E93" w:rsidRPr="008A0805">
        <w:rPr>
          <w:rFonts w:ascii="Calibri" w:hAnsi="Calibri" w:cs="Calibri"/>
        </w:rPr>
        <w:t>Private Ownership</w:t>
      </w:r>
      <w:r w:rsidRPr="008A0805">
        <w:rPr>
          <w:rFonts w:ascii="Calibri" w:hAnsi="Calibri" w:cs="Calibri"/>
        </w:rPr>
        <w:t xml:space="preserve">: </w:t>
      </w:r>
      <w:r w:rsidR="00D51E93" w:rsidRPr="008A0805">
        <w:rPr>
          <w:rFonts w:ascii="Calibri" w:hAnsi="Calibri" w:cs="Calibri"/>
        </w:rPr>
        <w:t>Flexibility</w:t>
      </w:r>
      <w:bookmarkEnd w:id="4"/>
    </w:p>
    <w:p w14:paraId="57A7FD5E" w14:textId="16890684" w:rsidR="00E33C04" w:rsidRPr="008A0805" w:rsidRDefault="00D51E93" w:rsidP="008A0805">
      <w:pPr>
        <w:ind w:firstLine="480"/>
        <w:rPr>
          <w:rFonts w:ascii="Calibri" w:hAnsi="Calibri" w:cs="Calibri"/>
        </w:rPr>
      </w:pPr>
      <w:r w:rsidRPr="008A0805">
        <w:rPr>
          <w:rFonts w:ascii="Calibri" w:hAnsi="Calibri" w:cs="Calibri"/>
        </w:rPr>
        <w:t xml:space="preserve">Private firms, including family-owned and publicly traded entities, often demonstrate higher risk tolerance when driven by profit and growth objectives. Indian private pharmaceutical firms like Dr. Reddy’s pursued aggressive overseas acquisitions to access global markets and patents, leveraging their agility to bypass bureaucratic hurdles (Bhaumik et al., 2010). </w:t>
      </w:r>
    </w:p>
    <w:p w14:paraId="1BEDFD3E" w14:textId="17865E15" w:rsidR="00D51E93" w:rsidRPr="008A0805" w:rsidRDefault="00BD0318" w:rsidP="00BD0318">
      <w:pPr>
        <w:pStyle w:val="Heading2"/>
        <w:rPr>
          <w:rFonts w:ascii="Calibri" w:hAnsi="Calibri" w:cs="Calibri"/>
        </w:rPr>
      </w:pPr>
      <w:bookmarkStart w:id="5" w:name="_Toc199890335"/>
      <w:r w:rsidRPr="008A0805">
        <w:rPr>
          <w:rFonts w:ascii="Calibri" w:hAnsi="Calibri" w:cs="Calibri"/>
        </w:rPr>
        <w:t xml:space="preserve">2.2 </w:t>
      </w:r>
      <w:r w:rsidR="00D51E93" w:rsidRPr="008A0805">
        <w:rPr>
          <w:rFonts w:ascii="Calibri" w:hAnsi="Calibri" w:cs="Calibri"/>
        </w:rPr>
        <w:t>Controlling vs. Minority Interests</w:t>
      </w:r>
      <w:bookmarkEnd w:id="5"/>
    </w:p>
    <w:p w14:paraId="3E8F94E7" w14:textId="449E5495" w:rsidR="00FF6ABB" w:rsidRPr="008A0805" w:rsidRDefault="00FF6ABB" w:rsidP="00FF6ABB">
      <w:pPr>
        <w:ind w:firstLine="480"/>
        <w:rPr>
          <w:rFonts w:ascii="Calibri" w:hAnsi="Calibri" w:cs="Calibri"/>
        </w:rPr>
      </w:pPr>
      <w:r w:rsidRPr="008A0805">
        <w:rPr>
          <w:rFonts w:ascii="Calibri" w:hAnsi="Calibri" w:cs="Calibri"/>
        </w:rPr>
        <w:t xml:space="preserve">Controlling interests (majority ownership, &gt;50% voting shares) hold decision-making power over corporate strategy, while minority interests (ownership &lt;50%) lack control but retain financial stakes and potential influence through shareholder rights. </w:t>
      </w:r>
      <w:r w:rsidR="007E7C4B" w:rsidRPr="008A0805">
        <w:rPr>
          <w:rFonts w:ascii="Calibri" w:hAnsi="Calibri" w:cs="Calibri"/>
        </w:rPr>
        <w:t>The difference in features</w:t>
      </w:r>
      <w:r w:rsidR="00DD6DBF" w:rsidRPr="008A0805">
        <w:rPr>
          <w:rFonts w:ascii="Calibri" w:hAnsi="Calibri" w:cs="Calibri"/>
        </w:rPr>
        <w:t xml:space="preserve"> between the shareholders</w:t>
      </w:r>
      <w:r w:rsidR="007E7C4B" w:rsidRPr="008A0805">
        <w:rPr>
          <w:rFonts w:ascii="Calibri" w:hAnsi="Calibri" w:cs="Calibri"/>
        </w:rPr>
        <w:t xml:space="preserve"> resulted in different risk preference</w:t>
      </w:r>
      <w:r w:rsidR="00DD6DBF" w:rsidRPr="008A0805">
        <w:rPr>
          <w:rFonts w:ascii="Calibri" w:hAnsi="Calibri" w:cs="Calibri"/>
        </w:rPr>
        <w:t>s</w:t>
      </w:r>
      <w:r w:rsidR="007E7C4B" w:rsidRPr="008A0805">
        <w:rPr>
          <w:rFonts w:ascii="Calibri" w:hAnsi="Calibri" w:cs="Calibri"/>
        </w:rPr>
        <w:t>.</w:t>
      </w:r>
    </w:p>
    <w:p w14:paraId="1418F9E2" w14:textId="03A02D24" w:rsidR="00D51E93" w:rsidRPr="008A0805" w:rsidRDefault="00BD0318" w:rsidP="00BD0318">
      <w:pPr>
        <w:pStyle w:val="Heading3"/>
        <w:rPr>
          <w:rFonts w:ascii="Calibri" w:hAnsi="Calibri" w:cs="Calibri"/>
        </w:rPr>
      </w:pPr>
      <w:bookmarkStart w:id="6" w:name="_Toc199890336"/>
      <w:r w:rsidRPr="008A0805">
        <w:rPr>
          <w:rFonts w:ascii="Calibri" w:hAnsi="Calibri" w:cs="Calibri"/>
        </w:rPr>
        <w:t xml:space="preserve">2.2.1 </w:t>
      </w:r>
      <w:r w:rsidR="00D51E93" w:rsidRPr="008A0805">
        <w:rPr>
          <w:rFonts w:ascii="Calibri" w:hAnsi="Calibri" w:cs="Calibri"/>
        </w:rPr>
        <w:t>Controlling Shareholders</w:t>
      </w:r>
      <w:r w:rsidRPr="008A0805">
        <w:rPr>
          <w:rFonts w:ascii="Calibri" w:hAnsi="Calibri" w:cs="Calibri"/>
        </w:rPr>
        <w:t xml:space="preserve">: </w:t>
      </w:r>
      <w:r w:rsidR="00D51E93" w:rsidRPr="008A0805">
        <w:rPr>
          <w:rFonts w:ascii="Calibri" w:hAnsi="Calibri" w:cs="Calibri"/>
        </w:rPr>
        <w:t>Risk Conservatism</w:t>
      </w:r>
      <w:bookmarkEnd w:id="6"/>
    </w:p>
    <w:p w14:paraId="663D2852" w14:textId="30E4BAE4" w:rsidR="00D51E93" w:rsidRPr="008A0805" w:rsidRDefault="00D51E93" w:rsidP="00BD0318">
      <w:pPr>
        <w:ind w:firstLine="480"/>
        <w:rPr>
          <w:rFonts w:ascii="Calibri" w:hAnsi="Calibri" w:cs="Calibri"/>
        </w:rPr>
      </w:pPr>
      <w:r w:rsidRPr="008A0805">
        <w:rPr>
          <w:rFonts w:ascii="Calibri" w:hAnsi="Calibri" w:cs="Calibri"/>
        </w:rPr>
        <w:t xml:space="preserve">Controlling shareholders, such as families or concentrated institutional </w:t>
      </w:r>
      <w:r w:rsidRPr="008A0805">
        <w:rPr>
          <w:rFonts w:ascii="Calibri" w:hAnsi="Calibri" w:cs="Calibri"/>
        </w:rPr>
        <w:lastRenderedPageBreak/>
        <w:t xml:space="preserve">investors, often prioritize control and risk mitigation. In India, family-owned firms with high ownership concentration exhibited lower FDI propensity, as leaders feared losing control or diluting socioemotional wealth (Bhaumik et al., 2010). </w:t>
      </w:r>
      <w:r w:rsidR="00E9274A" w:rsidRPr="008A0805">
        <w:rPr>
          <w:rFonts w:ascii="Calibri" w:hAnsi="Calibri" w:cs="Calibri"/>
        </w:rPr>
        <w:t>Research published by</w:t>
      </w:r>
      <w:r w:rsidR="00F31A8F" w:rsidRPr="008A0805">
        <w:rPr>
          <w:rFonts w:ascii="Calibri" w:hAnsi="Calibri" w:cs="Calibri"/>
        </w:rPr>
        <w:t xml:space="preserve"> </w:t>
      </w:r>
      <w:proofErr w:type="spellStart"/>
      <w:r w:rsidR="00F31A8F" w:rsidRPr="008A0805">
        <w:rPr>
          <w:rFonts w:ascii="Calibri" w:hAnsi="Calibri" w:cs="Calibri"/>
        </w:rPr>
        <w:t>Loehde</w:t>
      </w:r>
      <w:proofErr w:type="spellEnd"/>
      <w:r w:rsidR="00F31A8F" w:rsidRPr="008A0805">
        <w:rPr>
          <w:rFonts w:ascii="Calibri" w:hAnsi="Calibri" w:cs="Calibri"/>
        </w:rPr>
        <w:t xml:space="preserve"> et al. (2020) stressed the opinion of </w:t>
      </w:r>
      <w:r w:rsidR="004066A5" w:rsidRPr="008A0805">
        <w:rPr>
          <w:rFonts w:ascii="Calibri" w:hAnsi="Calibri" w:cs="Calibri"/>
        </w:rPr>
        <w:t xml:space="preserve">when </w:t>
      </w:r>
      <w:r w:rsidR="003E2ED6" w:rsidRPr="008A0805">
        <w:rPr>
          <w:rFonts w:ascii="Calibri" w:hAnsi="Calibri" w:cs="Calibri"/>
        </w:rPr>
        <w:t>family business</w:t>
      </w:r>
      <w:r w:rsidR="008F3D92" w:rsidRPr="008A0805">
        <w:rPr>
          <w:rFonts w:ascii="Calibri" w:hAnsi="Calibri" w:cs="Calibri"/>
        </w:rPr>
        <w:t>es</w:t>
      </w:r>
      <w:r w:rsidR="003E2ED6" w:rsidRPr="008A0805">
        <w:rPr>
          <w:rFonts w:ascii="Calibri" w:hAnsi="Calibri" w:cs="Calibri"/>
        </w:rPr>
        <w:t xml:space="preserve"> enter EMs, they prefer the </w:t>
      </w:r>
      <w:r w:rsidR="004066A5" w:rsidRPr="008A0805">
        <w:rPr>
          <w:rFonts w:ascii="Calibri" w:hAnsi="Calibri" w:cs="Calibri"/>
        </w:rPr>
        <w:t>international joint ventures</w:t>
      </w:r>
      <w:r w:rsidR="004E2D49" w:rsidRPr="008A0805">
        <w:rPr>
          <w:rFonts w:ascii="Calibri" w:hAnsi="Calibri" w:cs="Calibri"/>
        </w:rPr>
        <w:t xml:space="preserve"> (IJVs)</w:t>
      </w:r>
      <w:r w:rsidR="004066A5" w:rsidRPr="008A0805">
        <w:rPr>
          <w:rFonts w:ascii="Calibri" w:hAnsi="Calibri" w:cs="Calibri"/>
        </w:rPr>
        <w:t xml:space="preserve"> rather than </w:t>
      </w:r>
      <w:r w:rsidR="001037FE" w:rsidRPr="008A0805">
        <w:rPr>
          <w:rFonts w:ascii="Calibri" w:hAnsi="Calibri" w:cs="Calibri"/>
        </w:rPr>
        <w:t>FDIs</w:t>
      </w:r>
      <w:r w:rsidR="00E002A7" w:rsidRPr="008A0805">
        <w:rPr>
          <w:rFonts w:ascii="Calibri" w:hAnsi="Calibri" w:cs="Calibri"/>
        </w:rPr>
        <w:t>, which traded off control for risk alleviation</w:t>
      </w:r>
      <w:r w:rsidR="001037FE" w:rsidRPr="008A0805">
        <w:rPr>
          <w:rFonts w:ascii="Calibri" w:hAnsi="Calibri" w:cs="Calibri"/>
        </w:rPr>
        <w:t>.</w:t>
      </w:r>
      <w:r w:rsidR="00E9274A" w:rsidRPr="008A0805">
        <w:rPr>
          <w:rFonts w:ascii="Calibri" w:hAnsi="Calibri" w:cs="Calibri"/>
        </w:rPr>
        <w:t xml:space="preserve"> </w:t>
      </w:r>
      <w:r w:rsidRPr="008A0805">
        <w:rPr>
          <w:rFonts w:ascii="Calibri" w:hAnsi="Calibri" w:cs="Calibri"/>
        </w:rPr>
        <w:t>Pressure-sensitive institutional investors (PSIIs), such as Indian banks</w:t>
      </w:r>
      <w:r w:rsidR="00EB100B">
        <w:rPr>
          <w:rFonts w:ascii="Calibri" w:hAnsi="Calibri" w:cs="Calibri"/>
        </w:rPr>
        <w:t xml:space="preserve">, securities </w:t>
      </w:r>
      <w:r w:rsidRPr="008A0805">
        <w:rPr>
          <w:rFonts w:ascii="Calibri" w:hAnsi="Calibri" w:cs="Calibri"/>
        </w:rPr>
        <w:t xml:space="preserve">and </w:t>
      </w:r>
      <w:r w:rsidR="00EB100B">
        <w:rPr>
          <w:rFonts w:ascii="Calibri" w:hAnsi="Calibri" w:cs="Calibri"/>
        </w:rPr>
        <w:t>other financing</w:t>
      </w:r>
      <w:r w:rsidRPr="008A0805">
        <w:rPr>
          <w:rFonts w:ascii="Calibri" w:hAnsi="Calibri" w:cs="Calibri"/>
        </w:rPr>
        <w:t xml:space="preserve"> companies, further discouraged internationalization in family-controlled firms due to their dual role as creditors, prioritizing debt repayment over risky expansions (Panicker et al., 2019).</w:t>
      </w:r>
    </w:p>
    <w:p w14:paraId="5340B1B2" w14:textId="71211224" w:rsidR="00D51E93" w:rsidRPr="008A0805" w:rsidRDefault="00BD0318" w:rsidP="00BD0318">
      <w:pPr>
        <w:pStyle w:val="Heading3"/>
        <w:rPr>
          <w:rFonts w:ascii="Calibri" w:hAnsi="Calibri" w:cs="Calibri"/>
        </w:rPr>
      </w:pPr>
      <w:bookmarkStart w:id="7" w:name="_Toc199890337"/>
      <w:r w:rsidRPr="008A0805">
        <w:rPr>
          <w:rFonts w:ascii="Calibri" w:hAnsi="Calibri" w:cs="Calibri"/>
        </w:rPr>
        <w:t xml:space="preserve">2.2.2 </w:t>
      </w:r>
      <w:r w:rsidR="00D51E93" w:rsidRPr="008A0805">
        <w:rPr>
          <w:rFonts w:ascii="Calibri" w:hAnsi="Calibri" w:cs="Calibri"/>
        </w:rPr>
        <w:t>Minority Interests</w:t>
      </w:r>
      <w:r w:rsidRPr="008A0805">
        <w:rPr>
          <w:rFonts w:ascii="Calibri" w:hAnsi="Calibri" w:cs="Calibri"/>
        </w:rPr>
        <w:t xml:space="preserve">: </w:t>
      </w:r>
      <w:r w:rsidR="00D51E93" w:rsidRPr="008A0805">
        <w:rPr>
          <w:rFonts w:ascii="Calibri" w:hAnsi="Calibri" w:cs="Calibri"/>
        </w:rPr>
        <w:t>Pro-Risk Incentives</w:t>
      </w:r>
      <w:bookmarkEnd w:id="7"/>
    </w:p>
    <w:p w14:paraId="08B7AC6E" w14:textId="51E287E8" w:rsidR="00D51E93" w:rsidRPr="008A0805" w:rsidRDefault="00D51E93" w:rsidP="00EA58ED">
      <w:pPr>
        <w:ind w:firstLine="480"/>
        <w:rPr>
          <w:rFonts w:ascii="Calibri" w:hAnsi="Calibri" w:cs="Calibri"/>
        </w:rPr>
      </w:pPr>
      <w:r w:rsidRPr="008A0805">
        <w:rPr>
          <w:rFonts w:ascii="Calibri" w:hAnsi="Calibri" w:cs="Calibri"/>
        </w:rPr>
        <w:t>Minority shareholders, particularly foreign institutional investors (FIIs) and funds, often push for internationalization to diversify portfolios and access growth opportunities. In India, FIIs and mutual funds (pressure-resistant institutional investors, PRIIs) supported foreign investments, leveraging their familiarity with global markets to reduce perceived risks (Panicker et al., 2019). For example, Chinese firms with foreign institutional ownership demonstrated higher FDI propensity, as these investors provided capital, expertise, and signals of governance quality (Hu &amp; Cui, 2014)</w:t>
      </w:r>
      <w:r w:rsidR="00EA58ED" w:rsidRPr="008A0805">
        <w:rPr>
          <w:rFonts w:ascii="Calibri" w:hAnsi="Calibri" w:cs="Calibri"/>
        </w:rPr>
        <w:t>.</w:t>
      </w:r>
    </w:p>
    <w:p w14:paraId="095EBE53" w14:textId="27DEFA14" w:rsidR="00D51E93" w:rsidRPr="008A0805" w:rsidRDefault="00D51E93" w:rsidP="00D51E93">
      <w:pPr>
        <w:ind w:firstLine="480"/>
        <w:rPr>
          <w:rFonts w:ascii="Calibri" w:hAnsi="Calibri" w:cs="Calibri"/>
        </w:rPr>
      </w:pPr>
      <w:r w:rsidRPr="008A0805">
        <w:rPr>
          <w:rFonts w:ascii="Calibri" w:hAnsi="Calibri" w:cs="Calibri"/>
        </w:rPr>
        <w:t>However, principal-principal conflicts in emerging markets can hinder minority-driven risk-taking. In Indian family firms, minority shareholders often face barriers to influencing strategic decisions, leading to underinvestment in high-risk ventures (Bhaumik et al., 2010).</w:t>
      </w:r>
    </w:p>
    <w:p w14:paraId="12B818C6" w14:textId="50FDE750" w:rsidR="00D51E93" w:rsidRPr="008A0805" w:rsidRDefault="00BD0318" w:rsidP="00BD0318">
      <w:pPr>
        <w:pStyle w:val="Heading2"/>
        <w:rPr>
          <w:rFonts w:ascii="Calibri" w:hAnsi="Calibri" w:cs="Calibri"/>
        </w:rPr>
      </w:pPr>
      <w:bookmarkStart w:id="8" w:name="_Toc199890338"/>
      <w:r w:rsidRPr="008A0805">
        <w:rPr>
          <w:rFonts w:ascii="Calibri" w:hAnsi="Calibri" w:cs="Calibri"/>
        </w:rPr>
        <w:t>2.</w:t>
      </w:r>
      <w:r w:rsidR="00D51E93" w:rsidRPr="008A0805">
        <w:rPr>
          <w:rFonts w:ascii="Calibri" w:hAnsi="Calibri" w:cs="Calibri"/>
        </w:rPr>
        <w:t>3 Interactive Effects</w:t>
      </w:r>
      <w:bookmarkEnd w:id="8"/>
    </w:p>
    <w:p w14:paraId="11ABD616" w14:textId="3A6CB1C6" w:rsidR="00DD6DBF" w:rsidRPr="008A0805" w:rsidRDefault="00DD6DBF" w:rsidP="00DD6DBF">
      <w:pPr>
        <w:ind w:firstLine="480"/>
        <w:rPr>
          <w:rFonts w:ascii="Calibri" w:hAnsi="Calibri" w:cs="Calibri"/>
        </w:rPr>
      </w:pPr>
      <w:r w:rsidRPr="008A0805">
        <w:rPr>
          <w:rFonts w:ascii="Calibri" w:hAnsi="Calibri" w:cs="Calibri"/>
        </w:rPr>
        <w:t xml:space="preserve">Aside from </w:t>
      </w:r>
      <w:r w:rsidR="00FC2544" w:rsidRPr="008A0805">
        <w:rPr>
          <w:rFonts w:ascii="Calibri" w:hAnsi="Calibri" w:cs="Calibri"/>
        </w:rPr>
        <w:t xml:space="preserve">ownership </w:t>
      </w:r>
      <w:r w:rsidR="005C25D5" w:rsidRPr="008A0805">
        <w:rPr>
          <w:rFonts w:ascii="Calibri" w:hAnsi="Calibri" w:cs="Calibri"/>
        </w:rPr>
        <w:t xml:space="preserve">nature and the </w:t>
      </w:r>
      <w:r w:rsidR="006C50E6" w:rsidRPr="008A0805">
        <w:rPr>
          <w:rFonts w:ascii="Calibri" w:hAnsi="Calibri" w:cs="Calibri"/>
        </w:rPr>
        <w:t xml:space="preserve">share status, there are other interactive effects </w:t>
      </w:r>
      <w:r w:rsidR="00CF460C" w:rsidRPr="008A0805">
        <w:rPr>
          <w:rFonts w:ascii="Calibri" w:hAnsi="Calibri" w:cs="Calibri"/>
        </w:rPr>
        <w:t xml:space="preserve">in ownership structure </w:t>
      </w:r>
      <w:r w:rsidR="006C50E6" w:rsidRPr="008A0805">
        <w:rPr>
          <w:rFonts w:ascii="Calibri" w:hAnsi="Calibri" w:cs="Calibri"/>
        </w:rPr>
        <w:t xml:space="preserve">affecting the risk appetite of </w:t>
      </w:r>
      <w:r w:rsidR="00CF460C" w:rsidRPr="008A0805">
        <w:rPr>
          <w:rFonts w:ascii="Calibri" w:hAnsi="Calibri" w:cs="Calibri"/>
        </w:rPr>
        <w:t>companies to go internationalize.</w:t>
      </w:r>
      <w:r w:rsidR="00C16D4D" w:rsidRPr="008A0805">
        <w:rPr>
          <w:rFonts w:ascii="Calibri" w:hAnsi="Calibri" w:cs="Calibri"/>
          <w:shd w:val="clear" w:color="auto" w:fill="FFFFFF"/>
        </w:rPr>
        <w:t xml:space="preserve"> </w:t>
      </w:r>
    </w:p>
    <w:p w14:paraId="3B9B1442" w14:textId="302B05FD" w:rsidR="00D51E93" w:rsidRPr="008A0805" w:rsidRDefault="00BD0318" w:rsidP="00BD0318">
      <w:pPr>
        <w:pStyle w:val="Heading3"/>
        <w:rPr>
          <w:rFonts w:ascii="Calibri" w:hAnsi="Calibri" w:cs="Calibri"/>
        </w:rPr>
      </w:pPr>
      <w:bookmarkStart w:id="9" w:name="_Toc199890339"/>
      <w:r w:rsidRPr="008A0805">
        <w:rPr>
          <w:rFonts w:ascii="Calibri" w:hAnsi="Calibri" w:cs="Calibri"/>
        </w:rPr>
        <w:t xml:space="preserve">2.3.1 </w:t>
      </w:r>
      <w:r w:rsidR="00D51E93" w:rsidRPr="008A0805">
        <w:rPr>
          <w:rFonts w:ascii="Calibri" w:hAnsi="Calibri" w:cs="Calibri"/>
        </w:rPr>
        <w:t>Family Control and Institutional Voids</w:t>
      </w:r>
      <w:bookmarkEnd w:id="9"/>
    </w:p>
    <w:p w14:paraId="330B63D6" w14:textId="7C6FED0B" w:rsidR="00F973EC" w:rsidRPr="008A0805" w:rsidRDefault="00D87C0D" w:rsidP="00F973EC">
      <w:pPr>
        <w:ind w:firstLine="480"/>
        <w:rPr>
          <w:rFonts w:ascii="Calibri" w:hAnsi="Calibri" w:cs="Calibri"/>
        </w:rPr>
      </w:pPr>
      <w:r w:rsidRPr="008A0805">
        <w:rPr>
          <w:rFonts w:ascii="Calibri" w:hAnsi="Calibri" w:cs="Calibri"/>
        </w:rPr>
        <w:t xml:space="preserve">In countries like India, family-controlled firms dominate due to historical reliance on informal networks and trust in the absence of strong contract-enforcing institutions (Khanna &amp; Palepu, 1997). While family ownership provides stability in </w:t>
      </w:r>
      <w:r w:rsidRPr="008A0805">
        <w:rPr>
          <w:rFonts w:ascii="Calibri" w:hAnsi="Calibri" w:cs="Calibri"/>
        </w:rPr>
        <w:lastRenderedPageBreak/>
        <w:t>domestic markets, it often discourages internationalization due to fear of losing control and unfamiliarity with global environments</w:t>
      </w:r>
      <w:r w:rsidR="009741ED" w:rsidRPr="008A0805">
        <w:rPr>
          <w:rFonts w:ascii="Calibri" w:hAnsi="Calibri" w:cs="Calibri"/>
        </w:rPr>
        <w:t xml:space="preserve"> (</w:t>
      </w:r>
      <w:proofErr w:type="spellStart"/>
      <w:r w:rsidR="009741ED" w:rsidRPr="008A0805">
        <w:rPr>
          <w:rFonts w:ascii="Calibri" w:hAnsi="Calibri" w:cs="Calibri"/>
        </w:rPr>
        <w:t>Rajverma</w:t>
      </w:r>
      <w:proofErr w:type="spellEnd"/>
      <w:r w:rsidR="009741ED" w:rsidRPr="008A0805">
        <w:rPr>
          <w:rFonts w:ascii="Calibri" w:hAnsi="Calibri" w:cs="Calibri"/>
        </w:rPr>
        <w:t>, 2024)</w:t>
      </w:r>
      <w:r w:rsidRPr="008A0805">
        <w:rPr>
          <w:rFonts w:ascii="Calibri" w:hAnsi="Calibri" w:cs="Calibri"/>
        </w:rPr>
        <w:t xml:space="preserve">. However, when foreign institutional investors (e.g., FIIs) entered as minority shareholders, these firms gained access to capital and global market expertise, gradually increasing their risk tolerance for cross-border investments (Panicker et al., 2019). This </w:t>
      </w:r>
      <w:r w:rsidR="00A10776" w:rsidRPr="008A0805">
        <w:rPr>
          <w:rFonts w:ascii="Calibri" w:hAnsi="Calibri" w:cs="Calibri"/>
        </w:rPr>
        <w:t>illust</w:t>
      </w:r>
      <w:r w:rsidR="007163DD" w:rsidRPr="008A0805">
        <w:rPr>
          <w:rFonts w:ascii="Calibri" w:hAnsi="Calibri" w:cs="Calibri"/>
        </w:rPr>
        <w:t>rates that</w:t>
      </w:r>
      <w:r w:rsidRPr="008A0805">
        <w:rPr>
          <w:rFonts w:ascii="Calibri" w:hAnsi="Calibri" w:cs="Calibri"/>
        </w:rPr>
        <w:t xml:space="preserve"> family control initially limits risk-taking, but minority foreign ownership can partially offset this by providing legitimacy and </w:t>
      </w:r>
      <w:r w:rsidR="007163DD" w:rsidRPr="008A0805">
        <w:rPr>
          <w:rFonts w:ascii="Calibri" w:hAnsi="Calibri" w:cs="Calibri"/>
        </w:rPr>
        <w:t>acquiring more</w:t>
      </w:r>
      <w:r w:rsidRPr="008A0805">
        <w:rPr>
          <w:rFonts w:ascii="Calibri" w:hAnsi="Calibri" w:cs="Calibri"/>
        </w:rPr>
        <w:t xml:space="preserve"> information</w:t>
      </w:r>
      <w:r w:rsidR="006A0E1E" w:rsidRPr="008A0805">
        <w:rPr>
          <w:rFonts w:ascii="Calibri" w:hAnsi="Calibri" w:cs="Calibri"/>
        </w:rPr>
        <w:t xml:space="preserve"> (Serban et al., 2012)</w:t>
      </w:r>
      <w:r w:rsidRPr="008A0805">
        <w:rPr>
          <w:rFonts w:ascii="Calibri" w:hAnsi="Calibri" w:cs="Calibri"/>
        </w:rPr>
        <w:t>.</w:t>
      </w:r>
      <w:r w:rsidR="00F973EC" w:rsidRPr="008A0805">
        <w:rPr>
          <w:rFonts w:ascii="Calibri" w:hAnsi="Calibri" w:cs="Calibri"/>
        </w:rPr>
        <w:t xml:space="preserve"> Research published by Tsao et al. (2018) showcasing that family ownership tends to make companies more conservative, with higher family shareholding linked to lower internationalization (β = -0.23). However, when families are actively involved in governance, firms are more likely to expand globally (β = 0.22). Among top managers, those with overseas work experience support greater international growth (β = 0.23), while overseas education background has little effect on international strategy (β = 0.06).</w:t>
      </w:r>
    </w:p>
    <w:p w14:paraId="1F75049D" w14:textId="49E579D8" w:rsidR="00F973EC" w:rsidRPr="008A0805" w:rsidRDefault="00F973EC" w:rsidP="00D20921">
      <w:pPr>
        <w:ind w:firstLineChars="0" w:firstLine="0"/>
        <w:jc w:val="center"/>
        <w:rPr>
          <w:rFonts w:ascii="Calibri" w:hAnsi="Calibri" w:cs="Calibri"/>
        </w:rPr>
      </w:pPr>
      <w:r w:rsidRPr="008A0805">
        <w:rPr>
          <w:rFonts w:ascii="Calibri" w:hAnsi="Calibri" w:cs="Calibri"/>
        </w:rPr>
        <w:t xml:space="preserve">Table 1 </w:t>
      </w:r>
      <w:r w:rsidR="00D20921" w:rsidRPr="008A0805">
        <w:rPr>
          <w:rFonts w:ascii="Calibri" w:hAnsi="Calibri" w:cs="Calibri"/>
        </w:rPr>
        <w:t>Regression Analysis on Internationalization</w:t>
      </w:r>
    </w:p>
    <w:p w14:paraId="08FFB13F" w14:textId="3BF5599F" w:rsidR="00D87C0D" w:rsidRPr="008A0805" w:rsidRDefault="00F973EC" w:rsidP="00F973EC">
      <w:pPr>
        <w:ind w:firstLineChars="0" w:firstLine="0"/>
        <w:jc w:val="center"/>
        <w:rPr>
          <w:rFonts w:ascii="Calibri" w:hAnsi="Calibri" w:cs="Calibri"/>
          <w:b/>
          <w:bCs/>
        </w:rPr>
      </w:pPr>
      <w:r w:rsidRPr="008A0805">
        <w:rPr>
          <w:rFonts w:ascii="Calibri" w:hAnsi="Calibri" w:cs="Calibri"/>
          <w:noProof/>
          <w:color w:val="FF0000"/>
        </w:rPr>
        <w:drawing>
          <wp:inline distT="0" distB="0" distL="0" distR="0" wp14:anchorId="4E7C018D" wp14:editId="0654616E">
            <wp:extent cx="2834980" cy="3515908"/>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53820" cy="3539273"/>
                    </a:xfrm>
                    <a:prstGeom prst="rect">
                      <a:avLst/>
                    </a:prstGeom>
                  </pic:spPr>
                </pic:pic>
              </a:graphicData>
            </a:graphic>
          </wp:inline>
        </w:drawing>
      </w:r>
    </w:p>
    <w:p w14:paraId="189AADC9" w14:textId="7AE9D478" w:rsidR="00D20921" w:rsidRPr="008A0805" w:rsidRDefault="00D20921" w:rsidP="00D20921">
      <w:pPr>
        <w:ind w:firstLine="400"/>
        <w:rPr>
          <w:rFonts w:ascii="Calibri" w:hAnsi="Calibri" w:cs="Calibri"/>
          <w:i/>
          <w:iCs/>
          <w:sz w:val="20"/>
          <w:szCs w:val="20"/>
        </w:rPr>
      </w:pPr>
      <w:r w:rsidRPr="008A0805">
        <w:rPr>
          <w:rFonts w:ascii="Calibri" w:hAnsi="Calibri" w:cs="Calibri"/>
          <w:i/>
          <w:iCs/>
          <w:sz w:val="20"/>
          <w:szCs w:val="20"/>
        </w:rPr>
        <w:t>Source From:</w:t>
      </w:r>
      <w:r w:rsidR="004B3A5D" w:rsidRPr="008A0805">
        <w:rPr>
          <w:rFonts w:ascii="Calibri" w:hAnsi="Calibri" w:cs="Calibri"/>
          <w:i/>
          <w:iCs/>
          <w:sz w:val="20"/>
          <w:szCs w:val="20"/>
        </w:rPr>
        <w:t xml:space="preserve"> Tsao, C., Wang, M., Lu, C., Chen, S., &amp; Wang, Y. (2018). Internationalization propensity in family-controlled public firms in emerging markets. Journal of Small Business Strategy. https://www.semanticscholar.org/paper/Internationalization-propensity-in-public-firms-in-Tsao-</w:t>
      </w:r>
      <w:r w:rsidR="004B3A5D" w:rsidRPr="008A0805">
        <w:rPr>
          <w:rFonts w:ascii="Calibri" w:hAnsi="Calibri" w:cs="Calibri"/>
          <w:i/>
          <w:iCs/>
          <w:sz w:val="20"/>
          <w:szCs w:val="20"/>
        </w:rPr>
        <w:lastRenderedPageBreak/>
        <w:t>Wang/2b2e5c3d1cbb26d395ac1028f3470a2c40b8edc1</w:t>
      </w:r>
    </w:p>
    <w:p w14:paraId="4AB0C81D" w14:textId="5FBA4BED" w:rsidR="00D51E93" w:rsidRPr="008A0805" w:rsidRDefault="00BD0318" w:rsidP="00D87C0D">
      <w:pPr>
        <w:pStyle w:val="Heading3"/>
        <w:rPr>
          <w:rFonts w:ascii="Calibri" w:hAnsi="Calibri" w:cs="Calibri"/>
        </w:rPr>
      </w:pPr>
      <w:bookmarkStart w:id="10" w:name="_Toc199890340"/>
      <w:r w:rsidRPr="008A0805">
        <w:rPr>
          <w:rFonts w:ascii="Calibri" w:hAnsi="Calibri" w:cs="Calibri"/>
        </w:rPr>
        <w:t xml:space="preserve">2.3.2 </w:t>
      </w:r>
      <w:r w:rsidR="00D51E93" w:rsidRPr="008A0805">
        <w:rPr>
          <w:rFonts w:ascii="Calibri" w:hAnsi="Calibri" w:cs="Calibri"/>
        </w:rPr>
        <w:t>Hybrid Models and Behavioral Biases</w:t>
      </w:r>
      <w:bookmarkEnd w:id="10"/>
    </w:p>
    <w:p w14:paraId="7A8E19C6" w14:textId="6EE8ADFC" w:rsidR="00F731D6" w:rsidRPr="008A0805" w:rsidRDefault="00D51E93" w:rsidP="00A03FB4">
      <w:pPr>
        <w:ind w:firstLine="480"/>
        <w:rPr>
          <w:rFonts w:ascii="Calibri" w:hAnsi="Calibri" w:cs="Calibri"/>
        </w:rPr>
      </w:pPr>
      <w:r w:rsidRPr="008A0805">
        <w:rPr>
          <w:rFonts w:ascii="Calibri" w:hAnsi="Calibri" w:cs="Calibri"/>
        </w:rPr>
        <w:t>Hybrid ownership structures, such as partially state-owned and publicly traded firms, face conflicting goals. While private shareholders seek profit through internationalization, state stakeholders prioritize national interests, creating internal conflicts over risk tolerance (Storch, 2006). Behavioral biases also play a role: Turkish investors in Ethiopia exhibited herding behavior toward familiar markets, driven by psychological preferences rather than rational analysis (Ali &amp; Oran, 2018), highlighting how controlling managers in private firms may let biases shape risk decisions</w:t>
      </w:r>
      <w:r w:rsidR="00B506AC" w:rsidRPr="008A0805">
        <w:rPr>
          <w:rFonts w:ascii="Calibri" w:hAnsi="Calibri" w:cs="Calibri"/>
        </w:rPr>
        <w:t>.</w:t>
      </w:r>
      <w:r w:rsidR="003E3E09" w:rsidRPr="008A0805">
        <w:rPr>
          <w:rFonts w:ascii="Calibri" w:hAnsi="Calibri" w:cs="Calibri"/>
        </w:rPr>
        <w:t xml:space="preserve"> </w:t>
      </w:r>
      <w:r w:rsidR="0012519B" w:rsidRPr="008A0805">
        <w:rPr>
          <w:rFonts w:ascii="Calibri" w:hAnsi="Calibri" w:cs="Calibri"/>
        </w:rPr>
        <w:t xml:space="preserve">In reality, </w:t>
      </w:r>
      <w:r w:rsidR="00DF3A9B" w:rsidRPr="008A0805">
        <w:rPr>
          <w:rFonts w:ascii="Calibri" w:hAnsi="Calibri" w:cs="Calibri"/>
        </w:rPr>
        <w:t xml:space="preserve">hybrid models often </w:t>
      </w:r>
      <w:proofErr w:type="gramStart"/>
      <w:r w:rsidR="00DF3A9B" w:rsidRPr="008A0805">
        <w:rPr>
          <w:rFonts w:ascii="Calibri" w:hAnsi="Calibri" w:cs="Calibri"/>
        </w:rPr>
        <w:t>illustrates</w:t>
      </w:r>
      <w:proofErr w:type="gramEnd"/>
      <w:r w:rsidR="00DF3A9B" w:rsidRPr="008A0805">
        <w:rPr>
          <w:rFonts w:ascii="Calibri" w:hAnsi="Calibri" w:cs="Calibri"/>
        </w:rPr>
        <w:t xml:space="preserve"> risk aversion as the </w:t>
      </w:r>
      <w:r w:rsidR="00AA6109" w:rsidRPr="008A0805">
        <w:rPr>
          <w:rFonts w:ascii="Calibri" w:hAnsi="Calibri" w:cs="Calibri"/>
        </w:rPr>
        <w:t xml:space="preserve">state stakeholders </w:t>
      </w:r>
      <w:r w:rsidR="00857330" w:rsidRPr="008A0805">
        <w:rPr>
          <w:rFonts w:ascii="Calibri" w:hAnsi="Calibri" w:cs="Calibri"/>
        </w:rPr>
        <w:t xml:space="preserve">always take the dominant position in </w:t>
      </w:r>
      <w:r w:rsidR="001570E0" w:rsidRPr="008A0805">
        <w:rPr>
          <w:rFonts w:ascii="Calibri" w:hAnsi="Calibri" w:cs="Calibri"/>
        </w:rPr>
        <w:t>controlling the enterprise.</w:t>
      </w:r>
    </w:p>
    <w:p w14:paraId="058C239D" w14:textId="258F5E8C" w:rsidR="00181F97" w:rsidRPr="008A0805" w:rsidRDefault="00181F97" w:rsidP="00181F97">
      <w:pPr>
        <w:pStyle w:val="Heading1"/>
        <w:rPr>
          <w:rFonts w:ascii="Calibri" w:hAnsi="Calibri" w:cs="Calibri"/>
        </w:rPr>
      </w:pPr>
      <w:bookmarkStart w:id="11" w:name="_Toc199890341"/>
      <w:r w:rsidRPr="008A0805">
        <w:rPr>
          <w:rFonts w:ascii="Calibri" w:hAnsi="Calibri" w:cs="Calibri"/>
        </w:rPr>
        <w:t>3.0 Case Stud</w:t>
      </w:r>
      <w:r w:rsidR="00433C5F" w:rsidRPr="008A0805">
        <w:rPr>
          <w:rFonts w:ascii="Calibri" w:hAnsi="Calibri" w:cs="Calibri"/>
        </w:rPr>
        <w:t>ies</w:t>
      </w:r>
      <w:bookmarkEnd w:id="11"/>
    </w:p>
    <w:p w14:paraId="27FFC905" w14:textId="11A102A1" w:rsidR="00181F97" w:rsidRPr="008A0805" w:rsidRDefault="00181F97" w:rsidP="00181F97">
      <w:pPr>
        <w:pStyle w:val="Heading2"/>
        <w:rPr>
          <w:rFonts w:ascii="Calibri" w:hAnsi="Calibri" w:cs="Calibri"/>
        </w:rPr>
      </w:pPr>
      <w:bookmarkStart w:id="12" w:name="_Toc199890342"/>
      <w:r w:rsidRPr="008A0805">
        <w:rPr>
          <w:rFonts w:ascii="Calibri" w:hAnsi="Calibri" w:cs="Calibri"/>
        </w:rPr>
        <w:t xml:space="preserve">3.1 </w:t>
      </w:r>
      <w:r w:rsidR="004827D6" w:rsidRPr="008A0805">
        <w:rPr>
          <w:rFonts w:ascii="Calibri" w:hAnsi="Calibri" w:cs="Calibri"/>
        </w:rPr>
        <w:t xml:space="preserve">Case Study of </w:t>
      </w:r>
      <w:r w:rsidR="006D2A20" w:rsidRPr="008A0805">
        <w:rPr>
          <w:rFonts w:ascii="Calibri" w:hAnsi="Calibri" w:cs="Calibri"/>
        </w:rPr>
        <w:t>State Power Investment Corporation</w:t>
      </w:r>
      <w:bookmarkEnd w:id="12"/>
    </w:p>
    <w:p w14:paraId="39FB13D2" w14:textId="39BD643E" w:rsidR="00433C5F" w:rsidRPr="008A0805" w:rsidRDefault="006A4A63" w:rsidP="006A4A63">
      <w:pPr>
        <w:pStyle w:val="Heading3"/>
        <w:rPr>
          <w:rFonts w:ascii="Calibri" w:hAnsi="Calibri" w:cs="Calibri"/>
        </w:rPr>
      </w:pPr>
      <w:bookmarkStart w:id="13" w:name="_Toc199890343"/>
      <w:r w:rsidRPr="008A0805">
        <w:rPr>
          <w:rFonts w:ascii="Calibri" w:hAnsi="Calibri" w:cs="Calibri"/>
        </w:rPr>
        <w:t>3.1.1 Brief Introduction</w:t>
      </w:r>
      <w:bookmarkEnd w:id="13"/>
    </w:p>
    <w:p w14:paraId="2A0D2CE3" w14:textId="70B8914F" w:rsidR="00433C5F" w:rsidRPr="008A0805" w:rsidRDefault="00E915FC" w:rsidP="00433C5F">
      <w:pPr>
        <w:ind w:firstLine="480"/>
        <w:rPr>
          <w:rFonts w:ascii="Calibri" w:hAnsi="Calibri" w:cs="Calibri"/>
        </w:rPr>
      </w:pPr>
      <w:r w:rsidRPr="008A0805">
        <w:rPr>
          <w:rFonts w:ascii="Calibri" w:hAnsi="Calibri" w:cs="Calibri"/>
        </w:rPr>
        <w:t>As a key state-owned enterprise directly supervised by China’s State-owned Assets Supervision and Administration Commission (SASAC), the State Power Investment Corporation</w:t>
      </w:r>
      <w:r w:rsidR="00BD0ABA" w:rsidRPr="008A0805">
        <w:rPr>
          <w:rFonts w:ascii="Calibri" w:hAnsi="Calibri" w:cs="Calibri"/>
        </w:rPr>
        <w:t xml:space="preserve"> or “SPIC”</w:t>
      </w:r>
      <w:r w:rsidRPr="008A0805">
        <w:rPr>
          <w:rFonts w:ascii="Calibri" w:hAnsi="Calibri" w:cs="Calibri"/>
        </w:rPr>
        <w:t xml:space="preserve"> (formerly China Power Investment Corporation) exhibits a notably low risk tolerance in its foreign investments, a characteristic closely linked to its state-owned structure</w:t>
      </w:r>
      <w:r w:rsidR="00BD0ABA" w:rsidRPr="008A0805">
        <w:rPr>
          <w:rFonts w:ascii="Calibri" w:hAnsi="Calibri" w:cs="Calibri"/>
        </w:rPr>
        <w:t xml:space="preserve"> (Kong, 2015)</w:t>
      </w:r>
      <w:r w:rsidRPr="008A0805">
        <w:rPr>
          <w:rFonts w:ascii="Calibri" w:hAnsi="Calibri" w:cs="Calibri"/>
        </w:rPr>
        <w:t>.</w:t>
      </w:r>
      <w:r w:rsidR="00AB0951" w:rsidRPr="008A0805">
        <w:rPr>
          <w:rFonts w:ascii="Calibri" w:hAnsi="Calibri" w:cs="Calibri"/>
        </w:rPr>
        <w:t xml:space="preserve"> </w:t>
      </w:r>
    </w:p>
    <w:p w14:paraId="4803380F" w14:textId="35BB92AA" w:rsidR="00B62E1D" w:rsidRPr="008A0805" w:rsidRDefault="00B62E1D" w:rsidP="00B62E1D">
      <w:pPr>
        <w:pStyle w:val="Heading2"/>
        <w:rPr>
          <w:rFonts w:ascii="Calibri" w:hAnsi="Calibri" w:cs="Calibri"/>
        </w:rPr>
      </w:pPr>
      <w:bookmarkStart w:id="14" w:name="_Toc199890344"/>
      <w:r w:rsidRPr="008A0805">
        <w:rPr>
          <w:rFonts w:ascii="Calibri" w:hAnsi="Calibri" w:cs="Calibri"/>
        </w:rPr>
        <w:t>3.1.2 Mechanisms of Ownership Affects Risk Preferences</w:t>
      </w:r>
      <w:bookmarkEnd w:id="14"/>
      <w:r w:rsidRPr="008A0805">
        <w:rPr>
          <w:rFonts w:ascii="Calibri" w:hAnsi="Calibri" w:cs="Calibri"/>
        </w:rPr>
        <w:t xml:space="preserve">  </w:t>
      </w:r>
    </w:p>
    <w:p w14:paraId="60489421" w14:textId="10D18177" w:rsidR="00B62E1D" w:rsidRPr="008A0805" w:rsidRDefault="00B62E1D" w:rsidP="00B62E1D">
      <w:pPr>
        <w:ind w:firstLine="480"/>
        <w:rPr>
          <w:rFonts w:ascii="Calibri" w:hAnsi="Calibri" w:cs="Calibri"/>
        </w:rPr>
      </w:pPr>
      <w:r w:rsidRPr="008A0805">
        <w:rPr>
          <w:rFonts w:ascii="Calibri" w:hAnsi="Calibri" w:cs="Calibri"/>
          <w:i/>
          <w:iCs/>
        </w:rPr>
        <w:t>State ownership imposes multiple policy objectives that weaken profit orientation.</w:t>
      </w:r>
      <w:r w:rsidRPr="008A0805">
        <w:rPr>
          <w:rFonts w:ascii="Calibri" w:hAnsi="Calibri" w:cs="Calibri"/>
        </w:rPr>
        <w:t xml:space="preserve"> SPIC must balance goals such as energy security, clean energy transition, and regional coordination, rather than simply pursuing maximum investment returns. For example, its nuclear power assets (SPIC is the only domestic enterprise with hydropower, thermal power, nuclear power, and renewable energy assets) are subject to national strategies for technological self-reliance, which limits exploration of high-risk technological </w:t>
      </w:r>
      <w:proofErr w:type="gramStart"/>
      <w:r w:rsidRPr="008A0805">
        <w:rPr>
          <w:rFonts w:ascii="Calibri" w:hAnsi="Calibri" w:cs="Calibri"/>
        </w:rPr>
        <w:t>paths</w:t>
      </w:r>
      <w:r w:rsidR="00042C9F" w:rsidRPr="008A0805">
        <w:rPr>
          <w:rFonts w:ascii="Calibri" w:hAnsi="Calibri" w:cs="Calibri"/>
        </w:rPr>
        <w:t>(</w:t>
      </w:r>
      <w:proofErr w:type="gramEnd"/>
      <w:r w:rsidR="00042C9F" w:rsidRPr="008A0805">
        <w:rPr>
          <w:rFonts w:ascii="Calibri" w:hAnsi="Calibri" w:cs="Calibri"/>
        </w:rPr>
        <w:t>About SPIC, 2025)</w:t>
      </w:r>
      <w:r w:rsidRPr="008A0805">
        <w:rPr>
          <w:rFonts w:ascii="Calibri" w:hAnsi="Calibri" w:cs="Calibri"/>
        </w:rPr>
        <w:t xml:space="preserve">. </w:t>
      </w:r>
    </w:p>
    <w:p w14:paraId="33A8B447" w14:textId="1BF5E033" w:rsidR="00B62E1D" w:rsidRPr="008A0805" w:rsidRDefault="00B62E1D" w:rsidP="00B62E1D">
      <w:pPr>
        <w:ind w:firstLine="480"/>
        <w:rPr>
          <w:rFonts w:ascii="Calibri" w:hAnsi="Calibri" w:cs="Calibri"/>
        </w:rPr>
      </w:pPr>
      <w:r w:rsidRPr="008A0805">
        <w:rPr>
          <w:rFonts w:ascii="Calibri" w:hAnsi="Calibri" w:cs="Calibri"/>
          <w:i/>
          <w:iCs/>
        </w:rPr>
        <w:t>Accountability mechanisms reinforce risk-averse tendencies.</w:t>
      </w:r>
      <w:r w:rsidRPr="008A0805">
        <w:rPr>
          <w:rFonts w:ascii="Calibri" w:hAnsi="Calibri" w:cs="Calibri"/>
        </w:rPr>
        <w:t xml:space="preserve"> Clear responsibility boundaries and high costs of misconduct (such as administrative penalties for </w:t>
      </w:r>
      <w:r w:rsidRPr="008A0805">
        <w:rPr>
          <w:rFonts w:ascii="Calibri" w:hAnsi="Calibri" w:cs="Calibri"/>
        </w:rPr>
        <w:lastRenderedPageBreak/>
        <w:t>decision-making errors) constrain managerial behavior. SASAC has established strict regulations on overseas investments by central enterprises (e.g., the "Interim Measures on the Supervision and Administration of State-owned Assets Overseas for Central Enterprises</w:t>
      </w:r>
      <w:proofErr w:type="gramStart"/>
      <w:r w:rsidRPr="008A0805">
        <w:rPr>
          <w:rFonts w:ascii="Calibri" w:hAnsi="Calibri" w:cs="Calibri"/>
        </w:rPr>
        <w:t>")</w:t>
      </w:r>
      <w:r w:rsidR="00BD7B23" w:rsidRPr="008A0805">
        <w:rPr>
          <w:rFonts w:ascii="Calibri" w:hAnsi="Calibri" w:cs="Calibri"/>
        </w:rPr>
        <w:t>(</w:t>
      </w:r>
      <w:proofErr w:type="gramEnd"/>
      <w:r w:rsidR="00BD7B23" w:rsidRPr="008A0805">
        <w:rPr>
          <w:rFonts w:ascii="Calibri" w:hAnsi="Calibri" w:cs="Calibri"/>
        </w:rPr>
        <w:t>SASAC of the State Council, 2011)</w:t>
      </w:r>
      <w:r w:rsidRPr="008A0805">
        <w:rPr>
          <w:rFonts w:ascii="Calibri" w:hAnsi="Calibri" w:cs="Calibri"/>
        </w:rPr>
        <w:t>, emphasizing the prevention of state asset loss. Empirical studies</w:t>
      </w:r>
      <w:r w:rsidR="00AC6ED9" w:rsidRPr="008A0805">
        <w:rPr>
          <w:rFonts w:ascii="Calibri" w:hAnsi="Calibri" w:cs="Calibri"/>
        </w:rPr>
        <w:t xml:space="preserve"> by Huang (2020)</w:t>
      </w:r>
      <w:r w:rsidRPr="008A0805">
        <w:rPr>
          <w:rFonts w:ascii="Calibri" w:hAnsi="Calibri" w:cs="Calibri"/>
        </w:rPr>
        <w:t xml:space="preserve"> show that SOE managers, due to their politically appointed status, tend to prioritize career advancement over long-term returns, demonstrating significantly lower willingness to take risks compared to private firms</w:t>
      </w:r>
      <w:r w:rsidR="00AC6ED9" w:rsidRPr="008A0805">
        <w:rPr>
          <w:rFonts w:ascii="Calibri" w:hAnsi="Calibri" w:cs="Calibri"/>
        </w:rPr>
        <w:t>.</w:t>
      </w:r>
    </w:p>
    <w:p w14:paraId="6A18D32B" w14:textId="61063FCE" w:rsidR="00B62E1D" w:rsidRPr="008A0805" w:rsidRDefault="00B62E1D" w:rsidP="00B62E1D">
      <w:pPr>
        <w:pStyle w:val="Heading3"/>
        <w:rPr>
          <w:rFonts w:ascii="Calibri" w:hAnsi="Calibri" w:cs="Calibri"/>
        </w:rPr>
      </w:pPr>
      <w:bookmarkStart w:id="15" w:name="_Toc199890345"/>
      <w:r w:rsidRPr="008A0805">
        <w:rPr>
          <w:rFonts w:ascii="Calibri" w:hAnsi="Calibri" w:cs="Calibri"/>
        </w:rPr>
        <w:t xml:space="preserve">3.1.3 </w:t>
      </w:r>
      <w:r w:rsidR="00BD0538" w:rsidRPr="008A0805">
        <w:rPr>
          <w:rFonts w:ascii="Calibri" w:hAnsi="Calibri" w:cs="Calibri"/>
        </w:rPr>
        <w:t>Behaviors</w:t>
      </w:r>
      <w:r w:rsidRPr="008A0805">
        <w:rPr>
          <w:rFonts w:ascii="Calibri" w:hAnsi="Calibri" w:cs="Calibri"/>
        </w:rPr>
        <w:t xml:space="preserve"> </w:t>
      </w:r>
      <w:r w:rsidR="00905E37" w:rsidRPr="008A0805">
        <w:rPr>
          <w:rFonts w:ascii="Calibri" w:hAnsi="Calibri" w:cs="Calibri"/>
        </w:rPr>
        <w:t xml:space="preserve">and </w:t>
      </w:r>
      <w:r w:rsidRPr="008A0805">
        <w:rPr>
          <w:rFonts w:ascii="Calibri" w:hAnsi="Calibri" w:cs="Calibri"/>
        </w:rPr>
        <w:t>Underlying Causes of Low Risk Tolerance</w:t>
      </w:r>
      <w:bookmarkEnd w:id="15"/>
      <w:r w:rsidRPr="008A0805">
        <w:rPr>
          <w:rFonts w:ascii="Calibri" w:hAnsi="Calibri" w:cs="Calibri"/>
        </w:rPr>
        <w:t xml:space="preserve">  </w:t>
      </w:r>
    </w:p>
    <w:p w14:paraId="60BA7A2B" w14:textId="105856C3" w:rsidR="00B62E1D" w:rsidRPr="008A0805" w:rsidRDefault="00B62E1D" w:rsidP="00B62E1D">
      <w:pPr>
        <w:ind w:firstLine="480"/>
        <w:rPr>
          <w:rFonts w:ascii="Calibri" w:hAnsi="Calibri" w:cs="Calibri"/>
        </w:rPr>
      </w:pPr>
      <w:r w:rsidRPr="008A0805">
        <w:rPr>
          <w:rFonts w:ascii="Calibri" w:hAnsi="Calibri" w:cs="Calibri"/>
          <w:i/>
          <w:iCs/>
        </w:rPr>
        <w:t>Political risks are often beyond the control of SOEs</w:t>
      </w:r>
      <w:r w:rsidRPr="008A0805">
        <w:rPr>
          <w:rFonts w:ascii="Calibri" w:hAnsi="Calibri" w:cs="Calibri"/>
        </w:rPr>
        <w:t>. In 2011, SPIC’s fully owned Myitsone Hydropower Project in Myanmar was suspended due to U.S. interference, political changes in Myanmar, and environmental disputes. The project fell far beyond the company's control, triggering an exit mechanism. It remains stalled to this day, resulting in massive sunk costs</w:t>
      </w:r>
      <w:r w:rsidR="00AC6ED9" w:rsidRPr="008A0805">
        <w:rPr>
          <w:rFonts w:ascii="Calibri" w:hAnsi="Calibri" w:cs="Calibri"/>
        </w:rPr>
        <w:t xml:space="preserve"> (Kong, 2015)</w:t>
      </w:r>
      <w:r w:rsidRPr="008A0805">
        <w:rPr>
          <w:rFonts w:ascii="Calibri" w:hAnsi="Calibri" w:cs="Calibri"/>
        </w:rPr>
        <w:t>. This case highlights how SOEs with strong state ties are more likely to become targets in host country political struggles, leading to more conservative decision-making.</w:t>
      </w:r>
    </w:p>
    <w:p w14:paraId="0E5D7306" w14:textId="1CFCDE61" w:rsidR="00252CFC" w:rsidRPr="008A0805" w:rsidRDefault="00B62E1D" w:rsidP="00B62E1D">
      <w:pPr>
        <w:ind w:firstLine="480"/>
        <w:rPr>
          <w:rFonts w:ascii="Calibri" w:hAnsi="Calibri" w:cs="Calibri"/>
        </w:rPr>
      </w:pPr>
      <w:r w:rsidRPr="008A0805">
        <w:rPr>
          <w:rFonts w:ascii="Calibri" w:hAnsi="Calibri" w:cs="Calibri"/>
          <w:i/>
          <w:iCs/>
        </w:rPr>
        <w:t>The state maintains strong control over the enterprise.</w:t>
      </w:r>
      <w:r w:rsidRPr="008A0805">
        <w:rPr>
          <w:rFonts w:ascii="Calibri" w:hAnsi="Calibri" w:cs="Calibri"/>
        </w:rPr>
        <w:t xml:space="preserve"> SPIC’s management includes few international professionals, and research indicates a “serious lack of internationally competent personnel with technical expertise and knowledge of global rules.”</w:t>
      </w:r>
      <w:r w:rsidR="00AC6ED9" w:rsidRPr="008A0805">
        <w:rPr>
          <w:rFonts w:ascii="Calibri" w:hAnsi="Calibri" w:cs="Calibri"/>
        </w:rPr>
        <w:t xml:space="preserve"> (Kong, 2015)</w:t>
      </w:r>
      <w:r w:rsidRPr="008A0805">
        <w:rPr>
          <w:rFonts w:ascii="Calibri" w:hAnsi="Calibri" w:cs="Calibri"/>
        </w:rPr>
        <w:t xml:space="preserve"> Seniority-based promotion practices in SOEs further hinder the recruitment of high-quality talent. As a result, senior managers have limited understanding of overseas investment destinations, leading them to make more cautious decisions.</w:t>
      </w:r>
    </w:p>
    <w:p w14:paraId="0864CB67" w14:textId="7B523087" w:rsidR="00CB08E8" w:rsidRPr="008A0805" w:rsidRDefault="00AC6ED9" w:rsidP="003A2914">
      <w:pPr>
        <w:pStyle w:val="Heading2"/>
        <w:rPr>
          <w:rFonts w:ascii="Calibri" w:hAnsi="Calibri" w:cs="Calibri"/>
        </w:rPr>
      </w:pPr>
      <w:bookmarkStart w:id="16" w:name="_Toc199890346"/>
      <w:r w:rsidRPr="008A0805">
        <w:rPr>
          <w:rFonts w:ascii="Calibri" w:hAnsi="Calibri" w:cs="Calibri"/>
        </w:rPr>
        <w:t xml:space="preserve">3.2 </w:t>
      </w:r>
      <w:r w:rsidR="006D2A20" w:rsidRPr="008A0805">
        <w:rPr>
          <w:rFonts w:ascii="Calibri" w:hAnsi="Calibri" w:cs="Calibri"/>
        </w:rPr>
        <w:t xml:space="preserve">Case Study of </w:t>
      </w:r>
      <w:r w:rsidR="00632833" w:rsidRPr="008A0805">
        <w:rPr>
          <w:rFonts w:ascii="Calibri" w:hAnsi="Calibri" w:cs="Calibri"/>
        </w:rPr>
        <w:t>OPPO</w:t>
      </w:r>
      <w:r w:rsidR="005155BE" w:rsidRPr="008A0805">
        <w:rPr>
          <w:rFonts w:ascii="Calibri" w:hAnsi="Calibri" w:cs="Calibri"/>
        </w:rPr>
        <w:t xml:space="preserve"> </w:t>
      </w:r>
      <w:r w:rsidR="00C46D27" w:rsidRPr="008A0805">
        <w:rPr>
          <w:rFonts w:ascii="Calibri" w:hAnsi="Calibri" w:cs="Calibri"/>
        </w:rPr>
        <w:t>Mobile Telecommunication</w:t>
      </w:r>
      <w:bookmarkEnd w:id="16"/>
    </w:p>
    <w:p w14:paraId="1B1CB19E" w14:textId="75B386B0" w:rsidR="003A2914" w:rsidRPr="008A0805" w:rsidRDefault="003A2914" w:rsidP="003A2914">
      <w:pPr>
        <w:pStyle w:val="Heading3"/>
        <w:rPr>
          <w:rFonts w:ascii="Calibri" w:hAnsi="Calibri" w:cs="Calibri"/>
        </w:rPr>
      </w:pPr>
      <w:bookmarkStart w:id="17" w:name="_Toc199890347"/>
      <w:r w:rsidRPr="008A0805">
        <w:rPr>
          <w:rFonts w:ascii="Calibri" w:hAnsi="Calibri" w:cs="Calibri"/>
        </w:rPr>
        <w:t>3.2.1 Brief Introduction</w:t>
      </w:r>
      <w:bookmarkEnd w:id="17"/>
    </w:p>
    <w:p w14:paraId="0C1AAFE1" w14:textId="773A087E" w:rsidR="007D6DB0" w:rsidRPr="008A0805" w:rsidRDefault="00102E40" w:rsidP="00C46D27">
      <w:pPr>
        <w:ind w:firstLine="480"/>
        <w:rPr>
          <w:rFonts w:ascii="Calibri" w:hAnsi="Calibri" w:cs="Calibri"/>
        </w:rPr>
      </w:pPr>
      <w:r w:rsidRPr="008A0805">
        <w:rPr>
          <w:rFonts w:ascii="Calibri" w:hAnsi="Calibri" w:cs="Calibri"/>
        </w:rPr>
        <w:t xml:space="preserve">As a typical private enterprise in China's emerging economy, OPPO's ownership structure is characterized by centralized private control, where actual controller, which is also founder, Chen </w:t>
      </w:r>
      <w:proofErr w:type="spellStart"/>
      <w:r w:rsidRPr="008A0805">
        <w:rPr>
          <w:rFonts w:ascii="Calibri" w:hAnsi="Calibri" w:cs="Calibri"/>
        </w:rPr>
        <w:t>Mingyong</w:t>
      </w:r>
      <w:proofErr w:type="spellEnd"/>
      <w:r w:rsidRPr="008A0805">
        <w:rPr>
          <w:rFonts w:ascii="Calibri" w:hAnsi="Calibri" w:cs="Calibri"/>
        </w:rPr>
        <w:t xml:space="preserve"> indirectly holds 61.08% of voting rights through the labor union committee of Guangdong </w:t>
      </w:r>
      <w:proofErr w:type="spellStart"/>
      <w:r w:rsidRPr="008A0805">
        <w:rPr>
          <w:rFonts w:ascii="Calibri" w:hAnsi="Calibri" w:cs="Calibri"/>
        </w:rPr>
        <w:t>Ouga</w:t>
      </w:r>
      <w:proofErr w:type="spellEnd"/>
      <w:r w:rsidRPr="008A0805">
        <w:rPr>
          <w:rFonts w:ascii="Calibri" w:hAnsi="Calibri" w:cs="Calibri"/>
        </w:rPr>
        <w:t xml:space="preserve"> Holdings Co., Ltd., forming a "founder-led + employee stock ownership" structure. The founder holds </w:t>
      </w:r>
      <w:r w:rsidRPr="008A0805">
        <w:rPr>
          <w:rFonts w:ascii="Calibri" w:hAnsi="Calibri" w:cs="Calibri"/>
        </w:rPr>
        <w:lastRenderedPageBreak/>
        <w:t>approximately 10% of the shares, with the remaining equity dispersed among management, employees, and foreign capital. Foreign capital holds less than 40% of shares through Hong Kong-based companies but has no control rights.</w:t>
      </w:r>
    </w:p>
    <w:p w14:paraId="274B96AE" w14:textId="77777777" w:rsidR="00764EB2" w:rsidRPr="008A0805" w:rsidRDefault="00764EB2" w:rsidP="00C46D27">
      <w:pPr>
        <w:ind w:firstLine="480"/>
        <w:rPr>
          <w:rFonts w:ascii="Calibri" w:hAnsi="Calibri" w:cs="Calibri"/>
        </w:rPr>
      </w:pPr>
    </w:p>
    <w:p w14:paraId="5D6B4D7E" w14:textId="522A367A" w:rsidR="00764EB2" w:rsidRPr="008A0805" w:rsidRDefault="00764EB2" w:rsidP="00764EB2">
      <w:pPr>
        <w:ind w:firstLineChars="0" w:firstLine="0"/>
        <w:rPr>
          <w:rFonts w:ascii="Calibri" w:hAnsi="Calibri" w:cs="Calibri"/>
        </w:rPr>
      </w:pPr>
      <w:r w:rsidRPr="008A0805">
        <w:rPr>
          <w:rFonts w:ascii="Calibri" w:hAnsi="Calibri" w:cs="Calibri"/>
        </w:rPr>
        <w:t>Figure 1 Share Structure and Voting Right Structure of OPPO</w:t>
      </w:r>
    </w:p>
    <w:p w14:paraId="2BF2E6CC" w14:textId="32BA487A" w:rsidR="00102E40" w:rsidRPr="008A0805" w:rsidRDefault="008F0AB4" w:rsidP="008F0AB4">
      <w:pPr>
        <w:ind w:firstLineChars="0" w:firstLine="0"/>
        <w:rPr>
          <w:rFonts w:ascii="Calibri" w:hAnsi="Calibri" w:cs="Calibri"/>
        </w:rPr>
      </w:pPr>
      <w:r w:rsidRPr="008A0805">
        <w:rPr>
          <w:rFonts w:ascii="Calibri" w:hAnsi="Calibri" w:cs="Calibri"/>
          <w:noProof/>
        </w:rPr>
        <w:drawing>
          <wp:inline distT="0" distB="0" distL="0" distR="0" wp14:anchorId="2F7B4127" wp14:editId="267F3023">
            <wp:extent cx="2590165" cy="1281904"/>
            <wp:effectExtent l="38100" t="0" r="635"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A0805">
        <w:rPr>
          <w:rFonts w:ascii="Calibri" w:hAnsi="Calibri" w:cs="Calibri"/>
          <w:noProof/>
        </w:rPr>
        <w:drawing>
          <wp:inline distT="0" distB="0" distL="0" distR="0" wp14:anchorId="330C0853" wp14:editId="36054C0F">
            <wp:extent cx="2590165" cy="1281904"/>
            <wp:effectExtent l="38100" t="0" r="63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252645" w14:textId="77777777" w:rsidR="00CB08E8" w:rsidRPr="008A0805" w:rsidRDefault="00CB08E8" w:rsidP="00CB08E8">
      <w:pPr>
        <w:ind w:firstLine="480"/>
        <w:rPr>
          <w:rFonts w:ascii="Calibri" w:hAnsi="Calibri" w:cs="Calibri"/>
        </w:rPr>
      </w:pPr>
    </w:p>
    <w:p w14:paraId="5E54A399" w14:textId="79CA175E" w:rsidR="00CB08E8" w:rsidRPr="008A0805" w:rsidRDefault="003A2914" w:rsidP="003A2914">
      <w:pPr>
        <w:pStyle w:val="Heading3"/>
        <w:rPr>
          <w:rFonts w:ascii="Calibri" w:hAnsi="Calibri" w:cs="Calibri"/>
        </w:rPr>
      </w:pPr>
      <w:bookmarkStart w:id="18" w:name="_Toc199890348"/>
      <w:r w:rsidRPr="008A0805">
        <w:rPr>
          <w:rFonts w:ascii="Calibri" w:hAnsi="Calibri" w:cs="Calibri"/>
        </w:rPr>
        <w:t>3.2.</w:t>
      </w:r>
      <w:r w:rsidR="00CB08E8" w:rsidRPr="008A0805">
        <w:rPr>
          <w:rFonts w:ascii="Calibri" w:hAnsi="Calibri" w:cs="Calibri"/>
        </w:rPr>
        <w:t>2 Mechanisms of Ownership Affecting Risk Preferences</w:t>
      </w:r>
      <w:bookmarkEnd w:id="18"/>
    </w:p>
    <w:p w14:paraId="72B02D0A" w14:textId="26802C1B" w:rsidR="00CB08E8" w:rsidRPr="008A0805" w:rsidRDefault="00CB08E8" w:rsidP="00CB08E8">
      <w:pPr>
        <w:ind w:firstLine="480"/>
        <w:rPr>
          <w:rFonts w:ascii="Calibri" w:hAnsi="Calibri" w:cs="Calibri"/>
        </w:rPr>
      </w:pPr>
      <w:r w:rsidRPr="008A0805">
        <w:rPr>
          <w:rFonts w:ascii="Calibri" w:hAnsi="Calibri" w:cs="Calibri"/>
          <w:i/>
          <w:iCs/>
        </w:rPr>
        <w:t>Centralized Control and Long-Term Strategic Tolerance</w:t>
      </w:r>
      <w:r w:rsidR="003A2914" w:rsidRPr="008A0805">
        <w:rPr>
          <w:rFonts w:ascii="Calibri" w:hAnsi="Calibri" w:cs="Calibri"/>
        </w:rPr>
        <w:t xml:space="preserve"> </w:t>
      </w:r>
      <w:r w:rsidRPr="008A0805">
        <w:rPr>
          <w:rFonts w:ascii="Calibri" w:hAnsi="Calibri" w:cs="Calibri"/>
        </w:rPr>
        <w:t>The founder-led structure reduces principal-agent conflicts of interest, avoiding conservative strategies</w:t>
      </w:r>
      <w:r w:rsidR="00457B21" w:rsidRPr="008A0805">
        <w:rPr>
          <w:rFonts w:ascii="Calibri" w:hAnsi="Calibri" w:cs="Calibri"/>
        </w:rPr>
        <w:t xml:space="preserve"> (Gomez-Mejia et al., 2017)</w:t>
      </w:r>
      <w:r w:rsidRPr="008A0805">
        <w:rPr>
          <w:rFonts w:ascii="Calibri" w:hAnsi="Calibri" w:cs="Calibri"/>
        </w:rPr>
        <w:t xml:space="preserve">. Chen </w:t>
      </w:r>
      <w:proofErr w:type="spellStart"/>
      <w:r w:rsidRPr="008A0805">
        <w:rPr>
          <w:rFonts w:ascii="Calibri" w:hAnsi="Calibri" w:cs="Calibri"/>
        </w:rPr>
        <w:t>Mingyong</w:t>
      </w:r>
      <w:proofErr w:type="spellEnd"/>
      <w:r w:rsidRPr="008A0805">
        <w:rPr>
          <w:rFonts w:ascii="Calibri" w:hAnsi="Calibri" w:cs="Calibri"/>
        </w:rPr>
        <w:t xml:space="preserve"> directly decides on international expansion and supports long-term high-risk investments. </w:t>
      </w:r>
      <w:r w:rsidR="003A2914" w:rsidRPr="008A0805">
        <w:rPr>
          <w:rFonts w:ascii="Calibri" w:hAnsi="Calibri" w:cs="Calibri"/>
        </w:rPr>
        <w:t xml:space="preserve">Since its establishment in 2004, OPPO's business has expanded to over 70 countries and regions worldwide (OPPO Global, 2025). </w:t>
      </w:r>
      <w:r w:rsidRPr="008A0805">
        <w:rPr>
          <w:rFonts w:ascii="Calibri" w:hAnsi="Calibri" w:cs="Calibri"/>
        </w:rPr>
        <w:t>In 2018, OPPO spent billions of yuan to purchase patents to enter the European market, reflecting the positive correlation mechanism between private enterprises' "control rights and risk-taking."</w:t>
      </w:r>
    </w:p>
    <w:p w14:paraId="4402FC14" w14:textId="244E9131" w:rsidR="00CB08E8" w:rsidRPr="008A0805" w:rsidRDefault="00CB08E8" w:rsidP="00CB08E8">
      <w:pPr>
        <w:ind w:firstLine="480"/>
        <w:rPr>
          <w:rFonts w:ascii="Calibri" w:hAnsi="Calibri" w:cs="Calibri"/>
        </w:rPr>
      </w:pPr>
      <w:r w:rsidRPr="008A0805">
        <w:rPr>
          <w:rFonts w:ascii="Calibri" w:hAnsi="Calibri" w:cs="Calibri"/>
          <w:i/>
          <w:iCs/>
        </w:rPr>
        <w:t>Employee Stock Ownership Plans and Diversified Risk Perceptions</w:t>
      </w:r>
      <w:r w:rsidR="003A2914" w:rsidRPr="008A0805">
        <w:rPr>
          <w:rFonts w:ascii="Calibri" w:hAnsi="Calibri" w:cs="Calibri"/>
        </w:rPr>
        <w:t xml:space="preserve"> </w:t>
      </w:r>
      <w:r w:rsidRPr="008A0805">
        <w:rPr>
          <w:rFonts w:ascii="Calibri" w:hAnsi="Calibri" w:cs="Calibri"/>
        </w:rPr>
        <w:t>Employee stock ownership plans align individual gains with long-term corporate growth, fostering a "risk-sharing" culture</w:t>
      </w:r>
      <w:r w:rsidR="00E13B98" w:rsidRPr="008A0805">
        <w:rPr>
          <w:rFonts w:ascii="Calibri" w:hAnsi="Calibri" w:cs="Calibri"/>
        </w:rPr>
        <w:t xml:space="preserve"> (Chen et al., 2016)</w:t>
      </w:r>
      <w:r w:rsidRPr="008A0805">
        <w:rPr>
          <w:rFonts w:ascii="Calibri" w:hAnsi="Calibri" w:cs="Calibri"/>
        </w:rPr>
        <w:t>. A management team with functional diversity tends to embrace risk-taking. OPPO's decentralized equity structure promotes pluralistic decision-making, supporting its "gradual internationalization" strategy.</w:t>
      </w:r>
    </w:p>
    <w:p w14:paraId="26085DFD" w14:textId="22B4985B" w:rsidR="007D6DB0" w:rsidRPr="008A0805" w:rsidRDefault="00CB08E8" w:rsidP="00CB08E8">
      <w:pPr>
        <w:ind w:firstLine="480"/>
        <w:rPr>
          <w:rFonts w:ascii="Calibri" w:hAnsi="Calibri" w:cs="Calibri"/>
        </w:rPr>
      </w:pPr>
      <w:r w:rsidRPr="008A0805">
        <w:rPr>
          <w:rFonts w:ascii="Calibri" w:hAnsi="Calibri" w:cs="Calibri"/>
          <w:i/>
          <w:iCs/>
        </w:rPr>
        <w:t>Foreign Capital Participation and Risk Culture Penetration</w:t>
      </w:r>
      <w:r w:rsidR="003A2914" w:rsidRPr="008A0805">
        <w:rPr>
          <w:rFonts w:ascii="Calibri" w:hAnsi="Calibri" w:cs="Calibri"/>
          <w:i/>
          <w:iCs/>
        </w:rPr>
        <w:t xml:space="preserve"> </w:t>
      </w:r>
      <w:r w:rsidRPr="008A0805">
        <w:rPr>
          <w:rFonts w:ascii="Calibri" w:hAnsi="Calibri" w:cs="Calibri"/>
        </w:rPr>
        <w:t xml:space="preserve">Cross-national studies show that foreign ownership correlates positively with corporate risk-taking. OPPO's foreign capital share (less than 40%) introduces a high-risk tolerance mindset, driving entry into high-barrier markets </w:t>
      </w:r>
      <w:r w:rsidR="006D3A48" w:rsidRPr="008A0805">
        <w:rPr>
          <w:rFonts w:ascii="Calibri" w:hAnsi="Calibri" w:cs="Calibri"/>
        </w:rPr>
        <w:t xml:space="preserve">such </w:t>
      </w:r>
      <w:proofErr w:type="gramStart"/>
      <w:r w:rsidR="006D3A48" w:rsidRPr="008A0805">
        <w:rPr>
          <w:rFonts w:ascii="Calibri" w:hAnsi="Calibri" w:cs="Calibri"/>
        </w:rPr>
        <w:t xml:space="preserve">as </w:t>
      </w:r>
      <w:r w:rsidRPr="008A0805">
        <w:rPr>
          <w:rFonts w:ascii="Calibri" w:hAnsi="Calibri" w:cs="Calibri"/>
        </w:rPr>
        <w:t xml:space="preserve"> Europe's</w:t>
      </w:r>
      <w:proofErr w:type="gramEnd"/>
      <w:r w:rsidRPr="008A0805">
        <w:rPr>
          <w:rFonts w:ascii="Calibri" w:hAnsi="Calibri" w:cs="Calibri"/>
        </w:rPr>
        <w:t xml:space="preserve"> patent litigation environment. In </w:t>
      </w:r>
      <w:r w:rsidRPr="008A0805">
        <w:rPr>
          <w:rFonts w:ascii="Calibri" w:hAnsi="Calibri" w:cs="Calibri"/>
        </w:rPr>
        <w:lastRenderedPageBreak/>
        <w:t>regions with sound institutions</w:t>
      </w:r>
      <w:r w:rsidR="006D3A48" w:rsidRPr="008A0805">
        <w:rPr>
          <w:rFonts w:ascii="Calibri" w:hAnsi="Calibri" w:cs="Calibri"/>
        </w:rPr>
        <w:t xml:space="preserve"> like Europe</w:t>
      </w:r>
      <w:r w:rsidRPr="008A0805">
        <w:rPr>
          <w:rFonts w:ascii="Calibri" w:hAnsi="Calibri" w:cs="Calibri"/>
        </w:rPr>
        <w:t>, foreign-backed enterprises are more willing to take risks—OPPO's local compliance investments in Europe reflect its adaptive strategy for high-risk markets</w:t>
      </w:r>
      <w:r w:rsidR="00B048B6" w:rsidRPr="008A0805">
        <w:rPr>
          <w:rFonts w:ascii="Calibri" w:hAnsi="Calibri" w:cs="Calibri"/>
        </w:rPr>
        <w:t xml:space="preserve"> (Beyond Next, 2025)</w:t>
      </w:r>
      <w:r w:rsidRPr="008A0805">
        <w:rPr>
          <w:rFonts w:ascii="Calibri" w:hAnsi="Calibri" w:cs="Calibri"/>
        </w:rPr>
        <w:t>.</w:t>
      </w:r>
    </w:p>
    <w:p w14:paraId="0545A312" w14:textId="77777777" w:rsidR="00B128E2" w:rsidRPr="008A0805" w:rsidRDefault="00B128E2" w:rsidP="00CB08E8">
      <w:pPr>
        <w:ind w:firstLine="480"/>
        <w:rPr>
          <w:rFonts w:ascii="Calibri" w:hAnsi="Calibri" w:cs="Calibri"/>
        </w:rPr>
      </w:pPr>
    </w:p>
    <w:p w14:paraId="2E8998DD" w14:textId="55667515" w:rsidR="005F2B35" w:rsidRPr="008A0805" w:rsidRDefault="00580038" w:rsidP="00905E37">
      <w:pPr>
        <w:pStyle w:val="Heading2"/>
        <w:rPr>
          <w:rFonts w:ascii="Calibri" w:hAnsi="Calibri" w:cs="Calibri"/>
        </w:rPr>
      </w:pPr>
      <w:bookmarkStart w:id="19" w:name="_Toc199890349"/>
      <w:r w:rsidRPr="008A0805">
        <w:rPr>
          <w:rFonts w:ascii="Calibri" w:hAnsi="Calibri" w:cs="Calibri"/>
        </w:rPr>
        <w:t xml:space="preserve">3.2.3 </w:t>
      </w:r>
      <w:r w:rsidR="00D13C7D" w:rsidRPr="008A0805">
        <w:rPr>
          <w:rFonts w:ascii="Calibri" w:hAnsi="Calibri" w:cs="Calibri"/>
        </w:rPr>
        <w:t xml:space="preserve">Behaviors </w:t>
      </w:r>
      <w:r w:rsidR="00905E37" w:rsidRPr="008A0805">
        <w:rPr>
          <w:rFonts w:ascii="Calibri" w:hAnsi="Calibri" w:cs="Calibri"/>
        </w:rPr>
        <w:t xml:space="preserve">and </w:t>
      </w:r>
      <w:r w:rsidR="00D13C7D" w:rsidRPr="008A0805">
        <w:rPr>
          <w:rFonts w:ascii="Calibri" w:hAnsi="Calibri" w:cs="Calibri"/>
        </w:rPr>
        <w:t>Underlying Causes of Low Risk Tolerance</w:t>
      </w:r>
      <w:bookmarkEnd w:id="19"/>
    </w:p>
    <w:p w14:paraId="56A6997E" w14:textId="664E8D44" w:rsidR="00905E37" w:rsidRPr="008A0805" w:rsidRDefault="00905E37" w:rsidP="00497144">
      <w:pPr>
        <w:ind w:firstLineChars="0" w:firstLine="0"/>
        <w:rPr>
          <w:rFonts w:ascii="Calibri" w:hAnsi="Calibri" w:cs="Calibri"/>
        </w:rPr>
      </w:pPr>
      <w:r w:rsidRPr="008A0805">
        <w:rPr>
          <w:rFonts w:ascii="Calibri" w:hAnsi="Calibri" w:cs="Calibri"/>
        </w:rPr>
        <w:t xml:space="preserve">Table </w:t>
      </w:r>
      <w:r w:rsidR="007763AC">
        <w:rPr>
          <w:rFonts w:ascii="Calibri" w:hAnsi="Calibri" w:cs="Calibri"/>
        </w:rPr>
        <w:t>2</w:t>
      </w:r>
      <w:r w:rsidRPr="008A0805">
        <w:rPr>
          <w:rFonts w:ascii="Calibri" w:hAnsi="Calibri" w:cs="Calibri"/>
        </w:rPr>
        <w:t xml:space="preserve"> </w:t>
      </w:r>
      <w:r w:rsidR="00BF0212" w:rsidRPr="008A0805">
        <w:rPr>
          <w:rFonts w:ascii="Calibri" w:hAnsi="Calibri" w:cs="Calibri"/>
        </w:rPr>
        <w:t>Empirical Evidence of High-Risk Internationalization Behaviors</w:t>
      </w:r>
    </w:p>
    <w:tbl>
      <w:tblPr>
        <w:tblStyle w:val="PlainTable1"/>
        <w:tblW w:w="0" w:type="auto"/>
        <w:tblLook w:val="04A0" w:firstRow="1" w:lastRow="0" w:firstColumn="1" w:lastColumn="0" w:noHBand="0" w:noVBand="1"/>
      </w:tblPr>
      <w:tblGrid>
        <w:gridCol w:w="2122"/>
        <w:gridCol w:w="3685"/>
        <w:gridCol w:w="2489"/>
      </w:tblGrid>
      <w:tr w:rsidR="005F2B35" w:rsidRPr="008A0805" w14:paraId="46929EB2" w14:textId="77777777" w:rsidTr="00FC068D">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122" w:type="dxa"/>
            <w:hideMark/>
          </w:tcPr>
          <w:p w14:paraId="6FBA2542" w14:textId="77777777" w:rsidR="005F2B35" w:rsidRPr="005F2B35" w:rsidRDefault="005F2B35" w:rsidP="005F2B35">
            <w:pPr>
              <w:widowControl/>
              <w:spacing w:line="420" w:lineRule="atLeast"/>
              <w:ind w:firstLineChars="0" w:firstLine="0"/>
              <w:jc w:val="center"/>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Behavior Domain</w:t>
            </w:r>
          </w:p>
        </w:tc>
        <w:tc>
          <w:tcPr>
            <w:tcW w:w="3685" w:type="dxa"/>
            <w:hideMark/>
          </w:tcPr>
          <w:p w14:paraId="5334400C" w14:textId="77777777" w:rsidR="005F2B35" w:rsidRPr="005F2B35" w:rsidRDefault="005F2B35" w:rsidP="005F2B35">
            <w:pPr>
              <w:widowControl/>
              <w:spacing w:line="42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Specific Case</w:t>
            </w:r>
          </w:p>
        </w:tc>
        <w:tc>
          <w:tcPr>
            <w:tcW w:w="2489" w:type="dxa"/>
            <w:hideMark/>
          </w:tcPr>
          <w:p w14:paraId="1689FBEE" w14:textId="77777777" w:rsidR="005F2B35" w:rsidRPr="005F2B35" w:rsidRDefault="005F2B35" w:rsidP="005F2B35">
            <w:pPr>
              <w:widowControl/>
              <w:spacing w:line="42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Risk Quantification Index</w:t>
            </w:r>
          </w:p>
        </w:tc>
      </w:tr>
      <w:tr w:rsidR="005F2B35" w:rsidRPr="008A0805" w14:paraId="6D956816" w14:textId="77777777" w:rsidTr="00FC068D">
        <w:trPr>
          <w:cnfStyle w:val="000000100000" w:firstRow="0" w:lastRow="0" w:firstColumn="0" w:lastColumn="0" w:oddVBand="0" w:evenVBand="0" w:oddHBand="1" w:evenHBand="0" w:firstRowFirstColumn="0" w:firstRowLastColumn="0" w:lastRowFirstColumn="0" w:lastRowLastColumn="0"/>
          <w:trHeight w:val="1473"/>
        </w:trPr>
        <w:tc>
          <w:tcPr>
            <w:cnfStyle w:val="001000000000" w:firstRow="0" w:lastRow="0" w:firstColumn="1" w:lastColumn="0" w:oddVBand="0" w:evenVBand="0" w:oddHBand="0" w:evenHBand="0" w:firstRowFirstColumn="0" w:firstRowLastColumn="0" w:lastRowFirstColumn="0" w:lastRowLastColumn="0"/>
            <w:tcW w:w="2122" w:type="dxa"/>
            <w:hideMark/>
          </w:tcPr>
          <w:p w14:paraId="01DEE637" w14:textId="77777777" w:rsidR="005F2B35" w:rsidRPr="005F2B35" w:rsidRDefault="005F2B35" w:rsidP="005F2B35">
            <w:pPr>
              <w:widowControl/>
              <w:spacing w:line="420" w:lineRule="atLeast"/>
              <w:ind w:firstLineChars="0" w:firstLine="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Patent Litigation</w:t>
            </w:r>
          </w:p>
        </w:tc>
        <w:tc>
          <w:tcPr>
            <w:tcW w:w="3685" w:type="dxa"/>
            <w:hideMark/>
          </w:tcPr>
          <w:p w14:paraId="5F326D66"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Withstood Nokia's patent lawsuits in 9 countries and risk of German sales bans while insisting on market deepening.</w:t>
            </w:r>
          </w:p>
        </w:tc>
        <w:tc>
          <w:tcPr>
            <w:tcW w:w="2489" w:type="dxa"/>
            <w:hideMark/>
          </w:tcPr>
          <w:p w14:paraId="2C9BBC59"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Billions spent on patent purchases.</w:t>
            </w:r>
          </w:p>
        </w:tc>
      </w:tr>
      <w:tr w:rsidR="005F2B35" w:rsidRPr="008A0805" w14:paraId="63FFBF82" w14:textId="77777777" w:rsidTr="00FC068D">
        <w:tc>
          <w:tcPr>
            <w:cnfStyle w:val="001000000000" w:firstRow="0" w:lastRow="0" w:firstColumn="1" w:lastColumn="0" w:oddVBand="0" w:evenVBand="0" w:oddHBand="0" w:evenHBand="0" w:firstRowFirstColumn="0" w:firstRowLastColumn="0" w:lastRowFirstColumn="0" w:lastRowLastColumn="0"/>
            <w:tcW w:w="2122" w:type="dxa"/>
            <w:hideMark/>
          </w:tcPr>
          <w:p w14:paraId="17C71851" w14:textId="77777777" w:rsidR="005F2B35" w:rsidRPr="005F2B35" w:rsidRDefault="005F2B35" w:rsidP="005F2B35">
            <w:pPr>
              <w:widowControl/>
              <w:spacing w:line="420" w:lineRule="atLeast"/>
              <w:ind w:firstLineChars="0" w:firstLine="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Market Entry Strategy</w:t>
            </w:r>
          </w:p>
        </w:tc>
        <w:tc>
          <w:tcPr>
            <w:tcW w:w="3685" w:type="dxa"/>
            <w:hideMark/>
          </w:tcPr>
          <w:p w14:paraId="4BFCACDF" w14:textId="77777777" w:rsidR="005F2B35" w:rsidRPr="005F2B35" w:rsidRDefault="005F2B35" w:rsidP="005F2B35">
            <w:pPr>
              <w:widowControl/>
              <w:spacing w:line="420" w:lineRule="atLeast"/>
              <w:ind w:firstLineChars="0" w:firstLine="0"/>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Adopted a "high-cost" European-first strategy (2018 Paris launch event) instead of low-risk emerging markets.</w:t>
            </w:r>
          </w:p>
        </w:tc>
        <w:tc>
          <w:tcPr>
            <w:tcW w:w="2489" w:type="dxa"/>
            <w:hideMark/>
          </w:tcPr>
          <w:p w14:paraId="3780D1DC" w14:textId="77777777" w:rsidR="005F2B35" w:rsidRPr="005F2B35" w:rsidRDefault="005F2B35" w:rsidP="005F2B35">
            <w:pPr>
              <w:widowControl/>
              <w:spacing w:line="420" w:lineRule="atLeast"/>
              <w:ind w:firstLineChars="0" w:firstLine="0"/>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Establishment of Western European headquarters and localized teams.</w:t>
            </w:r>
          </w:p>
        </w:tc>
      </w:tr>
      <w:tr w:rsidR="005F2B35" w:rsidRPr="008A0805" w14:paraId="6E07EA96" w14:textId="77777777" w:rsidTr="00F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6562CF37" w14:textId="77777777" w:rsidR="005F2B35" w:rsidRPr="005F2B35" w:rsidRDefault="005F2B35" w:rsidP="005F2B35">
            <w:pPr>
              <w:widowControl/>
              <w:spacing w:line="420" w:lineRule="atLeast"/>
              <w:ind w:firstLineChars="0" w:firstLine="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Financial Risk Exposure</w:t>
            </w:r>
          </w:p>
        </w:tc>
        <w:tc>
          <w:tcPr>
            <w:tcW w:w="3685" w:type="dxa"/>
            <w:hideMark/>
          </w:tcPr>
          <w:p w14:paraId="1AB46DE3"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Did not hedge foreign exchange risks, actively accepting exchange rate fluctuations to protect overseas supply chains.</w:t>
            </w:r>
          </w:p>
        </w:tc>
        <w:tc>
          <w:tcPr>
            <w:tcW w:w="2489" w:type="dxa"/>
            <w:hideMark/>
          </w:tcPr>
          <w:p w14:paraId="16E86F70"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Foreign exchange exposure management strategy.</w:t>
            </w:r>
          </w:p>
        </w:tc>
      </w:tr>
    </w:tbl>
    <w:p w14:paraId="6EF48E5F" w14:textId="22777994" w:rsidR="00A55EC8" w:rsidRPr="008A0805" w:rsidRDefault="00F50A46" w:rsidP="00C82DEF">
      <w:pPr>
        <w:ind w:firstLineChars="0" w:firstLine="0"/>
        <w:rPr>
          <w:rFonts w:ascii="Calibri" w:hAnsi="Calibri" w:cs="Calibri"/>
          <w:sz w:val="22"/>
          <w:szCs w:val="22"/>
        </w:rPr>
      </w:pPr>
      <w:r w:rsidRPr="008A0805">
        <w:rPr>
          <w:rFonts w:ascii="Calibri" w:hAnsi="Calibri" w:cs="Calibri"/>
          <w:sz w:val="22"/>
          <w:szCs w:val="22"/>
        </w:rPr>
        <w:t>Source summarized from</w:t>
      </w:r>
      <w:r w:rsidR="00C82DEF" w:rsidRPr="008A0805">
        <w:rPr>
          <w:rFonts w:ascii="Calibri" w:hAnsi="Calibri" w:cs="Calibri"/>
          <w:sz w:val="22"/>
          <w:szCs w:val="22"/>
        </w:rPr>
        <w:t>:</w:t>
      </w:r>
      <w:r w:rsidRPr="008A0805">
        <w:rPr>
          <w:rFonts w:ascii="Calibri" w:hAnsi="Calibri" w:cs="Calibri"/>
          <w:sz w:val="22"/>
          <w:szCs w:val="22"/>
        </w:rPr>
        <w:t xml:space="preserve"> </w:t>
      </w:r>
      <w:proofErr w:type="spellStart"/>
      <w:r w:rsidR="00C82DEF" w:rsidRPr="008A0805">
        <w:rPr>
          <w:rFonts w:ascii="Calibri" w:hAnsi="Calibri" w:cs="Calibri"/>
          <w:sz w:val="22"/>
          <w:szCs w:val="22"/>
        </w:rPr>
        <w:t>Sheyan</w:t>
      </w:r>
      <w:proofErr w:type="spellEnd"/>
      <w:r w:rsidR="00C82DEF" w:rsidRPr="008A0805">
        <w:rPr>
          <w:rFonts w:ascii="Calibri" w:hAnsi="Calibri" w:cs="Calibri"/>
          <w:sz w:val="22"/>
          <w:szCs w:val="22"/>
        </w:rPr>
        <w:t xml:space="preserve"> Finance. (2025). Analysis of OPPO’s dilemma: the breakthrough path under the triple challenges of high - end market, overseas expansion and innovation. </w:t>
      </w:r>
      <w:proofErr w:type="spellStart"/>
      <w:r w:rsidR="00C82DEF" w:rsidRPr="008A0805">
        <w:rPr>
          <w:rFonts w:ascii="Calibri" w:hAnsi="Calibri" w:cs="Calibri"/>
          <w:sz w:val="22"/>
          <w:szCs w:val="22"/>
        </w:rPr>
        <w:t>cnFOL</w:t>
      </w:r>
      <w:proofErr w:type="spellEnd"/>
      <w:r w:rsidR="00C82DEF" w:rsidRPr="008A0805">
        <w:rPr>
          <w:rFonts w:ascii="Calibri" w:hAnsi="Calibri" w:cs="Calibri"/>
          <w:sz w:val="22"/>
          <w:szCs w:val="22"/>
        </w:rPr>
        <w:t xml:space="preserve">. </w:t>
      </w:r>
      <w:hyperlink r:id="rId11" w:history="1">
        <w:r w:rsidR="00FC068D" w:rsidRPr="008A0805">
          <w:rPr>
            <w:rStyle w:val="Hyperlink"/>
            <w:rFonts w:ascii="Calibri" w:hAnsi="Calibri" w:cs="Calibri"/>
            <w:sz w:val="22"/>
            <w:szCs w:val="22"/>
          </w:rPr>
          <w:t>http://mp.cnfol.com/49592/article/1743169804-141725357.html</w:t>
        </w:r>
      </w:hyperlink>
      <w:r w:rsidR="00FC068D" w:rsidRPr="008A0805">
        <w:rPr>
          <w:rFonts w:ascii="Calibri" w:hAnsi="Calibri" w:cs="Calibri"/>
          <w:sz w:val="22"/>
          <w:szCs w:val="22"/>
        </w:rPr>
        <w:t xml:space="preserve"> and other </w:t>
      </w:r>
      <w:r w:rsidR="00F435BD" w:rsidRPr="008A0805">
        <w:rPr>
          <w:rFonts w:ascii="Calibri" w:hAnsi="Calibri" w:cs="Calibri"/>
          <w:sz w:val="22"/>
          <w:szCs w:val="22"/>
        </w:rPr>
        <w:t>listed references</w:t>
      </w:r>
    </w:p>
    <w:p w14:paraId="43B7BD30" w14:textId="2D040D8E" w:rsidR="004617BD" w:rsidRPr="008A0805" w:rsidRDefault="004617BD" w:rsidP="004617BD">
      <w:pPr>
        <w:ind w:firstLine="480"/>
        <w:rPr>
          <w:rFonts w:ascii="Calibri" w:hAnsi="Calibri" w:cs="Calibri"/>
        </w:rPr>
      </w:pPr>
      <w:r w:rsidRPr="008A0805">
        <w:rPr>
          <w:rFonts w:ascii="Calibri" w:hAnsi="Calibri" w:cs="Calibri"/>
          <w:i/>
          <w:iCs/>
        </w:rPr>
        <w:t>Strategic Consistency via Controlling Unions</w:t>
      </w:r>
      <w:r w:rsidR="002A79F4" w:rsidRPr="008A0805">
        <w:rPr>
          <w:rFonts w:ascii="Calibri" w:hAnsi="Calibri" w:cs="Calibri"/>
        </w:rPr>
        <w:t>.</w:t>
      </w:r>
      <w:r w:rsidRPr="008A0805">
        <w:rPr>
          <w:rFonts w:ascii="Calibri" w:hAnsi="Calibri" w:cs="Calibri"/>
        </w:rPr>
        <w:t xml:space="preserve"> Chen </w:t>
      </w:r>
      <w:proofErr w:type="spellStart"/>
      <w:r w:rsidRPr="008A0805">
        <w:rPr>
          <w:rFonts w:ascii="Calibri" w:hAnsi="Calibri" w:cs="Calibri"/>
        </w:rPr>
        <w:t>Mingyong</w:t>
      </w:r>
      <w:proofErr w:type="spellEnd"/>
      <w:r w:rsidRPr="008A0805">
        <w:rPr>
          <w:rFonts w:ascii="Calibri" w:hAnsi="Calibri" w:cs="Calibri"/>
        </w:rPr>
        <w:t xml:space="preserve"> ensures "strategic consistency" through union control, such as the sustained implementation of the "three-step" internationalization strategy (Southeast Asia → Europe → Global)</w:t>
      </w:r>
      <w:r w:rsidR="00BC663F" w:rsidRPr="008A0805">
        <w:rPr>
          <w:rFonts w:ascii="Calibri" w:hAnsi="Calibri" w:cs="Calibri"/>
        </w:rPr>
        <w:t xml:space="preserve"> (</w:t>
      </w:r>
      <w:proofErr w:type="spellStart"/>
      <w:r w:rsidR="00BC663F" w:rsidRPr="008A0805">
        <w:rPr>
          <w:rFonts w:ascii="Calibri" w:hAnsi="Calibri" w:cs="Calibri"/>
        </w:rPr>
        <w:t>Oceanengine</w:t>
      </w:r>
      <w:proofErr w:type="spellEnd"/>
      <w:r w:rsidR="00BC663F" w:rsidRPr="008A0805">
        <w:rPr>
          <w:rFonts w:ascii="Calibri" w:hAnsi="Calibri" w:cs="Calibri"/>
        </w:rPr>
        <w:t>, 2023)</w:t>
      </w:r>
      <w:r w:rsidRPr="008A0805">
        <w:rPr>
          <w:rFonts w:ascii="Calibri" w:hAnsi="Calibri" w:cs="Calibri"/>
        </w:rPr>
        <w:t>, avoiding strategic vacillation caused by dispersed equity.</w:t>
      </w:r>
    </w:p>
    <w:p w14:paraId="0F0CC451" w14:textId="1ECFBEBC" w:rsidR="00313028" w:rsidRPr="008A0805" w:rsidRDefault="004617BD" w:rsidP="004617BD">
      <w:pPr>
        <w:ind w:firstLine="480"/>
        <w:rPr>
          <w:rFonts w:ascii="Calibri" w:hAnsi="Calibri" w:cs="Calibri"/>
        </w:rPr>
      </w:pPr>
      <w:r w:rsidRPr="008A0805">
        <w:rPr>
          <w:rFonts w:ascii="Calibri" w:hAnsi="Calibri" w:cs="Calibri"/>
          <w:i/>
          <w:iCs/>
        </w:rPr>
        <w:t>Flexibility of Private Ownership</w:t>
      </w:r>
      <w:r w:rsidR="002A79F4" w:rsidRPr="008A0805">
        <w:rPr>
          <w:rFonts w:ascii="Calibri" w:hAnsi="Calibri" w:cs="Calibri"/>
          <w:i/>
          <w:iCs/>
        </w:rPr>
        <w:t>.</w:t>
      </w:r>
      <w:r w:rsidRPr="008A0805">
        <w:rPr>
          <w:rFonts w:ascii="Calibri" w:hAnsi="Calibri" w:cs="Calibri"/>
        </w:rPr>
        <w:t xml:space="preserve"> Reduced government intervention allows agile responses to trade compliance risks, such as quickly adjusting European operations to avoid patent sanctions, unlike SOEs bound by administrative directives.</w:t>
      </w:r>
    </w:p>
    <w:p w14:paraId="387FB06C" w14:textId="200A6874" w:rsidR="00F731D6" w:rsidRDefault="00B06119" w:rsidP="00B06119">
      <w:pPr>
        <w:pStyle w:val="Heading1"/>
        <w:rPr>
          <w:rFonts w:ascii="Calibri" w:hAnsi="Calibri" w:cs="Calibri"/>
        </w:rPr>
      </w:pPr>
      <w:bookmarkStart w:id="20" w:name="_Toc199890350"/>
      <w:r w:rsidRPr="008A0805">
        <w:rPr>
          <w:rFonts w:ascii="Calibri" w:hAnsi="Calibri" w:cs="Calibri"/>
        </w:rPr>
        <w:t xml:space="preserve">4.0 </w:t>
      </w:r>
      <w:r w:rsidR="00F731D6" w:rsidRPr="008A0805">
        <w:rPr>
          <w:rFonts w:ascii="Calibri" w:hAnsi="Calibri" w:cs="Calibri"/>
        </w:rPr>
        <w:t>Conclusion</w:t>
      </w:r>
      <w:bookmarkEnd w:id="20"/>
    </w:p>
    <w:p w14:paraId="4A55ED7F" w14:textId="184D13A2" w:rsidR="00153377" w:rsidRPr="00153377" w:rsidRDefault="00153377" w:rsidP="00153377">
      <w:pPr>
        <w:ind w:firstLine="480"/>
      </w:pPr>
      <w:r w:rsidRPr="00153377">
        <w:lastRenderedPageBreak/>
        <w:t xml:space="preserve">This paper </w:t>
      </w:r>
      <w:r w:rsidR="000146A1">
        <w:t>shows</w:t>
      </w:r>
      <w:r w:rsidRPr="00153377">
        <w:t xml:space="preserve"> that a firm's ownership structure fundamentally influences its internationalization </w:t>
      </w:r>
      <w:r w:rsidR="000146A1">
        <w:t>risk perception</w:t>
      </w:r>
      <w:r w:rsidRPr="00153377">
        <w:t>. State-owned enterprises (SOEs) show risk aversion due to political and bureaucratic constraints, while private firms prioritize profit and exhibit higher risk tolerance. Controlling shareholders often adopt conservative strategies to protect control, whereas minority shareholders push for internationalization to seek growth. Interactive effects and hybrid models further shape risk decisions. In short, ownership type, control distribution, and stakeholder dynamics determine how firms balance risks and opportunities in global expansion.</w:t>
      </w:r>
    </w:p>
    <w:p w14:paraId="4FBE4977" w14:textId="77777777" w:rsidR="00A428F8" w:rsidRPr="003A29C6" w:rsidRDefault="00A428F8" w:rsidP="00A428F8">
      <w:pPr>
        <w:ind w:firstLine="480"/>
        <w:jc w:val="both"/>
        <w:outlineLvl w:val="0"/>
        <w:rPr>
          <w:rFonts w:ascii="Arial" w:hAnsi="Arial" w:cs="Arial"/>
        </w:rPr>
      </w:pPr>
      <w:r w:rsidRPr="003A29C6">
        <w:rPr>
          <w:rFonts w:ascii="Arial" w:hAnsi="Arial" w:cs="Arial"/>
          <w:b/>
          <w:bCs/>
        </w:rPr>
        <w:t>COMPETING INTERESTS DISCLAIMER:</w:t>
      </w:r>
    </w:p>
    <w:p w14:paraId="52152755" w14:textId="77777777" w:rsidR="00A428F8" w:rsidRDefault="00A428F8" w:rsidP="00A428F8">
      <w:pPr>
        <w:ind w:firstLine="480"/>
      </w:pPr>
      <w:r w:rsidRPr="00A10EDE">
        <w:t>Authors have declared that they have no known competing financial interests OR non-financial interests OR personal relationships that could have appeared to influence the work reported in this paper.</w:t>
      </w:r>
    </w:p>
    <w:p w14:paraId="5E496E90" w14:textId="6B31D7BD" w:rsidR="00BE43E4" w:rsidRPr="008A0805" w:rsidRDefault="00BE43E4" w:rsidP="00687A07">
      <w:pPr>
        <w:ind w:firstLine="480"/>
        <w:rPr>
          <w:rFonts w:ascii="Calibri" w:hAnsi="Calibri" w:cs="Calibri"/>
        </w:rPr>
      </w:pPr>
      <w:r w:rsidRPr="008A0805">
        <w:rPr>
          <w:rFonts w:ascii="Calibri" w:hAnsi="Calibri" w:cs="Calibri"/>
        </w:rPr>
        <w:br w:type="page"/>
      </w:r>
    </w:p>
    <w:p w14:paraId="783A8B2F" w14:textId="566272EF" w:rsidR="003C2F3A" w:rsidRPr="008A0805" w:rsidRDefault="003C2F3A" w:rsidP="003C2F3A">
      <w:pPr>
        <w:pStyle w:val="Heading1"/>
        <w:rPr>
          <w:rFonts w:ascii="Calibri" w:hAnsi="Calibri" w:cs="Calibri"/>
        </w:rPr>
      </w:pPr>
      <w:bookmarkStart w:id="21" w:name="_Toc199890351"/>
      <w:r w:rsidRPr="008A0805">
        <w:rPr>
          <w:rFonts w:ascii="Calibri" w:hAnsi="Calibri" w:cs="Calibri"/>
        </w:rPr>
        <w:lastRenderedPageBreak/>
        <w:t>Reference</w:t>
      </w:r>
      <w:bookmarkEnd w:id="21"/>
    </w:p>
    <w:p w14:paraId="042B45E1" w14:textId="787D1624" w:rsidR="000B5A6E" w:rsidRDefault="000B5A6E" w:rsidP="000B5A6E">
      <w:pPr>
        <w:widowControl/>
        <w:spacing w:line="480" w:lineRule="auto"/>
        <w:ind w:left="480" w:hangingChars="200" w:hanging="480"/>
        <w:rPr>
          <w:rFonts w:ascii="Calibri" w:eastAsia="SimSun" w:hAnsi="Calibri" w:cs="Calibri"/>
          <w:kern w:val="0"/>
        </w:rPr>
      </w:pPr>
      <w:r w:rsidRPr="008A0805">
        <w:rPr>
          <w:rFonts w:ascii="Calibri" w:eastAsia="SimSun" w:hAnsi="Calibri" w:cs="Calibri"/>
          <w:kern w:val="0"/>
        </w:rPr>
        <w:t xml:space="preserve">Wei, Q. (2025). A Review of China’s Electric Vehicle Consumption Market: The Impact of the Unique Chinese Culture on Car Buying Behavior. </w:t>
      </w:r>
      <w:r w:rsidRPr="008A0805">
        <w:rPr>
          <w:rFonts w:ascii="Calibri" w:eastAsia="SimSun" w:hAnsi="Calibri" w:cs="Calibri"/>
          <w:i/>
          <w:iCs/>
          <w:kern w:val="0"/>
        </w:rPr>
        <w:t>Advances in Economics Management and Political Sciences</w:t>
      </w:r>
      <w:r w:rsidRPr="008A0805">
        <w:rPr>
          <w:rFonts w:ascii="Calibri" w:eastAsia="SimSun" w:hAnsi="Calibri" w:cs="Calibri"/>
          <w:kern w:val="0"/>
        </w:rPr>
        <w:t xml:space="preserve">, </w:t>
      </w:r>
      <w:r w:rsidRPr="008A0805">
        <w:rPr>
          <w:rFonts w:ascii="Calibri" w:eastAsia="SimSun" w:hAnsi="Calibri" w:cs="Calibri"/>
          <w:i/>
          <w:iCs/>
          <w:kern w:val="0"/>
        </w:rPr>
        <w:t>166</w:t>
      </w:r>
      <w:r w:rsidRPr="008A0805">
        <w:rPr>
          <w:rFonts w:ascii="Calibri" w:eastAsia="SimSun" w:hAnsi="Calibri" w:cs="Calibri"/>
          <w:kern w:val="0"/>
        </w:rPr>
        <w:t xml:space="preserve">(1), 8–14. </w:t>
      </w:r>
      <w:hyperlink r:id="rId12" w:history="1">
        <w:r w:rsidR="0053108B" w:rsidRPr="00034FBE">
          <w:rPr>
            <w:rStyle w:val="Hyperlink"/>
            <w:rFonts w:ascii="Calibri" w:eastAsia="SimSun" w:hAnsi="Calibri" w:cs="Calibri"/>
            <w:kern w:val="0"/>
          </w:rPr>
          <w:t>https://doi.org/10.54254/2754-1169/2025.20870</w:t>
        </w:r>
      </w:hyperlink>
    </w:p>
    <w:p w14:paraId="5B60E775" w14:textId="77777777"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About SPIC. (2025). SPIC. http://eng.spic.com.cn/2021/whoweare/aboutspic/ Belt and Road Portal. (2025). BRI Official Website. https://eng.yidaiyilu.gov.cn/ Beyond Next. (2025). From China to the Globe: A Collection of OPPO’s 16-Year Overseas Expansion Experience Stories. https://www.wearebn.com/zh/2025021901 </w:t>
      </w:r>
    </w:p>
    <w:p w14:paraId="1AC8B536" w14:textId="50DDDC3B"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Bhaumik, S. K., Driffield, N., Pal, S., Aston Business School, Aston University, UK, &amp; School of Social Sciences, Brunel University, UK. (2010). Does ownership structure of emerging-market firms affect their outward FDI? The case of the Indian automotive and pharmaceutical sectors. In Academy of International Business, Journal of International Business Studies (pp. 437–450) [Journal-article]. </w:t>
      </w:r>
      <w:hyperlink r:id="rId13" w:history="1">
        <w:r w:rsidRPr="00034FBE">
          <w:rPr>
            <w:rStyle w:val="Hyperlink"/>
            <w:rFonts w:ascii="Calibri" w:eastAsia="SimSun" w:hAnsi="Calibri" w:cs="Calibri"/>
            <w:kern w:val="0"/>
          </w:rPr>
          <w:t>https://doi.org/10.1057/jibs.2009.52</w:t>
        </w:r>
      </w:hyperlink>
      <w:r w:rsidRPr="0053108B">
        <w:rPr>
          <w:rFonts w:ascii="Calibri" w:eastAsia="SimSun" w:hAnsi="Calibri" w:cs="Calibri"/>
          <w:kern w:val="0"/>
        </w:rPr>
        <w:t xml:space="preserve"> </w:t>
      </w:r>
    </w:p>
    <w:p w14:paraId="1F72EFA7" w14:textId="5DD50081"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Changjiang Business School. (2024). OPPO: Build a Global Enterprise with Deep Localization. WeChat Public Account. </w:t>
      </w:r>
      <w:hyperlink r:id="rId14" w:history="1">
        <w:r w:rsidRPr="00034FBE">
          <w:rPr>
            <w:rStyle w:val="Hyperlink"/>
            <w:rFonts w:ascii="Calibri" w:eastAsia="SimSun" w:hAnsi="Calibri" w:cs="Calibri"/>
            <w:kern w:val="0"/>
          </w:rPr>
          <w:t>https://mp.weixin.qq.com/s?__biz=MjM5MzM0NjY2MA%3D%3D&amp;mid=2652671510&amp;idx=2&amp;sn=cc470ee1c9f9180af099d4012e2dae7c&amp;chksm=bc87c6c5f3487cbd08bfea116fa5205f8b91c8f648806a43f42740bc42b8fd3309ee8c433419&amp;scene=27</w:t>
        </w:r>
      </w:hyperlink>
      <w:r w:rsidRPr="0053108B">
        <w:rPr>
          <w:rFonts w:ascii="Calibri" w:eastAsia="SimSun" w:hAnsi="Calibri" w:cs="Calibri"/>
          <w:kern w:val="0"/>
        </w:rPr>
        <w:t xml:space="preserve"> </w:t>
      </w:r>
    </w:p>
    <w:p w14:paraId="5776CD9F" w14:textId="77777777"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lastRenderedPageBreak/>
        <w:t xml:space="preserve">Chen, C., Wu, X., &amp; Wei, F. (2016). Heterogeneity of top management </w:t>
      </w:r>
      <w:proofErr w:type="spellStart"/>
      <w:proofErr w:type="gramStart"/>
      <w:r w:rsidRPr="0053108B">
        <w:rPr>
          <w:rFonts w:ascii="Calibri" w:eastAsia="SimSun" w:hAnsi="Calibri" w:cs="Calibri"/>
          <w:kern w:val="0"/>
        </w:rPr>
        <w:t>team,managerial</w:t>
      </w:r>
      <w:proofErr w:type="spellEnd"/>
      <w:proofErr w:type="gramEnd"/>
      <w:r w:rsidRPr="0053108B">
        <w:rPr>
          <w:rFonts w:ascii="Calibri" w:eastAsia="SimSun" w:hAnsi="Calibri" w:cs="Calibri"/>
          <w:kern w:val="0"/>
        </w:rPr>
        <w:t xml:space="preserve"> </w:t>
      </w:r>
      <w:proofErr w:type="spellStart"/>
      <w:proofErr w:type="gramStart"/>
      <w:r w:rsidRPr="0053108B">
        <w:rPr>
          <w:rFonts w:ascii="Calibri" w:eastAsia="SimSun" w:hAnsi="Calibri" w:cs="Calibri"/>
          <w:kern w:val="0"/>
        </w:rPr>
        <w:t>ownership,and</w:t>
      </w:r>
      <w:proofErr w:type="spellEnd"/>
      <w:proofErr w:type="gramEnd"/>
      <w:r w:rsidRPr="0053108B">
        <w:rPr>
          <w:rFonts w:ascii="Calibri" w:eastAsia="SimSun" w:hAnsi="Calibri" w:cs="Calibri"/>
          <w:kern w:val="0"/>
        </w:rPr>
        <w:t xml:space="preserve"> risk taking. Journal of Management Sciences in China, 2016(19-</w:t>
      </w:r>
      <w:proofErr w:type="gramStart"/>
      <w:r w:rsidRPr="0053108B">
        <w:rPr>
          <w:rFonts w:ascii="Calibri" w:eastAsia="SimSun" w:hAnsi="Calibri" w:cs="Calibri"/>
          <w:kern w:val="0"/>
        </w:rPr>
        <w:t>5)(</w:t>
      </w:r>
      <w:proofErr w:type="gramEnd"/>
      <w:r w:rsidRPr="0053108B">
        <w:rPr>
          <w:rFonts w:ascii="Calibri" w:eastAsia="SimSun" w:hAnsi="Calibri" w:cs="Calibri"/>
          <w:kern w:val="0"/>
        </w:rPr>
        <w:t xml:space="preserve">1–13). https://jmsc.tju.edu.cn/jmsc/article/abstract/20160501 Costa, A. D., </w:t>
      </w:r>
      <w:proofErr w:type="spellStart"/>
      <w:r w:rsidRPr="0053108B">
        <w:rPr>
          <w:rFonts w:ascii="Calibri" w:eastAsia="SimSun" w:hAnsi="Calibri" w:cs="Calibri"/>
          <w:kern w:val="0"/>
        </w:rPr>
        <w:t>Camboim</w:t>
      </w:r>
      <w:proofErr w:type="spellEnd"/>
      <w:r w:rsidRPr="0053108B">
        <w:rPr>
          <w:rFonts w:ascii="Calibri" w:eastAsia="SimSun" w:hAnsi="Calibri" w:cs="Calibri"/>
          <w:kern w:val="0"/>
        </w:rPr>
        <w:t xml:space="preserve">, </w:t>
      </w:r>
    </w:p>
    <w:p w14:paraId="40D29071" w14:textId="789C1CDD"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G. F., &amp; Zen, A. C. (2018). Internationalization patterns and their effects on company performance. Journal of Operations and Supply Chain Management, 11(1), 53–63. </w:t>
      </w:r>
      <w:hyperlink r:id="rId15" w:history="1">
        <w:r w:rsidRPr="00034FBE">
          <w:rPr>
            <w:rStyle w:val="Hyperlink"/>
            <w:rFonts w:ascii="Calibri" w:eastAsia="SimSun" w:hAnsi="Calibri" w:cs="Calibri"/>
            <w:kern w:val="0"/>
          </w:rPr>
          <w:t>https://doi.org/10.12660/joscmv11n1p53-63</w:t>
        </w:r>
      </w:hyperlink>
      <w:r w:rsidRPr="0053108B">
        <w:rPr>
          <w:rFonts w:ascii="Calibri" w:eastAsia="SimSun" w:hAnsi="Calibri" w:cs="Calibri"/>
          <w:kern w:val="0"/>
        </w:rPr>
        <w:t xml:space="preserve"> </w:t>
      </w:r>
    </w:p>
    <w:p w14:paraId="7CFA49F2" w14:textId="77777777"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Dumitrescu, M.-S., Paraschiv, D., Nițu, M., &amp; Bucharest University of Economic Studies. (2019). Internationalization of Companies – Stages and Challenges in the Global Business Environment. Ovidius</w:t>
      </w:r>
    </w:p>
    <w:p w14:paraId="2AE1DC5F" w14:textId="1B8606FE"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University Annals, Economic Sciences Series, </w:t>
      </w:r>
      <w:proofErr w:type="gramStart"/>
      <w:r w:rsidRPr="0053108B">
        <w:rPr>
          <w:rFonts w:ascii="Calibri" w:eastAsia="SimSun" w:hAnsi="Calibri" w:cs="Calibri"/>
          <w:kern w:val="0"/>
        </w:rPr>
        <w:t>XIX(</w:t>
      </w:r>
      <w:proofErr w:type="gramEnd"/>
      <w:r w:rsidRPr="0053108B">
        <w:rPr>
          <w:rFonts w:ascii="Calibri" w:eastAsia="SimSun" w:hAnsi="Calibri" w:cs="Calibri"/>
          <w:kern w:val="0"/>
        </w:rPr>
        <w:t xml:space="preserve">1 /2019). https://www.stec.univ-ovidius.ro/html/anale/RO/wp-content/uploads/2019/08/4.pdf Gomez-Mejia, L. R., Neacsu, I., &amp; Martin, G. (2017). CEO Risk-Taking and Socioemotional Wealth: The Behavioral Agency Model, Family Control, and CEO Option Wealth. Journal of Management, 45(4), 1713–1738. </w:t>
      </w:r>
      <w:hyperlink r:id="rId16" w:history="1">
        <w:r w:rsidRPr="00034FBE">
          <w:rPr>
            <w:rStyle w:val="Hyperlink"/>
            <w:rFonts w:ascii="Calibri" w:eastAsia="SimSun" w:hAnsi="Calibri" w:cs="Calibri"/>
            <w:kern w:val="0"/>
          </w:rPr>
          <w:t>https://doi.org/10.1177/0149206317723711</w:t>
        </w:r>
      </w:hyperlink>
      <w:r w:rsidRPr="0053108B">
        <w:rPr>
          <w:rFonts w:ascii="Calibri" w:eastAsia="SimSun" w:hAnsi="Calibri" w:cs="Calibri"/>
          <w:kern w:val="0"/>
        </w:rPr>
        <w:t xml:space="preserve"> </w:t>
      </w:r>
    </w:p>
    <w:p w14:paraId="339F9FB8" w14:textId="14704E13"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Huang, Y. (2020). Research on the Impact of Senior Managers’ Risk Preferences on Inefficient Investment. Times Finance, 2020(13),65-67. </w:t>
      </w:r>
      <w:hyperlink r:id="rId17" w:history="1">
        <w:r w:rsidRPr="00034FBE">
          <w:rPr>
            <w:rStyle w:val="Hyperlink"/>
            <w:rFonts w:ascii="Calibri" w:eastAsia="SimSun" w:hAnsi="Calibri" w:cs="Calibri"/>
            <w:kern w:val="0"/>
          </w:rPr>
          <w:t>https://cstj.cqvip.com/Qikan/Article/Detail?id=00002EKIL5587JP0MPDG6JP06P</w:t>
        </w:r>
      </w:hyperlink>
    </w:p>
    <w:p w14:paraId="247C063B" w14:textId="0D4F1404"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R Khanna, T., &amp; Palepu, K. (1997). Why Focused Strategies May Be Wrong for Emerging Markets. Harvard Business Review. </w:t>
      </w:r>
      <w:hyperlink r:id="rId18" w:history="1">
        <w:r w:rsidRPr="00034FBE">
          <w:rPr>
            <w:rStyle w:val="Hyperlink"/>
            <w:rFonts w:ascii="Calibri" w:eastAsia="SimSun" w:hAnsi="Calibri" w:cs="Calibri"/>
            <w:kern w:val="0"/>
          </w:rPr>
          <w:t>https://hbr.org/1997/07/why-focused-strategies-may-be-wrong-for-emerging-markets</w:t>
        </w:r>
      </w:hyperlink>
      <w:r w:rsidRPr="0053108B">
        <w:rPr>
          <w:rFonts w:ascii="Calibri" w:eastAsia="SimSun" w:hAnsi="Calibri" w:cs="Calibri"/>
          <w:kern w:val="0"/>
        </w:rPr>
        <w:t xml:space="preserve"> </w:t>
      </w:r>
    </w:p>
    <w:p w14:paraId="22BF14C6" w14:textId="1DCC5939"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lastRenderedPageBreak/>
        <w:t xml:space="preserve">Kong, X. (2015). Research on the Internationalization Development Strategy of Large - scale State - owned Energy Central Enterprises: Taking China Power Investment Group Corporation as an Example. University of International Business and Economics, Beijing. </w:t>
      </w:r>
      <w:hyperlink r:id="rId19" w:history="1">
        <w:r w:rsidRPr="00034FBE">
          <w:rPr>
            <w:rStyle w:val="Hyperlink"/>
            <w:rFonts w:ascii="Calibri" w:eastAsia="SimSun" w:hAnsi="Calibri" w:cs="Calibri"/>
            <w:kern w:val="0"/>
          </w:rPr>
          <w:t>https://d.wanfangdata.com.cn/thesis/ChhUaGVzaXNOZXdTMjAyNDA5MjAxNTE3MjUSB0Q3MjI4NDcaCGQyaXVnbjY5</w:t>
        </w:r>
      </w:hyperlink>
      <w:r w:rsidRPr="0053108B">
        <w:rPr>
          <w:rFonts w:ascii="Calibri" w:eastAsia="SimSun" w:hAnsi="Calibri" w:cs="Calibri"/>
          <w:kern w:val="0"/>
        </w:rPr>
        <w:t xml:space="preserve"> </w:t>
      </w:r>
    </w:p>
    <w:p w14:paraId="4724177F" w14:textId="5DCE48AA" w:rsidR="0053108B" w:rsidRDefault="0053108B" w:rsidP="000B5A6E">
      <w:pPr>
        <w:widowControl/>
        <w:spacing w:line="480" w:lineRule="auto"/>
        <w:ind w:left="480" w:hangingChars="200" w:hanging="480"/>
        <w:rPr>
          <w:rFonts w:ascii="Calibri" w:eastAsia="SimSun" w:hAnsi="Calibri" w:cs="Calibri"/>
          <w:kern w:val="0"/>
        </w:rPr>
      </w:pPr>
      <w:proofErr w:type="spellStart"/>
      <w:r w:rsidRPr="0053108B">
        <w:rPr>
          <w:rFonts w:ascii="Calibri" w:eastAsia="SimSun" w:hAnsi="Calibri" w:cs="Calibri"/>
          <w:kern w:val="0"/>
        </w:rPr>
        <w:t>Loehde</w:t>
      </w:r>
      <w:proofErr w:type="spellEnd"/>
      <w:r w:rsidRPr="0053108B">
        <w:rPr>
          <w:rFonts w:ascii="Calibri" w:eastAsia="SimSun" w:hAnsi="Calibri" w:cs="Calibri"/>
          <w:kern w:val="0"/>
        </w:rPr>
        <w:t xml:space="preserve">, A. S. K., </w:t>
      </w:r>
      <w:proofErr w:type="spellStart"/>
      <w:r w:rsidRPr="0053108B">
        <w:rPr>
          <w:rFonts w:ascii="Calibri" w:eastAsia="SimSun" w:hAnsi="Calibri" w:cs="Calibri"/>
          <w:kern w:val="0"/>
        </w:rPr>
        <w:t>Calabrò</w:t>
      </w:r>
      <w:proofErr w:type="spellEnd"/>
      <w:r w:rsidRPr="0053108B">
        <w:rPr>
          <w:rFonts w:ascii="Calibri" w:eastAsia="SimSun" w:hAnsi="Calibri" w:cs="Calibri"/>
          <w:kern w:val="0"/>
        </w:rPr>
        <w:t xml:space="preserve">, A., Torchia, M., &amp; Kraus, S. (2020). Joint (Ad)ventures—Family firms’ international entry mode choices for emerging markets. International Journal of Entrepreneurial Behaviour &amp; Research, 26(6), 1235–1258. </w:t>
      </w:r>
      <w:hyperlink r:id="rId20" w:history="1">
        <w:r w:rsidRPr="00034FBE">
          <w:rPr>
            <w:rStyle w:val="Hyperlink"/>
            <w:rFonts w:ascii="Calibri" w:eastAsia="SimSun" w:hAnsi="Calibri" w:cs="Calibri"/>
            <w:kern w:val="0"/>
          </w:rPr>
          <w:t>https://doi.org/10.1108/ijebr-10-2019-0573</w:t>
        </w:r>
      </w:hyperlink>
      <w:r w:rsidRPr="0053108B">
        <w:rPr>
          <w:rFonts w:ascii="Calibri" w:eastAsia="SimSun" w:hAnsi="Calibri" w:cs="Calibri"/>
          <w:kern w:val="0"/>
        </w:rPr>
        <w:t xml:space="preserve"> </w:t>
      </w:r>
    </w:p>
    <w:p w14:paraId="44A9A8E3" w14:textId="0B041CC6"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Lu, J. W., &amp; Beamish, P. W. (2004). International Diversification and Firm Performance: The S-curve Hypothesis. Academy of Management Journal, 47(4), 598–609. </w:t>
      </w:r>
      <w:hyperlink r:id="rId21" w:history="1">
        <w:r w:rsidRPr="00034FBE">
          <w:rPr>
            <w:rStyle w:val="Hyperlink"/>
            <w:rFonts w:ascii="Calibri" w:eastAsia="SimSun" w:hAnsi="Calibri" w:cs="Calibri"/>
            <w:kern w:val="0"/>
          </w:rPr>
          <w:t>https://doi.org/10.5465/20159604</w:t>
        </w:r>
      </w:hyperlink>
      <w:r w:rsidRPr="0053108B">
        <w:rPr>
          <w:rFonts w:ascii="Calibri" w:eastAsia="SimSun" w:hAnsi="Calibri" w:cs="Calibri"/>
          <w:kern w:val="0"/>
        </w:rPr>
        <w:t xml:space="preserve"> </w:t>
      </w:r>
    </w:p>
    <w:p w14:paraId="725E7391" w14:textId="103D7379" w:rsidR="0053108B" w:rsidRDefault="0053108B" w:rsidP="000B5A6E">
      <w:pPr>
        <w:widowControl/>
        <w:spacing w:line="480" w:lineRule="auto"/>
        <w:ind w:left="480" w:hangingChars="200" w:hanging="480"/>
        <w:rPr>
          <w:rFonts w:ascii="Calibri" w:eastAsia="SimSun" w:hAnsi="Calibri" w:cs="Calibri"/>
          <w:kern w:val="0"/>
        </w:rPr>
      </w:pPr>
      <w:proofErr w:type="spellStart"/>
      <w:r w:rsidRPr="0053108B">
        <w:rPr>
          <w:rFonts w:ascii="Calibri" w:eastAsia="SimSun" w:hAnsi="Calibri" w:cs="Calibri"/>
          <w:kern w:val="0"/>
        </w:rPr>
        <w:t>Oceanengine</w:t>
      </w:r>
      <w:proofErr w:type="spellEnd"/>
      <w:r w:rsidRPr="0053108B">
        <w:rPr>
          <w:rFonts w:ascii="Calibri" w:eastAsia="SimSun" w:hAnsi="Calibri" w:cs="Calibri"/>
          <w:kern w:val="0"/>
        </w:rPr>
        <w:t xml:space="preserve">. (2023). 2022 China Smart Manufacturing Observation Report. </w:t>
      </w:r>
      <w:hyperlink r:id="rId22" w:history="1">
        <w:r w:rsidRPr="00034FBE">
          <w:rPr>
            <w:rStyle w:val="Hyperlink"/>
            <w:rFonts w:ascii="Calibri" w:eastAsia="SimSun" w:hAnsi="Calibri" w:cs="Calibri"/>
            <w:kern w:val="0"/>
          </w:rPr>
          <w:t>https://trendinsight.oceanengine.com/arithmetic-report/detail/802</w:t>
        </w:r>
      </w:hyperlink>
      <w:r w:rsidRPr="0053108B">
        <w:rPr>
          <w:rFonts w:ascii="Calibri" w:eastAsia="SimSun" w:hAnsi="Calibri" w:cs="Calibri"/>
          <w:kern w:val="0"/>
        </w:rPr>
        <w:t xml:space="preserve"> </w:t>
      </w:r>
    </w:p>
    <w:p w14:paraId="4E95E910" w14:textId="6BEE17BC"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OPPO Global. (2025). About OPPO. OPPO. </w:t>
      </w:r>
      <w:hyperlink r:id="rId23" w:history="1">
        <w:r w:rsidRPr="00034FBE">
          <w:rPr>
            <w:rStyle w:val="Hyperlink"/>
            <w:rFonts w:ascii="Calibri" w:eastAsia="SimSun" w:hAnsi="Calibri" w:cs="Calibri"/>
            <w:kern w:val="0"/>
          </w:rPr>
          <w:t>https://www.oppo.com/en/about/</w:t>
        </w:r>
      </w:hyperlink>
      <w:r w:rsidRPr="0053108B">
        <w:rPr>
          <w:rFonts w:ascii="Calibri" w:eastAsia="SimSun" w:hAnsi="Calibri" w:cs="Calibri"/>
          <w:kern w:val="0"/>
        </w:rPr>
        <w:t xml:space="preserve"> </w:t>
      </w:r>
    </w:p>
    <w:p w14:paraId="447BB476" w14:textId="6E0A09B6"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Panicker, V. S., Mitra, S., &amp; Upadhyayula, R. S. (2019). Institutional Investors and International Investments in Emerging economy firms: A Behavioral Risk perspective. Journal of World Business, 54(4), 322–334. </w:t>
      </w:r>
      <w:hyperlink r:id="rId24" w:history="1">
        <w:r w:rsidRPr="00034FBE">
          <w:rPr>
            <w:rStyle w:val="Hyperlink"/>
            <w:rFonts w:ascii="Calibri" w:eastAsia="SimSun" w:hAnsi="Calibri" w:cs="Calibri"/>
            <w:kern w:val="0"/>
          </w:rPr>
          <w:t>https://doi.org/10.1016/j.jwb.2018.12.002</w:t>
        </w:r>
      </w:hyperlink>
      <w:r w:rsidRPr="0053108B">
        <w:rPr>
          <w:rFonts w:ascii="Calibri" w:eastAsia="SimSun" w:hAnsi="Calibri" w:cs="Calibri"/>
          <w:kern w:val="0"/>
        </w:rPr>
        <w:t xml:space="preserve"> </w:t>
      </w:r>
    </w:p>
    <w:p w14:paraId="3A945A90" w14:textId="544393F6" w:rsidR="0053108B" w:rsidRDefault="0053108B" w:rsidP="000B5A6E">
      <w:pPr>
        <w:widowControl/>
        <w:spacing w:line="480" w:lineRule="auto"/>
        <w:ind w:left="480" w:hangingChars="200" w:hanging="480"/>
        <w:rPr>
          <w:rFonts w:ascii="Calibri" w:eastAsia="SimSun" w:hAnsi="Calibri" w:cs="Calibri"/>
          <w:kern w:val="0"/>
        </w:rPr>
      </w:pPr>
      <w:proofErr w:type="spellStart"/>
      <w:r w:rsidRPr="0053108B">
        <w:rPr>
          <w:rFonts w:ascii="Calibri" w:eastAsia="SimSun" w:hAnsi="Calibri" w:cs="Calibri"/>
          <w:kern w:val="0"/>
        </w:rPr>
        <w:lastRenderedPageBreak/>
        <w:t>Rajverma</w:t>
      </w:r>
      <w:proofErr w:type="spellEnd"/>
      <w:r w:rsidRPr="0053108B">
        <w:rPr>
          <w:rFonts w:ascii="Calibri" w:eastAsia="SimSun" w:hAnsi="Calibri" w:cs="Calibri"/>
          <w:kern w:val="0"/>
        </w:rPr>
        <w:t xml:space="preserve">, A. (2024). Impact of Ownership Structure and Dividends on Firm Risk and Market Liquidity. Journal of Risk and Financial Management, 17(7), 262. </w:t>
      </w:r>
      <w:hyperlink r:id="rId25" w:history="1">
        <w:r w:rsidRPr="00034FBE">
          <w:rPr>
            <w:rStyle w:val="Hyperlink"/>
            <w:rFonts w:ascii="Calibri" w:eastAsia="SimSun" w:hAnsi="Calibri" w:cs="Calibri"/>
            <w:kern w:val="0"/>
          </w:rPr>
          <w:t>https://doi.org/10.3390/jrfm17070262</w:t>
        </w:r>
      </w:hyperlink>
      <w:r w:rsidRPr="0053108B">
        <w:rPr>
          <w:rFonts w:ascii="Calibri" w:eastAsia="SimSun" w:hAnsi="Calibri" w:cs="Calibri"/>
          <w:kern w:val="0"/>
        </w:rPr>
        <w:t xml:space="preserve"> </w:t>
      </w:r>
    </w:p>
    <w:p w14:paraId="757EEADF" w14:textId="534CB76C"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Serban, E., Borisov, D., &amp; Dobrea, R. (2012). EMERGING MARKETS: CONCEPT EVOLUTION AND BUSINESS ENVIRONMENT PARTICULARITIES. Management Research and Practice. </w:t>
      </w:r>
      <w:hyperlink r:id="rId26" w:history="1">
        <w:r w:rsidRPr="00034FBE">
          <w:rPr>
            <w:rStyle w:val="Hyperlink"/>
            <w:rFonts w:ascii="Calibri" w:eastAsia="SimSun" w:hAnsi="Calibri" w:cs="Calibri"/>
            <w:kern w:val="0"/>
          </w:rPr>
          <w:t>https://www.semanticscholar.org/paper/EMERGING-MARKETS%3A-CONCEPT-EVOLUTION-AND-BUSINESS-Serban-Borisov/4e9bcec4bf565b169137786f2dc3d5c9fda8d590</w:t>
        </w:r>
      </w:hyperlink>
      <w:r w:rsidRPr="0053108B">
        <w:rPr>
          <w:rFonts w:ascii="Calibri" w:eastAsia="SimSun" w:hAnsi="Calibri" w:cs="Calibri"/>
          <w:kern w:val="0"/>
        </w:rPr>
        <w:t xml:space="preserve"> </w:t>
      </w:r>
    </w:p>
    <w:p w14:paraId="7940CCEA" w14:textId="63853815" w:rsidR="0053108B" w:rsidRDefault="0053108B" w:rsidP="000B5A6E">
      <w:pPr>
        <w:widowControl/>
        <w:spacing w:line="480" w:lineRule="auto"/>
        <w:ind w:left="480" w:hangingChars="200" w:hanging="480"/>
        <w:rPr>
          <w:rFonts w:ascii="Calibri" w:eastAsia="SimSun" w:hAnsi="Calibri" w:cs="Calibri"/>
          <w:kern w:val="0"/>
        </w:rPr>
      </w:pPr>
      <w:proofErr w:type="spellStart"/>
      <w:r w:rsidRPr="0053108B">
        <w:rPr>
          <w:rFonts w:ascii="Calibri" w:eastAsia="SimSun" w:hAnsi="Calibri" w:cs="Calibri"/>
          <w:kern w:val="0"/>
        </w:rPr>
        <w:t>Sheyan</w:t>
      </w:r>
      <w:proofErr w:type="spellEnd"/>
      <w:r w:rsidRPr="0053108B">
        <w:rPr>
          <w:rFonts w:ascii="Calibri" w:eastAsia="SimSun" w:hAnsi="Calibri" w:cs="Calibri"/>
          <w:kern w:val="0"/>
        </w:rPr>
        <w:t xml:space="preserve"> Finance. (2025). Analysis of OPPO’s dilemma: the breakthrough path under the triple challenges of high - end market, overseas expansion and innovation. </w:t>
      </w:r>
      <w:proofErr w:type="spellStart"/>
      <w:r w:rsidRPr="0053108B">
        <w:rPr>
          <w:rFonts w:ascii="Calibri" w:eastAsia="SimSun" w:hAnsi="Calibri" w:cs="Calibri"/>
          <w:kern w:val="0"/>
        </w:rPr>
        <w:t>cnFOL</w:t>
      </w:r>
      <w:proofErr w:type="spellEnd"/>
      <w:r w:rsidRPr="0053108B">
        <w:rPr>
          <w:rFonts w:ascii="Calibri" w:eastAsia="SimSun" w:hAnsi="Calibri" w:cs="Calibri"/>
          <w:kern w:val="0"/>
        </w:rPr>
        <w:t xml:space="preserve">. </w:t>
      </w:r>
      <w:hyperlink r:id="rId27" w:history="1">
        <w:r w:rsidRPr="00034FBE">
          <w:rPr>
            <w:rStyle w:val="Hyperlink"/>
            <w:rFonts w:ascii="Calibri" w:eastAsia="SimSun" w:hAnsi="Calibri" w:cs="Calibri"/>
            <w:kern w:val="0"/>
          </w:rPr>
          <w:t>http://mp.cnfol.com/49592/article/1743169804-141725357.html</w:t>
        </w:r>
      </w:hyperlink>
      <w:r w:rsidRPr="0053108B">
        <w:rPr>
          <w:rFonts w:ascii="Calibri" w:eastAsia="SimSun" w:hAnsi="Calibri" w:cs="Calibri"/>
          <w:kern w:val="0"/>
        </w:rPr>
        <w:t xml:space="preserve"> </w:t>
      </w:r>
    </w:p>
    <w:p w14:paraId="47ED61CC" w14:textId="7A76CDEF"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State-owned Assets Supervision and Administration Commission of the State Council. (2011). Interim measures for the supervision and administration of state-owned assets overseas for central enterprises. </w:t>
      </w:r>
      <w:hyperlink r:id="rId28" w:history="1">
        <w:r w:rsidRPr="00034FBE">
          <w:rPr>
            <w:rStyle w:val="Hyperlink"/>
            <w:rFonts w:ascii="Calibri" w:eastAsia="SimSun" w:hAnsi="Calibri" w:cs="Calibri"/>
            <w:kern w:val="0"/>
          </w:rPr>
          <w:t>https://www.gov.cn/zhengce/2022-01/12/content_5718603.htm</w:t>
        </w:r>
      </w:hyperlink>
      <w:r w:rsidRPr="0053108B">
        <w:rPr>
          <w:rFonts w:ascii="Calibri" w:eastAsia="SimSun" w:hAnsi="Calibri" w:cs="Calibri"/>
          <w:kern w:val="0"/>
        </w:rPr>
        <w:t xml:space="preserve"> </w:t>
      </w:r>
    </w:p>
    <w:p w14:paraId="00F18994" w14:textId="1CBE735A"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Tsao, C., Wang, M., Lu, C., Chen, S., &amp; Wang, Y. (2018). Internationalization propensity in family-controlled public firms in emerging markets. Journal of Small Business Strategy. </w:t>
      </w:r>
      <w:hyperlink r:id="rId29" w:history="1">
        <w:r w:rsidRPr="00034FBE">
          <w:rPr>
            <w:rStyle w:val="Hyperlink"/>
            <w:rFonts w:ascii="Calibri" w:eastAsia="SimSun" w:hAnsi="Calibri" w:cs="Calibri"/>
            <w:kern w:val="0"/>
          </w:rPr>
          <w:t>https://www.semanticscholar.org/paper/Internationalization-propensity-in-public-firms-in-Tsao-Wang/2b2e5c3d1cbb26d395ac1028f3470a2c40b8edc1</w:t>
        </w:r>
      </w:hyperlink>
      <w:r w:rsidRPr="0053108B">
        <w:rPr>
          <w:rFonts w:ascii="Calibri" w:eastAsia="SimSun" w:hAnsi="Calibri" w:cs="Calibri"/>
          <w:kern w:val="0"/>
        </w:rPr>
        <w:t xml:space="preserve"> </w:t>
      </w:r>
    </w:p>
    <w:p w14:paraId="390F24CB" w14:textId="49E212A1" w:rsidR="0053108B" w:rsidRPr="008A0805"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Wang, C. (2024). State-Owned Capital Participation and Private Enterprises Internationalize—Formation Mechanism and Testing of the Inverted U-Shaped </w:t>
      </w:r>
      <w:r w:rsidRPr="0053108B">
        <w:rPr>
          <w:rFonts w:ascii="Calibri" w:eastAsia="SimSun" w:hAnsi="Calibri" w:cs="Calibri"/>
          <w:kern w:val="0"/>
        </w:rPr>
        <w:lastRenderedPageBreak/>
        <w:t>Relationship. E-Commerce Letters, 13(04), 2579–2591. https://doi.org/10.12677/ecl.2024.1341431</w:t>
      </w:r>
    </w:p>
    <w:p w14:paraId="32048DD6" w14:textId="77777777" w:rsidR="003C2F3A" w:rsidRPr="008A0805" w:rsidRDefault="003C2F3A" w:rsidP="00C6480B">
      <w:pPr>
        <w:pStyle w:val="a"/>
        <w:jc w:val="left"/>
        <w:rPr>
          <w:rFonts w:ascii="Calibri" w:hAnsi="Calibri" w:cs="Calibri"/>
        </w:rPr>
      </w:pPr>
    </w:p>
    <w:sectPr w:rsidR="003C2F3A" w:rsidRPr="008A0805" w:rsidSect="00BE43E4">
      <w:headerReference w:type="even" r:id="rId30"/>
      <w:headerReference w:type="default" r:id="rId31"/>
      <w:footerReference w:type="even" r:id="rId32"/>
      <w:footerReference w:type="default" r:id="rId33"/>
      <w:headerReference w:type="first" r:id="rId34"/>
      <w:footerReference w:type="first" r:id="rId35"/>
      <w:type w:val="continuous"/>
      <w:pgSz w:w="11906" w:h="16838"/>
      <w:pgMar w:top="1440" w:right="1800" w:bottom="1440" w:left="1800" w:header="851" w:footer="56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7DFF" w14:textId="77777777" w:rsidR="00F25CFB" w:rsidRDefault="00F25CFB" w:rsidP="009A1156">
      <w:pPr>
        <w:ind w:firstLine="480"/>
      </w:pPr>
      <w:r>
        <w:separator/>
      </w:r>
    </w:p>
  </w:endnote>
  <w:endnote w:type="continuationSeparator" w:id="0">
    <w:p w14:paraId="4F636E9C" w14:textId="77777777" w:rsidR="00F25CFB" w:rsidRDefault="00F25CFB" w:rsidP="009A1156">
      <w:pPr>
        <w:ind w:firstLine="480"/>
      </w:pPr>
      <w:r>
        <w:continuationSeparator/>
      </w:r>
    </w:p>
  </w:endnote>
  <w:endnote w:type="continuationNotice" w:id="1">
    <w:p w14:paraId="25BA13F2" w14:textId="77777777" w:rsidR="00F25CFB" w:rsidRDefault="00F25CFB">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C0F5" w14:textId="77777777" w:rsidR="0070336F" w:rsidRDefault="0070336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D0F5" w14:textId="021F95BD" w:rsidR="00447048" w:rsidRPr="001E3661" w:rsidRDefault="00447048" w:rsidP="009A115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E59A" w14:textId="77777777" w:rsidR="0070336F" w:rsidRDefault="0070336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CBC9" w14:textId="77777777" w:rsidR="00F25CFB" w:rsidRDefault="00F25CFB" w:rsidP="009A1156">
      <w:pPr>
        <w:ind w:firstLine="480"/>
      </w:pPr>
      <w:r>
        <w:separator/>
      </w:r>
    </w:p>
  </w:footnote>
  <w:footnote w:type="continuationSeparator" w:id="0">
    <w:p w14:paraId="680C8803" w14:textId="77777777" w:rsidR="00F25CFB" w:rsidRDefault="00F25CFB" w:rsidP="009A1156">
      <w:pPr>
        <w:ind w:firstLine="480"/>
      </w:pPr>
      <w:r>
        <w:continuationSeparator/>
      </w:r>
    </w:p>
  </w:footnote>
  <w:footnote w:type="continuationNotice" w:id="1">
    <w:p w14:paraId="53F8EFB5" w14:textId="77777777" w:rsidR="00F25CFB" w:rsidRDefault="00F25CFB">
      <w:pPr>
        <w:spacing w:line="240" w:lineRule="auto"/>
        <w:ind w:firstLine="4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617A" w14:textId="0EF13E9A" w:rsidR="0070336F" w:rsidRDefault="00B14D33">
    <w:pPr>
      <w:pStyle w:val="Header"/>
      <w:ind w:firstLine="360"/>
    </w:pPr>
    <w:r>
      <w:rPr>
        <w:noProof/>
      </w:rPr>
      <w:pict w14:anchorId="262C5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34735"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129A" w14:textId="272BBBAF" w:rsidR="001E3661" w:rsidRDefault="00B14D33" w:rsidP="009A1156">
    <w:pPr>
      <w:pStyle w:val="Header"/>
      <w:ind w:firstLine="360"/>
    </w:pPr>
    <w:r>
      <w:rPr>
        <w:noProof/>
      </w:rPr>
      <w:pict w14:anchorId="6B5B4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34736"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441738105"/>
        <w:docPartObj>
          <w:docPartGallery w:val="Page Numbers (Top of Page)"/>
          <w:docPartUnique/>
        </w:docPartObj>
      </w:sdtPr>
      <w:sdtContent>
        <w:r w:rsidR="001E3661">
          <w:fldChar w:fldCharType="begin"/>
        </w:r>
        <w:r w:rsidR="001E3661">
          <w:instrText>PAGE   \* MERGEFORMAT</w:instrText>
        </w:r>
        <w:r w:rsidR="001E3661">
          <w:fldChar w:fldCharType="separate"/>
        </w:r>
        <w:r w:rsidR="001E3661">
          <w:rPr>
            <w:lang w:val="zh-CN"/>
          </w:rPr>
          <w:t>2</w:t>
        </w:r>
        <w:r w:rsidR="001E3661">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2F7A" w14:textId="285C1147" w:rsidR="0070336F" w:rsidRDefault="00B14D33" w:rsidP="00B14D33">
    <w:pPr>
      <w:pStyle w:val="Header"/>
      <w:tabs>
        <w:tab w:val="left" w:pos="3030"/>
        <w:tab w:val="center" w:pos="4333"/>
      </w:tabs>
      <w:ind w:firstLine="360"/>
      <w:jc w:val="left"/>
    </w:pPr>
    <w:r>
      <w:tab/>
    </w:r>
    <w:r>
      <w:tab/>
    </w:r>
    <w:r>
      <w:tab/>
    </w:r>
    <w:r>
      <w:rPr>
        <w:noProof/>
      </w:rPr>
      <w:pict w14:anchorId="1AA3F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34734"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49B"/>
    <w:multiLevelType w:val="multilevel"/>
    <w:tmpl w:val="79E6EBC4"/>
    <w:lvl w:ilvl="0">
      <w:start w:val="2"/>
      <w:numFmt w:val="decimal"/>
      <w:lvlText w:val="%1"/>
      <w:lvlJc w:val="left"/>
      <w:pPr>
        <w:ind w:left="-120" w:hanging="360"/>
      </w:pPr>
      <w:rPr>
        <w:rFonts w:hint="default"/>
      </w:rPr>
    </w:lvl>
    <w:lvl w:ilvl="1">
      <w:start w:val="3"/>
      <w:numFmt w:val="decimal"/>
      <w:lvlText w:val="%1.%2"/>
      <w:lvlJc w:val="left"/>
      <w:pPr>
        <w:ind w:left="-120" w:hanging="360"/>
      </w:pPr>
      <w:rPr>
        <w:rFonts w:hint="default"/>
      </w:rPr>
    </w:lvl>
    <w:lvl w:ilvl="2">
      <w:start w:val="1"/>
      <w:numFmt w:val="decimal"/>
      <w:lvlText w:val="%1.%2.%3"/>
      <w:lvlJc w:val="left"/>
      <w:pPr>
        <w:ind w:left="240" w:hanging="720"/>
      </w:pPr>
      <w:rPr>
        <w:rFonts w:hint="default"/>
      </w:rPr>
    </w:lvl>
    <w:lvl w:ilvl="3">
      <w:start w:val="1"/>
      <w:numFmt w:val="decimal"/>
      <w:lvlText w:val="%1.%2.%3.%4"/>
      <w:lvlJc w:val="left"/>
      <w:pPr>
        <w:ind w:left="240" w:hanging="72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960" w:hanging="1440"/>
      </w:pPr>
      <w:rPr>
        <w:rFonts w:hint="default"/>
      </w:rPr>
    </w:lvl>
    <w:lvl w:ilvl="7">
      <w:start w:val="1"/>
      <w:numFmt w:val="decimal"/>
      <w:lvlText w:val="%1.%2.%3.%4.%5.%6.%7.%8"/>
      <w:lvlJc w:val="left"/>
      <w:pPr>
        <w:ind w:left="960" w:hanging="1440"/>
      </w:pPr>
      <w:rPr>
        <w:rFonts w:hint="default"/>
      </w:rPr>
    </w:lvl>
    <w:lvl w:ilvl="8">
      <w:start w:val="1"/>
      <w:numFmt w:val="decimal"/>
      <w:lvlText w:val="%1.%2.%3.%4.%5.%6.%7.%8.%9"/>
      <w:lvlJc w:val="left"/>
      <w:pPr>
        <w:ind w:left="1320" w:hanging="1800"/>
      </w:pPr>
      <w:rPr>
        <w:rFonts w:hint="default"/>
      </w:rPr>
    </w:lvl>
  </w:abstractNum>
  <w:abstractNum w:abstractNumId="1" w15:restartNumberingAfterBreak="0">
    <w:nsid w:val="042F2F35"/>
    <w:multiLevelType w:val="hybridMultilevel"/>
    <w:tmpl w:val="C21E6BB4"/>
    <w:lvl w:ilvl="0" w:tplc="FF9ED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733C13"/>
    <w:multiLevelType w:val="hybridMultilevel"/>
    <w:tmpl w:val="A4AE1C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7F1BC0"/>
    <w:multiLevelType w:val="hybridMultilevel"/>
    <w:tmpl w:val="A0BCDE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BF49FE"/>
    <w:multiLevelType w:val="hybridMultilevel"/>
    <w:tmpl w:val="1FEAB28E"/>
    <w:lvl w:ilvl="0" w:tplc="3668C05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582C61"/>
    <w:multiLevelType w:val="hybridMultilevel"/>
    <w:tmpl w:val="069E46DE"/>
    <w:lvl w:ilvl="0" w:tplc="ED6AADB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204EF0"/>
    <w:multiLevelType w:val="multilevel"/>
    <w:tmpl w:val="3BA0EED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FE6089"/>
    <w:multiLevelType w:val="multilevel"/>
    <w:tmpl w:val="5EE0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E5A38"/>
    <w:multiLevelType w:val="hybridMultilevel"/>
    <w:tmpl w:val="BF6E88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056BEA"/>
    <w:multiLevelType w:val="multilevel"/>
    <w:tmpl w:val="92A0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6B14BB"/>
    <w:multiLevelType w:val="hybridMultilevel"/>
    <w:tmpl w:val="2FE4BE4C"/>
    <w:lvl w:ilvl="0" w:tplc="689A54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550CB9"/>
    <w:multiLevelType w:val="hybridMultilevel"/>
    <w:tmpl w:val="7FF6A3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4B5CE8"/>
    <w:multiLevelType w:val="hybridMultilevel"/>
    <w:tmpl w:val="2D625F06"/>
    <w:lvl w:ilvl="0" w:tplc="FF9ED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927344"/>
    <w:multiLevelType w:val="multilevel"/>
    <w:tmpl w:val="971EF7C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F3795A"/>
    <w:multiLevelType w:val="multilevel"/>
    <w:tmpl w:val="9B54582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127E33"/>
    <w:multiLevelType w:val="hybridMultilevel"/>
    <w:tmpl w:val="D108DB04"/>
    <w:lvl w:ilvl="0" w:tplc="FF9EDE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7D24073"/>
    <w:multiLevelType w:val="multilevel"/>
    <w:tmpl w:val="76EA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571C1B"/>
    <w:multiLevelType w:val="hybridMultilevel"/>
    <w:tmpl w:val="49909CB6"/>
    <w:lvl w:ilvl="0" w:tplc="870EAD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0146DE5"/>
    <w:multiLevelType w:val="multilevel"/>
    <w:tmpl w:val="989ABF7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1A43BB"/>
    <w:multiLevelType w:val="multilevel"/>
    <w:tmpl w:val="5AD4FA9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6872000">
    <w:abstractNumId w:val="1"/>
  </w:num>
  <w:num w:numId="2" w16cid:durableId="1657340707">
    <w:abstractNumId w:val="15"/>
  </w:num>
  <w:num w:numId="3" w16cid:durableId="1848864147">
    <w:abstractNumId w:val="0"/>
  </w:num>
  <w:num w:numId="4" w16cid:durableId="115493103">
    <w:abstractNumId w:val="6"/>
  </w:num>
  <w:num w:numId="5" w16cid:durableId="193003678">
    <w:abstractNumId w:val="12"/>
  </w:num>
  <w:num w:numId="6" w16cid:durableId="2090232601">
    <w:abstractNumId w:val="5"/>
  </w:num>
  <w:num w:numId="7" w16cid:durableId="1340883931">
    <w:abstractNumId w:val="10"/>
  </w:num>
  <w:num w:numId="8" w16cid:durableId="953899337">
    <w:abstractNumId w:val="17"/>
  </w:num>
  <w:num w:numId="9" w16cid:durableId="1569729816">
    <w:abstractNumId w:val="4"/>
  </w:num>
  <w:num w:numId="10" w16cid:durableId="635258096">
    <w:abstractNumId w:val="7"/>
  </w:num>
  <w:num w:numId="11" w16cid:durableId="68235037">
    <w:abstractNumId w:val="9"/>
  </w:num>
  <w:num w:numId="12" w16cid:durableId="954795939">
    <w:abstractNumId w:val="16"/>
  </w:num>
  <w:num w:numId="13" w16cid:durableId="2051414798">
    <w:abstractNumId w:val="19"/>
  </w:num>
  <w:num w:numId="14" w16cid:durableId="499469450">
    <w:abstractNumId w:val="14"/>
  </w:num>
  <w:num w:numId="15" w16cid:durableId="970405816">
    <w:abstractNumId w:val="13"/>
  </w:num>
  <w:num w:numId="16" w16cid:durableId="953557868">
    <w:abstractNumId w:val="18"/>
  </w:num>
  <w:num w:numId="17" w16cid:durableId="1276787831">
    <w:abstractNumId w:val="2"/>
  </w:num>
  <w:num w:numId="18" w16cid:durableId="775759404">
    <w:abstractNumId w:val="8"/>
  </w:num>
  <w:num w:numId="19" w16cid:durableId="572472603">
    <w:abstractNumId w:val="11"/>
  </w:num>
  <w:num w:numId="20" w16cid:durableId="1352613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D5"/>
    <w:rsid w:val="0000084B"/>
    <w:rsid w:val="00002864"/>
    <w:rsid w:val="00002EA0"/>
    <w:rsid w:val="00003362"/>
    <w:rsid w:val="00003544"/>
    <w:rsid w:val="0000426A"/>
    <w:rsid w:val="00004D9D"/>
    <w:rsid w:val="00006120"/>
    <w:rsid w:val="0000654C"/>
    <w:rsid w:val="00006ADA"/>
    <w:rsid w:val="00006D99"/>
    <w:rsid w:val="00006E84"/>
    <w:rsid w:val="00010594"/>
    <w:rsid w:val="00011E52"/>
    <w:rsid w:val="00012F4E"/>
    <w:rsid w:val="00014330"/>
    <w:rsid w:val="000146A1"/>
    <w:rsid w:val="00015D93"/>
    <w:rsid w:val="00016F08"/>
    <w:rsid w:val="00022743"/>
    <w:rsid w:val="000259D4"/>
    <w:rsid w:val="00026D95"/>
    <w:rsid w:val="00026E1F"/>
    <w:rsid w:val="000307DF"/>
    <w:rsid w:val="00030E3F"/>
    <w:rsid w:val="000312E8"/>
    <w:rsid w:val="00031A1F"/>
    <w:rsid w:val="00032537"/>
    <w:rsid w:val="000325D0"/>
    <w:rsid w:val="00032954"/>
    <w:rsid w:val="00032B1A"/>
    <w:rsid w:val="00033EC5"/>
    <w:rsid w:val="00033F14"/>
    <w:rsid w:val="000344A1"/>
    <w:rsid w:val="000347F4"/>
    <w:rsid w:val="00035FC8"/>
    <w:rsid w:val="0003624D"/>
    <w:rsid w:val="00040574"/>
    <w:rsid w:val="00040B7C"/>
    <w:rsid w:val="00041431"/>
    <w:rsid w:val="0004224D"/>
    <w:rsid w:val="00042AAD"/>
    <w:rsid w:val="00042C9F"/>
    <w:rsid w:val="00042E29"/>
    <w:rsid w:val="00043093"/>
    <w:rsid w:val="0004368C"/>
    <w:rsid w:val="000438E5"/>
    <w:rsid w:val="00044631"/>
    <w:rsid w:val="00044689"/>
    <w:rsid w:val="000448D6"/>
    <w:rsid w:val="00044C89"/>
    <w:rsid w:val="00046408"/>
    <w:rsid w:val="0004722D"/>
    <w:rsid w:val="00050273"/>
    <w:rsid w:val="0005201C"/>
    <w:rsid w:val="000532D3"/>
    <w:rsid w:val="00055051"/>
    <w:rsid w:val="00055717"/>
    <w:rsid w:val="00056240"/>
    <w:rsid w:val="00056734"/>
    <w:rsid w:val="00056F3E"/>
    <w:rsid w:val="000573D1"/>
    <w:rsid w:val="00060D09"/>
    <w:rsid w:val="00062D12"/>
    <w:rsid w:val="000634A8"/>
    <w:rsid w:val="00063912"/>
    <w:rsid w:val="000655F5"/>
    <w:rsid w:val="00065F97"/>
    <w:rsid w:val="00067ACC"/>
    <w:rsid w:val="0007011F"/>
    <w:rsid w:val="000707B9"/>
    <w:rsid w:val="00071BF3"/>
    <w:rsid w:val="00073654"/>
    <w:rsid w:val="00073BDC"/>
    <w:rsid w:val="00073F69"/>
    <w:rsid w:val="00073FC5"/>
    <w:rsid w:val="0007580F"/>
    <w:rsid w:val="0007709A"/>
    <w:rsid w:val="0007733F"/>
    <w:rsid w:val="000809A0"/>
    <w:rsid w:val="00080C1A"/>
    <w:rsid w:val="00081BAD"/>
    <w:rsid w:val="000824F7"/>
    <w:rsid w:val="00086A9B"/>
    <w:rsid w:val="00086B62"/>
    <w:rsid w:val="000905DC"/>
    <w:rsid w:val="000907FB"/>
    <w:rsid w:val="00090FDA"/>
    <w:rsid w:val="00093939"/>
    <w:rsid w:val="00093EB6"/>
    <w:rsid w:val="00094731"/>
    <w:rsid w:val="00095E86"/>
    <w:rsid w:val="00096B6A"/>
    <w:rsid w:val="00096E83"/>
    <w:rsid w:val="00096E96"/>
    <w:rsid w:val="00097145"/>
    <w:rsid w:val="000A05CA"/>
    <w:rsid w:val="000A2293"/>
    <w:rsid w:val="000A2C82"/>
    <w:rsid w:val="000A314E"/>
    <w:rsid w:val="000A357E"/>
    <w:rsid w:val="000A378A"/>
    <w:rsid w:val="000A3C1F"/>
    <w:rsid w:val="000A3E1B"/>
    <w:rsid w:val="000A3EF1"/>
    <w:rsid w:val="000A439E"/>
    <w:rsid w:val="000A7455"/>
    <w:rsid w:val="000B03B5"/>
    <w:rsid w:val="000B1EE6"/>
    <w:rsid w:val="000B2AA1"/>
    <w:rsid w:val="000B2BFC"/>
    <w:rsid w:val="000B2D6C"/>
    <w:rsid w:val="000B30FC"/>
    <w:rsid w:val="000B5A6E"/>
    <w:rsid w:val="000B64D9"/>
    <w:rsid w:val="000B679A"/>
    <w:rsid w:val="000C0816"/>
    <w:rsid w:val="000C1109"/>
    <w:rsid w:val="000C2DFB"/>
    <w:rsid w:val="000C31BA"/>
    <w:rsid w:val="000C4768"/>
    <w:rsid w:val="000C5679"/>
    <w:rsid w:val="000C5CAA"/>
    <w:rsid w:val="000C5F96"/>
    <w:rsid w:val="000C63C3"/>
    <w:rsid w:val="000D31AD"/>
    <w:rsid w:val="000D4A80"/>
    <w:rsid w:val="000D697E"/>
    <w:rsid w:val="000D75FE"/>
    <w:rsid w:val="000E050C"/>
    <w:rsid w:val="000E11FA"/>
    <w:rsid w:val="000E135D"/>
    <w:rsid w:val="000E1FC7"/>
    <w:rsid w:val="000E2C12"/>
    <w:rsid w:val="000E30AA"/>
    <w:rsid w:val="000E434E"/>
    <w:rsid w:val="000E4392"/>
    <w:rsid w:val="000E47BA"/>
    <w:rsid w:val="000E5DC6"/>
    <w:rsid w:val="000E5EC8"/>
    <w:rsid w:val="000E623D"/>
    <w:rsid w:val="000E6F1A"/>
    <w:rsid w:val="000F0DB1"/>
    <w:rsid w:val="000F2C96"/>
    <w:rsid w:val="000F41D1"/>
    <w:rsid w:val="000F4250"/>
    <w:rsid w:val="000F42EB"/>
    <w:rsid w:val="000F61B7"/>
    <w:rsid w:val="000F7612"/>
    <w:rsid w:val="001003E4"/>
    <w:rsid w:val="00102E40"/>
    <w:rsid w:val="0010366C"/>
    <w:rsid w:val="001037FE"/>
    <w:rsid w:val="00103BBE"/>
    <w:rsid w:val="00103E36"/>
    <w:rsid w:val="0010701E"/>
    <w:rsid w:val="0010719E"/>
    <w:rsid w:val="001073A5"/>
    <w:rsid w:val="0011217B"/>
    <w:rsid w:val="00113DFC"/>
    <w:rsid w:val="0011602B"/>
    <w:rsid w:val="0011710B"/>
    <w:rsid w:val="001179E1"/>
    <w:rsid w:val="00120A9C"/>
    <w:rsid w:val="00120C97"/>
    <w:rsid w:val="001211CD"/>
    <w:rsid w:val="00121CBB"/>
    <w:rsid w:val="001222AB"/>
    <w:rsid w:val="00122B0B"/>
    <w:rsid w:val="00123D1D"/>
    <w:rsid w:val="001246D6"/>
    <w:rsid w:val="001247FE"/>
    <w:rsid w:val="0012519B"/>
    <w:rsid w:val="00125DCF"/>
    <w:rsid w:val="001265FF"/>
    <w:rsid w:val="001310DC"/>
    <w:rsid w:val="0013175D"/>
    <w:rsid w:val="0013196F"/>
    <w:rsid w:val="00131D03"/>
    <w:rsid w:val="0013283C"/>
    <w:rsid w:val="001344BA"/>
    <w:rsid w:val="00134D34"/>
    <w:rsid w:val="001355C0"/>
    <w:rsid w:val="00137A41"/>
    <w:rsid w:val="0014141B"/>
    <w:rsid w:val="00141692"/>
    <w:rsid w:val="00142563"/>
    <w:rsid w:val="001439CE"/>
    <w:rsid w:val="001446C5"/>
    <w:rsid w:val="001446DA"/>
    <w:rsid w:val="00145751"/>
    <w:rsid w:val="0014593A"/>
    <w:rsid w:val="001478E6"/>
    <w:rsid w:val="00151093"/>
    <w:rsid w:val="001510A7"/>
    <w:rsid w:val="00151B68"/>
    <w:rsid w:val="00151F51"/>
    <w:rsid w:val="00153377"/>
    <w:rsid w:val="00155693"/>
    <w:rsid w:val="00155D82"/>
    <w:rsid w:val="00155F57"/>
    <w:rsid w:val="00156175"/>
    <w:rsid w:val="001570E0"/>
    <w:rsid w:val="0016304D"/>
    <w:rsid w:val="001634A8"/>
    <w:rsid w:val="00163A7D"/>
    <w:rsid w:val="001640FE"/>
    <w:rsid w:val="0016415D"/>
    <w:rsid w:val="00164178"/>
    <w:rsid w:val="00164486"/>
    <w:rsid w:val="0016482D"/>
    <w:rsid w:val="0016557C"/>
    <w:rsid w:val="00166473"/>
    <w:rsid w:val="00170775"/>
    <w:rsid w:val="00171602"/>
    <w:rsid w:val="00171695"/>
    <w:rsid w:val="001717D8"/>
    <w:rsid w:val="00172482"/>
    <w:rsid w:val="00172C1D"/>
    <w:rsid w:val="001735E9"/>
    <w:rsid w:val="001763B2"/>
    <w:rsid w:val="00176D17"/>
    <w:rsid w:val="00177728"/>
    <w:rsid w:val="00180841"/>
    <w:rsid w:val="00181030"/>
    <w:rsid w:val="00181BA0"/>
    <w:rsid w:val="00181C87"/>
    <w:rsid w:val="00181F97"/>
    <w:rsid w:val="0018204B"/>
    <w:rsid w:val="0018226E"/>
    <w:rsid w:val="00182818"/>
    <w:rsid w:val="001831F8"/>
    <w:rsid w:val="001843A1"/>
    <w:rsid w:val="00185E40"/>
    <w:rsid w:val="001860D1"/>
    <w:rsid w:val="001871A2"/>
    <w:rsid w:val="00187B0C"/>
    <w:rsid w:val="00187F07"/>
    <w:rsid w:val="0019058B"/>
    <w:rsid w:val="00190612"/>
    <w:rsid w:val="00190FB8"/>
    <w:rsid w:val="0019157F"/>
    <w:rsid w:val="00191D1E"/>
    <w:rsid w:val="00194117"/>
    <w:rsid w:val="001957FE"/>
    <w:rsid w:val="00195E87"/>
    <w:rsid w:val="00196F54"/>
    <w:rsid w:val="001A2CFF"/>
    <w:rsid w:val="001A50F6"/>
    <w:rsid w:val="001A5316"/>
    <w:rsid w:val="001A752D"/>
    <w:rsid w:val="001A7A32"/>
    <w:rsid w:val="001B2424"/>
    <w:rsid w:val="001B35A5"/>
    <w:rsid w:val="001B5EE5"/>
    <w:rsid w:val="001B75B2"/>
    <w:rsid w:val="001B7FD9"/>
    <w:rsid w:val="001C0201"/>
    <w:rsid w:val="001C139E"/>
    <w:rsid w:val="001C1797"/>
    <w:rsid w:val="001C337E"/>
    <w:rsid w:val="001C3697"/>
    <w:rsid w:val="001C41C2"/>
    <w:rsid w:val="001D28A1"/>
    <w:rsid w:val="001D2EBB"/>
    <w:rsid w:val="001D3723"/>
    <w:rsid w:val="001D3F7F"/>
    <w:rsid w:val="001D47E1"/>
    <w:rsid w:val="001D510A"/>
    <w:rsid w:val="001D6D0B"/>
    <w:rsid w:val="001D770B"/>
    <w:rsid w:val="001E0B3B"/>
    <w:rsid w:val="001E3211"/>
    <w:rsid w:val="001E3661"/>
    <w:rsid w:val="001E5A0A"/>
    <w:rsid w:val="001E6121"/>
    <w:rsid w:val="001E7535"/>
    <w:rsid w:val="001E762D"/>
    <w:rsid w:val="001E7698"/>
    <w:rsid w:val="001E7AB9"/>
    <w:rsid w:val="001E7DF3"/>
    <w:rsid w:val="001F0692"/>
    <w:rsid w:val="001F08B6"/>
    <w:rsid w:val="001F0B51"/>
    <w:rsid w:val="001F0B65"/>
    <w:rsid w:val="001F0D67"/>
    <w:rsid w:val="001F1BFD"/>
    <w:rsid w:val="001F28B2"/>
    <w:rsid w:val="001F2CE2"/>
    <w:rsid w:val="001F4E63"/>
    <w:rsid w:val="001F575A"/>
    <w:rsid w:val="001F7072"/>
    <w:rsid w:val="001F7617"/>
    <w:rsid w:val="001F7A79"/>
    <w:rsid w:val="002020D0"/>
    <w:rsid w:val="002023B5"/>
    <w:rsid w:val="002031AF"/>
    <w:rsid w:val="00204B58"/>
    <w:rsid w:val="002053ED"/>
    <w:rsid w:val="00205F10"/>
    <w:rsid w:val="00206B0E"/>
    <w:rsid w:val="00207030"/>
    <w:rsid w:val="00207F74"/>
    <w:rsid w:val="00210567"/>
    <w:rsid w:val="0021101F"/>
    <w:rsid w:val="0021120D"/>
    <w:rsid w:val="00212030"/>
    <w:rsid w:val="0021254E"/>
    <w:rsid w:val="0021313D"/>
    <w:rsid w:val="002149E4"/>
    <w:rsid w:val="002164FD"/>
    <w:rsid w:val="00216A7D"/>
    <w:rsid w:val="002170D2"/>
    <w:rsid w:val="00217180"/>
    <w:rsid w:val="0021774E"/>
    <w:rsid w:val="00217ECE"/>
    <w:rsid w:val="0022050B"/>
    <w:rsid w:val="0022084F"/>
    <w:rsid w:val="002208DB"/>
    <w:rsid w:val="00220955"/>
    <w:rsid w:val="00224877"/>
    <w:rsid w:val="00224D7D"/>
    <w:rsid w:val="002258E6"/>
    <w:rsid w:val="00227397"/>
    <w:rsid w:val="00227AA3"/>
    <w:rsid w:val="00227D6D"/>
    <w:rsid w:val="0023007B"/>
    <w:rsid w:val="0023029F"/>
    <w:rsid w:val="00230B99"/>
    <w:rsid w:val="002337DD"/>
    <w:rsid w:val="00234885"/>
    <w:rsid w:val="00235099"/>
    <w:rsid w:val="002353F6"/>
    <w:rsid w:val="00235C0B"/>
    <w:rsid w:val="00237AE9"/>
    <w:rsid w:val="00237C44"/>
    <w:rsid w:val="00240040"/>
    <w:rsid w:val="00241666"/>
    <w:rsid w:val="00241D1E"/>
    <w:rsid w:val="002422B6"/>
    <w:rsid w:val="00242ADC"/>
    <w:rsid w:val="00246259"/>
    <w:rsid w:val="002469B2"/>
    <w:rsid w:val="00250D97"/>
    <w:rsid w:val="0025168D"/>
    <w:rsid w:val="00252CFC"/>
    <w:rsid w:val="002534C7"/>
    <w:rsid w:val="0025359C"/>
    <w:rsid w:val="002545F0"/>
    <w:rsid w:val="00255F28"/>
    <w:rsid w:val="00260052"/>
    <w:rsid w:val="00260391"/>
    <w:rsid w:val="00263151"/>
    <w:rsid w:val="00263904"/>
    <w:rsid w:val="00263B8A"/>
    <w:rsid w:val="00263BA3"/>
    <w:rsid w:val="00264253"/>
    <w:rsid w:val="0026530F"/>
    <w:rsid w:val="0026716D"/>
    <w:rsid w:val="002677D8"/>
    <w:rsid w:val="00267894"/>
    <w:rsid w:val="00271FB4"/>
    <w:rsid w:val="0027233F"/>
    <w:rsid w:val="002724A9"/>
    <w:rsid w:val="0027379A"/>
    <w:rsid w:val="00273A90"/>
    <w:rsid w:val="00273A9D"/>
    <w:rsid w:val="0027447D"/>
    <w:rsid w:val="002767C0"/>
    <w:rsid w:val="00276E29"/>
    <w:rsid w:val="00277938"/>
    <w:rsid w:val="00280487"/>
    <w:rsid w:val="002804EE"/>
    <w:rsid w:val="0028060D"/>
    <w:rsid w:val="00280992"/>
    <w:rsid w:val="00281E9C"/>
    <w:rsid w:val="00281F20"/>
    <w:rsid w:val="00281F67"/>
    <w:rsid w:val="0028201B"/>
    <w:rsid w:val="00284541"/>
    <w:rsid w:val="00284D56"/>
    <w:rsid w:val="00284F42"/>
    <w:rsid w:val="00285047"/>
    <w:rsid w:val="00285995"/>
    <w:rsid w:val="00285F68"/>
    <w:rsid w:val="00286564"/>
    <w:rsid w:val="00286BA2"/>
    <w:rsid w:val="00287155"/>
    <w:rsid w:val="00290EDF"/>
    <w:rsid w:val="00290F8F"/>
    <w:rsid w:val="0029256B"/>
    <w:rsid w:val="00292BB3"/>
    <w:rsid w:val="00292C80"/>
    <w:rsid w:val="00293D22"/>
    <w:rsid w:val="002941D9"/>
    <w:rsid w:val="00294693"/>
    <w:rsid w:val="00296CC5"/>
    <w:rsid w:val="00297382"/>
    <w:rsid w:val="002A0E62"/>
    <w:rsid w:val="002A196B"/>
    <w:rsid w:val="002A346D"/>
    <w:rsid w:val="002A518B"/>
    <w:rsid w:val="002A721D"/>
    <w:rsid w:val="002A75CD"/>
    <w:rsid w:val="002A79F4"/>
    <w:rsid w:val="002B0D5F"/>
    <w:rsid w:val="002B311F"/>
    <w:rsid w:val="002B42D5"/>
    <w:rsid w:val="002B5D40"/>
    <w:rsid w:val="002B5DB5"/>
    <w:rsid w:val="002B780A"/>
    <w:rsid w:val="002B78D0"/>
    <w:rsid w:val="002C0968"/>
    <w:rsid w:val="002C2B68"/>
    <w:rsid w:val="002C361C"/>
    <w:rsid w:val="002C5625"/>
    <w:rsid w:val="002C69B0"/>
    <w:rsid w:val="002C7C74"/>
    <w:rsid w:val="002D10AB"/>
    <w:rsid w:val="002D2122"/>
    <w:rsid w:val="002D2223"/>
    <w:rsid w:val="002D226C"/>
    <w:rsid w:val="002D29B3"/>
    <w:rsid w:val="002D2E61"/>
    <w:rsid w:val="002D4985"/>
    <w:rsid w:val="002D4EF9"/>
    <w:rsid w:val="002D57D7"/>
    <w:rsid w:val="002D664D"/>
    <w:rsid w:val="002D678B"/>
    <w:rsid w:val="002D753A"/>
    <w:rsid w:val="002D798E"/>
    <w:rsid w:val="002D7B9E"/>
    <w:rsid w:val="002E08AE"/>
    <w:rsid w:val="002E11A2"/>
    <w:rsid w:val="002E26E1"/>
    <w:rsid w:val="002E51EF"/>
    <w:rsid w:val="002E7446"/>
    <w:rsid w:val="002F0DB7"/>
    <w:rsid w:val="002F2583"/>
    <w:rsid w:val="002F37D1"/>
    <w:rsid w:val="002F3C21"/>
    <w:rsid w:val="002F3FE6"/>
    <w:rsid w:val="002F464F"/>
    <w:rsid w:val="002F5347"/>
    <w:rsid w:val="002F5BE4"/>
    <w:rsid w:val="002F5D71"/>
    <w:rsid w:val="002F5FB4"/>
    <w:rsid w:val="002F7C68"/>
    <w:rsid w:val="003000B8"/>
    <w:rsid w:val="0030207C"/>
    <w:rsid w:val="003025C5"/>
    <w:rsid w:val="00302B47"/>
    <w:rsid w:val="00306678"/>
    <w:rsid w:val="00306A2D"/>
    <w:rsid w:val="00306F8F"/>
    <w:rsid w:val="003112AC"/>
    <w:rsid w:val="0031130C"/>
    <w:rsid w:val="00311E82"/>
    <w:rsid w:val="00313028"/>
    <w:rsid w:val="0031322E"/>
    <w:rsid w:val="00313B96"/>
    <w:rsid w:val="003155F3"/>
    <w:rsid w:val="0031669C"/>
    <w:rsid w:val="00316F93"/>
    <w:rsid w:val="00317813"/>
    <w:rsid w:val="00317D4E"/>
    <w:rsid w:val="003211D1"/>
    <w:rsid w:val="0032131E"/>
    <w:rsid w:val="00321E71"/>
    <w:rsid w:val="00324387"/>
    <w:rsid w:val="00325F9F"/>
    <w:rsid w:val="0032646B"/>
    <w:rsid w:val="00327648"/>
    <w:rsid w:val="00330EDB"/>
    <w:rsid w:val="00330FC1"/>
    <w:rsid w:val="00331403"/>
    <w:rsid w:val="00331C93"/>
    <w:rsid w:val="003362CB"/>
    <w:rsid w:val="00336556"/>
    <w:rsid w:val="00336928"/>
    <w:rsid w:val="003405B7"/>
    <w:rsid w:val="00340A6C"/>
    <w:rsid w:val="00343A46"/>
    <w:rsid w:val="00344AB7"/>
    <w:rsid w:val="00352B68"/>
    <w:rsid w:val="00353034"/>
    <w:rsid w:val="00353743"/>
    <w:rsid w:val="00353AA1"/>
    <w:rsid w:val="00354463"/>
    <w:rsid w:val="00355499"/>
    <w:rsid w:val="00355DE1"/>
    <w:rsid w:val="003574D9"/>
    <w:rsid w:val="0035762F"/>
    <w:rsid w:val="00360177"/>
    <w:rsid w:val="00362539"/>
    <w:rsid w:val="00362EB6"/>
    <w:rsid w:val="00363691"/>
    <w:rsid w:val="00364057"/>
    <w:rsid w:val="00364276"/>
    <w:rsid w:val="00364F7A"/>
    <w:rsid w:val="00365CB6"/>
    <w:rsid w:val="003663D0"/>
    <w:rsid w:val="00367328"/>
    <w:rsid w:val="00367639"/>
    <w:rsid w:val="003676F7"/>
    <w:rsid w:val="00367E05"/>
    <w:rsid w:val="0037243F"/>
    <w:rsid w:val="003736E4"/>
    <w:rsid w:val="00374F42"/>
    <w:rsid w:val="00375245"/>
    <w:rsid w:val="00375673"/>
    <w:rsid w:val="0037614C"/>
    <w:rsid w:val="003761E2"/>
    <w:rsid w:val="00377146"/>
    <w:rsid w:val="003774E4"/>
    <w:rsid w:val="00377526"/>
    <w:rsid w:val="00380AEF"/>
    <w:rsid w:val="00380F09"/>
    <w:rsid w:val="003826B0"/>
    <w:rsid w:val="00382B76"/>
    <w:rsid w:val="0038395C"/>
    <w:rsid w:val="00384976"/>
    <w:rsid w:val="003851CE"/>
    <w:rsid w:val="00385DA2"/>
    <w:rsid w:val="00391366"/>
    <w:rsid w:val="003935B0"/>
    <w:rsid w:val="00393ABF"/>
    <w:rsid w:val="0039405B"/>
    <w:rsid w:val="003942DF"/>
    <w:rsid w:val="00394E11"/>
    <w:rsid w:val="00394F5B"/>
    <w:rsid w:val="00395E62"/>
    <w:rsid w:val="00396E93"/>
    <w:rsid w:val="0039782C"/>
    <w:rsid w:val="003A0D5B"/>
    <w:rsid w:val="003A2914"/>
    <w:rsid w:val="003A319D"/>
    <w:rsid w:val="003A3CDD"/>
    <w:rsid w:val="003A557A"/>
    <w:rsid w:val="003A565B"/>
    <w:rsid w:val="003A56FF"/>
    <w:rsid w:val="003A7017"/>
    <w:rsid w:val="003A78E0"/>
    <w:rsid w:val="003B03F6"/>
    <w:rsid w:val="003B13BE"/>
    <w:rsid w:val="003B4C36"/>
    <w:rsid w:val="003B4D72"/>
    <w:rsid w:val="003B5D58"/>
    <w:rsid w:val="003C04F4"/>
    <w:rsid w:val="003C12BE"/>
    <w:rsid w:val="003C15A2"/>
    <w:rsid w:val="003C2F3A"/>
    <w:rsid w:val="003C3CC5"/>
    <w:rsid w:val="003C55A3"/>
    <w:rsid w:val="003C611D"/>
    <w:rsid w:val="003C7505"/>
    <w:rsid w:val="003C76AD"/>
    <w:rsid w:val="003D11E5"/>
    <w:rsid w:val="003D1715"/>
    <w:rsid w:val="003D33AA"/>
    <w:rsid w:val="003D3A8F"/>
    <w:rsid w:val="003D3AC8"/>
    <w:rsid w:val="003D42D8"/>
    <w:rsid w:val="003D4BF4"/>
    <w:rsid w:val="003D5341"/>
    <w:rsid w:val="003D5FA4"/>
    <w:rsid w:val="003D66F1"/>
    <w:rsid w:val="003D6E33"/>
    <w:rsid w:val="003D754F"/>
    <w:rsid w:val="003D7BBA"/>
    <w:rsid w:val="003E01FF"/>
    <w:rsid w:val="003E0905"/>
    <w:rsid w:val="003E138B"/>
    <w:rsid w:val="003E13C1"/>
    <w:rsid w:val="003E2ED6"/>
    <w:rsid w:val="003E3283"/>
    <w:rsid w:val="003E3E09"/>
    <w:rsid w:val="003E41AD"/>
    <w:rsid w:val="003E7484"/>
    <w:rsid w:val="003F1A7A"/>
    <w:rsid w:val="003F1EBC"/>
    <w:rsid w:val="003F245E"/>
    <w:rsid w:val="003F4DC7"/>
    <w:rsid w:val="003F51C5"/>
    <w:rsid w:val="003F6336"/>
    <w:rsid w:val="00401E4B"/>
    <w:rsid w:val="004039B3"/>
    <w:rsid w:val="004046C3"/>
    <w:rsid w:val="00404B63"/>
    <w:rsid w:val="00404CB0"/>
    <w:rsid w:val="00405698"/>
    <w:rsid w:val="0040625B"/>
    <w:rsid w:val="004066A5"/>
    <w:rsid w:val="00406EA9"/>
    <w:rsid w:val="00410376"/>
    <w:rsid w:val="00410779"/>
    <w:rsid w:val="00410E9D"/>
    <w:rsid w:val="004117A1"/>
    <w:rsid w:val="0041231C"/>
    <w:rsid w:val="004130C3"/>
    <w:rsid w:val="00413E0D"/>
    <w:rsid w:val="00413E19"/>
    <w:rsid w:val="00413F2C"/>
    <w:rsid w:val="00414A26"/>
    <w:rsid w:val="00414D42"/>
    <w:rsid w:val="00414E89"/>
    <w:rsid w:val="00414EE8"/>
    <w:rsid w:val="0041590E"/>
    <w:rsid w:val="00415931"/>
    <w:rsid w:val="00415A4D"/>
    <w:rsid w:val="004161CC"/>
    <w:rsid w:val="00416BD8"/>
    <w:rsid w:val="00417603"/>
    <w:rsid w:val="00417BEF"/>
    <w:rsid w:val="0042064F"/>
    <w:rsid w:val="00420A33"/>
    <w:rsid w:val="00421694"/>
    <w:rsid w:val="004222C1"/>
    <w:rsid w:val="00422CDF"/>
    <w:rsid w:val="00422E0A"/>
    <w:rsid w:val="0042364C"/>
    <w:rsid w:val="00423662"/>
    <w:rsid w:val="0042427F"/>
    <w:rsid w:val="004257D2"/>
    <w:rsid w:val="00426FA8"/>
    <w:rsid w:val="004309F7"/>
    <w:rsid w:val="00430A73"/>
    <w:rsid w:val="00431024"/>
    <w:rsid w:val="004322E9"/>
    <w:rsid w:val="004323D0"/>
    <w:rsid w:val="00432463"/>
    <w:rsid w:val="004327A1"/>
    <w:rsid w:val="00433132"/>
    <w:rsid w:val="00433A3A"/>
    <w:rsid w:val="00433B75"/>
    <w:rsid w:val="00433C5F"/>
    <w:rsid w:val="00434511"/>
    <w:rsid w:val="00435225"/>
    <w:rsid w:val="004353E2"/>
    <w:rsid w:val="00436809"/>
    <w:rsid w:val="0043729F"/>
    <w:rsid w:val="00440F45"/>
    <w:rsid w:val="0044138A"/>
    <w:rsid w:val="00441C95"/>
    <w:rsid w:val="00442148"/>
    <w:rsid w:val="00443CAE"/>
    <w:rsid w:val="00444479"/>
    <w:rsid w:val="00444B02"/>
    <w:rsid w:val="004461E5"/>
    <w:rsid w:val="00446324"/>
    <w:rsid w:val="00447044"/>
    <w:rsid w:val="00447048"/>
    <w:rsid w:val="00447226"/>
    <w:rsid w:val="00447BFD"/>
    <w:rsid w:val="004513C6"/>
    <w:rsid w:val="00451B99"/>
    <w:rsid w:val="00452DEE"/>
    <w:rsid w:val="00452FCF"/>
    <w:rsid w:val="004545FD"/>
    <w:rsid w:val="00454CD2"/>
    <w:rsid w:val="00454FD0"/>
    <w:rsid w:val="00455864"/>
    <w:rsid w:val="00455CB2"/>
    <w:rsid w:val="00456A6F"/>
    <w:rsid w:val="00456A84"/>
    <w:rsid w:val="00456A92"/>
    <w:rsid w:val="00457B21"/>
    <w:rsid w:val="00460247"/>
    <w:rsid w:val="004617BD"/>
    <w:rsid w:val="00462E75"/>
    <w:rsid w:val="004633BE"/>
    <w:rsid w:val="0046352C"/>
    <w:rsid w:val="00463840"/>
    <w:rsid w:val="0046398B"/>
    <w:rsid w:val="00463B42"/>
    <w:rsid w:val="00464348"/>
    <w:rsid w:val="00464416"/>
    <w:rsid w:val="00464725"/>
    <w:rsid w:val="00464E78"/>
    <w:rsid w:val="0046524F"/>
    <w:rsid w:val="00465BE5"/>
    <w:rsid w:val="004707B7"/>
    <w:rsid w:val="00470821"/>
    <w:rsid w:val="004715B9"/>
    <w:rsid w:val="00471D1D"/>
    <w:rsid w:val="00472954"/>
    <w:rsid w:val="004732F0"/>
    <w:rsid w:val="0047389F"/>
    <w:rsid w:val="0047404A"/>
    <w:rsid w:val="00474D13"/>
    <w:rsid w:val="00475B73"/>
    <w:rsid w:val="004806A0"/>
    <w:rsid w:val="00480EDE"/>
    <w:rsid w:val="00481551"/>
    <w:rsid w:val="004827D6"/>
    <w:rsid w:val="00483511"/>
    <w:rsid w:val="00483516"/>
    <w:rsid w:val="004835B7"/>
    <w:rsid w:val="00483740"/>
    <w:rsid w:val="00483E9B"/>
    <w:rsid w:val="00484AA8"/>
    <w:rsid w:val="00485C5D"/>
    <w:rsid w:val="00485FCB"/>
    <w:rsid w:val="004873D5"/>
    <w:rsid w:val="00490540"/>
    <w:rsid w:val="004915E4"/>
    <w:rsid w:val="00492423"/>
    <w:rsid w:val="0049261B"/>
    <w:rsid w:val="00494805"/>
    <w:rsid w:val="00494DEF"/>
    <w:rsid w:val="0049527D"/>
    <w:rsid w:val="00495326"/>
    <w:rsid w:val="00496626"/>
    <w:rsid w:val="00497144"/>
    <w:rsid w:val="00497670"/>
    <w:rsid w:val="004A061E"/>
    <w:rsid w:val="004A1619"/>
    <w:rsid w:val="004A2639"/>
    <w:rsid w:val="004A41DC"/>
    <w:rsid w:val="004A571D"/>
    <w:rsid w:val="004A5E18"/>
    <w:rsid w:val="004A6435"/>
    <w:rsid w:val="004A64B2"/>
    <w:rsid w:val="004A6F9A"/>
    <w:rsid w:val="004A7D23"/>
    <w:rsid w:val="004B0203"/>
    <w:rsid w:val="004B1236"/>
    <w:rsid w:val="004B17C7"/>
    <w:rsid w:val="004B17D8"/>
    <w:rsid w:val="004B184F"/>
    <w:rsid w:val="004B1A47"/>
    <w:rsid w:val="004B1B7F"/>
    <w:rsid w:val="004B1C18"/>
    <w:rsid w:val="004B20BE"/>
    <w:rsid w:val="004B2F0F"/>
    <w:rsid w:val="004B3458"/>
    <w:rsid w:val="004B3A5D"/>
    <w:rsid w:val="004B4AB9"/>
    <w:rsid w:val="004B502E"/>
    <w:rsid w:val="004B58BD"/>
    <w:rsid w:val="004B5C03"/>
    <w:rsid w:val="004B5D37"/>
    <w:rsid w:val="004B7F91"/>
    <w:rsid w:val="004C0E38"/>
    <w:rsid w:val="004C0FC8"/>
    <w:rsid w:val="004C1244"/>
    <w:rsid w:val="004C1E56"/>
    <w:rsid w:val="004C20ED"/>
    <w:rsid w:val="004C2E81"/>
    <w:rsid w:val="004C3874"/>
    <w:rsid w:val="004C3952"/>
    <w:rsid w:val="004C3D20"/>
    <w:rsid w:val="004C4648"/>
    <w:rsid w:val="004C4AF3"/>
    <w:rsid w:val="004C6AD8"/>
    <w:rsid w:val="004D0F87"/>
    <w:rsid w:val="004D12F4"/>
    <w:rsid w:val="004D2A13"/>
    <w:rsid w:val="004D2D3F"/>
    <w:rsid w:val="004D3455"/>
    <w:rsid w:val="004D34B9"/>
    <w:rsid w:val="004D364C"/>
    <w:rsid w:val="004D40A6"/>
    <w:rsid w:val="004D496D"/>
    <w:rsid w:val="004D7BF3"/>
    <w:rsid w:val="004E023F"/>
    <w:rsid w:val="004E06BF"/>
    <w:rsid w:val="004E0EA9"/>
    <w:rsid w:val="004E12AB"/>
    <w:rsid w:val="004E2C7D"/>
    <w:rsid w:val="004E2D49"/>
    <w:rsid w:val="004E4315"/>
    <w:rsid w:val="004E44BE"/>
    <w:rsid w:val="004E4631"/>
    <w:rsid w:val="004E4838"/>
    <w:rsid w:val="004E4E15"/>
    <w:rsid w:val="004E57B3"/>
    <w:rsid w:val="004E698E"/>
    <w:rsid w:val="004E7801"/>
    <w:rsid w:val="004E79B9"/>
    <w:rsid w:val="004F00D4"/>
    <w:rsid w:val="004F08E8"/>
    <w:rsid w:val="004F0C9E"/>
    <w:rsid w:val="004F193D"/>
    <w:rsid w:val="004F22FF"/>
    <w:rsid w:val="004F2BCF"/>
    <w:rsid w:val="004F3A49"/>
    <w:rsid w:val="004F3BB9"/>
    <w:rsid w:val="004F52C3"/>
    <w:rsid w:val="004F5864"/>
    <w:rsid w:val="004F5B4A"/>
    <w:rsid w:val="004F6155"/>
    <w:rsid w:val="004F68EE"/>
    <w:rsid w:val="004F7D79"/>
    <w:rsid w:val="004F7E69"/>
    <w:rsid w:val="0050083D"/>
    <w:rsid w:val="00500CEC"/>
    <w:rsid w:val="00502E37"/>
    <w:rsid w:val="00504B11"/>
    <w:rsid w:val="005051D8"/>
    <w:rsid w:val="00506452"/>
    <w:rsid w:val="00510D0A"/>
    <w:rsid w:val="00511374"/>
    <w:rsid w:val="00512566"/>
    <w:rsid w:val="005125A2"/>
    <w:rsid w:val="0051368A"/>
    <w:rsid w:val="005155BE"/>
    <w:rsid w:val="005162AC"/>
    <w:rsid w:val="0051645E"/>
    <w:rsid w:val="00516CE2"/>
    <w:rsid w:val="00517261"/>
    <w:rsid w:val="00517D2A"/>
    <w:rsid w:val="00517DD0"/>
    <w:rsid w:val="0052095D"/>
    <w:rsid w:val="00520AA0"/>
    <w:rsid w:val="00521CF3"/>
    <w:rsid w:val="00522A56"/>
    <w:rsid w:val="00522B7F"/>
    <w:rsid w:val="00523724"/>
    <w:rsid w:val="00523A9A"/>
    <w:rsid w:val="00524CF0"/>
    <w:rsid w:val="00526172"/>
    <w:rsid w:val="0052661E"/>
    <w:rsid w:val="00526B52"/>
    <w:rsid w:val="005278FD"/>
    <w:rsid w:val="00530B6E"/>
    <w:rsid w:val="0053108B"/>
    <w:rsid w:val="00531938"/>
    <w:rsid w:val="0053478F"/>
    <w:rsid w:val="00534FE2"/>
    <w:rsid w:val="005357FA"/>
    <w:rsid w:val="00536041"/>
    <w:rsid w:val="005360B8"/>
    <w:rsid w:val="00536F0C"/>
    <w:rsid w:val="00537BE0"/>
    <w:rsid w:val="00537F0F"/>
    <w:rsid w:val="0054015A"/>
    <w:rsid w:val="00540230"/>
    <w:rsid w:val="00540ACD"/>
    <w:rsid w:val="005411F1"/>
    <w:rsid w:val="00542730"/>
    <w:rsid w:val="005428F0"/>
    <w:rsid w:val="00542AFD"/>
    <w:rsid w:val="00542D51"/>
    <w:rsid w:val="00543B42"/>
    <w:rsid w:val="00543E9A"/>
    <w:rsid w:val="005446AE"/>
    <w:rsid w:val="00544B1A"/>
    <w:rsid w:val="005460D5"/>
    <w:rsid w:val="0054666A"/>
    <w:rsid w:val="00546830"/>
    <w:rsid w:val="005473B2"/>
    <w:rsid w:val="0055040D"/>
    <w:rsid w:val="00550625"/>
    <w:rsid w:val="00550781"/>
    <w:rsid w:val="00551728"/>
    <w:rsid w:val="005517A2"/>
    <w:rsid w:val="005532CC"/>
    <w:rsid w:val="0055491F"/>
    <w:rsid w:val="00555189"/>
    <w:rsid w:val="00557C6A"/>
    <w:rsid w:val="00560057"/>
    <w:rsid w:val="00562719"/>
    <w:rsid w:val="00562CAD"/>
    <w:rsid w:val="00566427"/>
    <w:rsid w:val="00566F36"/>
    <w:rsid w:val="00567D57"/>
    <w:rsid w:val="00570192"/>
    <w:rsid w:val="005709A5"/>
    <w:rsid w:val="00570F16"/>
    <w:rsid w:val="0057138F"/>
    <w:rsid w:val="00571745"/>
    <w:rsid w:val="00571F03"/>
    <w:rsid w:val="0057275A"/>
    <w:rsid w:val="005736B6"/>
    <w:rsid w:val="005746A1"/>
    <w:rsid w:val="0057538F"/>
    <w:rsid w:val="005757F2"/>
    <w:rsid w:val="00576507"/>
    <w:rsid w:val="00577471"/>
    <w:rsid w:val="00577B14"/>
    <w:rsid w:val="00580038"/>
    <w:rsid w:val="00581224"/>
    <w:rsid w:val="005818A6"/>
    <w:rsid w:val="005834B7"/>
    <w:rsid w:val="00584F8D"/>
    <w:rsid w:val="00585732"/>
    <w:rsid w:val="00585BC7"/>
    <w:rsid w:val="0058646D"/>
    <w:rsid w:val="0058676D"/>
    <w:rsid w:val="005913B7"/>
    <w:rsid w:val="00591418"/>
    <w:rsid w:val="0059143C"/>
    <w:rsid w:val="0059574B"/>
    <w:rsid w:val="00595942"/>
    <w:rsid w:val="00596128"/>
    <w:rsid w:val="005973F4"/>
    <w:rsid w:val="00597532"/>
    <w:rsid w:val="005979BC"/>
    <w:rsid w:val="005A073C"/>
    <w:rsid w:val="005A16A4"/>
    <w:rsid w:val="005A2361"/>
    <w:rsid w:val="005A273E"/>
    <w:rsid w:val="005A3067"/>
    <w:rsid w:val="005A5587"/>
    <w:rsid w:val="005A5654"/>
    <w:rsid w:val="005A580C"/>
    <w:rsid w:val="005A6F9E"/>
    <w:rsid w:val="005B0374"/>
    <w:rsid w:val="005B0E8C"/>
    <w:rsid w:val="005B32DA"/>
    <w:rsid w:val="005B36DF"/>
    <w:rsid w:val="005B391A"/>
    <w:rsid w:val="005B3934"/>
    <w:rsid w:val="005B45CB"/>
    <w:rsid w:val="005B4F99"/>
    <w:rsid w:val="005B67B1"/>
    <w:rsid w:val="005B6C75"/>
    <w:rsid w:val="005B7B10"/>
    <w:rsid w:val="005C0248"/>
    <w:rsid w:val="005C034C"/>
    <w:rsid w:val="005C0AF0"/>
    <w:rsid w:val="005C16C4"/>
    <w:rsid w:val="005C2489"/>
    <w:rsid w:val="005C248D"/>
    <w:rsid w:val="005C2534"/>
    <w:rsid w:val="005C25D5"/>
    <w:rsid w:val="005C31D1"/>
    <w:rsid w:val="005C3E0F"/>
    <w:rsid w:val="005C50CB"/>
    <w:rsid w:val="005C54DB"/>
    <w:rsid w:val="005C77EF"/>
    <w:rsid w:val="005D1436"/>
    <w:rsid w:val="005D1990"/>
    <w:rsid w:val="005D242E"/>
    <w:rsid w:val="005D2F21"/>
    <w:rsid w:val="005D304F"/>
    <w:rsid w:val="005D37D7"/>
    <w:rsid w:val="005D5441"/>
    <w:rsid w:val="005D5B37"/>
    <w:rsid w:val="005D5CA2"/>
    <w:rsid w:val="005E0633"/>
    <w:rsid w:val="005E0B9E"/>
    <w:rsid w:val="005E195E"/>
    <w:rsid w:val="005E2C2A"/>
    <w:rsid w:val="005E452B"/>
    <w:rsid w:val="005E4A93"/>
    <w:rsid w:val="005E53BB"/>
    <w:rsid w:val="005E55D4"/>
    <w:rsid w:val="005E5976"/>
    <w:rsid w:val="005E6E15"/>
    <w:rsid w:val="005E7203"/>
    <w:rsid w:val="005F1513"/>
    <w:rsid w:val="005F2B35"/>
    <w:rsid w:val="005F3651"/>
    <w:rsid w:val="005F4ECB"/>
    <w:rsid w:val="005F5E89"/>
    <w:rsid w:val="005F7F77"/>
    <w:rsid w:val="006024FA"/>
    <w:rsid w:val="0060285A"/>
    <w:rsid w:val="00602872"/>
    <w:rsid w:val="00602ABE"/>
    <w:rsid w:val="00602C04"/>
    <w:rsid w:val="00603431"/>
    <w:rsid w:val="006045B9"/>
    <w:rsid w:val="00605318"/>
    <w:rsid w:val="006056DB"/>
    <w:rsid w:val="00606270"/>
    <w:rsid w:val="006065B9"/>
    <w:rsid w:val="00606A02"/>
    <w:rsid w:val="00606B06"/>
    <w:rsid w:val="00606DD6"/>
    <w:rsid w:val="00607129"/>
    <w:rsid w:val="00607F22"/>
    <w:rsid w:val="00611BE4"/>
    <w:rsid w:val="006134F0"/>
    <w:rsid w:val="00613CC9"/>
    <w:rsid w:val="00613F16"/>
    <w:rsid w:val="00614BC4"/>
    <w:rsid w:val="006151BC"/>
    <w:rsid w:val="00615227"/>
    <w:rsid w:val="00617849"/>
    <w:rsid w:val="006204ED"/>
    <w:rsid w:val="00621884"/>
    <w:rsid w:val="00621F7A"/>
    <w:rsid w:val="00622882"/>
    <w:rsid w:val="00622A7D"/>
    <w:rsid w:val="00622CF8"/>
    <w:rsid w:val="00622FC1"/>
    <w:rsid w:val="0062309F"/>
    <w:rsid w:val="0062340C"/>
    <w:rsid w:val="00623661"/>
    <w:rsid w:val="00625063"/>
    <w:rsid w:val="00625C4D"/>
    <w:rsid w:val="00626AE3"/>
    <w:rsid w:val="00631413"/>
    <w:rsid w:val="00632833"/>
    <w:rsid w:val="00632A2A"/>
    <w:rsid w:val="006331FA"/>
    <w:rsid w:val="00633391"/>
    <w:rsid w:val="006335BC"/>
    <w:rsid w:val="00633E74"/>
    <w:rsid w:val="0063446A"/>
    <w:rsid w:val="0063558A"/>
    <w:rsid w:val="006357C1"/>
    <w:rsid w:val="00636090"/>
    <w:rsid w:val="00636775"/>
    <w:rsid w:val="00637DCD"/>
    <w:rsid w:val="00640050"/>
    <w:rsid w:val="006425BA"/>
    <w:rsid w:val="00642C87"/>
    <w:rsid w:val="00643F34"/>
    <w:rsid w:val="00645CA2"/>
    <w:rsid w:val="0064659E"/>
    <w:rsid w:val="00646EFF"/>
    <w:rsid w:val="0064706D"/>
    <w:rsid w:val="00647786"/>
    <w:rsid w:val="006523D6"/>
    <w:rsid w:val="00653144"/>
    <w:rsid w:val="00654628"/>
    <w:rsid w:val="0065520C"/>
    <w:rsid w:val="00656A7F"/>
    <w:rsid w:val="00656D61"/>
    <w:rsid w:val="00657D12"/>
    <w:rsid w:val="00660FBB"/>
    <w:rsid w:val="006614EE"/>
    <w:rsid w:val="0066231B"/>
    <w:rsid w:val="006623E3"/>
    <w:rsid w:val="006638AB"/>
    <w:rsid w:val="00664340"/>
    <w:rsid w:val="00664C85"/>
    <w:rsid w:val="006650D9"/>
    <w:rsid w:val="00666708"/>
    <w:rsid w:val="00666F1C"/>
    <w:rsid w:val="00667E5D"/>
    <w:rsid w:val="006700AF"/>
    <w:rsid w:val="00671515"/>
    <w:rsid w:val="006725ED"/>
    <w:rsid w:val="0067287B"/>
    <w:rsid w:val="0067348C"/>
    <w:rsid w:val="00675F69"/>
    <w:rsid w:val="0067630E"/>
    <w:rsid w:val="00676AB2"/>
    <w:rsid w:val="00676E5E"/>
    <w:rsid w:val="006771E8"/>
    <w:rsid w:val="00677643"/>
    <w:rsid w:val="006777D0"/>
    <w:rsid w:val="00680783"/>
    <w:rsid w:val="0068142F"/>
    <w:rsid w:val="00681593"/>
    <w:rsid w:val="00682C9D"/>
    <w:rsid w:val="00683342"/>
    <w:rsid w:val="00683F6B"/>
    <w:rsid w:val="00686B89"/>
    <w:rsid w:val="006876A3"/>
    <w:rsid w:val="00687A07"/>
    <w:rsid w:val="0069072D"/>
    <w:rsid w:val="00690A97"/>
    <w:rsid w:val="00692DA2"/>
    <w:rsid w:val="006938E2"/>
    <w:rsid w:val="00694081"/>
    <w:rsid w:val="00696AFC"/>
    <w:rsid w:val="00697AFD"/>
    <w:rsid w:val="00697BAF"/>
    <w:rsid w:val="006A014A"/>
    <w:rsid w:val="006A0E1E"/>
    <w:rsid w:val="006A19D9"/>
    <w:rsid w:val="006A218F"/>
    <w:rsid w:val="006A2278"/>
    <w:rsid w:val="006A2958"/>
    <w:rsid w:val="006A34DB"/>
    <w:rsid w:val="006A4A63"/>
    <w:rsid w:val="006A4E74"/>
    <w:rsid w:val="006A5F8C"/>
    <w:rsid w:val="006A60C8"/>
    <w:rsid w:val="006A792C"/>
    <w:rsid w:val="006A7AF2"/>
    <w:rsid w:val="006B0A4F"/>
    <w:rsid w:val="006B2421"/>
    <w:rsid w:val="006B2BFD"/>
    <w:rsid w:val="006B2FD4"/>
    <w:rsid w:val="006B45DD"/>
    <w:rsid w:val="006B561A"/>
    <w:rsid w:val="006B5A69"/>
    <w:rsid w:val="006B6292"/>
    <w:rsid w:val="006B640E"/>
    <w:rsid w:val="006B6441"/>
    <w:rsid w:val="006B65BB"/>
    <w:rsid w:val="006C22BF"/>
    <w:rsid w:val="006C2B78"/>
    <w:rsid w:val="006C3706"/>
    <w:rsid w:val="006C39F7"/>
    <w:rsid w:val="006C50E6"/>
    <w:rsid w:val="006C5731"/>
    <w:rsid w:val="006C6091"/>
    <w:rsid w:val="006C7304"/>
    <w:rsid w:val="006C7464"/>
    <w:rsid w:val="006D2A20"/>
    <w:rsid w:val="006D3A48"/>
    <w:rsid w:val="006D3E35"/>
    <w:rsid w:val="006D41AF"/>
    <w:rsid w:val="006D46A5"/>
    <w:rsid w:val="006D4E2F"/>
    <w:rsid w:val="006D503F"/>
    <w:rsid w:val="006D5972"/>
    <w:rsid w:val="006D661D"/>
    <w:rsid w:val="006D6BCF"/>
    <w:rsid w:val="006D7DD6"/>
    <w:rsid w:val="006D7F22"/>
    <w:rsid w:val="006E0C0E"/>
    <w:rsid w:val="006E2746"/>
    <w:rsid w:val="006E2978"/>
    <w:rsid w:val="006E2DB0"/>
    <w:rsid w:val="006E30FB"/>
    <w:rsid w:val="006E4290"/>
    <w:rsid w:val="006E4C75"/>
    <w:rsid w:val="006E4F28"/>
    <w:rsid w:val="006E671C"/>
    <w:rsid w:val="006E6887"/>
    <w:rsid w:val="006E68E0"/>
    <w:rsid w:val="006E7548"/>
    <w:rsid w:val="006E78C2"/>
    <w:rsid w:val="006E7D53"/>
    <w:rsid w:val="006F1AAF"/>
    <w:rsid w:val="006F290B"/>
    <w:rsid w:val="006F3010"/>
    <w:rsid w:val="006F3074"/>
    <w:rsid w:val="006F3931"/>
    <w:rsid w:val="006F4272"/>
    <w:rsid w:val="006F4343"/>
    <w:rsid w:val="006F4B7D"/>
    <w:rsid w:val="006F4BC4"/>
    <w:rsid w:val="006F6174"/>
    <w:rsid w:val="006F618A"/>
    <w:rsid w:val="006F6319"/>
    <w:rsid w:val="006F75EF"/>
    <w:rsid w:val="006F7CA2"/>
    <w:rsid w:val="0070040B"/>
    <w:rsid w:val="007008FA"/>
    <w:rsid w:val="00702148"/>
    <w:rsid w:val="00702208"/>
    <w:rsid w:val="0070336F"/>
    <w:rsid w:val="007034D0"/>
    <w:rsid w:val="007045D5"/>
    <w:rsid w:val="00705EAE"/>
    <w:rsid w:val="00705F59"/>
    <w:rsid w:val="007062D5"/>
    <w:rsid w:val="00706C9B"/>
    <w:rsid w:val="007077BD"/>
    <w:rsid w:val="00710B3F"/>
    <w:rsid w:val="00710F0C"/>
    <w:rsid w:val="00711783"/>
    <w:rsid w:val="00711925"/>
    <w:rsid w:val="00711E98"/>
    <w:rsid w:val="00712146"/>
    <w:rsid w:val="007123CE"/>
    <w:rsid w:val="00713838"/>
    <w:rsid w:val="007146C8"/>
    <w:rsid w:val="007148AE"/>
    <w:rsid w:val="007163DD"/>
    <w:rsid w:val="007165A7"/>
    <w:rsid w:val="00717890"/>
    <w:rsid w:val="00717BC3"/>
    <w:rsid w:val="00720DA2"/>
    <w:rsid w:val="00720F44"/>
    <w:rsid w:val="00721EA2"/>
    <w:rsid w:val="0072205D"/>
    <w:rsid w:val="00722573"/>
    <w:rsid w:val="00722D96"/>
    <w:rsid w:val="00723FFC"/>
    <w:rsid w:val="00724084"/>
    <w:rsid w:val="00724085"/>
    <w:rsid w:val="00724953"/>
    <w:rsid w:val="00724AE6"/>
    <w:rsid w:val="00724B80"/>
    <w:rsid w:val="00724C11"/>
    <w:rsid w:val="00726AA1"/>
    <w:rsid w:val="0072780E"/>
    <w:rsid w:val="00727D95"/>
    <w:rsid w:val="00730405"/>
    <w:rsid w:val="00730FC3"/>
    <w:rsid w:val="007312C9"/>
    <w:rsid w:val="0073233F"/>
    <w:rsid w:val="007325A9"/>
    <w:rsid w:val="00732696"/>
    <w:rsid w:val="00734094"/>
    <w:rsid w:val="0073677D"/>
    <w:rsid w:val="00736E41"/>
    <w:rsid w:val="00737786"/>
    <w:rsid w:val="007378A5"/>
    <w:rsid w:val="00740BD4"/>
    <w:rsid w:val="00740D48"/>
    <w:rsid w:val="00740DC2"/>
    <w:rsid w:val="00741B15"/>
    <w:rsid w:val="0074263C"/>
    <w:rsid w:val="007450C5"/>
    <w:rsid w:val="00745CF2"/>
    <w:rsid w:val="0074619B"/>
    <w:rsid w:val="007472E3"/>
    <w:rsid w:val="0074794A"/>
    <w:rsid w:val="0075100F"/>
    <w:rsid w:val="00751D42"/>
    <w:rsid w:val="00751E84"/>
    <w:rsid w:val="00753C05"/>
    <w:rsid w:val="007558E9"/>
    <w:rsid w:val="00756AEE"/>
    <w:rsid w:val="00757552"/>
    <w:rsid w:val="00760D50"/>
    <w:rsid w:val="0076126C"/>
    <w:rsid w:val="007613E2"/>
    <w:rsid w:val="00764EB2"/>
    <w:rsid w:val="00765DFD"/>
    <w:rsid w:val="0076647E"/>
    <w:rsid w:val="00766FBB"/>
    <w:rsid w:val="007675C5"/>
    <w:rsid w:val="007710AE"/>
    <w:rsid w:val="00771119"/>
    <w:rsid w:val="007711BF"/>
    <w:rsid w:val="00771D74"/>
    <w:rsid w:val="00772155"/>
    <w:rsid w:val="00773649"/>
    <w:rsid w:val="00773D3E"/>
    <w:rsid w:val="00774557"/>
    <w:rsid w:val="00774BB8"/>
    <w:rsid w:val="007763AC"/>
    <w:rsid w:val="0077677C"/>
    <w:rsid w:val="007830A5"/>
    <w:rsid w:val="007839A4"/>
    <w:rsid w:val="007865AB"/>
    <w:rsid w:val="007869BA"/>
    <w:rsid w:val="00786CEE"/>
    <w:rsid w:val="00786DBE"/>
    <w:rsid w:val="00787D69"/>
    <w:rsid w:val="007906AA"/>
    <w:rsid w:val="00790B97"/>
    <w:rsid w:val="00790CB0"/>
    <w:rsid w:val="0079297A"/>
    <w:rsid w:val="00792B3D"/>
    <w:rsid w:val="007946AA"/>
    <w:rsid w:val="00794882"/>
    <w:rsid w:val="00795688"/>
    <w:rsid w:val="00797456"/>
    <w:rsid w:val="007A0792"/>
    <w:rsid w:val="007A2742"/>
    <w:rsid w:val="007A2ADE"/>
    <w:rsid w:val="007A308E"/>
    <w:rsid w:val="007A446C"/>
    <w:rsid w:val="007A4C8C"/>
    <w:rsid w:val="007A5E7D"/>
    <w:rsid w:val="007A5FCB"/>
    <w:rsid w:val="007A6226"/>
    <w:rsid w:val="007A7A2B"/>
    <w:rsid w:val="007B01BF"/>
    <w:rsid w:val="007B03CF"/>
    <w:rsid w:val="007B0750"/>
    <w:rsid w:val="007B0C76"/>
    <w:rsid w:val="007B0D7B"/>
    <w:rsid w:val="007B1E49"/>
    <w:rsid w:val="007B22F8"/>
    <w:rsid w:val="007B2E1A"/>
    <w:rsid w:val="007B39C9"/>
    <w:rsid w:val="007B4669"/>
    <w:rsid w:val="007B4D5A"/>
    <w:rsid w:val="007B5118"/>
    <w:rsid w:val="007B6038"/>
    <w:rsid w:val="007B6311"/>
    <w:rsid w:val="007B719A"/>
    <w:rsid w:val="007C0297"/>
    <w:rsid w:val="007C1E55"/>
    <w:rsid w:val="007C36F2"/>
    <w:rsid w:val="007C3C28"/>
    <w:rsid w:val="007C40E7"/>
    <w:rsid w:val="007C442E"/>
    <w:rsid w:val="007C4BFD"/>
    <w:rsid w:val="007C675D"/>
    <w:rsid w:val="007C679F"/>
    <w:rsid w:val="007C6EAB"/>
    <w:rsid w:val="007C7366"/>
    <w:rsid w:val="007C7B1A"/>
    <w:rsid w:val="007D2530"/>
    <w:rsid w:val="007D4480"/>
    <w:rsid w:val="007D5503"/>
    <w:rsid w:val="007D57C9"/>
    <w:rsid w:val="007D6DB0"/>
    <w:rsid w:val="007D766B"/>
    <w:rsid w:val="007D7D1E"/>
    <w:rsid w:val="007D7F5A"/>
    <w:rsid w:val="007E0496"/>
    <w:rsid w:val="007E30BE"/>
    <w:rsid w:val="007E3C56"/>
    <w:rsid w:val="007E3EB9"/>
    <w:rsid w:val="007E5389"/>
    <w:rsid w:val="007E5489"/>
    <w:rsid w:val="007E60D5"/>
    <w:rsid w:val="007E637C"/>
    <w:rsid w:val="007E73B8"/>
    <w:rsid w:val="007E767D"/>
    <w:rsid w:val="007E769A"/>
    <w:rsid w:val="007E7C4B"/>
    <w:rsid w:val="007F46DC"/>
    <w:rsid w:val="007F4AAE"/>
    <w:rsid w:val="007F51EE"/>
    <w:rsid w:val="00800005"/>
    <w:rsid w:val="008001B8"/>
    <w:rsid w:val="008006E1"/>
    <w:rsid w:val="00801E05"/>
    <w:rsid w:val="00802428"/>
    <w:rsid w:val="00803219"/>
    <w:rsid w:val="0080366C"/>
    <w:rsid w:val="00803E26"/>
    <w:rsid w:val="00803FEA"/>
    <w:rsid w:val="00804A31"/>
    <w:rsid w:val="008059A4"/>
    <w:rsid w:val="008065FE"/>
    <w:rsid w:val="00806AC7"/>
    <w:rsid w:val="00807139"/>
    <w:rsid w:val="00811488"/>
    <w:rsid w:val="00811584"/>
    <w:rsid w:val="00811B81"/>
    <w:rsid w:val="00813421"/>
    <w:rsid w:val="008145FD"/>
    <w:rsid w:val="00814676"/>
    <w:rsid w:val="00815595"/>
    <w:rsid w:val="00816AA2"/>
    <w:rsid w:val="00817279"/>
    <w:rsid w:val="008179DD"/>
    <w:rsid w:val="00820F7C"/>
    <w:rsid w:val="00821AFB"/>
    <w:rsid w:val="008240F5"/>
    <w:rsid w:val="00824433"/>
    <w:rsid w:val="0082503E"/>
    <w:rsid w:val="0082598A"/>
    <w:rsid w:val="00825BA5"/>
    <w:rsid w:val="00825FD1"/>
    <w:rsid w:val="008267C7"/>
    <w:rsid w:val="008268EC"/>
    <w:rsid w:val="00826B3F"/>
    <w:rsid w:val="00830241"/>
    <w:rsid w:val="00830626"/>
    <w:rsid w:val="00831B06"/>
    <w:rsid w:val="00831DBC"/>
    <w:rsid w:val="0083496A"/>
    <w:rsid w:val="00835DFF"/>
    <w:rsid w:val="00836EC2"/>
    <w:rsid w:val="00837A73"/>
    <w:rsid w:val="00840164"/>
    <w:rsid w:val="00840585"/>
    <w:rsid w:val="008405DB"/>
    <w:rsid w:val="008423D0"/>
    <w:rsid w:val="008424F3"/>
    <w:rsid w:val="00842673"/>
    <w:rsid w:val="0084275E"/>
    <w:rsid w:val="00843C94"/>
    <w:rsid w:val="008440B3"/>
    <w:rsid w:val="00844640"/>
    <w:rsid w:val="008448B5"/>
    <w:rsid w:val="00844E0F"/>
    <w:rsid w:val="00844F30"/>
    <w:rsid w:val="00845A47"/>
    <w:rsid w:val="00845B56"/>
    <w:rsid w:val="0084657C"/>
    <w:rsid w:val="00847041"/>
    <w:rsid w:val="0084735D"/>
    <w:rsid w:val="00853DBC"/>
    <w:rsid w:val="00854ADD"/>
    <w:rsid w:val="00854FE3"/>
    <w:rsid w:val="00855C2B"/>
    <w:rsid w:val="00855D10"/>
    <w:rsid w:val="00855E91"/>
    <w:rsid w:val="00856391"/>
    <w:rsid w:val="00856637"/>
    <w:rsid w:val="00857330"/>
    <w:rsid w:val="00857614"/>
    <w:rsid w:val="00857943"/>
    <w:rsid w:val="0086199F"/>
    <w:rsid w:val="00861A8B"/>
    <w:rsid w:val="00862786"/>
    <w:rsid w:val="00863EEE"/>
    <w:rsid w:val="008653D8"/>
    <w:rsid w:val="00865EBC"/>
    <w:rsid w:val="00867018"/>
    <w:rsid w:val="00870261"/>
    <w:rsid w:val="00871951"/>
    <w:rsid w:val="008735BC"/>
    <w:rsid w:val="00874058"/>
    <w:rsid w:val="008757AF"/>
    <w:rsid w:val="0087743C"/>
    <w:rsid w:val="00877C3C"/>
    <w:rsid w:val="00882328"/>
    <w:rsid w:val="008826BE"/>
    <w:rsid w:val="00883142"/>
    <w:rsid w:val="008832A0"/>
    <w:rsid w:val="00884BC8"/>
    <w:rsid w:val="008850F5"/>
    <w:rsid w:val="00885597"/>
    <w:rsid w:val="00885DFB"/>
    <w:rsid w:val="00886776"/>
    <w:rsid w:val="00887538"/>
    <w:rsid w:val="00891031"/>
    <w:rsid w:val="008923C8"/>
    <w:rsid w:val="00892912"/>
    <w:rsid w:val="00892E0D"/>
    <w:rsid w:val="00892F0B"/>
    <w:rsid w:val="00893205"/>
    <w:rsid w:val="00894CC2"/>
    <w:rsid w:val="0089506C"/>
    <w:rsid w:val="00895F7B"/>
    <w:rsid w:val="00896EB7"/>
    <w:rsid w:val="008A0805"/>
    <w:rsid w:val="008A1700"/>
    <w:rsid w:val="008A2584"/>
    <w:rsid w:val="008A2BE8"/>
    <w:rsid w:val="008A3FD9"/>
    <w:rsid w:val="008A4C2D"/>
    <w:rsid w:val="008A5DAB"/>
    <w:rsid w:val="008A696F"/>
    <w:rsid w:val="008A6B50"/>
    <w:rsid w:val="008A729B"/>
    <w:rsid w:val="008A793D"/>
    <w:rsid w:val="008A7BD7"/>
    <w:rsid w:val="008B007F"/>
    <w:rsid w:val="008B03BF"/>
    <w:rsid w:val="008B0798"/>
    <w:rsid w:val="008B0C18"/>
    <w:rsid w:val="008B1E4A"/>
    <w:rsid w:val="008B4F78"/>
    <w:rsid w:val="008B58B5"/>
    <w:rsid w:val="008B6806"/>
    <w:rsid w:val="008B6F63"/>
    <w:rsid w:val="008B71B4"/>
    <w:rsid w:val="008C001C"/>
    <w:rsid w:val="008C148D"/>
    <w:rsid w:val="008C2A34"/>
    <w:rsid w:val="008C2B6C"/>
    <w:rsid w:val="008C2FEE"/>
    <w:rsid w:val="008C377D"/>
    <w:rsid w:val="008C39ED"/>
    <w:rsid w:val="008C4003"/>
    <w:rsid w:val="008C4530"/>
    <w:rsid w:val="008C4809"/>
    <w:rsid w:val="008C51D5"/>
    <w:rsid w:val="008C551A"/>
    <w:rsid w:val="008C6B1B"/>
    <w:rsid w:val="008C6BD2"/>
    <w:rsid w:val="008C6D50"/>
    <w:rsid w:val="008C792D"/>
    <w:rsid w:val="008D0C64"/>
    <w:rsid w:val="008D0FBB"/>
    <w:rsid w:val="008D12D8"/>
    <w:rsid w:val="008D1C9A"/>
    <w:rsid w:val="008D201E"/>
    <w:rsid w:val="008D38BA"/>
    <w:rsid w:val="008D488E"/>
    <w:rsid w:val="008D761C"/>
    <w:rsid w:val="008E17CA"/>
    <w:rsid w:val="008E3ABF"/>
    <w:rsid w:val="008E5D17"/>
    <w:rsid w:val="008E613B"/>
    <w:rsid w:val="008E7C17"/>
    <w:rsid w:val="008F0AB4"/>
    <w:rsid w:val="008F1341"/>
    <w:rsid w:val="008F1AF4"/>
    <w:rsid w:val="008F2A73"/>
    <w:rsid w:val="008F311B"/>
    <w:rsid w:val="008F355E"/>
    <w:rsid w:val="008F3D92"/>
    <w:rsid w:val="008F5749"/>
    <w:rsid w:val="008F5CC3"/>
    <w:rsid w:val="008F693E"/>
    <w:rsid w:val="008F7A85"/>
    <w:rsid w:val="0090133B"/>
    <w:rsid w:val="009013D0"/>
    <w:rsid w:val="00901994"/>
    <w:rsid w:val="009021B7"/>
    <w:rsid w:val="009048F6"/>
    <w:rsid w:val="00905D2A"/>
    <w:rsid w:val="00905E37"/>
    <w:rsid w:val="00907FD6"/>
    <w:rsid w:val="009100B0"/>
    <w:rsid w:val="009103CD"/>
    <w:rsid w:val="00911348"/>
    <w:rsid w:val="00912005"/>
    <w:rsid w:val="009120BE"/>
    <w:rsid w:val="00912667"/>
    <w:rsid w:val="009126C8"/>
    <w:rsid w:val="009127CB"/>
    <w:rsid w:val="00912B42"/>
    <w:rsid w:val="00912F76"/>
    <w:rsid w:val="0091342D"/>
    <w:rsid w:val="009148BF"/>
    <w:rsid w:val="009171F8"/>
    <w:rsid w:val="0092007E"/>
    <w:rsid w:val="00920BC7"/>
    <w:rsid w:val="00920EDB"/>
    <w:rsid w:val="00921A24"/>
    <w:rsid w:val="00923066"/>
    <w:rsid w:val="00923105"/>
    <w:rsid w:val="00923A4A"/>
    <w:rsid w:val="00925890"/>
    <w:rsid w:val="009267E9"/>
    <w:rsid w:val="0093078F"/>
    <w:rsid w:val="0093224B"/>
    <w:rsid w:val="009327FA"/>
    <w:rsid w:val="009338DC"/>
    <w:rsid w:val="00933A05"/>
    <w:rsid w:val="00933E82"/>
    <w:rsid w:val="00936CFA"/>
    <w:rsid w:val="00936E1E"/>
    <w:rsid w:val="00937060"/>
    <w:rsid w:val="009408C3"/>
    <w:rsid w:val="00943286"/>
    <w:rsid w:val="00943453"/>
    <w:rsid w:val="00944D66"/>
    <w:rsid w:val="009456FF"/>
    <w:rsid w:val="009505DD"/>
    <w:rsid w:val="0095149D"/>
    <w:rsid w:val="00952A8C"/>
    <w:rsid w:val="0095412B"/>
    <w:rsid w:val="00954489"/>
    <w:rsid w:val="00955470"/>
    <w:rsid w:val="00956A4B"/>
    <w:rsid w:val="00957686"/>
    <w:rsid w:val="009607E0"/>
    <w:rsid w:val="009615A6"/>
    <w:rsid w:val="0096220C"/>
    <w:rsid w:val="00963F72"/>
    <w:rsid w:val="009641C9"/>
    <w:rsid w:val="00965F8D"/>
    <w:rsid w:val="0096742B"/>
    <w:rsid w:val="00967D3C"/>
    <w:rsid w:val="0097174D"/>
    <w:rsid w:val="0097184D"/>
    <w:rsid w:val="00972080"/>
    <w:rsid w:val="00973977"/>
    <w:rsid w:val="009741ED"/>
    <w:rsid w:val="0097477E"/>
    <w:rsid w:val="00974899"/>
    <w:rsid w:val="009750B6"/>
    <w:rsid w:val="0097654B"/>
    <w:rsid w:val="00977063"/>
    <w:rsid w:val="00980C9F"/>
    <w:rsid w:val="009817AA"/>
    <w:rsid w:val="00983C06"/>
    <w:rsid w:val="00983F04"/>
    <w:rsid w:val="009849B9"/>
    <w:rsid w:val="00986A42"/>
    <w:rsid w:val="00986C8E"/>
    <w:rsid w:val="009903AE"/>
    <w:rsid w:val="00990D6B"/>
    <w:rsid w:val="009911CF"/>
    <w:rsid w:val="009920AE"/>
    <w:rsid w:val="0099297A"/>
    <w:rsid w:val="0099320F"/>
    <w:rsid w:val="0099365D"/>
    <w:rsid w:val="00994C2C"/>
    <w:rsid w:val="00995BC5"/>
    <w:rsid w:val="00996318"/>
    <w:rsid w:val="00997625"/>
    <w:rsid w:val="009A1156"/>
    <w:rsid w:val="009A13D3"/>
    <w:rsid w:val="009A14C5"/>
    <w:rsid w:val="009A3260"/>
    <w:rsid w:val="009A32DB"/>
    <w:rsid w:val="009A4D76"/>
    <w:rsid w:val="009A5129"/>
    <w:rsid w:val="009A6AA9"/>
    <w:rsid w:val="009A6F78"/>
    <w:rsid w:val="009A7CA8"/>
    <w:rsid w:val="009B164E"/>
    <w:rsid w:val="009B16AD"/>
    <w:rsid w:val="009B2FB9"/>
    <w:rsid w:val="009B3465"/>
    <w:rsid w:val="009B34B7"/>
    <w:rsid w:val="009B4331"/>
    <w:rsid w:val="009B45EE"/>
    <w:rsid w:val="009B6203"/>
    <w:rsid w:val="009B6B9F"/>
    <w:rsid w:val="009B6D9E"/>
    <w:rsid w:val="009B70CB"/>
    <w:rsid w:val="009B7F6A"/>
    <w:rsid w:val="009C03C0"/>
    <w:rsid w:val="009C1ECB"/>
    <w:rsid w:val="009C26D4"/>
    <w:rsid w:val="009C303D"/>
    <w:rsid w:val="009C3553"/>
    <w:rsid w:val="009C3770"/>
    <w:rsid w:val="009C39F6"/>
    <w:rsid w:val="009C3FCB"/>
    <w:rsid w:val="009C441F"/>
    <w:rsid w:val="009C5992"/>
    <w:rsid w:val="009C663E"/>
    <w:rsid w:val="009C724E"/>
    <w:rsid w:val="009C75D2"/>
    <w:rsid w:val="009C7718"/>
    <w:rsid w:val="009C7804"/>
    <w:rsid w:val="009C7C0B"/>
    <w:rsid w:val="009C7DEE"/>
    <w:rsid w:val="009D17F4"/>
    <w:rsid w:val="009D4737"/>
    <w:rsid w:val="009D4783"/>
    <w:rsid w:val="009D5945"/>
    <w:rsid w:val="009E0227"/>
    <w:rsid w:val="009E0E86"/>
    <w:rsid w:val="009E10A0"/>
    <w:rsid w:val="009E1690"/>
    <w:rsid w:val="009E23B1"/>
    <w:rsid w:val="009E2726"/>
    <w:rsid w:val="009E27A9"/>
    <w:rsid w:val="009E2F27"/>
    <w:rsid w:val="009E3805"/>
    <w:rsid w:val="009E3B88"/>
    <w:rsid w:val="009E3D4B"/>
    <w:rsid w:val="009E5A5E"/>
    <w:rsid w:val="009E6A57"/>
    <w:rsid w:val="009E6AAA"/>
    <w:rsid w:val="009E6B74"/>
    <w:rsid w:val="009E7D10"/>
    <w:rsid w:val="009F05BB"/>
    <w:rsid w:val="009F063E"/>
    <w:rsid w:val="009F0CF7"/>
    <w:rsid w:val="009F1779"/>
    <w:rsid w:val="009F2446"/>
    <w:rsid w:val="009F2821"/>
    <w:rsid w:val="009F29D6"/>
    <w:rsid w:val="009F2C08"/>
    <w:rsid w:val="009F3E5C"/>
    <w:rsid w:val="009F44F2"/>
    <w:rsid w:val="009F4500"/>
    <w:rsid w:val="009F4BB9"/>
    <w:rsid w:val="009F5155"/>
    <w:rsid w:val="009F5A76"/>
    <w:rsid w:val="009F5B11"/>
    <w:rsid w:val="009F6FE3"/>
    <w:rsid w:val="009F740A"/>
    <w:rsid w:val="009F7563"/>
    <w:rsid w:val="00A00509"/>
    <w:rsid w:val="00A013D8"/>
    <w:rsid w:val="00A0205E"/>
    <w:rsid w:val="00A03A25"/>
    <w:rsid w:val="00A03CF0"/>
    <w:rsid w:val="00A03FB4"/>
    <w:rsid w:val="00A04512"/>
    <w:rsid w:val="00A04714"/>
    <w:rsid w:val="00A04B14"/>
    <w:rsid w:val="00A04B80"/>
    <w:rsid w:val="00A05CDA"/>
    <w:rsid w:val="00A0667D"/>
    <w:rsid w:val="00A06DAF"/>
    <w:rsid w:val="00A06DE0"/>
    <w:rsid w:val="00A07028"/>
    <w:rsid w:val="00A072C2"/>
    <w:rsid w:val="00A07F0B"/>
    <w:rsid w:val="00A10275"/>
    <w:rsid w:val="00A10776"/>
    <w:rsid w:val="00A10D6F"/>
    <w:rsid w:val="00A10E9A"/>
    <w:rsid w:val="00A1284A"/>
    <w:rsid w:val="00A12958"/>
    <w:rsid w:val="00A14424"/>
    <w:rsid w:val="00A16C89"/>
    <w:rsid w:val="00A17CAC"/>
    <w:rsid w:val="00A20235"/>
    <w:rsid w:val="00A21439"/>
    <w:rsid w:val="00A22F60"/>
    <w:rsid w:val="00A23928"/>
    <w:rsid w:val="00A2435A"/>
    <w:rsid w:val="00A25A6C"/>
    <w:rsid w:val="00A27660"/>
    <w:rsid w:val="00A27F75"/>
    <w:rsid w:val="00A30737"/>
    <w:rsid w:val="00A323A9"/>
    <w:rsid w:val="00A32DA5"/>
    <w:rsid w:val="00A33F29"/>
    <w:rsid w:val="00A34E0D"/>
    <w:rsid w:val="00A35926"/>
    <w:rsid w:val="00A362F2"/>
    <w:rsid w:val="00A370EA"/>
    <w:rsid w:val="00A40887"/>
    <w:rsid w:val="00A40CDD"/>
    <w:rsid w:val="00A41E08"/>
    <w:rsid w:val="00A41EB5"/>
    <w:rsid w:val="00A42101"/>
    <w:rsid w:val="00A428F8"/>
    <w:rsid w:val="00A43207"/>
    <w:rsid w:val="00A432D9"/>
    <w:rsid w:val="00A43B16"/>
    <w:rsid w:val="00A43BCC"/>
    <w:rsid w:val="00A4536E"/>
    <w:rsid w:val="00A461AF"/>
    <w:rsid w:val="00A4642A"/>
    <w:rsid w:val="00A46A14"/>
    <w:rsid w:val="00A474E9"/>
    <w:rsid w:val="00A50018"/>
    <w:rsid w:val="00A50429"/>
    <w:rsid w:val="00A50851"/>
    <w:rsid w:val="00A50AE4"/>
    <w:rsid w:val="00A51128"/>
    <w:rsid w:val="00A5120C"/>
    <w:rsid w:val="00A51E5D"/>
    <w:rsid w:val="00A521AA"/>
    <w:rsid w:val="00A52FBE"/>
    <w:rsid w:val="00A53FBB"/>
    <w:rsid w:val="00A54A4C"/>
    <w:rsid w:val="00A55707"/>
    <w:rsid w:val="00A55EC8"/>
    <w:rsid w:val="00A562A0"/>
    <w:rsid w:val="00A575EC"/>
    <w:rsid w:val="00A60AE5"/>
    <w:rsid w:val="00A61E37"/>
    <w:rsid w:val="00A62E5E"/>
    <w:rsid w:val="00A6374A"/>
    <w:rsid w:val="00A63C8C"/>
    <w:rsid w:val="00A65594"/>
    <w:rsid w:val="00A655C1"/>
    <w:rsid w:val="00A67E22"/>
    <w:rsid w:val="00A70BF8"/>
    <w:rsid w:val="00A70D82"/>
    <w:rsid w:val="00A711A4"/>
    <w:rsid w:val="00A71273"/>
    <w:rsid w:val="00A716DC"/>
    <w:rsid w:val="00A71CAC"/>
    <w:rsid w:val="00A730A9"/>
    <w:rsid w:val="00A73B64"/>
    <w:rsid w:val="00A74278"/>
    <w:rsid w:val="00A74E0C"/>
    <w:rsid w:val="00A756BD"/>
    <w:rsid w:val="00A76E26"/>
    <w:rsid w:val="00A77048"/>
    <w:rsid w:val="00A805E9"/>
    <w:rsid w:val="00A80E14"/>
    <w:rsid w:val="00A81AD3"/>
    <w:rsid w:val="00A827E6"/>
    <w:rsid w:val="00A83280"/>
    <w:rsid w:val="00A83AEB"/>
    <w:rsid w:val="00A8458B"/>
    <w:rsid w:val="00A90A5A"/>
    <w:rsid w:val="00A91F4C"/>
    <w:rsid w:val="00A925C6"/>
    <w:rsid w:val="00A933ED"/>
    <w:rsid w:val="00A9369D"/>
    <w:rsid w:val="00A94367"/>
    <w:rsid w:val="00A95813"/>
    <w:rsid w:val="00A96B38"/>
    <w:rsid w:val="00A96F45"/>
    <w:rsid w:val="00A97097"/>
    <w:rsid w:val="00A9723D"/>
    <w:rsid w:val="00A972B8"/>
    <w:rsid w:val="00A97A3D"/>
    <w:rsid w:val="00A97A49"/>
    <w:rsid w:val="00AA0887"/>
    <w:rsid w:val="00AA0C23"/>
    <w:rsid w:val="00AA1B16"/>
    <w:rsid w:val="00AA256E"/>
    <w:rsid w:val="00AA25A2"/>
    <w:rsid w:val="00AA2F9F"/>
    <w:rsid w:val="00AA38A0"/>
    <w:rsid w:val="00AA5994"/>
    <w:rsid w:val="00AA5EE3"/>
    <w:rsid w:val="00AA5F3C"/>
    <w:rsid w:val="00AA5FF9"/>
    <w:rsid w:val="00AA6109"/>
    <w:rsid w:val="00AA6C04"/>
    <w:rsid w:val="00AA6FB0"/>
    <w:rsid w:val="00AB0218"/>
    <w:rsid w:val="00AB03CF"/>
    <w:rsid w:val="00AB06AC"/>
    <w:rsid w:val="00AB0951"/>
    <w:rsid w:val="00AB3326"/>
    <w:rsid w:val="00AB4782"/>
    <w:rsid w:val="00AB6A29"/>
    <w:rsid w:val="00AB71E2"/>
    <w:rsid w:val="00AC0A97"/>
    <w:rsid w:val="00AC0B0F"/>
    <w:rsid w:val="00AC1AAF"/>
    <w:rsid w:val="00AC1E7A"/>
    <w:rsid w:val="00AC2446"/>
    <w:rsid w:val="00AC2475"/>
    <w:rsid w:val="00AC3401"/>
    <w:rsid w:val="00AC3A17"/>
    <w:rsid w:val="00AC3C22"/>
    <w:rsid w:val="00AC3D47"/>
    <w:rsid w:val="00AC5DFC"/>
    <w:rsid w:val="00AC5ED4"/>
    <w:rsid w:val="00AC5F86"/>
    <w:rsid w:val="00AC6ED9"/>
    <w:rsid w:val="00AC74BC"/>
    <w:rsid w:val="00AC7835"/>
    <w:rsid w:val="00AD056C"/>
    <w:rsid w:val="00AD1968"/>
    <w:rsid w:val="00AD30D0"/>
    <w:rsid w:val="00AD3C9B"/>
    <w:rsid w:val="00AD3FDF"/>
    <w:rsid w:val="00AD5489"/>
    <w:rsid w:val="00AD6CFA"/>
    <w:rsid w:val="00AD6EEE"/>
    <w:rsid w:val="00AD764F"/>
    <w:rsid w:val="00AE1F94"/>
    <w:rsid w:val="00AE3411"/>
    <w:rsid w:val="00AE34F5"/>
    <w:rsid w:val="00AE6EE8"/>
    <w:rsid w:val="00AE79A7"/>
    <w:rsid w:val="00AE7AED"/>
    <w:rsid w:val="00AE7D95"/>
    <w:rsid w:val="00AF075A"/>
    <w:rsid w:val="00AF1A49"/>
    <w:rsid w:val="00AF2F71"/>
    <w:rsid w:val="00AF5A83"/>
    <w:rsid w:val="00AF7314"/>
    <w:rsid w:val="00B00118"/>
    <w:rsid w:val="00B011E6"/>
    <w:rsid w:val="00B01DD6"/>
    <w:rsid w:val="00B03773"/>
    <w:rsid w:val="00B03C75"/>
    <w:rsid w:val="00B048B6"/>
    <w:rsid w:val="00B05006"/>
    <w:rsid w:val="00B06007"/>
    <w:rsid w:val="00B06119"/>
    <w:rsid w:val="00B07B2A"/>
    <w:rsid w:val="00B10146"/>
    <w:rsid w:val="00B1044A"/>
    <w:rsid w:val="00B10750"/>
    <w:rsid w:val="00B118A0"/>
    <w:rsid w:val="00B128E2"/>
    <w:rsid w:val="00B1292D"/>
    <w:rsid w:val="00B12A10"/>
    <w:rsid w:val="00B14190"/>
    <w:rsid w:val="00B14D33"/>
    <w:rsid w:val="00B15917"/>
    <w:rsid w:val="00B15F06"/>
    <w:rsid w:val="00B163C9"/>
    <w:rsid w:val="00B16A79"/>
    <w:rsid w:val="00B175AB"/>
    <w:rsid w:val="00B212CE"/>
    <w:rsid w:val="00B2295A"/>
    <w:rsid w:val="00B22BF4"/>
    <w:rsid w:val="00B24513"/>
    <w:rsid w:val="00B26D69"/>
    <w:rsid w:val="00B27086"/>
    <w:rsid w:val="00B311EF"/>
    <w:rsid w:val="00B317B1"/>
    <w:rsid w:val="00B32943"/>
    <w:rsid w:val="00B32E92"/>
    <w:rsid w:val="00B354D0"/>
    <w:rsid w:val="00B35B1F"/>
    <w:rsid w:val="00B36286"/>
    <w:rsid w:val="00B36F92"/>
    <w:rsid w:val="00B37A88"/>
    <w:rsid w:val="00B4000D"/>
    <w:rsid w:val="00B408BE"/>
    <w:rsid w:val="00B40BC3"/>
    <w:rsid w:val="00B419FE"/>
    <w:rsid w:val="00B42997"/>
    <w:rsid w:val="00B42EAC"/>
    <w:rsid w:val="00B42FCB"/>
    <w:rsid w:val="00B433F4"/>
    <w:rsid w:val="00B438E6"/>
    <w:rsid w:val="00B44A71"/>
    <w:rsid w:val="00B45F66"/>
    <w:rsid w:val="00B47F34"/>
    <w:rsid w:val="00B47FF0"/>
    <w:rsid w:val="00B506AC"/>
    <w:rsid w:val="00B50C62"/>
    <w:rsid w:val="00B527FE"/>
    <w:rsid w:val="00B53070"/>
    <w:rsid w:val="00B53115"/>
    <w:rsid w:val="00B54252"/>
    <w:rsid w:val="00B544B0"/>
    <w:rsid w:val="00B54C98"/>
    <w:rsid w:val="00B555D8"/>
    <w:rsid w:val="00B55930"/>
    <w:rsid w:val="00B57683"/>
    <w:rsid w:val="00B57E84"/>
    <w:rsid w:val="00B61526"/>
    <w:rsid w:val="00B62453"/>
    <w:rsid w:val="00B62D6A"/>
    <w:rsid w:val="00B62E1D"/>
    <w:rsid w:val="00B63E27"/>
    <w:rsid w:val="00B655EE"/>
    <w:rsid w:val="00B65B7D"/>
    <w:rsid w:val="00B65B9E"/>
    <w:rsid w:val="00B66278"/>
    <w:rsid w:val="00B6674D"/>
    <w:rsid w:val="00B667DA"/>
    <w:rsid w:val="00B66983"/>
    <w:rsid w:val="00B672A8"/>
    <w:rsid w:val="00B6781A"/>
    <w:rsid w:val="00B717D6"/>
    <w:rsid w:val="00B718C6"/>
    <w:rsid w:val="00B72B35"/>
    <w:rsid w:val="00B73375"/>
    <w:rsid w:val="00B739E2"/>
    <w:rsid w:val="00B73F34"/>
    <w:rsid w:val="00B73F7E"/>
    <w:rsid w:val="00B744B0"/>
    <w:rsid w:val="00B74A54"/>
    <w:rsid w:val="00B75084"/>
    <w:rsid w:val="00B752BE"/>
    <w:rsid w:val="00B7610F"/>
    <w:rsid w:val="00B77DF3"/>
    <w:rsid w:val="00B8165E"/>
    <w:rsid w:val="00B81BE2"/>
    <w:rsid w:val="00B84DEC"/>
    <w:rsid w:val="00B8580C"/>
    <w:rsid w:val="00B85B9E"/>
    <w:rsid w:val="00B87B5F"/>
    <w:rsid w:val="00B9043E"/>
    <w:rsid w:val="00B907D3"/>
    <w:rsid w:val="00B911FE"/>
    <w:rsid w:val="00B91B4F"/>
    <w:rsid w:val="00B923E3"/>
    <w:rsid w:val="00B92DDF"/>
    <w:rsid w:val="00B93331"/>
    <w:rsid w:val="00B93481"/>
    <w:rsid w:val="00B93A5F"/>
    <w:rsid w:val="00B93BF9"/>
    <w:rsid w:val="00B93FD3"/>
    <w:rsid w:val="00BA0AFE"/>
    <w:rsid w:val="00BA2BBD"/>
    <w:rsid w:val="00BA2ED0"/>
    <w:rsid w:val="00BA4137"/>
    <w:rsid w:val="00BA41A8"/>
    <w:rsid w:val="00BA4638"/>
    <w:rsid w:val="00BA5574"/>
    <w:rsid w:val="00BA5E53"/>
    <w:rsid w:val="00BA6696"/>
    <w:rsid w:val="00BA69D1"/>
    <w:rsid w:val="00BB0425"/>
    <w:rsid w:val="00BB057B"/>
    <w:rsid w:val="00BB1D11"/>
    <w:rsid w:val="00BB2055"/>
    <w:rsid w:val="00BB2073"/>
    <w:rsid w:val="00BB3A74"/>
    <w:rsid w:val="00BB6D82"/>
    <w:rsid w:val="00BB7602"/>
    <w:rsid w:val="00BC09EA"/>
    <w:rsid w:val="00BC0B14"/>
    <w:rsid w:val="00BC1451"/>
    <w:rsid w:val="00BC1EE6"/>
    <w:rsid w:val="00BC2029"/>
    <w:rsid w:val="00BC2073"/>
    <w:rsid w:val="00BC225B"/>
    <w:rsid w:val="00BC227E"/>
    <w:rsid w:val="00BC36D3"/>
    <w:rsid w:val="00BC5E5A"/>
    <w:rsid w:val="00BC6181"/>
    <w:rsid w:val="00BC663F"/>
    <w:rsid w:val="00BC7180"/>
    <w:rsid w:val="00BC784F"/>
    <w:rsid w:val="00BD0318"/>
    <w:rsid w:val="00BD0538"/>
    <w:rsid w:val="00BD0A85"/>
    <w:rsid w:val="00BD0ABA"/>
    <w:rsid w:val="00BD156C"/>
    <w:rsid w:val="00BD3FEF"/>
    <w:rsid w:val="00BD4543"/>
    <w:rsid w:val="00BD4A1B"/>
    <w:rsid w:val="00BD5C70"/>
    <w:rsid w:val="00BD6E44"/>
    <w:rsid w:val="00BD6FBF"/>
    <w:rsid w:val="00BD7B23"/>
    <w:rsid w:val="00BD7B4F"/>
    <w:rsid w:val="00BD7F93"/>
    <w:rsid w:val="00BE0371"/>
    <w:rsid w:val="00BE0E89"/>
    <w:rsid w:val="00BE1C22"/>
    <w:rsid w:val="00BE2C04"/>
    <w:rsid w:val="00BE33A4"/>
    <w:rsid w:val="00BE3A6B"/>
    <w:rsid w:val="00BE3E1D"/>
    <w:rsid w:val="00BE43E4"/>
    <w:rsid w:val="00BE53B8"/>
    <w:rsid w:val="00BE74FB"/>
    <w:rsid w:val="00BF0212"/>
    <w:rsid w:val="00BF0F2C"/>
    <w:rsid w:val="00BF2CC8"/>
    <w:rsid w:val="00BF36A7"/>
    <w:rsid w:val="00BF3875"/>
    <w:rsid w:val="00BF4F2B"/>
    <w:rsid w:val="00BF57C6"/>
    <w:rsid w:val="00BF6F1E"/>
    <w:rsid w:val="00C004C3"/>
    <w:rsid w:val="00C00E26"/>
    <w:rsid w:val="00C00ED7"/>
    <w:rsid w:val="00C01D47"/>
    <w:rsid w:val="00C0271F"/>
    <w:rsid w:val="00C035C3"/>
    <w:rsid w:val="00C042D9"/>
    <w:rsid w:val="00C04766"/>
    <w:rsid w:val="00C04968"/>
    <w:rsid w:val="00C05735"/>
    <w:rsid w:val="00C0598A"/>
    <w:rsid w:val="00C06171"/>
    <w:rsid w:val="00C068FD"/>
    <w:rsid w:val="00C06A48"/>
    <w:rsid w:val="00C07419"/>
    <w:rsid w:val="00C1235E"/>
    <w:rsid w:val="00C1310B"/>
    <w:rsid w:val="00C13B23"/>
    <w:rsid w:val="00C13EAE"/>
    <w:rsid w:val="00C14D09"/>
    <w:rsid w:val="00C1506E"/>
    <w:rsid w:val="00C15FC3"/>
    <w:rsid w:val="00C16001"/>
    <w:rsid w:val="00C16D4D"/>
    <w:rsid w:val="00C16F17"/>
    <w:rsid w:val="00C16F98"/>
    <w:rsid w:val="00C1796C"/>
    <w:rsid w:val="00C20390"/>
    <w:rsid w:val="00C203C5"/>
    <w:rsid w:val="00C20751"/>
    <w:rsid w:val="00C22E9B"/>
    <w:rsid w:val="00C230FD"/>
    <w:rsid w:val="00C2314C"/>
    <w:rsid w:val="00C23458"/>
    <w:rsid w:val="00C238CD"/>
    <w:rsid w:val="00C262F7"/>
    <w:rsid w:val="00C26B0C"/>
    <w:rsid w:val="00C3068F"/>
    <w:rsid w:val="00C310B5"/>
    <w:rsid w:val="00C31124"/>
    <w:rsid w:val="00C3200F"/>
    <w:rsid w:val="00C331DC"/>
    <w:rsid w:val="00C35901"/>
    <w:rsid w:val="00C35F65"/>
    <w:rsid w:val="00C369A6"/>
    <w:rsid w:val="00C37D1E"/>
    <w:rsid w:val="00C403EA"/>
    <w:rsid w:val="00C407A7"/>
    <w:rsid w:val="00C40C98"/>
    <w:rsid w:val="00C41D5F"/>
    <w:rsid w:val="00C4557F"/>
    <w:rsid w:val="00C467A8"/>
    <w:rsid w:val="00C46D27"/>
    <w:rsid w:val="00C46E38"/>
    <w:rsid w:val="00C4752E"/>
    <w:rsid w:val="00C50D6A"/>
    <w:rsid w:val="00C51FE0"/>
    <w:rsid w:val="00C529C5"/>
    <w:rsid w:val="00C530BF"/>
    <w:rsid w:val="00C558F9"/>
    <w:rsid w:val="00C57DA9"/>
    <w:rsid w:val="00C57E5A"/>
    <w:rsid w:val="00C605C3"/>
    <w:rsid w:val="00C60819"/>
    <w:rsid w:val="00C62036"/>
    <w:rsid w:val="00C62779"/>
    <w:rsid w:val="00C62FBA"/>
    <w:rsid w:val="00C6480B"/>
    <w:rsid w:val="00C64D50"/>
    <w:rsid w:val="00C6691F"/>
    <w:rsid w:val="00C66ED7"/>
    <w:rsid w:val="00C67A89"/>
    <w:rsid w:val="00C727BE"/>
    <w:rsid w:val="00C73544"/>
    <w:rsid w:val="00C74861"/>
    <w:rsid w:val="00C75061"/>
    <w:rsid w:val="00C75656"/>
    <w:rsid w:val="00C75798"/>
    <w:rsid w:val="00C75C35"/>
    <w:rsid w:val="00C77596"/>
    <w:rsid w:val="00C77EE1"/>
    <w:rsid w:val="00C80C87"/>
    <w:rsid w:val="00C8210B"/>
    <w:rsid w:val="00C82DEF"/>
    <w:rsid w:val="00C831D8"/>
    <w:rsid w:val="00C83366"/>
    <w:rsid w:val="00C83392"/>
    <w:rsid w:val="00C8398C"/>
    <w:rsid w:val="00C84F98"/>
    <w:rsid w:val="00C850C2"/>
    <w:rsid w:val="00C866FE"/>
    <w:rsid w:val="00C90E3A"/>
    <w:rsid w:val="00C91646"/>
    <w:rsid w:val="00C91B5B"/>
    <w:rsid w:val="00C95C91"/>
    <w:rsid w:val="00C962CD"/>
    <w:rsid w:val="00C96CBB"/>
    <w:rsid w:val="00C97F4D"/>
    <w:rsid w:val="00CA08A6"/>
    <w:rsid w:val="00CA0C0F"/>
    <w:rsid w:val="00CA1883"/>
    <w:rsid w:val="00CA2351"/>
    <w:rsid w:val="00CA2E70"/>
    <w:rsid w:val="00CA3551"/>
    <w:rsid w:val="00CA5971"/>
    <w:rsid w:val="00CA643A"/>
    <w:rsid w:val="00CA7BAF"/>
    <w:rsid w:val="00CB00E8"/>
    <w:rsid w:val="00CB04C8"/>
    <w:rsid w:val="00CB06A1"/>
    <w:rsid w:val="00CB08E8"/>
    <w:rsid w:val="00CB16C2"/>
    <w:rsid w:val="00CB18F7"/>
    <w:rsid w:val="00CB2153"/>
    <w:rsid w:val="00CB3593"/>
    <w:rsid w:val="00CB53EA"/>
    <w:rsid w:val="00CB5BC6"/>
    <w:rsid w:val="00CB63BA"/>
    <w:rsid w:val="00CB7041"/>
    <w:rsid w:val="00CB71C0"/>
    <w:rsid w:val="00CB750D"/>
    <w:rsid w:val="00CB79C7"/>
    <w:rsid w:val="00CB7A26"/>
    <w:rsid w:val="00CC0B85"/>
    <w:rsid w:val="00CC0D4C"/>
    <w:rsid w:val="00CC2C86"/>
    <w:rsid w:val="00CC539B"/>
    <w:rsid w:val="00CC56B6"/>
    <w:rsid w:val="00CC5CD7"/>
    <w:rsid w:val="00CC6320"/>
    <w:rsid w:val="00CC6698"/>
    <w:rsid w:val="00CD2C2E"/>
    <w:rsid w:val="00CD303B"/>
    <w:rsid w:val="00CD35D2"/>
    <w:rsid w:val="00CD3669"/>
    <w:rsid w:val="00CD4493"/>
    <w:rsid w:val="00CD6A97"/>
    <w:rsid w:val="00CD6BB1"/>
    <w:rsid w:val="00CD6C7D"/>
    <w:rsid w:val="00CE0E0D"/>
    <w:rsid w:val="00CE1C36"/>
    <w:rsid w:val="00CE1EA7"/>
    <w:rsid w:val="00CE3C13"/>
    <w:rsid w:val="00CE4C8F"/>
    <w:rsid w:val="00CE54EE"/>
    <w:rsid w:val="00CE5DEC"/>
    <w:rsid w:val="00CE6653"/>
    <w:rsid w:val="00CE6BE1"/>
    <w:rsid w:val="00CE7DC8"/>
    <w:rsid w:val="00CF0D1F"/>
    <w:rsid w:val="00CF10E5"/>
    <w:rsid w:val="00CF2F2F"/>
    <w:rsid w:val="00CF4305"/>
    <w:rsid w:val="00CF44D6"/>
    <w:rsid w:val="00CF460C"/>
    <w:rsid w:val="00CF4C11"/>
    <w:rsid w:val="00CF5E6C"/>
    <w:rsid w:val="00CF653B"/>
    <w:rsid w:val="00CF678A"/>
    <w:rsid w:val="00CF71F8"/>
    <w:rsid w:val="00CF730C"/>
    <w:rsid w:val="00CF7520"/>
    <w:rsid w:val="00CF75C8"/>
    <w:rsid w:val="00CF7616"/>
    <w:rsid w:val="00CF7E4F"/>
    <w:rsid w:val="00D001B9"/>
    <w:rsid w:val="00D033F8"/>
    <w:rsid w:val="00D04225"/>
    <w:rsid w:val="00D043F4"/>
    <w:rsid w:val="00D04E67"/>
    <w:rsid w:val="00D0571A"/>
    <w:rsid w:val="00D06C62"/>
    <w:rsid w:val="00D0726C"/>
    <w:rsid w:val="00D072F7"/>
    <w:rsid w:val="00D1051A"/>
    <w:rsid w:val="00D10AED"/>
    <w:rsid w:val="00D11A24"/>
    <w:rsid w:val="00D1358F"/>
    <w:rsid w:val="00D13B61"/>
    <w:rsid w:val="00D13C7D"/>
    <w:rsid w:val="00D13E71"/>
    <w:rsid w:val="00D140C2"/>
    <w:rsid w:val="00D16C4C"/>
    <w:rsid w:val="00D173C9"/>
    <w:rsid w:val="00D17472"/>
    <w:rsid w:val="00D20921"/>
    <w:rsid w:val="00D20BD7"/>
    <w:rsid w:val="00D23387"/>
    <w:rsid w:val="00D2347F"/>
    <w:rsid w:val="00D249C7"/>
    <w:rsid w:val="00D24BAA"/>
    <w:rsid w:val="00D24BDC"/>
    <w:rsid w:val="00D26298"/>
    <w:rsid w:val="00D265DF"/>
    <w:rsid w:val="00D2704E"/>
    <w:rsid w:val="00D30E3F"/>
    <w:rsid w:val="00D3166F"/>
    <w:rsid w:val="00D32CFC"/>
    <w:rsid w:val="00D3377E"/>
    <w:rsid w:val="00D34AC0"/>
    <w:rsid w:val="00D35ACA"/>
    <w:rsid w:val="00D35BC9"/>
    <w:rsid w:val="00D40238"/>
    <w:rsid w:val="00D409A5"/>
    <w:rsid w:val="00D410EF"/>
    <w:rsid w:val="00D42458"/>
    <w:rsid w:val="00D43D52"/>
    <w:rsid w:val="00D50504"/>
    <w:rsid w:val="00D516CA"/>
    <w:rsid w:val="00D517C3"/>
    <w:rsid w:val="00D51E93"/>
    <w:rsid w:val="00D52893"/>
    <w:rsid w:val="00D52FF0"/>
    <w:rsid w:val="00D54572"/>
    <w:rsid w:val="00D54590"/>
    <w:rsid w:val="00D54A17"/>
    <w:rsid w:val="00D55988"/>
    <w:rsid w:val="00D559B7"/>
    <w:rsid w:val="00D55CAF"/>
    <w:rsid w:val="00D6006D"/>
    <w:rsid w:val="00D60311"/>
    <w:rsid w:val="00D6216D"/>
    <w:rsid w:val="00D62E7B"/>
    <w:rsid w:val="00D63270"/>
    <w:rsid w:val="00D638B6"/>
    <w:rsid w:val="00D63DD6"/>
    <w:rsid w:val="00D65352"/>
    <w:rsid w:val="00D664B1"/>
    <w:rsid w:val="00D6660F"/>
    <w:rsid w:val="00D66985"/>
    <w:rsid w:val="00D70B36"/>
    <w:rsid w:val="00D71C4A"/>
    <w:rsid w:val="00D735C6"/>
    <w:rsid w:val="00D73765"/>
    <w:rsid w:val="00D73E67"/>
    <w:rsid w:val="00D74469"/>
    <w:rsid w:val="00D74D23"/>
    <w:rsid w:val="00D76488"/>
    <w:rsid w:val="00D7667A"/>
    <w:rsid w:val="00D769A1"/>
    <w:rsid w:val="00D77372"/>
    <w:rsid w:val="00D802B5"/>
    <w:rsid w:val="00D80DC2"/>
    <w:rsid w:val="00D817A7"/>
    <w:rsid w:val="00D83C2C"/>
    <w:rsid w:val="00D846E3"/>
    <w:rsid w:val="00D863DC"/>
    <w:rsid w:val="00D87147"/>
    <w:rsid w:val="00D87C0D"/>
    <w:rsid w:val="00D90704"/>
    <w:rsid w:val="00D908A3"/>
    <w:rsid w:val="00D92D40"/>
    <w:rsid w:val="00D92E22"/>
    <w:rsid w:val="00D93073"/>
    <w:rsid w:val="00D93C71"/>
    <w:rsid w:val="00D93CE1"/>
    <w:rsid w:val="00D94865"/>
    <w:rsid w:val="00D968CD"/>
    <w:rsid w:val="00D970FC"/>
    <w:rsid w:val="00D9734A"/>
    <w:rsid w:val="00D97A35"/>
    <w:rsid w:val="00DA0EE6"/>
    <w:rsid w:val="00DA0EF5"/>
    <w:rsid w:val="00DA0F56"/>
    <w:rsid w:val="00DA21CF"/>
    <w:rsid w:val="00DA2302"/>
    <w:rsid w:val="00DA234F"/>
    <w:rsid w:val="00DA253C"/>
    <w:rsid w:val="00DA313B"/>
    <w:rsid w:val="00DA3809"/>
    <w:rsid w:val="00DA4478"/>
    <w:rsid w:val="00DA48EF"/>
    <w:rsid w:val="00DA647E"/>
    <w:rsid w:val="00DA6674"/>
    <w:rsid w:val="00DA683C"/>
    <w:rsid w:val="00DA7355"/>
    <w:rsid w:val="00DB0455"/>
    <w:rsid w:val="00DB1040"/>
    <w:rsid w:val="00DB1FEE"/>
    <w:rsid w:val="00DB228A"/>
    <w:rsid w:val="00DB2BB0"/>
    <w:rsid w:val="00DB57E4"/>
    <w:rsid w:val="00DB6A2C"/>
    <w:rsid w:val="00DC172E"/>
    <w:rsid w:val="00DC1DDF"/>
    <w:rsid w:val="00DC21BA"/>
    <w:rsid w:val="00DC3190"/>
    <w:rsid w:val="00DC3998"/>
    <w:rsid w:val="00DC4476"/>
    <w:rsid w:val="00DC4495"/>
    <w:rsid w:val="00DC44AA"/>
    <w:rsid w:val="00DC45C0"/>
    <w:rsid w:val="00DC4A61"/>
    <w:rsid w:val="00DC4BD7"/>
    <w:rsid w:val="00DC65F3"/>
    <w:rsid w:val="00DC72B0"/>
    <w:rsid w:val="00DD3876"/>
    <w:rsid w:val="00DD4D17"/>
    <w:rsid w:val="00DD6627"/>
    <w:rsid w:val="00DD6AD5"/>
    <w:rsid w:val="00DD6DBF"/>
    <w:rsid w:val="00DD76E7"/>
    <w:rsid w:val="00DD7F32"/>
    <w:rsid w:val="00DE12A4"/>
    <w:rsid w:val="00DE1F63"/>
    <w:rsid w:val="00DE476B"/>
    <w:rsid w:val="00DE570D"/>
    <w:rsid w:val="00DE65D5"/>
    <w:rsid w:val="00DE6B5A"/>
    <w:rsid w:val="00DE704D"/>
    <w:rsid w:val="00DF0530"/>
    <w:rsid w:val="00DF0B8E"/>
    <w:rsid w:val="00DF2387"/>
    <w:rsid w:val="00DF254B"/>
    <w:rsid w:val="00DF270F"/>
    <w:rsid w:val="00DF3A9B"/>
    <w:rsid w:val="00DF3B13"/>
    <w:rsid w:val="00DF4A20"/>
    <w:rsid w:val="00DF5A87"/>
    <w:rsid w:val="00E002A7"/>
    <w:rsid w:val="00E0118C"/>
    <w:rsid w:val="00E0306E"/>
    <w:rsid w:val="00E03EEC"/>
    <w:rsid w:val="00E07EE9"/>
    <w:rsid w:val="00E10146"/>
    <w:rsid w:val="00E1075D"/>
    <w:rsid w:val="00E112CD"/>
    <w:rsid w:val="00E114A6"/>
    <w:rsid w:val="00E11A27"/>
    <w:rsid w:val="00E12237"/>
    <w:rsid w:val="00E13190"/>
    <w:rsid w:val="00E13A46"/>
    <w:rsid w:val="00E13B98"/>
    <w:rsid w:val="00E142CD"/>
    <w:rsid w:val="00E16B0B"/>
    <w:rsid w:val="00E1731C"/>
    <w:rsid w:val="00E20FF7"/>
    <w:rsid w:val="00E21E04"/>
    <w:rsid w:val="00E226BE"/>
    <w:rsid w:val="00E23A0D"/>
    <w:rsid w:val="00E24266"/>
    <w:rsid w:val="00E24270"/>
    <w:rsid w:val="00E24CCE"/>
    <w:rsid w:val="00E25E1C"/>
    <w:rsid w:val="00E2638A"/>
    <w:rsid w:val="00E26B65"/>
    <w:rsid w:val="00E26C4A"/>
    <w:rsid w:val="00E27C91"/>
    <w:rsid w:val="00E27D2A"/>
    <w:rsid w:val="00E30533"/>
    <w:rsid w:val="00E30F73"/>
    <w:rsid w:val="00E32216"/>
    <w:rsid w:val="00E324AF"/>
    <w:rsid w:val="00E3251A"/>
    <w:rsid w:val="00E33B63"/>
    <w:rsid w:val="00E33C04"/>
    <w:rsid w:val="00E33DD7"/>
    <w:rsid w:val="00E34740"/>
    <w:rsid w:val="00E34762"/>
    <w:rsid w:val="00E34FE1"/>
    <w:rsid w:val="00E35849"/>
    <w:rsid w:val="00E35FD6"/>
    <w:rsid w:val="00E37454"/>
    <w:rsid w:val="00E37827"/>
    <w:rsid w:val="00E41DDF"/>
    <w:rsid w:val="00E44119"/>
    <w:rsid w:val="00E45D8C"/>
    <w:rsid w:val="00E46A4B"/>
    <w:rsid w:val="00E46D4B"/>
    <w:rsid w:val="00E47881"/>
    <w:rsid w:val="00E50056"/>
    <w:rsid w:val="00E5203B"/>
    <w:rsid w:val="00E53349"/>
    <w:rsid w:val="00E5382B"/>
    <w:rsid w:val="00E54543"/>
    <w:rsid w:val="00E54777"/>
    <w:rsid w:val="00E55051"/>
    <w:rsid w:val="00E56B41"/>
    <w:rsid w:val="00E577EA"/>
    <w:rsid w:val="00E57C47"/>
    <w:rsid w:val="00E6020A"/>
    <w:rsid w:val="00E60AD5"/>
    <w:rsid w:val="00E60E81"/>
    <w:rsid w:val="00E61448"/>
    <w:rsid w:val="00E626F6"/>
    <w:rsid w:val="00E62A4F"/>
    <w:rsid w:val="00E6362C"/>
    <w:rsid w:val="00E64E66"/>
    <w:rsid w:val="00E65BD0"/>
    <w:rsid w:val="00E66487"/>
    <w:rsid w:val="00E66842"/>
    <w:rsid w:val="00E66D50"/>
    <w:rsid w:val="00E72C3C"/>
    <w:rsid w:val="00E72E5B"/>
    <w:rsid w:val="00E7308B"/>
    <w:rsid w:val="00E745C8"/>
    <w:rsid w:val="00E747F5"/>
    <w:rsid w:val="00E76D6C"/>
    <w:rsid w:val="00E77D0C"/>
    <w:rsid w:val="00E80453"/>
    <w:rsid w:val="00E814C5"/>
    <w:rsid w:val="00E843D7"/>
    <w:rsid w:val="00E84C3F"/>
    <w:rsid w:val="00E854BC"/>
    <w:rsid w:val="00E85681"/>
    <w:rsid w:val="00E85AB3"/>
    <w:rsid w:val="00E86181"/>
    <w:rsid w:val="00E861E8"/>
    <w:rsid w:val="00E86B5F"/>
    <w:rsid w:val="00E86D17"/>
    <w:rsid w:val="00E86FA6"/>
    <w:rsid w:val="00E870A7"/>
    <w:rsid w:val="00E879F6"/>
    <w:rsid w:val="00E87D6A"/>
    <w:rsid w:val="00E9067E"/>
    <w:rsid w:val="00E90B86"/>
    <w:rsid w:val="00E915FC"/>
    <w:rsid w:val="00E9274A"/>
    <w:rsid w:val="00E93778"/>
    <w:rsid w:val="00E94EC6"/>
    <w:rsid w:val="00E9536A"/>
    <w:rsid w:val="00E95553"/>
    <w:rsid w:val="00E971B5"/>
    <w:rsid w:val="00E97C05"/>
    <w:rsid w:val="00E97F9F"/>
    <w:rsid w:val="00EA0590"/>
    <w:rsid w:val="00EA0C73"/>
    <w:rsid w:val="00EA0F70"/>
    <w:rsid w:val="00EA1BDE"/>
    <w:rsid w:val="00EA2A9C"/>
    <w:rsid w:val="00EA2D73"/>
    <w:rsid w:val="00EA3C56"/>
    <w:rsid w:val="00EA4957"/>
    <w:rsid w:val="00EA58ED"/>
    <w:rsid w:val="00EA5999"/>
    <w:rsid w:val="00EA5CE0"/>
    <w:rsid w:val="00EA6EEE"/>
    <w:rsid w:val="00EA7092"/>
    <w:rsid w:val="00EA741A"/>
    <w:rsid w:val="00EA79A4"/>
    <w:rsid w:val="00EB024E"/>
    <w:rsid w:val="00EB100B"/>
    <w:rsid w:val="00EB2D14"/>
    <w:rsid w:val="00EB2E63"/>
    <w:rsid w:val="00EB3607"/>
    <w:rsid w:val="00EB3FC4"/>
    <w:rsid w:val="00EB4B6F"/>
    <w:rsid w:val="00EB711B"/>
    <w:rsid w:val="00EB7FF4"/>
    <w:rsid w:val="00EC0351"/>
    <w:rsid w:val="00EC2232"/>
    <w:rsid w:val="00EC2E9D"/>
    <w:rsid w:val="00EC4F79"/>
    <w:rsid w:val="00EC5407"/>
    <w:rsid w:val="00EC741C"/>
    <w:rsid w:val="00EC7970"/>
    <w:rsid w:val="00ED0011"/>
    <w:rsid w:val="00ED02C6"/>
    <w:rsid w:val="00ED065D"/>
    <w:rsid w:val="00ED0B6F"/>
    <w:rsid w:val="00ED0D85"/>
    <w:rsid w:val="00ED109F"/>
    <w:rsid w:val="00ED1E10"/>
    <w:rsid w:val="00ED2596"/>
    <w:rsid w:val="00ED2629"/>
    <w:rsid w:val="00ED2D96"/>
    <w:rsid w:val="00ED3FDE"/>
    <w:rsid w:val="00ED41D0"/>
    <w:rsid w:val="00ED42A1"/>
    <w:rsid w:val="00ED4EB7"/>
    <w:rsid w:val="00ED7587"/>
    <w:rsid w:val="00EE05B5"/>
    <w:rsid w:val="00EE0D72"/>
    <w:rsid w:val="00EE1874"/>
    <w:rsid w:val="00EE2035"/>
    <w:rsid w:val="00EE2EE7"/>
    <w:rsid w:val="00EE385F"/>
    <w:rsid w:val="00EE3F8F"/>
    <w:rsid w:val="00EE655F"/>
    <w:rsid w:val="00EE7C4B"/>
    <w:rsid w:val="00EE7E55"/>
    <w:rsid w:val="00EF09C3"/>
    <w:rsid w:val="00EF27B5"/>
    <w:rsid w:val="00EF2DF2"/>
    <w:rsid w:val="00EF43C4"/>
    <w:rsid w:val="00EF45FF"/>
    <w:rsid w:val="00EF4854"/>
    <w:rsid w:val="00EF6A17"/>
    <w:rsid w:val="00EF70F4"/>
    <w:rsid w:val="00EF7D77"/>
    <w:rsid w:val="00F006AB"/>
    <w:rsid w:val="00F01AA3"/>
    <w:rsid w:val="00F02741"/>
    <w:rsid w:val="00F03577"/>
    <w:rsid w:val="00F03EC8"/>
    <w:rsid w:val="00F052CB"/>
    <w:rsid w:val="00F05FE4"/>
    <w:rsid w:val="00F06385"/>
    <w:rsid w:val="00F07820"/>
    <w:rsid w:val="00F07F8B"/>
    <w:rsid w:val="00F102FC"/>
    <w:rsid w:val="00F10355"/>
    <w:rsid w:val="00F12E82"/>
    <w:rsid w:val="00F13262"/>
    <w:rsid w:val="00F13D56"/>
    <w:rsid w:val="00F13FD5"/>
    <w:rsid w:val="00F145DF"/>
    <w:rsid w:val="00F1496C"/>
    <w:rsid w:val="00F15049"/>
    <w:rsid w:val="00F16131"/>
    <w:rsid w:val="00F2098C"/>
    <w:rsid w:val="00F20FAE"/>
    <w:rsid w:val="00F21993"/>
    <w:rsid w:val="00F2390D"/>
    <w:rsid w:val="00F241B9"/>
    <w:rsid w:val="00F245B3"/>
    <w:rsid w:val="00F24CBB"/>
    <w:rsid w:val="00F25583"/>
    <w:rsid w:val="00F25CA3"/>
    <w:rsid w:val="00F25CFB"/>
    <w:rsid w:val="00F267C8"/>
    <w:rsid w:val="00F300C8"/>
    <w:rsid w:val="00F3077E"/>
    <w:rsid w:val="00F314E6"/>
    <w:rsid w:val="00F3168B"/>
    <w:rsid w:val="00F31A8F"/>
    <w:rsid w:val="00F31D56"/>
    <w:rsid w:val="00F32F32"/>
    <w:rsid w:val="00F35380"/>
    <w:rsid w:val="00F35AEC"/>
    <w:rsid w:val="00F367E7"/>
    <w:rsid w:val="00F36905"/>
    <w:rsid w:val="00F36A7B"/>
    <w:rsid w:val="00F3766D"/>
    <w:rsid w:val="00F3793A"/>
    <w:rsid w:val="00F40068"/>
    <w:rsid w:val="00F4259F"/>
    <w:rsid w:val="00F426ED"/>
    <w:rsid w:val="00F42919"/>
    <w:rsid w:val="00F43588"/>
    <w:rsid w:val="00F435BD"/>
    <w:rsid w:val="00F43F5D"/>
    <w:rsid w:val="00F441FE"/>
    <w:rsid w:val="00F4452D"/>
    <w:rsid w:val="00F44864"/>
    <w:rsid w:val="00F4523D"/>
    <w:rsid w:val="00F4589C"/>
    <w:rsid w:val="00F46E5D"/>
    <w:rsid w:val="00F47A38"/>
    <w:rsid w:val="00F47A87"/>
    <w:rsid w:val="00F50A46"/>
    <w:rsid w:val="00F515FF"/>
    <w:rsid w:val="00F51CA4"/>
    <w:rsid w:val="00F52B98"/>
    <w:rsid w:val="00F534E8"/>
    <w:rsid w:val="00F5518A"/>
    <w:rsid w:val="00F55BDE"/>
    <w:rsid w:val="00F55DE7"/>
    <w:rsid w:val="00F55ED6"/>
    <w:rsid w:val="00F56560"/>
    <w:rsid w:val="00F56F8C"/>
    <w:rsid w:val="00F57706"/>
    <w:rsid w:val="00F60205"/>
    <w:rsid w:val="00F60A41"/>
    <w:rsid w:val="00F61674"/>
    <w:rsid w:val="00F61C8C"/>
    <w:rsid w:val="00F61ECE"/>
    <w:rsid w:val="00F62A32"/>
    <w:rsid w:val="00F62F09"/>
    <w:rsid w:val="00F632E0"/>
    <w:rsid w:val="00F63796"/>
    <w:rsid w:val="00F63E3F"/>
    <w:rsid w:val="00F64DAB"/>
    <w:rsid w:val="00F653B1"/>
    <w:rsid w:val="00F659E4"/>
    <w:rsid w:val="00F65C92"/>
    <w:rsid w:val="00F6616E"/>
    <w:rsid w:val="00F6658B"/>
    <w:rsid w:val="00F66E9B"/>
    <w:rsid w:val="00F67C7F"/>
    <w:rsid w:val="00F67D63"/>
    <w:rsid w:val="00F717E0"/>
    <w:rsid w:val="00F718AB"/>
    <w:rsid w:val="00F71CAB"/>
    <w:rsid w:val="00F71DA0"/>
    <w:rsid w:val="00F71F19"/>
    <w:rsid w:val="00F723C6"/>
    <w:rsid w:val="00F723E4"/>
    <w:rsid w:val="00F7254F"/>
    <w:rsid w:val="00F72863"/>
    <w:rsid w:val="00F7310E"/>
    <w:rsid w:val="00F731D6"/>
    <w:rsid w:val="00F73252"/>
    <w:rsid w:val="00F732F9"/>
    <w:rsid w:val="00F73C8A"/>
    <w:rsid w:val="00F73EE1"/>
    <w:rsid w:val="00F74B67"/>
    <w:rsid w:val="00F757C2"/>
    <w:rsid w:val="00F75A8F"/>
    <w:rsid w:val="00F76FFF"/>
    <w:rsid w:val="00F80507"/>
    <w:rsid w:val="00F81434"/>
    <w:rsid w:val="00F81D50"/>
    <w:rsid w:val="00F82ADC"/>
    <w:rsid w:val="00F83D45"/>
    <w:rsid w:val="00F84F89"/>
    <w:rsid w:val="00F855FC"/>
    <w:rsid w:val="00F862F7"/>
    <w:rsid w:val="00F86682"/>
    <w:rsid w:val="00F90001"/>
    <w:rsid w:val="00F90ED3"/>
    <w:rsid w:val="00F922E8"/>
    <w:rsid w:val="00F926E7"/>
    <w:rsid w:val="00F940D2"/>
    <w:rsid w:val="00F96B5B"/>
    <w:rsid w:val="00F973EC"/>
    <w:rsid w:val="00FA138C"/>
    <w:rsid w:val="00FA34DA"/>
    <w:rsid w:val="00FA352D"/>
    <w:rsid w:val="00FA411C"/>
    <w:rsid w:val="00FA6133"/>
    <w:rsid w:val="00FB2D38"/>
    <w:rsid w:val="00FB32F5"/>
    <w:rsid w:val="00FB35C1"/>
    <w:rsid w:val="00FB480C"/>
    <w:rsid w:val="00FB4C9D"/>
    <w:rsid w:val="00FB5041"/>
    <w:rsid w:val="00FB6B42"/>
    <w:rsid w:val="00FB6CE7"/>
    <w:rsid w:val="00FC068D"/>
    <w:rsid w:val="00FC0B9D"/>
    <w:rsid w:val="00FC1894"/>
    <w:rsid w:val="00FC2544"/>
    <w:rsid w:val="00FC2670"/>
    <w:rsid w:val="00FC2AB4"/>
    <w:rsid w:val="00FC2B52"/>
    <w:rsid w:val="00FC3512"/>
    <w:rsid w:val="00FC35CD"/>
    <w:rsid w:val="00FC4236"/>
    <w:rsid w:val="00FC5176"/>
    <w:rsid w:val="00FC55D1"/>
    <w:rsid w:val="00FC62B3"/>
    <w:rsid w:val="00FC687B"/>
    <w:rsid w:val="00FC71BE"/>
    <w:rsid w:val="00FC72C1"/>
    <w:rsid w:val="00FC7F03"/>
    <w:rsid w:val="00FD08C9"/>
    <w:rsid w:val="00FD0B78"/>
    <w:rsid w:val="00FD23B8"/>
    <w:rsid w:val="00FD2443"/>
    <w:rsid w:val="00FD2518"/>
    <w:rsid w:val="00FD25B0"/>
    <w:rsid w:val="00FD37C1"/>
    <w:rsid w:val="00FD3C7E"/>
    <w:rsid w:val="00FD6D58"/>
    <w:rsid w:val="00FD6F9B"/>
    <w:rsid w:val="00FD7EC8"/>
    <w:rsid w:val="00FE0848"/>
    <w:rsid w:val="00FE0F43"/>
    <w:rsid w:val="00FE4EB4"/>
    <w:rsid w:val="00FE682F"/>
    <w:rsid w:val="00FE6A6E"/>
    <w:rsid w:val="00FE6B35"/>
    <w:rsid w:val="00FE7C2C"/>
    <w:rsid w:val="00FE7EC8"/>
    <w:rsid w:val="00FF13FB"/>
    <w:rsid w:val="00FF163F"/>
    <w:rsid w:val="00FF1DB7"/>
    <w:rsid w:val="00FF1EC8"/>
    <w:rsid w:val="00FF2628"/>
    <w:rsid w:val="00FF2790"/>
    <w:rsid w:val="00FF33C8"/>
    <w:rsid w:val="00FF376C"/>
    <w:rsid w:val="00FF42E4"/>
    <w:rsid w:val="00FF574D"/>
    <w:rsid w:val="00FF5D7E"/>
    <w:rsid w:val="00FF6996"/>
    <w:rsid w:val="00FF6ABB"/>
    <w:rsid w:val="00FF7B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9B114"/>
  <w15:chartTrackingRefBased/>
  <w15:docId w15:val="{B251E700-702F-47F4-89CF-5FB4F82E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B64"/>
    <w:pPr>
      <w:widowControl w:val="0"/>
      <w:spacing w:line="360" w:lineRule="auto"/>
      <w:ind w:firstLineChars="200" w:firstLine="200"/>
    </w:pPr>
    <w:rPr>
      <w:rFonts w:ascii="Times New Roman" w:hAnsi="Times New Roman" w:cs="Times New Roman"/>
      <w:sz w:val="24"/>
      <w:szCs w:val="24"/>
    </w:rPr>
  </w:style>
  <w:style w:type="paragraph" w:styleId="Heading1">
    <w:name w:val="heading 1"/>
    <w:basedOn w:val="Heading2"/>
    <w:next w:val="Normal"/>
    <w:link w:val="Heading1Char"/>
    <w:uiPriority w:val="9"/>
    <w:qFormat/>
    <w:rsid w:val="00E50056"/>
    <w:pPr>
      <w:outlineLvl w:val="0"/>
    </w:pPr>
    <w:rPr>
      <w:sz w:val="32"/>
      <w:szCs w:val="32"/>
    </w:rPr>
  </w:style>
  <w:style w:type="paragraph" w:styleId="Heading2">
    <w:name w:val="heading 2"/>
    <w:basedOn w:val="Heading3"/>
    <w:next w:val="Normal"/>
    <w:link w:val="Heading2Char"/>
    <w:uiPriority w:val="9"/>
    <w:unhideWhenUsed/>
    <w:qFormat/>
    <w:rsid w:val="00E50056"/>
    <w:pPr>
      <w:outlineLvl w:val="1"/>
    </w:pPr>
  </w:style>
  <w:style w:type="paragraph" w:styleId="Heading3">
    <w:name w:val="heading 3"/>
    <w:basedOn w:val="Normal"/>
    <w:next w:val="Normal"/>
    <w:link w:val="Heading3Char"/>
    <w:uiPriority w:val="9"/>
    <w:unhideWhenUsed/>
    <w:qFormat/>
    <w:rsid w:val="00E50056"/>
    <w:pPr>
      <w:ind w:firstLineChars="0" w:firstLine="0"/>
      <w:outlineLvl w:val="2"/>
    </w:pPr>
    <w:rPr>
      <w:b/>
      <w:bCs/>
    </w:rPr>
  </w:style>
  <w:style w:type="paragraph" w:styleId="Heading4">
    <w:name w:val="heading 4"/>
    <w:basedOn w:val="Normal"/>
    <w:next w:val="Normal"/>
    <w:link w:val="Heading4Char"/>
    <w:uiPriority w:val="9"/>
    <w:unhideWhenUsed/>
    <w:qFormat/>
    <w:rsid w:val="00216A7D"/>
    <w:pPr>
      <w:outlineLvl w:val="3"/>
    </w:pPr>
    <w:rPr>
      <w:b/>
      <w:bCs/>
    </w:rPr>
  </w:style>
  <w:style w:type="paragraph" w:styleId="Heading5">
    <w:name w:val="heading 5"/>
    <w:basedOn w:val="Normal"/>
    <w:next w:val="Normal"/>
    <w:link w:val="Heading5Char"/>
    <w:uiPriority w:val="9"/>
    <w:unhideWhenUsed/>
    <w:qFormat/>
    <w:rsid w:val="008A5DAB"/>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005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E50056"/>
    <w:rPr>
      <w:rFonts w:ascii="Times New Roman" w:hAnsi="Times New Roman" w:cs="Times New Roman"/>
      <w:b/>
      <w:bCs/>
      <w:sz w:val="24"/>
      <w:szCs w:val="24"/>
    </w:rPr>
  </w:style>
  <w:style w:type="character" w:customStyle="1" w:styleId="Heading1Char">
    <w:name w:val="Heading 1 Char"/>
    <w:basedOn w:val="DefaultParagraphFont"/>
    <w:link w:val="Heading1"/>
    <w:uiPriority w:val="9"/>
    <w:rsid w:val="00E50056"/>
    <w:rPr>
      <w:rFonts w:ascii="Times New Roman" w:hAnsi="Times New Roman" w:cs="Times New Roman"/>
      <w:b/>
      <w:bCs/>
      <w:sz w:val="32"/>
      <w:szCs w:val="32"/>
    </w:rPr>
  </w:style>
  <w:style w:type="character" w:customStyle="1" w:styleId="Heading4Char">
    <w:name w:val="Heading 4 Char"/>
    <w:basedOn w:val="DefaultParagraphFont"/>
    <w:link w:val="Heading4"/>
    <w:uiPriority w:val="9"/>
    <w:rsid w:val="00216A7D"/>
    <w:rPr>
      <w:rFonts w:ascii="Times New Roman" w:hAnsi="Times New Roman" w:cs="Times New Roman"/>
      <w:b/>
      <w:bCs/>
      <w:sz w:val="24"/>
      <w:szCs w:val="24"/>
    </w:rPr>
  </w:style>
  <w:style w:type="paragraph" w:styleId="NormalWeb">
    <w:name w:val="Normal (Web)"/>
    <w:basedOn w:val="Normal"/>
    <w:uiPriority w:val="99"/>
    <w:unhideWhenUsed/>
    <w:rsid w:val="00D71C4A"/>
    <w:pPr>
      <w:widowControl/>
      <w:spacing w:before="100" w:beforeAutospacing="1" w:after="100" w:afterAutospacing="1"/>
    </w:pPr>
    <w:rPr>
      <w:rFonts w:ascii="SimSun" w:eastAsia="SimSun" w:hAnsi="SimSun" w:cs="SimSun"/>
      <w:kern w:val="0"/>
    </w:rPr>
  </w:style>
  <w:style w:type="character" w:customStyle="1" w:styleId="url">
    <w:name w:val="url"/>
    <w:basedOn w:val="DefaultParagraphFont"/>
    <w:rsid w:val="00D71C4A"/>
  </w:style>
  <w:style w:type="character" w:styleId="Hyperlink">
    <w:name w:val="Hyperlink"/>
    <w:basedOn w:val="DefaultParagraphFont"/>
    <w:uiPriority w:val="99"/>
    <w:unhideWhenUsed/>
    <w:rsid w:val="00AD3C9B"/>
    <w:rPr>
      <w:color w:val="0563C1" w:themeColor="hyperlink"/>
      <w:u w:val="single"/>
    </w:rPr>
  </w:style>
  <w:style w:type="character" w:styleId="UnresolvedMention">
    <w:name w:val="Unresolved Mention"/>
    <w:basedOn w:val="DefaultParagraphFont"/>
    <w:uiPriority w:val="99"/>
    <w:semiHidden/>
    <w:unhideWhenUsed/>
    <w:rsid w:val="00AD3C9B"/>
    <w:rPr>
      <w:color w:val="605E5C"/>
      <w:shd w:val="clear" w:color="auto" w:fill="E1DFDD"/>
    </w:rPr>
  </w:style>
  <w:style w:type="table" w:styleId="TableGrid">
    <w:name w:val="Table Grid"/>
    <w:basedOn w:val="TableNormal"/>
    <w:uiPriority w:val="39"/>
    <w:rsid w:val="00F1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0AE5"/>
    <w:rPr>
      <w:rFonts w:asciiTheme="majorHAnsi" w:eastAsia="SimHei" w:hAnsiTheme="majorHAnsi" w:cstheme="majorBidi"/>
      <w:sz w:val="20"/>
      <w:szCs w:val="20"/>
    </w:rPr>
  </w:style>
  <w:style w:type="paragraph" w:styleId="ListParagraph">
    <w:name w:val="List Paragraph"/>
    <w:basedOn w:val="Normal"/>
    <w:uiPriority w:val="34"/>
    <w:qFormat/>
    <w:rsid w:val="005B45CB"/>
    <w:pPr>
      <w:ind w:firstLine="420"/>
    </w:pPr>
  </w:style>
  <w:style w:type="paragraph" w:styleId="TOCHeading">
    <w:name w:val="TOC Heading"/>
    <w:basedOn w:val="Heading1"/>
    <w:next w:val="Normal"/>
    <w:uiPriority w:val="39"/>
    <w:unhideWhenUsed/>
    <w:qFormat/>
    <w:rsid w:val="00216A7D"/>
    <w:pPr>
      <w:widowControl/>
      <w:spacing w:before="24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F314E6"/>
    <w:pPr>
      <w:tabs>
        <w:tab w:val="right" w:leader="dot" w:pos="8296"/>
      </w:tabs>
      <w:spacing w:line="600" w:lineRule="auto"/>
      <w:ind w:firstLine="480"/>
    </w:pPr>
  </w:style>
  <w:style w:type="paragraph" w:styleId="TOC2">
    <w:name w:val="toc 2"/>
    <w:basedOn w:val="Normal"/>
    <w:next w:val="Normal"/>
    <w:autoRedefine/>
    <w:uiPriority w:val="39"/>
    <w:unhideWhenUsed/>
    <w:rsid w:val="00216A7D"/>
    <w:pPr>
      <w:ind w:leftChars="200" w:left="420"/>
    </w:pPr>
  </w:style>
  <w:style w:type="paragraph" w:styleId="TOC3">
    <w:name w:val="toc 3"/>
    <w:basedOn w:val="Normal"/>
    <w:next w:val="Normal"/>
    <w:autoRedefine/>
    <w:uiPriority w:val="39"/>
    <w:unhideWhenUsed/>
    <w:rsid w:val="00F314E6"/>
    <w:pPr>
      <w:tabs>
        <w:tab w:val="right" w:leader="dot" w:pos="8296"/>
      </w:tabs>
      <w:spacing w:line="240" w:lineRule="auto"/>
      <w:ind w:leftChars="400" w:left="960" w:firstLine="480"/>
    </w:pPr>
  </w:style>
  <w:style w:type="paragraph" w:styleId="Header">
    <w:name w:val="header"/>
    <w:basedOn w:val="Normal"/>
    <w:link w:val="HeaderChar"/>
    <w:uiPriority w:val="99"/>
    <w:unhideWhenUsed/>
    <w:rsid w:val="004470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47048"/>
    <w:rPr>
      <w:sz w:val="18"/>
      <w:szCs w:val="18"/>
    </w:rPr>
  </w:style>
  <w:style w:type="paragraph" w:styleId="Footer">
    <w:name w:val="footer"/>
    <w:basedOn w:val="Normal"/>
    <w:link w:val="FooterChar"/>
    <w:uiPriority w:val="99"/>
    <w:unhideWhenUsed/>
    <w:rsid w:val="0044704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447048"/>
    <w:rPr>
      <w:sz w:val="18"/>
      <w:szCs w:val="18"/>
    </w:rPr>
  </w:style>
  <w:style w:type="character" w:styleId="PlaceholderText">
    <w:name w:val="Placeholder Text"/>
    <w:basedOn w:val="DefaultParagraphFont"/>
    <w:uiPriority w:val="99"/>
    <w:semiHidden/>
    <w:rsid w:val="001E3661"/>
    <w:rPr>
      <w:color w:val="808080"/>
    </w:rPr>
  </w:style>
  <w:style w:type="paragraph" w:styleId="TOC4">
    <w:name w:val="toc 4"/>
    <w:basedOn w:val="Normal"/>
    <w:next w:val="Normal"/>
    <w:autoRedefine/>
    <w:uiPriority w:val="39"/>
    <w:unhideWhenUsed/>
    <w:rsid w:val="007077BD"/>
    <w:pPr>
      <w:ind w:leftChars="600" w:left="1260"/>
    </w:pPr>
  </w:style>
  <w:style w:type="paragraph" w:styleId="TOC5">
    <w:name w:val="toc 5"/>
    <w:basedOn w:val="Normal"/>
    <w:next w:val="Normal"/>
    <w:autoRedefine/>
    <w:uiPriority w:val="39"/>
    <w:unhideWhenUsed/>
    <w:rsid w:val="003C55A3"/>
    <w:pPr>
      <w:spacing w:line="240" w:lineRule="auto"/>
      <w:ind w:leftChars="800" w:left="1680"/>
      <w:jc w:val="both"/>
    </w:pPr>
    <w:rPr>
      <w:rFonts w:asciiTheme="minorHAnsi" w:hAnsiTheme="minorHAnsi" w:cstheme="minorBidi"/>
      <w:sz w:val="21"/>
      <w:szCs w:val="22"/>
    </w:rPr>
  </w:style>
  <w:style w:type="paragraph" w:styleId="TOC6">
    <w:name w:val="toc 6"/>
    <w:basedOn w:val="Normal"/>
    <w:next w:val="Normal"/>
    <w:autoRedefine/>
    <w:uiPriority w:val="39"/>
    <w:unhideWhenUsed/>
    <w:rsid w:val="003C55A3"/>
    <w:pPr>
      <w:spacing w:line="240" w:lineRule="auto"/>
      <w:ind w:leftChars="1000" w:left="2100"/>
      <w:jc w:val="both"/>
    </w:pPr>
    <w:rPr>
      <w:rFonts w:asciiTheme="minorHAnsi" w:hAnsiTheme="minorHAnsi" w:cstheme="minorBidi"/>
      <w:sz w:val="21"/>
      <w:szCs w:val="22"/>
    </w:rPr>
  </w:style>
  <w:style w:type="paragraph" w:styleId="TOC7">
    <w:name w:val="toc 7"/>
    <w:basedOn w:val="Normal"/>
    <w:next w:val="Normal"/>
    <w:autoRedefine/>
    <w:uiPriority w:val="39"/>
    <w:unhideWhenUsed/>
    <w:rsid w:val="003C55A3"/>
    <w:pPr>
      <w:spacing w:line="240" w:lineRule="auto"/>
      <w:ind w:leftChars="1200" w:left="2520"/>
      <w:jc w:val="both"/>
    </w:pPr>
    <w:rPr>
      <w:rFonts w:asciiTheme="minorHAnsi" w:hAnsiTheme="minorHAnsi" w:cstheme="minorBidi"/>
      <w:sz w:val="21"/>
      <w:szCs w:val="22"/>
    </w:rPr>
  </w:style>
  <w:style w:type="paragraph" w:styleId="TOC8">
    <w:name w:val="toc 8"/>
    <w:basedOn w:val="Normal"/>
    <w:next w:val="Normal"/>
    <w:autoRedefine/>
    <w:uiPriority w:val="39"/>
    <w:unhideWhenUsed/>
    <w:rsid w:val="003C55A3"/>
    <w:pPr>
      <w:spacing w:line="240" w:lineRule="auto"/>
      <w:ind w:leftChars="1400" w:left="2940"/>
      <w:jc w:val="both"/>
    </w:pPr>
    <w:rPr>
      <w:rFonts w:asciiTheme="minorHAnsi" w:hAnsiTheme="minorHAnsi" w:cstheme="minorBidi"/>
      <w:sz w:val="21"/>
      <w:szCs w:val="22"/>
    </w:rPr>
  </w:style>
  <w:style w:type="paragraph" w:styleId="TOC9">
    <w:name w:val="toc 9"/>
    <w:basedOn w:val="Normal"/>
    <w:next w:val="Normal"/>
    <w:autoRedefine/>
    <w:uiPriority w:val="39"/>
    <w:unhideWhenUsed/>
    <w:rsid w:val="003C55A3"/>
    <w:pPr>
      <w:spacing w:line="240" w:lineRule="auto"/>
      <w:ind w:leftChars="1600" w:left="3360"/>
      <w:jc w:val="both"/>
    </w:pPr>
    <w:rPr>
      <w:rFonts w:asciiTheme="minorHAnsi" w:hAnsiTheme="minorHAnsi" w:cstheme="minorBidi"/>
      <w:sz w:val="21"/>
      <w:szCs w:val="22"/>
    </w:rPr>
  </w:style>
  <w:style w:type="paragraph" w:styleId="Revision">
    <w:name w:val="Revision"/>
    <w:hidden/>
    <w:uiPriority w:val="99"/>
    <w:semiHidden/>
    <w:rsid w:val="00447044"/>
    <w:rPr>
      <w:rFonts w:ascii="Times New Roman" w:hAnsi="Times New Roman" w:cs="Times New Roman"/>
      <w:sz w:val="24"/>
      <w:szCs w:val="24"/>
    </w:rPr>
  </w:style>
  <w:style w:type="paragraph" w:customStyle="1" w:styleId="a">
    <w:name w:val="注"/>
    <w:basedOn w:val="Normal"/>
    <w:link w:val="a0"/>
    <w:qFormat/>
    <w:rsid w:val="00B1044A"/>
    <w:pPr>
      <w:ind w:firstLineChars="0" w:firstLine="0"/>
      <w:jc w:val="center"/>
    </w:pPr>
  </w:style>
  <w:style w:type="character" w:customStyle="1" w:styleId="a0">
    <w:name w:val="注 字符"/>
    <w:basedOn w:val="DefaultParagraphFont"/>
    <w:link w:val="a"/>
    <w:rsid w:val="00B1044A"/>
    <w:rPr>
      <w:rFonts w:ascii="Times New Roman" w:hAnsi="Times New Roman" w:cs="Times New Roman"/>
      <w:sz w:val="24"/>
      <w:szCs w:val="24"/>
    </w:rPr>
  </w:style>
  <w:style w:type="character" w:customStyle="1" w:styleId="Heading5Char">
    <w:name w:val="Heading 5 Char"/>
    <w:basedOn w:val="DefaultParagraphFont"/>
    <w:link w:val="Heading5"/>
    <w:uiPriority w:val="9"/>
    <w:rsid w:val="008A5DAB"/>
    <w:rPr>
      <w:rFonts w:ascii="Times New Roman" w:hAnsi="Times New Roman" w:cs="Times New Roman"/>
      <w:b/>
      <w:bCs/>
      <w:sz w:val="28"/>
      <w:szCs w:val="28"/>
    </w:rPr>
  </w:style>
  <w:style w:type="paragraph" w:styleId="Date">
    <w:name w:val="Date"/>
    <w:basedOn w:val="Normal"/>
    <w:next w:val="Normal"/>
    <w:link w:val="DateChar"/>
    <w:uiPriority w:val="99"/>
    <w:semiHidden/>
    <w:unhideWhenUsed/>
    <w:rsid w:val="00E95553"/>
    <w:pPr>
      <w:ind w:leftChars="2500" w:left="100"/>
    </w:pPr>
  </w:style>
  <w:style w:type="character" w:customStyle="1" w:styleId="DateChar">
    <w:name w:val="Date Char"/>
    <w:basedOn w:val="DefaultParagraphFont"/>
    <w:link w:val="Date"/>
    <w:uiPriority w:val="99"/>
    <w:semiHidden/>
    <w:rsid w:val="00E95553"/>
    <w:rPr>
      <w:rFonts w:ascii="Times New Roman" w:hAnsi="Times New Roman" w:cs="Times New Roman"/>
      <w:sz w:val="24"/>
      <w:szCs w:val="24"/>
    </w:rPr>
  </w:style>
  <w:style w:type="character" w:styleId="Strong">
    <w:name w:val="Strong"/>
    <w:basedOn w:val="DefaultParagraphFont"/>
    <w:uiPriority w:val="22"/>
    <w:qFormat/>
    <w:rsid w:val="005F2B35"/>
    <w:rPr>
      <w:b/>
      <w:bCs/>
    </w:rPr>
  </w:style>
  <w:style w:type="table" w:styleId="PlainTable1">
    <w:name w:val="Plain Table 1"/>
    <w:basedOn w:val="TableNormal"/>
    <w:uiPriority w:val="41"/>
    <w:rsid w:val="005F2B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479">
      <w:bodyDiv w:val="1"/>
      <w:marLeft w:val="0"/>
      <w:marRight w:val="0"/>
      <w:marTop w:val="0"/>
      <w:marBottom w:val="0"/>
      <w:divBdr>
        <w:top w:val="none" w:sz="0" w:space="0" w:color="auto"/>
        <w:left w:val="none" w:sz="0" w:space="0" w:color="auto"/>
        <w:bottom w:val="none" w:sz="0" w:space="0" w:color="auto"/>
        <w:right w:val="none" w:sz="0" w:space="0" w:color="auto"/>
      </w:divBdr>
    </w:div>
    <w:div w:id="19822189">
      <w:bodyDiv w:val="1"/>
      <w:marLeft w:val="0"/>
      <w:marRight w:val="0"/>
      <w:marTop w:val="0"/>
      <w:marBottom w:val="0"/>
      <w:divBdr>
        <w:top w:val="none" w:sz="0" w:space="0" w:color="auto"/>
        <w:left w:val="none" w:sz="0" w:space="0" w:color="auto"/>
        <w:bottom w:val="none" w:sz="0" w:space="0" w:color="auto"/>
        <w:right w:val="none" w:sz="0" w:space="0" w:color="auto"/>
      </w:divBdr>
      <w:divsChild>
        <w:div w:id="784425597">
          <w:marLeft w:val="0"/>
          <w:marRight w:val="0"/>
          <w:marTop w:val="0"/>
          <w:marBottom w:val="0"/>
          <w:divBdr>
            <w:top w:val="none" w:sz="0" w:space="0" w:color="auto"/>
            <w:left w:val="none" w:sz="0" w:space="0" w:color="auto"/>
            <w:bottom w:val="none" w:sz="0" w:space="0" w:color="auto"/>
            <w:right w:val="none" w:sz="0" w:space="0" w:color="auto"/>
          </w:divBdr>
        </w:div>
        <w:div w:id="141895989">
          <w:marLeft w:val="0"/>
          <w:marRight w:val="0"/>
          <w:marTop w:val="0"/>
          <w:marBottom w:val="0"/>
          <w:divBdr>
            <w:top w:val="none" w:sz="0" w:space="0" w:color="auto"/>
            <w:left w:val="none" w:sz="0" w:space="0" w:color="auto"/>
            <w:bottom w:val="none" w:sz="0" w:space="0" w:color="auto"/>
            <w:right w:val="none" w:sz="0" w:space="0" w:color="auto"/>
          </w:divBdr>
        </w:div>
        <w:div w:id="1733305831">
          <w:marLeft w:val="0"/>
          <w:marRight w:val="0"/>
          <w:marTop w:val="0"/>
          <w:marBottom w:val="0"/>
          <w:divBdr>
            <w:top w:val="none" w:sz="0" w:space="0" w:color="auto"/>
            <w:left w:val="none" w:sz="0" w:space="0" w:color="auto"/>
            <w:bottom w:val="none" w:sz="0" w:space="0" w:color="auto"/>
            <w:right w:val="none" w:sz="0" w:space="0" w:color="auto"/>
          </w:divBdr>
        </w:div>
        <w:div w:id="796534607">
          <w:marLeft w:val="0"/>
          <w:marRight w:val="0"/>
          <w:marTop w:val="0"/>
          <w:marBottom w:val="0"/>
          <w:divBdr>
            <w:top w:val="none" w:sz="0" w:space="0" w:color="auto"/>
            <w:left w:val="none" w:sz="0" w:space="0" w:color="auto"/>
            <w:bottom w:val="none" w:sz="0" w:space="0" w:color="auto"/>
            <w:right w:val="none" w:sz="0" w:space="0" w:color="auto"/>
          </w:divBdr>
        </w:div>
        <w:div w:id="165558910">
          <w:marLeft w:val="0"/>
          <w:marRight w:val="0"/>
          <w:marTop w:val="0"/>
          <w:marBottom w:val="0"/>
          <w:divBdr>
            <w:top w:val="none" w:sz="0" w:space="0" w:color="auto"/>
            <w:left w:val="none" w:sz="0" w:space="0" w:color="auto"/>
            <w:bottom w:val="none" w:sz="0" w:space="0" w:color="auto"/>
            <w:right w:val="none" w:sz="0" w:space="0" w:color="auto"/>
          </w:divBdr>
        </w:div>
        <w:div w:id="2134707414">
          <w:marLeft w:val="0"/>
          <w:marRight w:val="0"/>
          <w:marTop w:val="0"/>
          <w:marBottom w:val="0"/>
          <w:divBdr>
            <w:top w:val="none" w:sz="0" w:space="0" w:color="auto"/>
            <w:left w:val="none" w:sz="0" w:space="0" w:color="auto"/>
            <w:bottom w:val="none" w:sz="0" w:space="0" w:color="auto"/>
            <w:right w:val="none" w:sz="0" w:space="0" w:color="auto"/>
          </w:divBdr>
        </w:div>
        <w:div w:id="2080319270">
          <w:marLeft w:val="0"/>
          <w:marRight w:val="0"/>
          <w:marTop w:val="0"/>
          <w:marBottom w:val="0"/>
          <w:divBdr>
            <w:top w:val="none" w:sz="0" w:space="0" w:color="auto"/>
            <w:left w:val="none" w:sz="0" w:space="0" w:color="auto"/>
            <w:bottom w:val="none" w:sz="0" w:space="0" w:color="auto"/>
            <w:right w:val="none" w:sz="0" w:space="0" w:color="auto"/>
          </w:divBdr>
        </w:div>
      </w:divsChild>
    </w:div>
    <w:div w:id="23756231">
      <w:bodyDiv w:val="1"/>
      <w:marLeft w:val="0"/>
      <w:marRight w:val="0"/>
      <w:marTop w:val="0"/>
      <w:marBottom w:val="0"/>
      <w:divBdr>
        <w:top w:val="none" w:sz="0" w:space="0" w:color="auto"/>
        <w:left w:val="none" w:sz="0" w:space="0" w:color="auto"/>
        <w:bottom w:val="none" w:sz="0" w:space="0" w:color="auto"/>
        <w:right w:val="none" w:sz="0" w:space="0" w:color="auto"/>
      </w:divBdr>
    </w:div>
    <w:div w:id="60754596">
      <w:bodyDiv w:val="1"/>
      <w:marLeft w:val="0"/>
      <w:marRight w:val="0"/>
      <w:marTop w:val="0"/>
      <w:marBottom w:val="0"/>
      <w:divBdr>
        <w:top w:val="none" w:sz="0" w:space="0" w:color="auto"/>
        <w:left w:val="none" w:sz="0" w:space="0" w:color="auto"/>
        <w:bottom w:val="none" w:sz="0" w:space="0" w:color="auto"/>
        <w:right w:val="none" w:sz="0" w:space="0" w:color="auto"/>
      </w:divBdr>
    </w:div>
    <w:div w:id="82917469">
      <w:bodyDiv w:val="1"/>
      <w:marLeft w:val="0"/>
      <w:marRight w:val="0"/>
      <w:marTop w:val="0"/>
      <w:marBottom w:val="0"/>
      <w:divBdr>
        <w:top w:val="none" w:sz="0" w:space="0" w:color="auto"/>
        <w:left w:val="none" w:sz="0" w:space="0" w:color="auto"/>
        <w:bottom w:val="none" w:sz="0" w:space="0" w:color="auto"/>
        <w:right w:val="none" w:sz="0" w:space="0" w:color="auto"/>
      </w:divBdr>
    </w:div>
    <w:div w:id="93862584">
      <w:bodyDiv w:val="1"/>
      <w:marLeft w:val="0"/>
      <w:marRight w:val="0"/>
      <w:marTop w:val="0"/>
      <w:marBottom w:val="0"/>
      <w:divBdr>
        <w:top w:val="none" w:sz="0" w:space="0" w:color="auto"/>
        <w:left w:val="none" w:sz="0" w:space="0" w:color="auto"/>
        <w:bottom w:val="none" w:sz="0" w:space="0" w:color="auto"/>
        <w:right w:val="none" w:sz="0" w:space="0" w:color="auto"/>
      </w:divBdr>
    </w:div>
    <w:div w:id="99765003">
      <w:bodyDiv w:val="1"/>
      <w:marLeft w:val="0"/>
      <w:marRight w:val="0"/>
      <w:marTop w:val="0"/>
      <w:marBottom w:val="0"/>
      <w:divBdr>
        <w:top w:val="none" w:sz="0" w:space="0" w:color="auto"/>
        <w:left w:val="none" w:sz="0" w:space="0" w:color="auto"/>
        <w:bottom w:val="none" w:sz="0" w:space="0" w:color="auto"/>
        <w:right w:val="none" w:sz="0" w:space="0" w:color="auto"/>
      </w:divBdr>
    </w:div>
    <w:div w:id="126313321">
      <w:bodyDiv w:val="1"/>
      <w:marLeft w:val="0"/>
      <w:marRight w:val="0"/>
      <w:marTop w:val="0"/>
      <w:marBottom w:val="0"/>
      <w:divBdr>
        <w:top w:val="none" w:sz="0" w:space="0" w:color="auto"/>
        <w:left w:val="none" w:sz="0" w:space="0" w:color="auto"/>
        <w:bottom w:val="none" w:sz="0" w:space="0" w:color="auto"/>
        <w:right w:val="none" w:sz="0" w:space="0" w:color="auto"/>
      </w:divBdr>
    </w:div>
    <w:div w:id="131559700">
      <w:bodyDiv w:val="1"/>
      <w:marLeft w:val="0"/>
      <w:marRight w:val="0"/>
      <w:marTop w:val="0"/>
      <w:marBottom w:val="0"/>
      <w:divBdr>
        <w:top w:val="none" w:sz="0" w:space="0" w:color="auto"/>
        <w:left w:val="none" w:sz="0" w:space="0" w:color="auto"/>
        <w:bottom w:val="none" w:sz="0" w:space="0" w:color="auto"/>
        <w:right w:val="none" w:sz="0" w:space="0" w:color="auto"/>
      </w:divBdr>
      <w:divsChild>
        <w:div w:id="1289972877">
          <w:marLeft w:val="0"/>
          <w:marRight w:val="0"/>
          <w:marTop w:val="0"/>
          <w:marBottom w:val="0"/>
          <w:divBdr>
            <w:top w:val="none" w:sz="0" w:space="0" w:color="auto"/>
            <w:left w:val="none" w:sz="0" w:space="0" w:color="auto"/>
            <w:bottom w:val="none" w:sz="0" w:space="0" w:color="auto"/>
            <w:right w:val="none" w:sz="0" w:space="0" w:color="auto"/>
          </w:divBdr>
          <w:divsChild>
            <w:div w:id="5208661">
              <w:marLeft w:val="0"/>
              <w:marRight w:val="0"/>
              <w:marTop w:val="0"/>
              <w:marBottom w:val="0"/>
              <w:divBdr>
                <w:top w:val="none" w:sz="0" w:space="0" w:color="auto"/>
                <w:left w:val="none" w:sz="0" w:space="0" w:color="auto"/>
                <w:bottom w:val="none" w:sz="0" w:space="0" w:color="auto"/>
                <w:right w:val="none" w:sz="0" w:space="0" w:color="auto"/>
              </w:divBdr>
              <w:divsChild>
                <w:div w:id="1186676897">
                  <w:marLeft w:val="0"/>
                  <w:marRight w:val="0"/>
                  <w:marTop w:val="0"/>
                  <w:marBottom w:val="0"/>
                  <w:divBdr>
                    <w:top w:val="none" w:sz="0" w:space="0" w:color="auto"/>
                    <w:left w:val="none" w:sz="0" w:space="0" w:color="auto"/>
                    <w:bottom w:val="none" w:sz="0" w:space="0" w:color="auto"/>
                    <w:right w:val="none" w:sz="0" w:space="0" w:color="auto"/>
                  </w:divBdr>
                  <w:divsChild>
                    <w:div w:id="13366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82341">
          <w:marLeft w:val="0"/>
          <w:marRight w:val="0"/>
          <w:marTop w:val="0"/>
          <w:marBottom w:val="0"/>
          <w:divBdr>
            <w:top w:val="none" w:sz="0" w:space="0" w:color="auto"/>
            <w:left w:val="none" w:sz="0" w:space="0" w:color="auto"/>
            <w:bottom w:val="none" w:sz="0" w:space="0" w:color="auto"/>
            <w:right w:val="none" w:sz="0" w:space="0" w:color="auto"/>
          </w:divBdr>
          <w:divsChild>
            <w:div w:id="1472940629">
              <w:marLeft w:val="0"/>
              <w:marRight w:val="0"/>
              <w:marTop w:val="0"/>
              <w:marBottom w:val="0"/>
              <w:divBdr>
                <w:top w:val="none" w:sz="0" w:space="0" w:color="auto"/>
                <w:left w:val="none" w:sz="0" w:space="0" w:color="auto"/>
                <w:bottom w:val="none" w:sz="0" w:space="0" w:color="auto"/>
                <w:right w:val="none" w:sz="0" w:space="0" w:color="auto"/>
              </w:divBdr>
              <w:divsChild>
                <w:div w:id="1397166687">
                  <w:marLeft w:val="0"/>
                  <w:marRight w:val="0"/>
                  <w:marTop w:val="0"/>
                  <w:marBottom w:val="0"/>
                  <w:divBdr>
                    <w:top w:val="none" w:sz="0" w:space="0" w:color="auto"/>
                    <w:left w:val="none" w:sz="0" w:space="0" w:color="auto"/>
                    <w:bottom w:val="none" w:sz="0" w:space="0" w:color="auto"/>
                    <w:right w:val="none" w:sz="0" w:space="0" w:color="auto"/>
                  </w:divBdr>
                  <w:divsChild>
                    <w:div w:id="15147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2475">
      <w:bodyDiv w:val="1"/>
      <w:marLeft w:val="0"/>
      <w:marRight w:val="0"/>
      <w:marTop w:val="0"/>
      <w:marBottom w:val="0"/>
      <w:divBdr>
        <w:top w:val="none" w:sz="0" w:space="0" w:color="auto"/>
        <w:left w:val="none" w:sz="0" w:space="0" w:color="auto"/>
        <w:bottom w:val="none" w:sz="0" w:space="0" w:color="auto"/>
        <w:right w:val="none" w:sz="0" w:space="0" w:color="auto"/>
      </w:divBdr>
    </w:div>
    <w:div w:id="184902934">
      <w:bodyDiv w:val="1"/>
      <w:marLeft w:val="0"/>
      <w:marRight w:val="0"/>
      <w:marTop w:val="0"/>
      <w:marBottom w:val="0"/>
      <w:divBdr>
        <w:top w:val="none" w:sz="0" w:space="0" w:color="auto"/>
        <w:left w:val="none" w:sz="0" w:space="0" w:color="auto"/>
        <w:bottom w:val="none" w:sz="0" w:space="0" w:color="auto"/>
        <w:right w:val="none" w:sz="0" w:space="0" w:color="auto"/>
      </w:divBdr>
      <w:divsChild>
        <w:div w:id="1175027117">
          <w:marLeft w:val="0"/>
          <w:marRight w:val="0"/>
          <w:marTop w:val="0"/>
          <w:marBottom w:val="0"/>
          <w:divBdr>
            <w:top w:val="none" w:sz="0" w:space="0" w:color="auto"/>
            <w:left w:val="none" w:sz="0" w:space="0" w:color="auto"/>
            <w:bottom w:val="none" w:sz="0" w:space="0" w:color="auto"/>
            <w:right w:val="none" w:sz="0" w:space="0" w:color="auto"/>
          </w:divBdr>
          <w:divsChild>
            <w:div w:id="1292370869">
              <w:marLeft w:val="0"/>
              <w:marRight w:val="0"/>
              <w:marTop w:val="0"/>
              <w:marBottom w:val="0"/>
              <w:divBdr>
                <w:top w:val="none" w:sz="0" w:space="0" w:color="auto"/>
                <w:left w:val="none" w:sz="0" w:space="0" w:color="auto"/>
                <w:bottom w:val="none" w:sz="0" w:space="0" w:color="auto"/>
                <w:right w:val="none" w:sz="0" w:space="0" w:color="auto"/>
              </w:divBdr>
              <w:divsChild>
                <w:div w:id="1609583923">
                  <w:marLeft w:val="0"/>
                  <w:marRight w:val="0"/>
                  <w:marTop w:val="0"/>
                  <w:marBottom w:val="0"/>
                  <w:divBdr>
                    <w:top w:val="none" w:sz="0" w:space="0" w:color="auto"/>
                    <w:left w:val="none" w:sz="0" w:space="0" w:color="auto"/>
                    <w:bottom w:val="none" w:sz="0" w:space="0" w:color="auto"/>
                    <w:right w:val="none" w:sz="0" w:space="0" w:color="auto"/>
                  </w:divBdr>
                  <w:divsChild>
                    <w:div w:id="757679945">
                      <w:marLeft w:val="0"/>
                      <w:marRight w:val="0"/>
                      <w:marTop w:val="0"/>
                      <w:marBottom w:val="0"/>
                      <w:divBdr>
                        <w:top w:val="none" w:sz="0" w:space="0" w:color="auto"/>
                        <w:left w:val="none" w:sz="0" w:space="0" w:color="auto"/>
                        <w:bottom w:val="none" w:sz="0" w:space="0" w:color="auto"/>
                        <w:right w:val="none" w:sz="0" w:space="0" w:color="auto"/>
                      </w:divBdr>
                      <w:divsChild>
                        <w:div w:id="1427389062">
                          <w:marLeft w:val="0"/>
                          <w:marRight w:val="0"/>
                          <w:marTop w:val="0"/>
                          <w:marBottom w:val="0"/>
                          <w:divBdr>
                            <w:top w:val="none" w:sz="0" w:space="0" w:color="auto"/>
                            <w:left w:val="none" w:sz="0" w:space="0" w:color="auto"/>
                            <w:bottom w:val="none" w:sz="0" w:space="0" w:color="auto"/>
                            <w:right w:val="none" w:sz="0" w:space="0" w:color="auto"/>
                          </w:divBdr>
                          <w:divsChild>
                            <w:div w:id="10461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91049">
      <w:bodyDiv w:val="1"/>
      <w:marLeft w:val="0"/>
      <w:marRight w:val="0"/>
      <w:marTop w:val="0"/>
      <w:marBottom w:val="0"/>
      <w:divBdr>
        <w:top w:val="none" w:sz="0" w:space="0" w:color="auto"/>
        <w:left w:val="none" w:sz="0" w:space="0" w:color="auto"/>
        <w:bottom w:val="none" w:sz="0" w:space="0" w:color="auto"/>
        <w:right w:val="none" w:sz="0" w:space="0" w:color="auto"/>
      </w:divBdr>
    </w:div>
    <w:div w:id="211577218">
      <w:bodyDiv w:val="1"/>
      <w:marLeft w:val="0"/>
      <w:marRight w:val="0"/>
      <w:marTop w:val="0"/>
      <w:marBottom w:val="0"/>
      <w:divBdr>
        <w:top w:val="none" w:sz="0" w:space="0" w:color="auto"/>
        <w:left w:val="none" w:sz="0" w:space="0" w:color="auto"/>
        <w:bottom w:val="none" w:sz="0" w:space="0" w:color="auto"/>
        <w:right w:val="none" w:sz="0" w:space="0" w:color="auto"/>
      </w:divBdr>
    </w:div>
    <w:div w:id="211618248">
      <w:bodyDiv w:val="1"/>
      <w:marLeft w:val="0"/>
      <w:marRight w:val="0"/>
      <w:marTop w:val="0"/>
      <w:marBottom w:val="0"/>
      <w:divBdr>
        <w:top w:val="none" w:sz="0" w:space="0" w:color="auto"/>
        <w:left w:val="none" w:sz="0" w:space="0" w:color="auto"/>
        <w:bottom w:val="none" w:sz="0" w:space="0" w:color="auto"/>
        <w:right w:val="none" w:sz="0" w:space="0" w:color="auto"/>
      </w:divBdr>
    </w:div>
    <w:div w:id="214203233">
      <w:bodyDiv w:val="1"/>
      <w:marLeft w:val="0"/>
      <w:marRight w:val="0"/>
      <w:marTop w:val="0"/>
      <w:marBottom w:val="0"/>
      <w:divBdr>
        <w:top w:val="none" w:sz="0" w:space="0" w:color="auto"/>
        <w:left w:val="none" w:sz="0" w:space="0" w:color="auto"/>
        <w:bottom w:val="none" w:sz="0" w:space="0" w:color="auto"/>
        <w:right w:val="none" w:sz="0" w:space="0" w:color="auto"/>
      </w:divBdr>
    </w:div>
    <w:div w:id="241914931">
      <w:bodyDiv w:val="1"/>
      <w:marLeft w:val="0"/>
      <w:marRight w:val="0"/>
      <w:marTop w:val="0"/>
      <w:marBottom w:val="0"/>
      <w:divBdr>
        <w:top w:val="none" w:sz="0" w:space="0" w:color="auto"/>
        <w:left w:val="none" w:sz="0" w:space="0" w:color="auto"/>
        <w:bottom w:val="none" w:sz="0" w:space="0" w:color="auto"/>
        <w:right w:val="none" w:sz="0" w:space="0" w:color="auto"/>
      </w:divBdr>
    </w:div>
    <w:div w:id="250117251">
      <w:bodyDiv w:val="1"/>
      <w:marLeft w:val="0"/>
      <w:marRight w:val="0"/>
      <w:marTop w:val="0"/>
      <w:marBottom w:val="0"/>
      <w:divBdr>
        <w:top w:val="none" w:sz="0" w:space="0" w:color="auto"/>
        <w:left w:val="none" w:sz="0" w:space="0" w:color="auto"/>
        <w:bottom w:val="none" w:sz="0" w:space="0" w:color="auto"/>
        <w:right w:val="none" w:sz="0" w:space="0" w:color="auto"/>
      </w:divBdr>
    </w:div>
    <w:div w:id="253826623">
      <w:bodyDiv w:val="1"/>
      <w:marLeft w:val="0"/>
      <w:marRight w:val="0"/>
      <w:marTop w:val="0"/>
      <w:marBottom w:val="0"/>
      <w:divBdr>
        <w:top w:val="none" w:sz="0" w:space="0" w:color="auto"/>
        <w:left w:val="none" w:sz="0" w:space="0" w:color="auto"/>
        <w:bottom w:val="none" w:sz="0" w:space="0" w:color="auto"/>
        <w:right w:val="none" w:sz="0" w:space="0" w:color="auto"/>
      </w:divBdr>
    </w:div>
    <w:div w:id="258876030">
      <w:bodyDiv w:val="1"/>
      <w:marLeft w:val="0"/>
      <w:marRight w:val="0"/>
      <w:marTop w:val="0"/>
      <w:marBottom w:val="0"/>
      <w:divBdr>
        <w:top w:val="none" w:sz="0" w:space="0" w:color="auto"/>
        <w:left w:val="none" w:sz="0" w:space="0" w:color="auto"/>
        <w:bottom w:val="none" w:sz="0" w:space="0" w:color="auto"/>
        <w:right w:val="none" w:sz="0" w:space="0" w:color="auto"/>
      </w:divBdr>
    </w:div>
    <w:div w:id="360862482">
      <w:bodyDiv w:val="1"/>
      <w:marLeft w:val="0"/>
      <w:marRight w:val="0"/>
      <w:marTop w:val="0"/>
      <w:marBottom w:val="0"/>
      <w:divBdr>
        <w:top w:val="none" w:sz="0" w:space="0" w:color="auto"/>
        <w:left w:val="none" w:sz="0" w:space="0" w:color="auto"/>
        <w:bottom w:val="none" w:sz="0" w:space="0" w:color="auto"/>
        <w:right w:val="none" w:sz="0" w:space="0" w:color="auto"/>
      </w:divBdr>
      <w:divsChild>
        <w:div w:id="821700488">
          <w:marLeft w:val="0"/>
          <w:marRight w:val="0"/>
          <w:marTop w:val="0"/>
          <w:marBottom w:val="0"/>
          <w:divBdr>
            <w:top w:val="none" w:sz="0" w:space="0" w:color="auto"/>
            <w:left w:val="none" w:sz="0" w:space="0" w:color="auto"/>
            <w:bottom w:val="none" w:sz="0" w:space="0" w:color="auto"/>
            <w:right w:val="none" w:sz="0" w:space="0" w:color="auto"/>
          </w:divBdr>
          <w:divsChild>
            <w:div w:id="1249465665">
              <w:marLeft w:val="0"/>
              <w:marRight w:val="0"/>
              <w:marTop w:val="0"/>
              <w:marBottom w:val="0"/>
              <w:divBdr>
                <w:top w:val="none" w:sz="0" w:space="0" w:color="auto"/>
                <w:left w:val="none" w:sz="0" w:space="0" w:color="auto"/>
                <w:bottom w:val="none" w:sz="0" w:space="0" w:color="auto"/>
                <w:right w:val="none" w:sz="0" w:space="0" w:color="auto"/>
              </w:divBdr>
              <w:divsChild>
                <w:div w:id="8456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5971">
      <w:bodyDiv w:val="1"/>
      <w:marLeft w:val="0"/>
      <w:marRight w:val="0"/>
      <w:marTop w:val="0"/>
      <w:marBottom w:val="0"/>
      <w:divBdr>
        <w:top w:val="none" w:sz="0" w:space="0" w:color="auto"/>
        <w:left w:val="none" w:sz="0" w:space="0" w:color="auto"/>
        <w:bottom w:val="none" w:sz="0" w:space="0" w:color="auto"/>
        <w:right w:val="none" w:sz="0" w:space="0" w:color="auto"/>
      </w:divBdr>
    </w:div>
    <w:div w:id="382293871">
      <w:bodyDiv w:val="1"/>
      <w:marLeft w:val="0"/>
      <w:marRight w:val="0"/>
      <w:marTop w:val="0"/>
      <w:marBottom w:val="0"/>
      <w:divBdr>
        <w:top w:val="none" w:sz="0" w:space="0" w:color="auto"/>
        <w:left w:val="none" w:sz="0" w:space="0" w:color="auto"/>
        <w:bottom w:val="none" w:sz="0" w:space="0" w:color="auto"/>
        <w:right w:val="none" w:sz="0" w:space="0" w:color="auto"/>
      </w:divBdr>
    </w:div>
    <w:div w:id="402724624">
      <w:bodyDiv w:val="1"/>
      <w:marLeft w:val="0"/>
      <w:marRight w:val="0"/>
      <w:marTop w:val="0"/>
      <w:marBottom w:val="0"/>
      <w:divBdr>
        <w:top w:val="none" w:sz="0" w:space="0" w:color="auto"/>
        <w:left w:val="none" w:sz="0" w:space="0" w:color="auto"/>
        <w:bottom w:val="none" w:sz="0" w:space="0" w:color="auto"/>
        <w:right w:val="none" w:sz="0" w:space="0" w:color="auto"/>
      </w:divBdr>
    </w:div>
    <w:div w:id="431515235">
      <w:bodyDiv w:val="1"/>
      <w:marLeft w:val="0"/>
      <w:marRight w:val="0"/>
      <w:marTop w:val="0"/>
      <w:marBottom w:val="0"/>
      <w:divBdr>
        <w:top w:val="none" w:sz="0" w:space="0" w:color="auto"/>
        <w:left w:val="none" w:sz="0" w:space="0" w:color="auto"/>
        <w:bottom w:val="none" w:sz="0" w:space="0" w:color="auto"/>
        <w:right w:val="none" w:sz="0" w:space="0" w:color="auto"/>
      </w:divBdr>
    </w:div>
    <w:div w:id="432944203">
      <w:bodyDiv w:val="1"/>
      <w:marLeft w:val="0"/>
      <w:marRight w:val="0"/>
      <w:marTop w:val="0"/>
      <w:marBottom w:val="0"/>
      <w:divBdr>
        <w:top w:val="none" w:sz="0" w:space="0" w:color="auto"/>
        <w:left w:val="none" w:sz="0" w:space="0" w:color="auto"/>
        <w:bottom w:val="none" w:sz="0" w:space="0" w:color="auto"/>
        <w:right w:val="none" w:sz="0" w:space="0" w:color="auto"/>
      </w:divBdr>
    </w:div>
    <w:div w:id="451823436">
      <w:bodyDiv w:val="1"/>
      <w:marLeft w:val="0"/>
      <w:marRight w:val="0"/>
      <w:marTop w:val="0"/>
      <w:marBottom w:val="0"/>
      <w:divBdr>
        <w:top w:val="none" w:sz="0" w:space="0" w:color="auto"/>
        <w:left w:val="none" w:sz="0" w:space="0" w:color="auto"/>
        <w:bottom w:val="none" w:sz="0" w:space="0" w:color="auto"/>
        <w:right w:val="none" w:sz="0" w:space="0" w:color="auto"/>
      </w:divBdr>
    </w:div>
    <w:div w:id="452291973">
      <w:bodyDiv w:val="1"/>
      <w:marLeft w:val="0"/>
      <w:marRight w:val="0"/>
      <w:marTop w:val="0"/>
      <w:marBottom w:val="0"/>
      <w:divBdr>
        <w:top w:val="none" w:sz="0" w:space="0" w:color="auto"/>
        <w:left w:val="none" w:sz="0" w:space="0" w:color="auto"/>
        <w:bottom w:val="none" w:sz="0" w:space="0" w:color="auto"/>
        <w:right w:val="none" w:sz="0" w:space="0" w:color="auto"/>
      </w:divBdr>
    </w:div>
    <w:div w:id="477651368">
      <w:bodyDiv w:val="1"/>
      <w:marLeft w:val="0"/>
      <w:marRight w:val="0"/>
      <w:marTop w:val="0"/>
      <w:marBottom w:val="0"/>
      <w:divBdr>
        <w:top w:val="none" w:sz="0" w:space="0" w:color="auto"/>
        <w:left w:val="none" w:sz="0" w:space="0" w:color="auto"/>
        <w:bottom w:val="none" w:sz="0" w:space="0" w:color="auto"/>
        <w:right w:val="none" w:sz="0" w:space="0" w:color="auto"/>
      </w:divBdr>
    </w:div>
    <w:div w:id="488716352">
      <w:bodyDiv w:val="1"/>
      <w:marLeft w:val="0"/>
      <w:marRight w:val="0"/>
      <w:marTop w:val="0"/>
      <w:marBottom w:val="0"/>
      <w:divBdr>
        <w:top w:val="none" w:sz="0" w:space="0" w:color="auto"/>
        <w:left w:val="none" w:sz="0" w:space="0" w:color="auto"/>
        <w:bottom w:val="none" w:sz="0" w:space="0" w:color="auto"/>
        <w:right w:val="none" w:sz="0" w:space="0" w:color="auto"/>
      </w:divBdr>
    </w:div>
    <w:div w:id="533733657">
      <w:bodyDiv w:val="1"/>
      <w:marLeft w:val="0"/>
      <w:marRight w:val="0"/>
      <w:marTop w:val="0"/>
      <w:marBottom w:val="0"/>
      <w:divBdr>
        <w:top w:val="none" w:sz="0" w:space="0" w:color="auto"/>
        <w:left w:val="none" w:sz="0" w:space="0" w:color="auto"/>
        <w:bottom w:val="none" w:sz="0" w:space="0" w:color="auto"/>
        <w:right w:val="none" w:sz="0" w:space="0" w:color="auto"/>
      </w:divBdr>
    </w:div>
    <w:div w:id="539709153">
      <w:bodyDiv w:val="1"/>
      <w:marLeft w:val="0"/>
      <w:marRight w:val="0"/>
      <w:marTop w:val="0"/>
      <w:marBottom w:val="0"/>
      <w:divBdr>
        <w:top w:val="none" w:sz="0" w:space="0" w:color="auto"/>
        <w:left w:val="none" w:sz="0" w:space="0" w:color="auto"/>
        <w:bottom w:val="none" w:sz="0" w:space="0" w:color="auto"/>
        <w:right w:val="none" w:sz="0" w:space="0" w:color="auto"/>
      </w:divBdr>
      <w:divsChild>
        <w:div w:id="1898514766">
          <w:marLeft w:val="0"/>
          <w:marRight w:val="0"/>
          <w:marTop w:val="0"/>
          <w:marBottom w:val="0"/>
          <w:divBdr>
            <w:top w:val="none" w:sz="0" w:space="0" w:color="auto"/>
            <w:left w:val="none" w:sz="0" w:space="0" w:color="auto"/>
            <w:bottom w:val="none" w:sz="0" w:space="0" w:color="auto"/>
            <w:right w:val="none" w:sz="0" w:space="0" w:color="auto"/>
          </w:divBdr>
        </w:div>
        <w:div w:id="230165249">
          <w:marLeft w:val="0"/>
          <w:marRight w:val="0"/>
          <w:marTop w:val="0"/>
          <w:marBottom w:val="0"/>
          <w:divBdr>
            <w:top w:val="none" w:sz="0" w:space="0" w:color="auto"/>
            <w:left w:val="none" w:sz="0" w:space="0" w:color="auto"/>
            <w:bottom w:val="none" w:sz="0" w:space="0" w:color="auto"/>
            <w:right w:val="none" w:sz="0" w:space="0" w:color="auto"/>
          </w:divBdr>
        </w:div>
        <w:div w:id="884753604">
          <w:marLeft w:val="0"/>
          <w:marRight w:val="0"/>
          <w:marTop w:val="0"/>
          <w:marBottom w:val="0"/>
          <w:divBdr>
            <w:top w:val="none" w:sz="0" w:space="0" w:color="auto"/>
            <w:left w:val="none" w:sz="0" w:space="0" w:color="auto"/>
            <w:bottom w:val="none" w:sz="0" w:space="0" w:color="auto"/>
            <w:right w:val="none" w:sz="0" w:space="0" w:color="auto"/>
          </w:divBdr>
        </w:div>
        <w:div w:id="1030909909">
          <w:marLeft w:val="0"/>
          <w:marRight w:val="0"/>
          <w:marTop w:val="0"/>
          <w:marBottom w:val="0"/>
          <w:divBdr>
            <w:top w:val="none" w:sz="0" w:space="0" w:color="auto"/>
            <w:left w:val="none" w:sz="0" w:space="0" w:color="auto"/>
            <w:bottom w:val="none" w:sz="0" w:space="0" w:color="auto"/>
            <w:right w:val="none" w:sz="0" w:space="0" w:color="auto"/>
          </w:divBdr>
        </w:div>
        <w:div w:id="1250188317">
          <w:marLeft w:val="0"/>
          <w:marRight w:val="0"/>
          <w:marTop w:val="0"/>
          <w:marBottom w:val="120"/>
          <w:divBdr>
            <w:top w:val="single" w:sz="6" w:space="0" w:color="auto"/>
            <w:left w:val="single" w:sz="6" w:space="0" w:color="auto"/>
            <w:bottom w:val="single" w:sz="6" w:space="0" w:color="auto"/>
            <w:right w:val="single" w:sz="6" w:space="0" w:color="auto"/>
          </w:divBdr>
        </w:div>
        <w:div w:id="1890142434">
          <w:marLeft w:val="0"/>
          <w:marRight w:val="0"/>
          <w:marTop w:val="0"/>
          <w:marBottom w:val="0"/>
          <w:divBdr>
            <w:top w:val="none" w:sz="0" w:space="0" w:color="auto"/>
            <w:left w:val="none" w:sz="0" w:space="0" w:color="auto"/>
            <w:bottom w:val="none" w:sz="0" w:space="0" w:color="auto"/>
            <w:right w:val="none" w:sz="0" w:space="0" w:color="auto"/>
          </w:divBdr>
        </w:div>
        <w:div w:id="2132165991">
          <w:marLeft w:val="0"/>
          <w:marRight w:val="0"/>
          <w:marTop w:val="0"/>
          <w:marBottom w:val="0"/>
          <w:divBdr>
            <w:top w:val="none" w:sz="0" w:space="0" w:color="auto"/>
            <w:left w:val="none" w:sz="0" w:space="0" w:color="auto"/>
            <w:bottom w:val="none" w:sz="0" w:space="0" w:color="auto"/>
            <w:right w:val="none" w:sz="0" w:space="0" w:color="auto"/>
          </w:divBdr>
        </w:div>
      </w:divsChild>
    </w:div>
    <w:div w:id="543176232">
      <w:bodyDiv w:val="1"/>
      <w:marLeft w:val="0"/>
      <w:marRight w:val="0"/>
      <w:marTop w:val="0"/>
      <w:marBottom w:val="0"/>
      <w:divBdr>
        <w:top w:val="none" w:sz="0" w:space="0" w:color="auto"/>
        <w:left w:val="none" w:sz="0" w:space="0" w:color="auto"/>
        <w:bottom w:val="none" w:sz="0" w:space="0" w:color="auto"/>
        <w:right w:val="none" w:sz="0" w:space="0" w:color="auto"/>
      </w:divBdr>
      <w:divsChild>
        <w:div w:id="682245435">
          <w:marLeft w:val="-720"/>
          <w:marRight w:val="0"/>
          <w:marTop w:val="0"/>
          <w:marBottom w:val="0"/>
          <w:divBdr>
            <w:top w:val="none" w:sz="0" w:space="0" w:color="auto"/>
            <w:left w:val="none" w:sz="0" w:space="0" w:color="auto"/>
            <w:bottom w:val="none" w:sz="0" w:space="0" w:color="auto"/>
            <w:right w:val="none" w:sz="0" w:space="0" w:color="auto"/>
          </w:divBdr>
        </w:div>
      </w:divsChild>
    </w:div>
    <w:div w:id="557938651">
      <w:bodyDiv w:val="1"/>
      <w:marLeft w:val="0"/>
      <w:marRight w:val="0"/>
      <w:marTop w:val="0"/>
      <w:marBottom w:val="0"/>
      <w:divBdr>
        <w:top w:val="none" w:sz="0" w:space="0" w:color="auto"/>
        <w:left w:val="none" w:sz="0" w:space="0" w:color="auto"/>
        <w:bottom w:val="none" w:sz="0" w:space="0" w:color="auto"/>
        <w:right w:val="none" w:sz="0" w:space="0" w:color="auto"/>
      </w:divBdr>
    </w:div>
    <w:div w:id="566191324">
      <w:bodyDiv w:val="1"/>
      <w:marLeft w:val="0"/>
      <w:marRight w:val="0"/>
      <w:marTop w:val="0"/>
      <w:marBottom w:val="0"/>
      <w:divBdr>
        <w:top w:val="none" w:sz="0" w:space="0" w:color="auto"/>
        <w:left w:val="none" w:sz="0" w:space="0" w:color="auto"/>
        <w:bottom w:val="none" w:sz="0" w:space="0" w:color="auto"/>
        <w:right w:val="none" w:sz="0" w:space="0" w:color="auto"/>
      </w:divBdr>
    </w:div>
    <w:div w:id="568420582">
      <w:bodyDiv w:val="1"/>
      <w:marLeft w:val="0"/>
      <w:marRight w:val="0"/>
      <w:marTop w:val="0"/>
      <w:marBottom w:val="0"/>
      <w:divBdr>
        <w:top w:val="none" w:sz="0" w:space="0" w:color="auto"/>
        <w:left w:val="none" w:sz="0" w:space="0" w:color="auto"/>
        <w:bottom w:val="none" w:sz="0" w:space="0" w:color="auto"/>
        <w:right w:val="none" w:sz="0" w:space="0" w:color="auto"/>
      </w:divBdr>
    </w:div>
    <w:div w:id="569081158">
      <w:bodyDiv w:val="1"/>
      <w:marLeft w:val="0"/>
      <w:marRight w:val="0"/>
      <w:marTop w:val="0"/>
      <w:marBottom w:val="0"/>
      <w:divBdr>
        <w:top w:val="none" w:sz="0" w:space="0" w:color="auto"/>
        <w:left w:val="none" w:sz="0" w:space="0" w:color="auto"/>
        <w:bottom w:val="none" w:sz="0" w:space="0" w:color="auto"/>
        <w:right w:val="none" w:sz="0" w:space="0" w:color="auto"/>
      </w:divBdr>
    </w:div>
    <w:div w:id="575431864">
      <w:bodyDiv w:val="1"/>
      <w:marLeft w:val="0"/>
      <w:marRight w:val="0"/>
      <w:marTop w:val="0"/>
      <w:marBottom w:val="0"/>
      <w:divBdr>
        <w:top w:val="none" w:sz="0" w:space="0" w:color="auto"/>
        <w:left w:val="none" w:sz="0" w:space="0" w:color="auto"/>
        <w:bottom w:val="none" w:sz="0" w:space="0" w:color="auto"/>
        <w:right w:val="none" w:sz="0" w:space="0" w:color="auto"/>
      </w:divBdr>
    </w:div>
    <w:div w:id="585843665">
      <w:bodyDiv w:val="1"/>
      <w:marLeft w:val="0"/>
      <w:marRight w:val="0"/>
      <w:marTop w:val="0"/>
      <w:marBottom w:val="0"/>
      <w:divBdr>
        <w:top w:val="none" w:sz="0" w:space="0" w:color="auto"/>
        <w:left w:val="none" w:sz="0" w:space="0" w:color="auto"/>
        <w:bottom w:val="none" w:sz="0" w:space="0" w:color="auto"/>
        <w:right w:val="none" w:sz="0" w:space="0" w:color="auto"/>
      </w:divBdr>
    </w:div>
    <w:div w:id="595334429">
      <w:bodyDiv w:val="1"/>
      <w:marLeft w:val="0"/>
      <w:marRight w:val="0"/>
      <w:marTop w:val="0"/>
      <w:marBottom w:val="0"/>
      <w:divBdr>
        <w:top w:val="none" w:sz="0" w:space="0" w:color="auto"/>
        <w:left w:val="none" w:sz="0" w:space="0" w:color="auto"/>
        <w:bottom w:val="none" w:sz="0" w:space="0" w:color="auto"/>
        <w:right w:val="none" w:sz="0" w:space="0" w:color="auto"/>
      </w:divBdr>
    </w:div>
    <w:div w:id="595746543">
      <w:bodyDiv w:val="1"/>
      <w:marLeft w:val="0"/>
      <w:marRight w:val="0"/>
      <w:marTop w:val="0"/>
      <w:marBottom w:val="0"/>
      <w:divBdr>
        <w:top w:val="none" w:sz="0" w:space="0" w:color="auto"/>
        <w:left w:val="none" w:sz="0" w:space="0" w:color="auto"/>
        <w:bottom w:val="none" w:sz="0" w:space="0" w:color="auto"/>
        <w:right w:val="none" w:sz="0" w:space="0" w:color="auto"/>
      </w:divBdr>
    </w:div>
    <w:div w:id="608902454">
      <w:bodyDiv w:val="1"/>
      <w:marLeft w:val="0"/>
      <w:marRight w:val="0"/>
      <w:marTop w:val="0"/>
      <w:marBottom w:val="0"/>
      <w:divBdr>
        <w:top w:val="none" w:sz="0" w:space="0" w:color="auto"/>
        <w:left w:val="none" w:sz="0" w:space="0" w:color="auto"/>
        <w:bottom w:val="none" w:sz="0" w:space="0" w:color="auto"/>
        <w:right w:val="none" w:sz="0" w:space="0" w:color="auto"/>
      </w:divBdr>
    </w:div>
    <w:div w:id="633683617">
      <w:bodyDiv w:val="1"/>
      <w:marLeft w:val="0"/>
      <w:marRight w:val="0"/>
      <w:marTop w:val="0"/>
      <w:marBottom w:val="0"/>
      <w:divBdr>
        <w:top w:val="none" w:sz="0" w:space="0" w:color="auto"/>
        <w:left w:val="none" w:sz="0" w:space="0" w:color="auto"/>
        <w:bottom w:val="none" w:sz="0" w:space="0" w:color="auto"/>
        <w:right w:val="none" w:sz="0" w:space="0" w:color="auto"/>
      </w:divBdr>
      <w:divsChild>
        <w:div w:id="77866942">
          <w:marLeft w:val="-720"/>
          <w:marRight w:val="0"/>
          <w:marTop w:val="0"/>
          <w:marBottom w:val="0"/>
          <w:divBdr>
            <w:top w:val="none" w:sz="0" w:space="0" w:color="auto"/>
            <w:left w:val="none" w:sz="0" w:space="0" w:color="auto"/>
            <w:bottom w:val="none" w:sz="0" w:space="0" w:color="auto"/>
            <w:right w:val="none" w:sz="0" w:space="0" w:color="auto"/>
          </w:divBdr>
        </w:div>
      </w:divsChild>
    </w:div>
    <w:div w:id="642659192">
      <w:bodyDiv w:val="1"/>
      <w:marLeft w:val="0"/>
      <w:marRight w:val="0"/>
      <w:marTop w:val="0"/>
      <w:marBottom w:val="0"/>
      <w:divBdr>
        <w:top w:val="none" w:sz="0" w:space="0" w:color="auto"/>
        <w:left w:val="none" w:sz="0" w:space="0" w:color="auto"/>
        <w:bottom w:val="none" w:sz="0" w:space="0" w:color="auto"/>
        <w:right w:val="none" w:sz="0" w:space="0" w:color="auto"/>
      </w:divBdr>
    </w:div>
    <w:div w:id="665792867">
      <w:bodyDiv w:val="1"/>
      <w:marLeft w:val="0"/>
      <w:marRight w:val="0"/>
      <w:marTop w:val="0"/>
      <w:marBottom w:val="0"/>
      <w:divBdr>
        <w:top w:val="none" w:sz="0" w:space="0" w:color="auto"/>
        <w:left w:val="none" w:sz="0" w:space="0" w:color="auto"/>
        <w:bottom w:val="none" w:sz="0" w:space="0" w:color="auto"/>
        <w:right w:val="none" w:sz="0" w:space="0" w:color="auto"/>
      </w:divBdr>
    </w:div>
    <w:div w:id="690450452">
      <w:bodyDiv w:val="1"/>
      <w:marLeft w:val="0"/>
      <w:marRight w:val="0"/>
      <w:marTop w:val="0"/>
      <w:marBottom w:val="0"/>
      <w:divBdr>
        <w:top w:val="none" w:sz="0" w:space="0" w:color="auto"/>
        <w:left w:val="none" w:sz="0" w:space="0" w:color="auto"/>
        <w:bottom w:val="none" w:sz="0" w:space="0" w:color="auto"/>
        <w:right w:val="none" w:sz="0" w:space="0" w:color="auto"/>
      </w:divBdr>
    </w:div>
    <w:div w:id="716323586">
      <w:bodyDiv w:val="1"/>
      <w:marLeft w:val="0"/>
      <w:marRight w:val="0"/>
      <w:marTop w:val="0"/>
      <w:marBottom w:val="0"/>
      <w:divBdr>
        <w:top w:val="none" w:sz="0" w:space="0" w:color="auto"/>
        <w:left w:val="none" w:sz="0" w:space="0" w:color="auto"/>
        <w:bottom w:val="none" w:sz="0" w:space="0" w:color="auto"/>
        <w:right w:val="none" w:sz="0" w:space="0" w:color="auto"/>
      </w:divBdr>
    </w:div>
    <w:div w:id="726221510">
      <w:bodyDiv w:val="1"/>
      <w:marLeft w:val="0"/>
      <w:marRight w:val="0"/>
      <w:marTop w:val="0"/>
      <w:marBottom w:val="0"/>
      <w:divBdr>
        <w:top w:val="none" w:sz="0" w:space="0" w:color="auto"/>
        <w:left w:val="none" w:sz="0" w:space="0" w:color="auto"/>
        <w:bottom w:val="none" w:sz="0" w:space="0" w:color="auto"/>
        <w:right w:val="none" w:sz="0" w:space="0" w:color="auto"/>
      </w:divBdr>
      <w:divsChild>
        <w:div w:id="1017854194">
          <w:marLeft w:val="-720"/>
          <w:marRight w:val="0"/>
          <w:marTop w:val="0"/>
          <w:marBottom w:val="0"/>
          <w:divBdr>
            <w:top w:val="none" w:sz="0" w:space="0" w:color="auto"/>
            <w:left w:val="none" w:sz="0" w:space="0" w:color="auto"/>
            <w:bottom w:val="none" w:sz="0" w:space="0" w:color="auto"/>
            <w:right w:val="none" w:sz="0" w:space="0" w:color="auto"/>
          </w:divBdr>
        </w:div>
      </w:divsChild>
    </w:div>
    <w:div w:id="72661048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1002179">
      <w:bodyDiv w:val="1"/>
      <w:marLeft w:val="0"/>
      <w:marRight w:val="0"/>
      <w:marTop w:val="0"/>
      <w:marBottom w:val="0"/>
      <w:divBdr>
        <w:top w:val="none" w:sz="0" w:space="0" w:color="auto"/>
        <w:left w:val="none" w:sz="0" w:space="0" w:color="auto"/>
        <w:bottom w:val="none" w:sz="0" w:space="0" w:color="auto"/>
        <w:right w:val="none" w:sz="0" w:space="0" w:color="auto"/>
      </w:divBdr>
      <w:divsChild>
        <w:div w:id="1402406613">
          <w:marLeft w:val="0"/>
          <w:marRight w:val="0"/>
          <w:marTop w:val="0"/>
          <w:marBottom w:val="0"/>
          <w:divBdr>
            <w:top w:val="none" w:sz="0" w:space="0" w:color="auto"/>
            <w:left w:val="none" w:sz="0" w:space="0" w:color="auto"/>
            <w:bottom w:val="none" w:sz="0" w:space="0" w:color="auto"/>
            <w:right w:val="none" w:sz="0" w:space="0" w:color="auto"/>
          </w:divBdr>
          <w:divsChild>
            <w:div w:id="720403226">
              <w:marLeft w:val="0"/>
              <w:marRight w:val="0"/>
              <w:marTop w:val="0"/>
              <w:marBottom w:val="0"/>
              <w:divBdr>
                <w:top w:val="none" w:sz="0" w:space="0" w:color="auto"/>
                <w:left w:val="none" w:sz="0" w:space="0" w:color="auto"/>
                <w:bottom w:val="none" w:sz="0" w:space="0" w:color="auto"/>
                <w:right w:val="none" w:sz="0" w:space="0" w:color="auto"/>
              </w:divBdr>
              <w:divsChild>
                <w:div w:id="20279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25482">
      <w:bodyDiv w:val="1"/>
      <w:marLeft w:val="0"/>
      <w:marRight w:val="0"/>
      <w:marTop w:val="0"/>
      <w:marBottom w:val="0"/>
      <w:divBdr>
        <w:top w:val="none" w:sz="0" w:space="0" w:color="auto"/>
        <w:left w:val="none" w:sz="0" w:space="0" w:color="auto"/>
        <w:bottom w:val="none" w:sz="0" w:space="0" w:color="auto"/>
        <w:right w:val="none" w:sz="0" w:space="0" w:color="auto"/>
      </w:divBdr>
    </w:div>
    <w:div w:id="755251666">
      <w:bodyDiv w:val="1"/>
      <w:marLeft w:val="0"/>
      <w:marRight w:val="0"/>
      <w:marTop w:val="0"/>
      <w:marBottom w:val="0"/>
      <w:divBdr>
        <w:top w:val="none" w:sz="0" w:space="0" w:color="auto"/>
        <w:left w:val="none" w:sz="0" w:space="0" w:color="auto"/>
        <w:bottom w:val="none" w:sz="0" w:space="0" w:color="auto"/>
        <w:right w:val="none" w:sz="0" w:space="0" w:color="auto"/>
      </w:divBdr>
      <w:divsChild>
        <w:div w:id="786000758">
          <w:marLeft w:val="-720"/>
          <w:marRight w:val="0"/>
          <w:marTop w:val="0"/>
          <w:marBottom w:val="0"/>
          <w:divBdr>
            <w:top w:val="none" w:sz="0" w:space="0" w:color="auto"/>
            <w:left w:val="none" w:sz="0" w:space="0" w:color="auto"/>
            <w:bottom w:val="none" w:sz="0" w:space="0" w:color="auto"/>
            <w:right w:val="none" w:sz="0" w:space="0" w:color="auto"/>
          </w:divBdr>
        </w:div>
      </w:divsChild>
    </w:div>
    <w:div w:id="759832044">
      <w:bodyDiv w:val="1"/>
      <w:marLeft w:val="0"/>
      <w:marRight w:val="0"/>
      <w:marTop w:val="0"/>
      <w:marBottom w:val="0"/>
      <w:divBdr>
        <w:top w:val="none" w:sz="0" w:space="0" w:color="auto"/>
        <w:left w:val="none" w:sz="0" w:space="0" w:color="auto"/>
        <w:bottom w:val="none" w:sz="0" w:space="0" w:color="auto"/>
        <w:right w:val="none" w:sz="0" w:space="0" w:color="auto"/>
      </w:divBdr>
    </w:div>
    <w:div w:id="766509118">
      <w:bodyDiv w:val="1"/>
      <w:marLeft w:val="0"/>
      <w:marRight w:val="0"/>
      <w:marTop w:val="0"/>
      <w:marBottom w:val="0"/>
      <w:divBdr>
        <w:top w:val="none" w:sz="0" w:space="0" w:color="auto"/>
        <w:left w:val="none" w:sz="0" w:space="0" w:color="auto"/>
        <w:bottom w:val="none" w:sz="0" w:space="0" w:color="auto"/>
        <w:right w:val="none" w:sz="0" w:space="0" w:color="auto"/>
      </w:divBdr>
    </w:div>
    <w:div w:id="776604701">
      <w:bodyDiv w:val="1"/>
      <w:marLeft w:val="0"/>
      <w:marRight w:val="0"/>
      <w:marTop w:val="0"/>
      <w:marBottom w:val="0"/>
      <w:divBdr>
        <w:top w:val="none" w:sz="0" w:space="0" w:color="auto"/>
        <w:left w:val="none" w:sz="0" w:space="0" w:color="auto"/>
        <w:bottom w:val="none" w:sz="0" w:space="0" w:color="auto"/>
        <w:right w:val="none" w:sz="0" w:space="0" w:color="auto"/>
      </w:divBdr>
      <w:divsChild>
        <w:div w:id="1415124256">
          <w:marLeft w:val="0"/>
          <w:marRight w:val="0"/>
          <w:marTop w:val="0"/>
          <w:marBottom w:val="0"/>
          <w:divBdr>
            <w:top w:val="none" w:sz="0" w:space="0" w:color="auto"/>
            <w:left w:val="none" w:sz="0" w:space="0" w:color="auto"/>
            <w:bottom w:val="none" w:sz="0" w:space="0" w:color="auto"/>
            <w:right w:val="none" w:sz="0" w:space="0" w:color="auto"/>
          </w:divBdr>
        </w:div>
        <w:div w:id="128981776">
          <w:marLeft w:val="0"/>
          <w:marRight w:val="0"/>
          <w:marTop w:val="0"/>
          <w:marBottom w:val="0"/>
          <w:divBdr>
            <w:top w:val="none" w:sz="0" w:space="0" w:color="auto"/>
            <w:left w:val="none" w:sz="0" w:space="0" w:color="auto"/>
            <w:bottom w:val="none" w:sz="0" w:space="0" w:color="auto"/>
            <w:right w:val="none" w:sz="0" w:space="0" w:color="auto"/>
          </w:divBdr>
        </w:div>
        <w:div w:id="1331327417">
          <w:marLeft w:val="0"/>
          <w:marRight w:val="0"/>
          <w:marTop w:val="0"/>
          <w:marBottom w:val="0"/>
          <w:divBdr>
            <w:top w:val="none" w:sz="0" w:space="0" w:color="auto"/>
            <w:left w:val="none" w:sz="0" w:space="0" w:color="auto"/>
            <w:bottom w:val="none" w:sz="0" w:space="0" w:color="auto"/>
            <w:right w:val="none" w:sz="0" w:space="0" w:color="auto"/>
          </w:divBdr>
        </w:div>
        <w:div w:id="1769809676">
          <w:marLeft w:val="0"/>
          <w:marRight w:val="0"/>
          <w:marTop w:val="0"/>
          <w:marBottom w:val="0"/>
          <w:divBdr>
            <w:top w:val="none" w:sz="0" w:space="0" w:color="auto"/>
            <w:left w:val="none" w:sz="0" w:space="0" w:color="auto"/>
            <w:bottom w:val="none" w:sz="0" w:space="0" w:color="auto"/>
            <w:right w:val="none" w:sz="0" w:space="0" w:color="auto"/>
          </w:divBdr>
        </w:div>
        <w:div w:id="296031450">
          <w:marLeft w:val="0"/>
          <w:marRight w:val="0"/>
          <w:marTop w:val="0"/>
          <w:marBottom w:val="0"/>
          <w:divBdr>
            <w:top w:val="none" w:sz="0" w:space="0" w:color="auto"/>
            <w:left w:val="none" w:sz="0" w:space="0" w:color="auto"/>
            <w:bottom w:val="none" w:sz="0" w:space="0" w:color="auto"/>
            <w:right w:val="none" w:sz="0" w:space="0" w:color="auto"/>
          </w:divBdr>
        </w:div>
        <w:div w:id="1794516763">
          <w:marLeft w:val="0"/>
          <w:marRight w:val="0"/>
          <w:marTop w:val="0"/>
          <w:marBottom w:val="0"/>
          <w:divBdr>
            <w:top w:val="none" w:sz="0" w:space="0" w:color="auto"/>
            <w:left w:val="none" w:sz="0" w:space="0" w:color="auto"/>
            <w:bottom w:val="none" w:sz="0" w:space="0" w:color="auto"/>
            <w:right w:val="none" w:sz="0" w:space="0" w:color="auto"/>
          </w:divBdr>
        </w:div>
        <w:div w:id="1356465931">
          <w:marLeft w:val="0"/>
          <w:marRight w:val="0"/>
          <w:marTop w:val="0"/>
          <w:marBottom w:val="0"/>
          <w:divBdr>
            <w:top w:val="none" w:sz="0" w:space="0" w:color="auto"/>
            <w:left w:val="none" w:sz="0" w:space="0" w:color="auto"/>
            <w:bottom w:val="none" w:sz="0" w:space="0" w:color="auto"/>
            <w:right w:val="none" w:sz="0" w:space="0" w:color="auto"/>
          </w:divBdr>
        </w:div>
      </w:divsChild>
    </w:div>
    <w:div w:id="785077678">
      <w:bodyDiv w:val="1"/>
      <w:marLeft w:val="0"/>
      <w:marRight w:val="0"/>
      <w:marTop w:val="0"/>
      <w:marBottom w:val="0"/>
      <w:divBdr>
        <w:top w:val="none" w:sz="0" w:space="0" w:color="auto"/>
        <w:left w:val="none" w:sz="0" w:space="0" w:color="auto"/>
        <w:bottom w:val="none" w:sz="0" w:space="0" w:color="auto"/>
        <w:right w:val="none" w:sz="0" w:space="0" w:color="auto"/>
      </w:divBdr>
    </w:div>
    <w:div w:id="789973951">
      <w:bodyDiv w:val="1"/>
      <w:marLeft w:val="0"/>
      <w:marRight w:val="0"/>
      <w:marTop w:val="0"/>
      <w:marBottom w:val="0"/>
      <w:divBdr>
        <w:top w:val="none" w:sz="0" w:space="0" w:color="auto"/>
        <w:left w:val="none" w:sz="0" w:space="0" w:color="auto"/>
        <w:bottom w:val="none" w:sz="0" w:space="0" w:color="auto"/>
        <w:right w:val="none" w:sz="0" w:space="0" w:color="auto"/>
      </w:divBdr>
    </w:div>
    <w:div w:id="796992934">
      <w:bodyDiv w:val="1"/>
      <w:marLeft w:val="0"/>
      <w:marRight w:val="0"/>
      <w:marTop w:val="0"/>
      <w:marBottom w:val="0"/>
      <w:divBdr>
        <w:top w:val="none" w:sz="0" w:space="0" w:color="auto"/>
        <w:left w:val="none" w:sz="0" w:space="0" w:color="auto"/>
        <w:bottom w:val="none" w:sz="0" w:space="0" w:color="auto"/>
        <w:right w:val="none" w:sz="0" w:space="0" w:color="auto"/>
      </w:divBdr>
    </w:div>
    <w:div w:id="843281900">
      <w:bodyDiv w:val="1"/>
      <w:marLeft w:val="0"/>
      <w:marRight w:val="0"/>
      <w:marTop w:val="0"/>
      <w:marBottom w:val="0"/>
      <w:divBdr>
        <w:top w:val="none" w:sz="0" w:space="0" w:color="auto"/>
        <w:left w:val="none" w:sz="0" w:space="0" w:color="auto"/>
        <w:bottom w:val="none" w:sz="0" w:space="0" w:color="auto"/>
        <w:right w:val="none" w:sz="0" w:space="0" w:color="auto"/>
      </w:divBdr>
    </w:div>
    <w:div w:id="877165350">
      <w:bodyDiv w:val="1"/>
      <w:marLeft w:val="0"/>
      <w:marRight w:val="0"/>
      <w:marTop w:val="0"/>
      <w:marBottom w:val="0"/>
      <w:divBdr>
        <w:top w:val="none" w:sz="0" w:space="0" w:color="auto"/>
        <w:left w:val="none" w:sz="0" w:space="0" w:color="auto"/>
        <w:bottom w:val="none" w:sz="0" w:space="0" w:color="auto"/>
        <w:right w:val="none" w:sz="0" w:space="0" w:color="auto"/>
      </w:divBdr>
    </w:div>
    <w:div w:id="896286985">
      <w:bodyDiv w:val="1"/>
      <w:marLeft w:val="0"/>
      <w:marRight w:val="0"/>
      <w:marTop w:val="0"/>
      <w:marBottom w:val="0"/>
      <w:divBdr>
        <w:top w:val="none" w:sz="0" w:space="0" w:color="auto"/>
        <w:left w:val="none" w:sz="0" w:space="0" w:color="auto"/>
        <w:bottom w:val="none" w:sz="0" w:space="0" w:color="auto"/>
        <w:right w:val="none" w:sz="0" w:space="0" w:color="auto"/>
      </w:divBdr>
    </w:div>
    <w:div w:id="898830294">
      <w:bodyDiv w:val="1"/>
      <w:marLeft w:val="0"/>
      <w:marRight w:val="0"/>
      <w:marTop w:val="0"/>
      <w:marBottom w:val="0"/>
      <w:divBdr>
        <w:top w:val="none" w:sz="0" w:space="0" w:color="auto"/>
        <w:left w:val="none" w:sz="0" w:space="0" w:color="auto"/>
        <w:bottom w:val="none" w:sz="0" w:space="0" w:color="auto"/>
        <w:right w:val="none" w:sz="0" w:space="0" w:color="auto"/>
      </w:divBdr>
    </w:div>
    <w:div w:id="916863314">
      <w:bodyDiv w:val="1"/>
      <w:marLeft w:val="0"/>
      <w:marRight w:val="0"/>
      <w:marTop w:val="0"/>
      <w:marBottom w:val="0"/>
      <w:divBdr>
        <w:top w:val="none" w:sz="0" w:space="0" w:color="auto"/>
        <w:left w:val="none" w:sz="0" w:space="0" w:color="auto"/>
        <w:bottom w:val="none" w:sz="0" w:space="0" w:color="auto"/>
        <w:right w:val="none" w:sz="0" w:space="0" w:color="auto"/>
      </w:divBdr>
    </w:div>
    <w:div w:id="928807537">
      <w:bodyDiv w:val="1"/>
      <w:marLeft w:val="0"/>
      <w:marRight w:val="0"/>
      <w:marTop w:val="0"/>
      <w:marBottom w:val="0"/>
      <w:divBdr>
        <w:top w:val="none" w:sz="0" w:space="0" w:color="auto"/>
        <w:left w:val="none" w:sz="0" w:space="0" w:color="auto"/>
        <w:bottom w:val="none" w:sz="0" w:space="0" w:color="auto"/>
        <w:right w:val="none" w:sz="0" w:space="0" w:color="auto"/>
      </w:divBdr>
    </w:div>
    <w:div w:id="930622073">
      <w:bodyDiv w:val="1"/>
      <w:marLeft w:val="0"/>
      <w:marRight w:val="0"/>
      <w:marTop w:val="0"/>
      <w:marBottom w:val="0"/>
      <w:divBdr>
        <w:top w:val="none" w:sz="0" w:space="0" w:color="auto"/>
        <w:left w:val="none" w:sz="0" w:space="0" w:color="auto"/>
        <w:bottom w:val="none" w:sz="0" w:space="0" w:color="auto"/>
        <w:right w:val="none" w:sz="0" w:space="0" w:color="auto"/>
      </w:divBdr>
      <w:divsChild>
        <w:div w:id="1891573393">
          <w:marLeft w:val="-720"/>
          <w:marRight w:val="0"/>
          <w:marTop w:val="0"/>
          <w:marBottom w:val="0"/>
          <w:divBdr>
            <w:top w:val="none" w:sz="0" w:space="0" w:color="auto"/>
            <w:left w:val="none" w:sz="0" w:space="0" w:color="auto"/>
            <w:bottom w:val="none" w:sz="0" w:space="0" w:color="auto"/>
            <w:right w:val="none" w:sz="0" w:space="0" w:color="auto"/>
          </w:divBdr>
        </w:div>
      </w:divsChild>
    </w:div>
    <w:div w:id="931399290">
      <w:bodyDiv w:val="1"/>
      <w:marLeft w:val="0"/>
      <w:marRight w:val="0"/>
      <w:marTop w:val="0"/>
      <w:marBottom w:val="0"/>
      <w:divBdr>
        <w:top w:val="none" w:sz="0" w:space="0" w:color="auto"/>
        <w:left w:val="none" w:sz="0" w:space="0" w:color="auto"/>
        <w:bottom w:val="none" w:sz="0" w:space="0" w:color="auto"/>
        <w:right w:val="none" w:sz="0" w:space="0" w:color="auto"/>
      </w:divBdr>
    </w:div>
    <w:div w:id="939726519">
      <w:bodyDiv w:val="1"/>
      <w:marLeft w:val="0"/>
      <w:marRight w:val="0"/>
      <w:marTop w:val="0"/>
      <w:marBottom w:val="0"/>
      <w:divBdr>
        <w:top w:val="none" w:sz="0" w:space="0" w:color="auto"/>
        <w:left w:val="none" w:sz="0" w:space="0" w:color="auto"/>
        <w:bottom w:val="none" w:sz="0" w:space="0" w:color="auto"/>
        <w:right w:val="none" w:sz="0" w:space="0" w:color="auto"/>
      </w:divBdr>
      <w:divsChild>
        <w:div w:id="1105728797">
          <w:marLeft w:val="0"/>
          <w:marRight w:val="0"/>
          <w:marTop w:val="0"/>
          <w:marBottom w:val="0"/>
          <w:divBdr>
            <w:top w:val="none" w:sz="0" w:space="0" w:color="auto"/>
            <w:left w:val="none" w:sz="0" w:space="0" w:color="auto"/>
            <w:bottom w:val="none" w:sz="0" w:space="0" w:color="auto"/>
            <w:right w:val="none" w:sz="0" w:space="0" w:color="auto"/>
          </w:divBdr>
        </w:div>
        <w:div w:id="150758685">
          <w:marLeft w:val="0"/>
          <w:marRight w:val="0"/>
          <w:marTop w:val="0"/>
          <w:marBottom w:val="0"/>
          <w:divBdr>
            <w:top w:val="none" w:sz="0" w:space="0" w:color="auto"/>
            <w:left w:val="none" w:sz="0" w:space="0" w:color="auto"/>
            <w:bottom w:val="none" w:sz="0" w:space="0" w:color="auto"/>
            <w:right w:val="none" w:sz="0" w:space="0" w:color="auto"/>
          </w:divBdr>
        </w:div>
        <w:div w:id="579095205">
          <w:marLeft w:val="0"/>
          <w:marRight w:val="0"/>
          <w:marTop w:val="0"/>
          <w:marBottom w:val="0"/>
          <w:divBdr>
            <w:top w:val="none" w:sz="0" w:space="0" w:color="auto"/>
            <w:left w:val="none" w:sz="0" w:space="0" w:color="auto"/>
            <w:bottom w:val="none" w:sz="0" w:space="0" w:color="auto"/>
            <w:right w:val="none" w:sz="0" w:space="0" w:color="auto"/>
          </w:divBdr>
        </w:div>
      </w:divsChild>
    </w:div>
    <w:div w:id="958410698">
      <w:bodyDiv w:val="1"/>
      <w:marLeft w:val="0"/>
      <w:marRight w:val="0"/>
      <w:marTop w:val="0"/>
      <w:marBottom w:val="0"/>
      <w:divBdr>
        <w:top w:val="none" w:sz="0" w:space="0" w:color="auto"/>
        <w:left w:val="none" w:sz="0" w:space="0" w:color="auto"/>
        <w:bottom w:val="none" w:sz="0" w:space="0" w:color="auto"/>
        <w:right w:val="none" w:sz="0" w:space="0" w:color="auto"/>
      </w:divBdr>
      <w:divsChild>
        <w:div w:id="1035468881">
          <w:marLeft w:val="0"/>
          <w:marRight w:val="0"/>
          <w:marTop w:val="0"/>
          <w:marBottom w:val="0"/>
          <w:divBdr>
            <w:top w:val="none" w:sz="0" w:space="0" w:color="auto"/>
            <w:left w:val="none" w:sz="0" w:space="0" w:color="auto"/>
            <w:bottom w:val="none" w:sz="0" w:space="0" w:color="auto"/>
            <w:right w:val="none" w:sz="0" w:space="0" w:color="auto"/>
          </w:divBdr>
          <w:divsChild>
            <w:div w:id="1127508134">
              <w:marLeft w:val="0"/>
              <w:marRight w:val="0"/>
              <w:marTop w:val="0"/>
              <w:marBottom w:val="0"/>
              <w:divBdr>
                <w:top w:val="none" w:sz="0" w:space="0" w:color="auto"/>
                <w:left w:val="none" w:sz="0" w:space="0" w:color="auto"/>
                <w:bottom w:val="none" w:sz="0" w:space="0" w:color="auto"/>
                <w:right w:val="none" w:sz="0" w:space="0" w:color="auto"/>
              </w:divBdr>
              <w:divsChild>
                <w:div w:id="19333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85966">
      <w:bodyDiv w:val="1"/>
      <w:marLeft w:val="0"/>
      <w:marRight w:val="0"/>
      <w:marTop w:val="0"/>
      <w:marBottom w:val="0"/>
      <w:divBdr>
        <w:top w:val="none" w:sz="0" w:space="0" w:color="auto"/>
        <w:left w:val="none" w:sz="0" w:space="0" w:color="auto"/>
        <w:bottom w:val="none" w:sz="0" w:space="0" w:color="auto"/>
        <w:right w:val="none" w:sz="0" w:space="0" w:color="auto"/>
      </w:divBdr>
    </w:div>
    <w:div w:id="989478379">
      <w:bodyDiv w:val="1"/>
      <w:marLeft w:val="0"/>
      <w:marRight w:val="0"/>
      <w:marTop w:val="0"/>
      <w:marBottom w:val="0"/>
      <w:divBdr>
        <w:top w:val="none" w:sz="0" w:space="0" w:color="auto"/>
        <w:left w:val="none" w:sz="0" w:space="0" w:color="auto"/>
        <w:bottom w:val="none" w:sz="0" w:space="0" w:color="auto"/>
        <w:right w:val="none" w:sz="0" w:space="0" w:color="auto"/>
      </w:divBdr>
      <w:divsChild>
        <w:div w:id="168063953">
          <w:marLeft w:val="-720"/>
          <w:marRight w:val="0"/>
          <w:marTop w:val="0"/>
          <w:marBottom w:val="0"/>
          <w:divBdr>
            <w:top w:val="none" w:sz="0" w:space="0" w:color="auto"/>
            <w:left w:val="none" w:sz="0" w:space="0" w:color="auto"/>
            <w:bottom w:val="none" w:sz="0" w:space="0" w:color="auto"/>
            <w:right w:val="none" w:sz="0" w:space="0" w:color="auto"/>
          </w:divBdr>
        </w:div>
      </w:divsChild>
    </w:div>
    <w:div w:id="1005941351">
      <w:bodyDiv w:val="1"/>
      <w:marLeft w:val="0"/>
      <w:marRight w:val="0"/>
      <w:marTop w:val="0"/>
      <w:marBottom w:val="0"/>
      <w:divBdr>
        <w:top w:val="none" w:sz="0" w:space="0" w:color="auto"/>
        <w:left w:val="none" w:sz="0" w:space="0" w:color="auto"/>
        <w:bottom w:val="none" w:sz="0" w:space="0" w:color="auto"/>
        <w:right w:val="none" w:sz="0" w:space="0" w:color="auto"/>
      </w:divBdr>
    </w:div>
    <w:div w:id="1015764310">
      <w:bodyDiv w:val="1"/>
      <w:marLeft w:val="0"/>
      <w:marRight w:val="0"/>
      <w:marTop w:val="0"/>
      <w:marBottom w:val="0"/>
      <w:divBdr>
        <w:top w:val="none" w:sz="0" w:space="0" w:color="auto"/>
        <w:left w:val="none" w:sz="0" w:space="0" w:color="auto"/>
        <w:bottom w:val="none" w:sz="0" w:space="0" w:color="auto"/>
        <w:right w:val="none" w:sz="0" w:space="0" w:color="auto"/>
      </w:divBdr>
    </w:div>
    <w:div w:id="1016081949">
      <w:bodyDiv w:val="1"/>
      <w:marLeft w:val="0"/>
      <w:marRight w:val="0"/>
      <w:marTop w:val="0"/>
      <w:marBottom w:val="0"/>
      <w:divBdr>
        <w:top w:val="none" w:sz="0" w:space="0" w:color="auto"/>
        <w:left w:val="none" w:sz="0" w:space="0" w:color="auto"/>
        <w:bottom w:val="none" w:sz="0" w:space="0" w:color="auto"/>
        <w:right w:val="none" w:sz="0" w:space="0" w:color="auto"/>
      </w:divBdr>
    </w:div>
    <w:div w:id="1032926418">
      <w:bodyDiv w:val="1"/>
      <w:marLeft w:val="0"/>
      <w:marRight w:val="0"/>
      <w:marTop w:val="0"/>
      <w:marBottom w:val="0"/>
      <w:divBdr>
        <w:top w:val="none" w:sz="0" w:space="0" w:color="auto"/>
        <w:left w:val="none" w:sz="0" w:space="0" w:color="auto"/>
        <w:bottom w:val="none" w:sz="0" w:space="0" w:color="auto"/>
        <w:right w:val="none" w:sz="0" w:space="0" w:color="auto"/>
      </w:divBdr>
    </w:div>
    <w:div w:id="1036352296">
      <w:bodyDiv w:val="1"/>
      <w:marLeft w:val="0"/>
      <w:marRight w:val="0"/>
      <w:marTop w:val="0"/>
      <w:marBottom w:val="0"/>
      <w:divBdr>
        <w:top w:val="none" w:sz="0" w:space="0" w:color="auto"/>
        <w:left w:val="none" w:sz="0" w:space="0" w:color="auto"/>
        <w:bottom w:val="none" w:sz="0" w:space="0" w:color="auto"/>
        <w:right w:val="none" w:sz="0" w:space="0" w:color="auto"/>
      </w:divBdr>
    </w:div>
    <w:div w:id="1049917319">
      <w:bodyDiv w:val="1"/>
      <w:marLeft w:val="0"/>
      <w:marRight w:val="0"/>
      <w:marTop w:val="0"/>
      <w:marBottom w:val="0"/>
      <w:divBdr>
        <w:top w:val="none" w:sz="0" w:space="0" w:color="auto"/>
        <w:left w:val="none" w:sz="0" w:space="0" w:color="auto"/>
        <w:bottom w:val="none" w:sz="0" w:space="0" w:color="auto"/>
        <w:right w:val="none" w:sz="0" w:space="0" w:color="auto"/>
      </w:divBdr>
    </w:div>
    <w:div w:id="1079213287">
      <w:bodyDiv w:val="1"/>
      <w:marLeft w:val="0"/>
      <w:marRight w:val="0"/>
      <w:marTop w:val="0"/>
      <w:marBottom w:val="0"/>
      <w:divBdr>
        <w:top w:val="none" w:sz="0" w:space="0" w:color="auto"/>
        <w:left w:val="none" w:sz="0" w:space="0" w:color="auto"/>
        <w:bottom w:val="none" w:sz="0" w:space="0" w:color="auto"/>
        <w:right w:val="none" w:sz="0" w:space="0" w:color="auto"/>
      </w:divBdr>
    </w:div>
    <w:div w:id="1092822020">
      <w:bodyDiv w:val="1"/>
      <w:marLeft w:val="0"/>
      <w:marRight w:val="0"/>
      <w:marTop w:val="0"/>
      <w:marBottom w:val="0"/>
      <w:divBdr>
        <w:top w:val="none" w:sz="0" w:space="0" w:color="auto"/>
        <w:left w:val="none" w:sz="0" w:space="0" w:color="auto"/>
        <w:bottom w:val="none" w:sz="0" w:space="0" w:color="auto"/>
        <w:right w:val="none" w:sz="0" w:space="0" w:color="auto"/>
      </w:divBdr>
    </w:div>
    <w:div w:id="1101023819">
      <w:bodyDiv w:val="1"/>
      <w:marLeft w:val="0"/>
      <w:marRight w:val="0"/>
      <w:marTop w:val="0"/>
      <w:marBottom w:val="0"/>
      <w:divBdr>
        <w:top w:val="none" w:sz="0" w:space="0" w:color="auto"/>
        <w:left w:val="none" w:sz="0" w:space="0" w:color="auto"/>
        <w:bottom w:val="none" w:sz="0" w:space="0" w:color="auto"/>
        <w:right w:val="none" w:sz="0" w:space="0" w:color="auto"/>
      </w:divBdr>
    </w:div>
    <w:div w:id="1109160823">
      <w:bodyDiv w:val="1"/>
      <w:marLeft w:val="0"/>
      <w:marRight w:val="0"/>
      <w:marTop w:val="0"/>
      <w:marBottom w:val="0"/>
      <w:divBdr>
        <w:top w:val="none" w:sz="0" w:space="0" w:color="auto"/>
        <w:left w:val="none" w:sz="0" w:space="0" w:color="auto"/>
        <w:bottom w:val="none" w:sz="0" w:space="0" w:color="auto"/>
        <w:right w:val="none" w:sz="0" w:space="0" w:color="auto"/>
      </w:divBdr>
      <w:divsChild>
        <w:div w:id="2126196474">
          <w:marLeft w:val="0"/>
          <w:marRight w:val="0"/>
          <w:marTop w:val="0"/>
          <w:marBottom w:val="0"/>
          <w:divBdr>
            <w:top w:val="none" w:sz="0" w:space="0" w:color="auto"/>
            <w:left w:val="none" w:sz="0" w:space="0" w:color="auto"/>
            <w:bottom w:val="none" w:sz="0" w:space="0" w:color="auto"/>
            <w:right w:val="none" w:sz="0" w:space="0" w:color="auto"/>
          </w:divBdr>
          <w:divsChild>
            <w:div w:id="647979832">
              <w:marLeft w:val="0"/>
              <w:marRight w:val="0"/>
              <w:marTop w:val="0"/>
              <w:marBottom w:val="0"/>
              <w:divBdr>
                <w:top w:val="none" w:sz="0" w:space="0" w:color="auto"/>
                <w:left w:val="none" w:sz="0" w:space="0" w:color="auto"/>
                <w:bottom w:val="none" w:sz="0" w:space="0" w:color="auto"/>
                <w:right w:val="none" w:sz="0" w:space="0" w:color="auto"/>
              </w:divBdr>
              <w:divsChild>
                <w:div w:id="15076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4692">
      <w:bodyDiv w:val="1"/>
      <w:marLeft w:val="0"/>
      <w:marRight w:val="0"/>
      <w:marTop w:val="0"/>
      <w:marBottom w:val="0"/>
      <w:divBdr>
        <w:top w:val="none" w:sz="0" w:space="0" w:color="auto"/>
        <w:left w:val="none" w:sz="0" w:space="0" w:color="auto"/>
        <w:bottom w:val="none" w:sz="0" w:space="0" w:color="auto"/>
        <w:right w:val="none" w:sz="0" w:space="0" w:color="auto"/>
      </w:divBdr>
    </w:div>
    <w:div w:id="1111708309">
      <w:bodyDiv w:val="1"/>
      <w:marLeft w:val="0"/>
      <w:marRight w:val="0"/>
      <w:marTop w:val="0"/>
      <w:marBottom w:val="0"/>
      <w:divBdr>
        <w:top w:val="none" w:sz="0" w:space="0" w:color="auto"/>
        <w:left w:val="none" w:sz="0" w:space="0" w:color="auto"/>
        <w:bottom w:val="none" w:sz="0" w:space="0" w:color="auto"/>
        <w:right w:val="none" w:sz="0" w:space="0" w:color="auto"/>
      </w:divBdr>
    </w:div>
    <w:div w:id="1117408394">
      <w:bodyDiv w:val="1"/>
      <w:marLeft w:val="0"/>
      <w:marRight w:val="0"/>
      <w:marTop w:val="0"/>
      <w:marBottom w:val="0"/>
      <w:divBdr>
        <w:top w:val="none" w:sz="0" w:space="0" w:color="auto"/>
        <w:left w:val="none" w:sz="0" w:space="0" w:color="auto"/>
        <w:bottom w:val="none" w:sz="0" w:space="0" w:color="auto"/>
        <w:right w:val="none" w:sz="0" w:space="0" w:color="auto"/>
      </w:divBdr>
    </w:div>
    <w:div w:id="1125349736">
      <w:bodyDiv w:val="1"/>
      <w:marLeft w:val="0"/>
      <w:marRight w:val="0"/>
      <w:marTop w:val="0"/>
      <w:marBottom w:val="0"/>
      <w:divBdr>
        <w:top w:val="none" w:sz="0" w:space="0" w:color="auto"/>
        <w:left w:val="none" w:sz="0" w:space="0" w:color="auto"/>
        <w:bottom w:val="none" w:sz="0" w:space="0" w:color="auto"/>
        <w:right w:val="none" w:sz="0" w:space="0" w:color="auto"/>
      </w:divBdr>
    </w:div>
    <w:div w:id="1136139057">
      <w:bodyDiv w:val="1"/>
      <w:marLeft w:val="0"/>
      <w:marRight w:val="0"/>
      <w:marTop w:val="0"/>
      <w:marBottom w:val="0"/>
      <w:divBdr>
        <w:top w:val="none" w:sz="0" w:space="0" w:color="auto"/>
        <w:left w:val="none" w:sz="0" w:space="0" w:color="auto"/>
        <w:bottom w:val="none" w:sz="0" w:space="0" w:color="auto"/>
        <w:right w:val="none" w:sz="0" w:space="0" w:color="auto"/>
      </w:divBdr>
    </w:div>
    <w:div w:id="1143278572">
      <w:bodyDiv w:val="1"/>
      <w:marLeft w:val="0"/>
      <w:marRight w:val="0"/>
      <w:marTop w:val="0"/>
      <w:marBottom w:val="0"/>
      <w:divBdr>
        <w:top w:val="none" w:sz="0" w:space="0" w:color="auto"/>
        <w:left w:val="none" w:sz="0" w:space="0" w:color="auto"/>
        <w:bottom w:val="none" w:sz="0" w:space="0" w:color="auto"/>
        <w:right w:val="none" w:sz="0" w:space="0" w:color="auto"/>
      </w:divBdr>
    </w:div>
    <w:div w:id="1157573705">
      <w:bodyDiv w:val="1"/>
      <w:marLeft w:val="0"/>
      <w:marRight w:val="0"/>
      <w:marTop w:val="0"/>
      <w:marBottom w:val="0"/>
      <w:divBdr>
        <w:top w:val="none" w:sz="0" w:space="0" w:color="auto"/>
        <w:left w:val="none" w:sz="0" w:space="0" w:color="auto"/>
        <w:bottom w:val="none" w:sz="0" w:space="0" w:color="auto"/>
        <w:right w:val="none" w:sz="0" w:space="0" w:color="auto"/>
      </w:divBdr>
    </w:div>
    <w:div w:id="1158037158">
      <w:bodyDiv w:val="1"/>
      <w:marLeft w:val="0"/>
      <w:marRight w:val="0"/>
      <w:marTop w:val="0"/>
      <w:marBottom w:val="0"/>
      <w:divBdr>
        <w:top w:val="none" w:sz="0" w:space="0" w:color="auto"/>
        <w:left w:val="none" w:sz="0" w:space="0" w:color="auto"/>
        <w:bottom w:val="none" w:sz="0" w:space="0" w:color="auto"/>
        <w:right w:val="none" w:sz="0" w:space="0" w:color="auto"/>
      </w:divBdr>
    </w:div>
    <w:div w:id="1165123168">
      <w:bodyDiv w:val="1"/>
      <w:marLeft w:val="0"/>
      <w:marRight w:val="0"/>
      <w:marTop w:val="0"/>
      <w:marBottom w:val="0"/>
      <w:divBdr>
        <w:top w:val="none" w:sz="0" w:space="0" w:color="auto"/>
        <w:left w:val="none" w:sz="0" w:space="0" w:color="auto"/>
        <w:bottom w:val="none" w:sz="0" w:space="0" w:color="auto"/>
        <w:right w:val="none" w:sz="0" w:space="0" w:color="auto"/>
      </w:divBdr>
    </w:div>
    <w:div w:id="1214539924">
      <w:bodyDiv w:val="1"/>
      <w:marLeft w:val="0"/>
      <w:marRight w:val="0"/>
      <w:marTop w:val="0"/>
      <w:marBottom w:val="0"/>
      <w:divBdr>
        <w:top w:val="none" w:sz="0" w:space="0" w:color="auto"/>
        <w:left w:val="none" w:sz="0" w:space="0" w:color="auto"/>
        <w:bottom w:val="none" w:sz="0" w:space="0" w:color="auto"/>
        <w:right w:val="none" w:sz="0" w:space="0" w:color="auto"/>
      </w:divBdr>
      <w:divsChild>
        <w:div w:id="260532427">
          <w:marLeft w:val="-720"/>
          <w:marRight w:val="0"/>
          <w:marTop w:val="0"/>
          <w:marBottom w:val="0"/>
          <w:divBdr>
            <w:top w:val="none" w:sz="0" w:space="0" w:color="auto"/>
            <w:left w:val="none" w:sz="0" w:space="0" w:color="auto"/>
            <w:bottom w:val="none" w:sz="0" w:space="0" w:color="auto"/>
            <w:right w:val="none" w:sz="0" w:space="0" w:color="auto"/>
          </w:divBdr>
        </w:div>
      </w:divsChild>
    </w:div>
    <w:div w:id="1214736946">
      <w:bodyDiv w:val="1"/>
      <w:marLeft w:val="0"/>
      <w:marRight w:val="0"/>
      <w:marTop w:val="0"/>
      <w:marBottom w:val="0"/>
      <w:divBdr>
        <w:top w:val="none" w:sz="0" w:space="0" w:color="auto"/>
        <w:left w:val="none" w:sz="0" w:space="0" w:color="auto"/>
        <w:bottom w:val="none" w:sz="0" w:space="0" w:color="auto"/>
        <w:right w:val="none" w:sz="0" w:space="0" w:color="auto"/>
      </w:divBdr>
    </w:div>
    <w:div w:id="1223447062">
      <w:bodyDiv w:val="1"/>
      <w:marLeft w:val="0"/>
      <w:marRight w:val="0"/>
      <w:marTop w:val="0"/>
      <w:marBottom w:val="0"/>
      <w:divBdr>
        <w:top w:val="none" w:sz="0" w:space="0" w:color="auto"/>
        <w:left w:val="none" w:sz="0" w:space="0" w:color="auto"/>
        <w:bottom w:val="none" w:sz="0" w:space="0" w:color="auto"/>
        <w:right w:val="none" w:sz="0" w:space="0" w:color="auto"/>
      </w:divBdr>
    </w:div>
    <w:div w:id="1227567981">
      <w:bodyDiv w:val="1"/>
      <w:marLeft w:val="0"/>
      <w:marRight w:val="0"/>
      <w:marTop w:val="0"/>
      <w:marBottom w:val="0"/>
      <w:divBdr>
        <w:top w:val="none" w:sz="0" w:space="0" w:color="auto"/>
        <w:left w:val="none" w:sz="0" w:space="0" w:color="auto"/>
        <w:bottom w:val="none" w:sz="0" w:space="0" w:color="auto"/>
        <w:right w:val="none" w:sz="0" w:space="0" w:color="auto"/>
      </w:divBdr>
    </w:div>
    <w:div w:id="1246568053">
      <w:bodyDiv w:val="1"/>
      <w:marLeft w:val="0"/>
      <w:marRight w:val="0"/>
      <w:marTop w:val="0"/>
      <w:marBottom w:val="0"/>
      <w:divBdr>
        <w:top w:val="none" w:sz="0" w:space="0" w:color="auto"/>
        <w:left w:val="none" w:sz="0" w:space="0" w:color="auto"/>
        <w:bottom w:val="none" w:sz="0" w:space="0" w:color="auto"/>
        <w:right w:val="none" w:sz="0" w:space="0" w:color="auto"/>
      </w:divBdr>
      <w:divsChild>
        <w:div w:id="171578825">
          <w:marLeft w:val="-720"/>
          <w:marRight w:val="0"/>
          <w:marTop w:val="0"/>
          <w:marBottom w:val="0"/>
          <w:divBdr>
            <w:top w:val="none" w:sz="0" w:space="0" w:color="auto"/>
            <w:left w:val="none" w:sz="0" w:space="0" w:color="auto"/>
            <w:bottom w:val="none" w:sz="0" w:space="0" w:color="auto"/>
            <w:right w:val="none" w:sz="0" w:space="0" w:color="auto"/>
          </w:divBdr>
        </w:div>
      </w:divsChild>
    </w:div>
    <w:div w:id="1271357588">
      <w:bodyDiv w:val="1"/>
      <w:marLeft w:val="0"/>
      <w:marRight w:val="0"/>
      <w:marTop w:val="0"/>
      <w:marBottom w:val="0"/>
      <w:divBdr>
        <w:top w:val="none" w:sz="0" w:space="0" w:color="auto"/>
        <w:left w:val="none" w:sz="0" w:space="0" w:color="auto"/>
        <w:bottom w:val="none" w:sz="0" w:space="0" w:color="auto"/>
        <w:right w:val="none" w:sz="0" w:space="0" w:color="auto"/>
      </w:divBdr>
      <w:divsChild>
        <w:div w:id="2146509678">
          <w:marLeft w:val="-720"/>
          <w:marRight w:val="0"/>
          <w:marTop w:val="0"/>
          <w:marBottom w:val="0"/>
          <w:divBdr>
            <w:top w:val="none" w:sz="0" w:space="0" w:color="auto"/>
            <w:left w:val="none" w:sz="0" w:space="0" w:color="auto"/>
            <w:bottom w:val="none" w:sz="0" w:space="0" w:color="auto"/>
            <w:right w:val="none" w:sz="0" w:space="0" w:color="auto"/>
          </w:divBdr>
        </w:div>
      </w:divsChild>
    </w:div>
    <w:div w:id="1277837034">
      <w:bodyDiv w:val="1"/>
      <w:marLeft w:val="0"/>
      <w:marRight w:val="0"/>
      <w:marTop w:val="0"/>
      <w:marBottom w:val="0"/>
      <w:divBdr>
        <w:top w:val="none" w:sz="0" w:space="0" w:color="auto"/>
        <w:left w:val="none" w:sz="0" w:space="0" w:color="auto"/>
        <w:bottom w:val="none" w:sz="0" w:space="0" w:color="auto"/>
        <w:right w:val="none" w:sz="0" w:space="0" w:color="auto"/>
      </w:divBdr>
    </w:div>
    <w:div w:id="1294554891">
      <w:bodyDiv w:val="1"/>
      <w:marLeft w:val="0"/>
      <w:marRight w:val="0"/>
      <w:marTop w:val="0"/>
      <w:marBottom w:val="0"/>
      <w:divBdr>
        <w:top w:val="none" w:sz="0" w:space="0" w:color="auto"/>
        <w:left w:val="none" w:sz="0" w:space="0" w:color="auto"/>
        <w:bottom w:val="none" w:sz="0" w:space="0" w:color="auto"/>
        <w:right w:val="none" w:sz="0" w:space="0" w:color="auto"/>
      </w:divBdr>
      <w:divsChild>
        <w:div w:id="1562716799">
          <w:marLeft w:val="0"/>
          <w:marRight w:val="0"/>
          <w:marTop w:val="0"/>
          <w:marBottom w:val="0"/>
          <w:divBdr>
            <w:top w:val="none" w:sz="0" w:space="0" w:color="auto"/>
            <w:left w:val="none" w:sz="0" w:space="0" w:color="auto"/>
            <w:bottom w:val="none" w:sz="0" w:space="0" w:color="auto"/>
            <w:right w:val="none" w:sz="0" w:space="0" w:color="auto"/>
          </w:divBdr>
          <w:divsChild>
            <w:div w:id="1674725023">
              <w:marLeft w:val="0"/>
              <w:marRight w:val="0"/>
              <w:marTop w:val="0"/>
              <w:marBottom w:val="0"/>
              <w:divBdr>
                <w:top w:val="none" w:sz="0" w:space="0" w:color="auto"/>
                <w:left w:val="none" w:sz="0" w:space="0" w:color="auto"/>
                <w:bottom w:val="none" w:sz="0" w:space="0" w:color="auto"/>
                <w:right w:val="none" w:sz="0" w:space="0" w:color="auto"/>
              </w:divBdr>
              <w:divsChild>
                <w:div w:id="18062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7700">
      <w:bodyDiv w:val="1"/>
      <w:marLeft w:val="0"/>
      <w:marRight w:val="0"/>
      <w:marTop w:val="0"/>
      <w:marBottom w:val="0"/>
      <w:divBdr>
        <w:top w:val="none" w:sz="0" w:space="0" w:color="auto"/>
        <w:left w:val="none" w:sz="0" w:space="0" w:color="auto"/>
        <w:bottom w:val="none" w:sz="0" w:space="0" w:color="auto"/>
        <w:right w:val="none" w:sz="0" w:space="0" w:color="auto"/>
      </w:divBdr>
    </w:div>
    <w:div w:id="1387797634">
      <w:bodyDiv w:val="1"/>
      <w:marLeft w:val="0"/>
      <w:marRight w:val="0"/>
      <w:marTop w:val="0"/>
      <w:marBottom w:val="0"/>
      <w:divBdr>
        <w:top w:val="none" w:sz="0" w:space="0" w:color="auto"/>
        <w:left w:val="none" w:sz="0" w:space="0" w:color="auto"/>
        <w:bottom w:val="none" w:sz="0" w:space="0" w:color="auto"/>
        <w:right w:val="none" w:sz="0" w:space="0" w:color="auto"/>
      </w:divBdr>
    </w:div>
    <w:div w:id="1395619489">
      <w:bodyDiv w:val="1"/>
      <w:marLeft w:val="0"/>
      <w:marRight w:val="0"/>
      <w:marTop w:val="0"/>
      <w:marBottom w:val="0"/>
      <w:divBdr>
        <w:top w:val="none" w:sz="0" w:space="0" w:color="auto"/>
        <w:left w:val="none" w:sz="0" w:space="0" w:color="auto"/>
        <w:bottom w:val="none" w:sz="0" w:space="0" w:color="auto"/>
        <w:right w:val="none" w:sz="0" w:space="0" w:color="auto"/>
      </w:divBdr>
      <w:divsChild>
        <w:div w:id="1128427386">
          <w:marLeft w:val="-720"/>
          <w:marRight w:val="0"/>
          <w:marTop w:val="0"/>
          <w:marBottom w:val="0"/>
          <w:divBdr>
            <w:top w:val="none" w:sz="0" w:space="0" w:color="auto"/>
            <w:left w:val="none" w:sz="0" w:space="0" w:color="auto"/>
            <w:bottom w:val="none" w:sz="0" w:space="0" w:color="auto"/>
            <w:right w:val="none" w:sz="0" w:space="0" w:color="auto"/>
          </w:divBdr>
        </w:div>
      </w:divsChild>
    </w:div>
    <w:div w:id="1408766824">
      <w:bodyDiv w:val="1"/>
      <w:marLeft w:val="0"/>
      <w:marRight w:val="0"/>
      <w:marTop w:val="0"/>
      <w:marBottom w:val="0"/>
      <w:divBdr>
        <w:top w:val="none" w:sz="0" w:space="0" w:color="auto"/>
        <w:left w:val="none" w:sz="0" w:space="0" w:color="auto"/>
        <w:bottom w:val="none" w:sz="0" w:space="0" w:color="auto"/>
        <w:right w:val="none" w:sz="0" w:space="0" w:color="auto"/>
      </w:divBdr>
      <w:divsChild>
        <w:div w:id="1071925182">
          <w:marLeft w:val="-720"/>
          <w:marRight w:val="0"/>
          <w:marTop w:val="0"/>
          <w:marBottom w:val="0"/>
          <w:divBdr>
            <w:top w:val="none" w:sz="0" w:space="0" w:color="auto"/>
            <w:left w:val="none" w:sz="0" w:space="0" w:color="auto"/>
            <w:bottom w:val="none" w:sz="0" w:space="0" w:color="auto"/>
            <w:right w:val="none" w:sz="0" w:space="0" w:color="auto"/>
          </w:divBdr>
        </w:div>
      </w:divsChild>
    </w:div>
    <w:div w:id="1431975924">
      <w:bodyDiv w:val="1"/>
      <w:marLeft w:val="0"/>
      <w:marRight w:val="0"/>
      <w:marTop w:val="0"/>
      <w:marBottom w:val="0"/>
      <w:divBdr>
        <w:top w:val="none" w:sz="0" w:space="0" w:color="auto"/>
        <w:left w:val="none" w:sz="0" w:space="0" w:color="auto"/>
        <w:bottom w:val="none" w:sz="0" w:space="0" w:color="auto"/>
        <w:right w:val="none" w:sz="0" w:space="0" w:color="auto"/>
      </w:divBdr>
    </w:div>
    <w:div w:id="1446345139">
      <w:bodyDiv w:val="1"/>
      <w:marLeft w:val="0"/>
      <w:marRight w:val="0"/>
      <w:marTop w:val="0"/>
      <w:marBottom w:val="0"/>
      <w:divBdr>
        <w:top w:val="none" w:sz="0" w:space="0" w:color="auto"/>
        <w:left w:val="none" w:sz="0" w:space="0" w:color="auto"/>
        <w:bottom w:val="none" w:sz="0" w:space="0" w:color="auto"/>
        <w:right w:val="none" w:sz="0" w:space="0" w:color="auto"/>
      </w:divBdr>
    </w:div>
    <w:div w:id="1451513906">
      <w:bodyDiv w:val="1"/>
      <w:marLeft w:val="0"/>
      <w:marRight w:val="0"/>
      <w:marTop w:val="0"/>
      <w:marBottom w:val="0"/>
      <w:divBdr>
        <w:top w:val="none" w:sz="0" w:space="0" w:color="auto"/>
        <w:left w:val="none" w:sz="0" w:space="0" w:color="auto"/>
        <w:bottom w:val="none" w:sz="0" w:space="0" w:color="auto"/>
        <w:right w:val="none" w:sz="0" w:space="0" w:color="auto"/>
      </w:divBdr>
    </w:div>
    <w:div w:id="1462069491">
      <w:bodyDiv w:val="1"/>
      <w:marLeft w:val="0"/>
      <w:marRight w:val="0"/>
      <w:marTop w:val="0"/>
      <w:marBottom w:val="0"/>
      <w:divBdr>
        <w:top w:val="none" w:sz="0" w:space="0" w:color="auto"/>
        <w:left w:val="none" w:sz="0" w:space="0" w:color="auto"/>
        <w:bottom w:val="none" w:sz="0" w:space="0" w:color="auto"/>
        <w:right w:val="none" w:sz="0" w:space="0" w:color="auto"/>
      </w:divBdr>
    </w:div>
    <w:div w:id="1489711767">
      <w:bodyDiv w:val="1"/>
      <w:marLeft w:val="0"/>
      <w:marRight w:val="0"/>
      <w:marTop w:val="0"/>
      <w:marBottom w:val="0"/>
      <w:divBdr>
        <w:top w:val="none" w:sz="0" w:space="0" w:color="auto"/>
        <w:left w:val="none" w:sz="0" w:space="0" w:color="auto"/>
        <w:bottom w:val="none" w:sz="0" w:space="0" w:color="auto"/>
        <w:right w:val="none" w:sz="0" w:space="0" w:color="auto"/>
      </w:divBdr>
    </w:div>
    <w:div w:id="1490827550">
      <w:bodyDiv w:val="1"/>
      <w:marLeft w:val="0"/>
      <w:marRight w:val="0"/>
      <w:marTop w:val="0"/>
      <w:marBottom w:val="0"/>
      <w:divBdr>
        <w:top w:val="none" w:sz="0" w:space="0" w:color="auto"/>
        <w:left w:val="none" w:sz="0" w:space="0" w:color="auto"/>
        <w:bottom w:val="none" w:sz="0" w:space="0" w:color="auto"/>
        <w:right w:val="none" w:sz="0" w:space="0" w:color="auto"/>
      </w:divBdr>
      <w:divsChild>
        <w:div w:id="1359042171">
          <w:marLeft w:val="0"/>
          <w:marRight w:val="0"/>
          <w:marTop w:val="0"/>
          <w:marBottom w:val="0"/>
          <w:divBdr>
            <w:top w:val="single" w:sz="2" w:space="0" w:color="E3E3E3"/>
            <w:left w:val="single" w:sz="2" w:space="0" w:color="E3E3E3"/>
            <w:bottom w:val="single" w:sz="2" w:space="0" w:color="E3E3E3"/>
            <w:right w:val="single" w:sz="2" w:space="0" w:color="E3E3E3"/>
          </w:divBdr>
        </w:div>
        <w:div w:id="12548260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00467658">
      <w:bodyDiv w:val="1"/>
      <w:marLeft w:val="0"/>
      <w:marRight w:val="0"/>
      <w:marTop w:val="0"/>
      <w:marBottom w:val="0"/>
      <w:divBdr>
        <w:top w:val="none" w:sz="0" w:space="0" w:color="auto"/>
        <w:left w:val="none" w:sz="0" w:space="0" w:color="auto"/>
        <w:bottom w:val="none" w:sz="0" w:space="0" w:color="auto"/>
        <w:right w:val="none" w:sz="0" w:space="0" w:color="auto"/>
      </w:divBdr>
    </w:div>
    <w:div w:id="1532066571">
      <w:bodyDiv w:val="1"/>
      <w:marLeft w:val="0"/>
      <w:marRight w:val="0"/>
      <w:marTop w:val="0"/>
      <w:marBottom w:val="0"/>
      <w:divBdr>
        <w:top w:val="none" w:sz="0" w:space="0" w:color="auto"/>
        <w:left w:val="none" w:sz="0" w:space="0" w:color="auto"/>
        <w:bottom w:val="none" w:sz="0" w:space="0" w:color="auto"/>
        <w:right w:val="none" w:sz="0" w:space="0" w:color="auto"/>
      </w:divBdr>
      <w:divsChild>
        <w:div w:id="782962398">
          <w:marLeft w:val="0"/>
          <w:marRight w:val="0"/>
          <w:marTop w:val="0"/>
          <w:marBottom w:val="0"/>
          <w:divBdr>
            <w:top w:val="none" w:sz="0" w:space="0" w:color="auto"/>
            <w:left w:val="none" w:sz="0" w:space="0" w:color="auto"/>
            <w:bottom w:val="none" w:sz="0" w:space="0" w:color="auto"/>
            <w:right w:val="none" w:sz="0" w:space="0" w:color="auto"/>
          </w:divBdr>
        </w:div>
        <w:div w:id="1764911788">
          <w:marLeft w:val="0"/>
          <w:marRight w:val="0"/>
          <w:marTop w:val="0"/>
          <w:marBottom w:val="0"/>
          <w:divBdr>
            <w:top w:val="none" w:sz="0" w:space="0" w:color="auto"/>
            <w:left w:val="none" w:sz="0" w:space="0" w:color="auto"/>
            <w:bottom w:val="none" w:sz="0" w:space="0" w:color="auto"/>
            <w:right w:val="none" w:sz="0" w:space="0" w:color="auto"/>
          </w:divBdr>
        </w:div>
        <w:div w:id="1765570930">
          <w:marLeft w:val="0"/>
          <w:marRight w:val="0"/>
          <w:marTop w:val="0"/>
          <w:marBottom w:val="0"/>
          <w:divBdr>
            <w:top w:val="none" w:sz="0" w:space="0" w:color="auto"/>
            <w:left w:val="none" w:sz="0" w:space="0" w:color="auto"/>
            <w:bottom w:val="none" w:sz="0" w:space="0" w:color="auto"/>
            <w:right w:val="none" w:sz="0" w:space="0" w:color="auto"/>
          </w:divBdr>
        </w:div>
        <w:div w:id="679620642">
          <w:marLeft w:val="0"/>
          <w:marRight w:val="0"/>
          <w:marTop w:val="0"/>
          <w:marBottom w:val="0"/>
          <w:divBdr>
            <w:top w:val="none" w:sz="0" w:space="0" w:color="auto"/>
            <w:left w:val="none" w:sz="0" w:space="0" w:color="auto"/>
            <w:bottom w:val="none" w:sz="0" w:space="0" w:color="auto"/>
            <w:right w:val="none" w:sz="0" w:space="0" w:color="auto"/>
          </w:divBdr>
        </w:div>
        <w:div w:id="198082211">
          <w:marLeft w:val="0"/>
          <w:marRight w:val="0"/>
          <w:marTop w:val="0"/>
          <w:marBottom w:val="0"/>
          <w:divBdr>
            <w:top w:val="none" w:sz="0" w:space="0" w:color="auto"/>
            <w:left w:val="none" w:sz="0" w:space="0" w:color="auto"/>
            <w:bottom w:val="none" w:sz="0" w:space="0" w:color="auto"/>
            <w:right w:val="none" w:sz="0" w:space="0" w:color="auto"/>
          </w:divBdr>
        </w:div>
        <w:div w:id="1774324368">
          <w:marLeft w:val="0"/>
          <w:marRight w:val="0"/>
          <w:marTop w:val="0"/>
          <w:marBottom w:val="0"/>
          <w:divBdr>
            <w:top w:val="none" w:sz="0" w:space="0" w:color="auto"/>
            <w:left w:val="none" w:sz="0" w:space="0" w:color="auto"/>
            <w:bottom w:val="none" w:sz="0" w:space="0" w:color="auto"/>
            <w:right w:val="none" w:sz="0" w:space="0" w:color="auto"/>
          </w:divBdr>
        </w:div>
        <w:div w:id="1308240884">
          <w:marLeft w:val="0"/>
          <w:marRight w:val="0"/>
          <w:marTop w:val="0"/>
          <w:marBottom w:val="0"/>
          <w:divBdr>
            <w:top w:val="none" w:sz="0" w:space="0" w:color="auto"/>
            <w:left w:val="none" w:sz="0" w:space="0" w:color="auto"/>
            <w:bottom w:val="none" w:sz="0" w:space="0" w:color="auto"/>
            <w:right w:val="none" w:sz="0" w:space="0" w:color="auto"/>
          </w:divBdr>
        </w:div>
        <w:div w:id="1051924594">
          <w:marLeft w:val="0"/>
          <w:marRight w:val="0"/>
          <w:marTop w:val="0"/>
          <w:marBottom w:val="0"/>
          <w:divBdr>
            <w:top w:val="none" w:sz="0" w:space="0" w:color="auto"/>
            <w:left w:val="none" w:sz="0" w:space="0" w:color="auto"/>
            <w:bottom w:val="none" w:sz="0" w:space="0" w:color="auto"/>
            <w:right w:val="none" w:sz="0" w:space="0" w:color="auto"/>
          </w:divBdr>
        </w:div>
      </w:divsChild>
    </w:div>
    <w:div w:id="1538930309">
      <w:bodyDiv w:val="1"/>
      <w:marLeft w:val="0"/>
      <w:marRight w:val="0"/>
      <w:marTop w:val="0"/>
      <w:marBottom w:val="0"/>
      <w:divBdr>
        <w:top w:val="none" w:sz="0" w:space="0" w:color="auto"/>
        <w:left w:val="none" w:sz="0" w:space="0" w:color="auto"/>
        <w:bottom w:val="none" w:sz="0" w:space="0" w:color="auto"/>
        <w:right w:val="none" w:sz="0" w:space="0" w:color="auto"/>
      </w:divBdr>
    </w:div>
    <w:div w:id="1544833033">
      <w:bodyDiv w:val="1"/>
      <w:marLeft w:val="0"/>
      <w:marRight w:val="0"/>
      <w:marTop w:val="0"/>
      <w:marBottom w:val="0"/>
      <w:divBdr>
        <w:top w:val="none" w:sz="0" w:space="0" w:color="auto"/>
        <w:left w:val="none" w:sz="0" w:space="0" w:color="auto"/>
        <w:bottom w:val="none" w:sz="0" w:space="0" w:color="auto"/>
        <w:right w:val="none" w:sz="0" w:space="0" w:color="auto"/>
      </w:divBdr>
    </w:div>
    <w:div w:id="1549605785">
      <w:bodyDiv w:val="1"/>
      <w:marLeft w:val="0"/>
      <w:marRight w:val="0"/>
      <w:marTop w:val="0"/>
      <w:marBottom w:val="0"/>
      <w:divBdr>
        <w:top w:val="none" w:sz="0" w:space="0" w:color="auto"/>
        <w:left w:val="none" w:sz="0" w:space="0" w:color="auto"/>
        <w:bottom w:val="none" w:sz="0" w:space="0" w:color="auto"/>
        <w:right w:val="none" w:sz="0" w:space="0" w:color="auto"/>
      </w:divBdr>
    </w:div>
    <w:div w:id="1563520597">
      <w:bodyDiv w:val="1"/>
      <w:marLeft w:val="0"/>
      <w:marRight w:val="0"/>
      <w:marTop w:val="0"/>
      <w:marBottom w:val="0"/>
      <w:divBdr>
        <w:top w:val="none" w:sz="0" w:space="0" w:color="auto"/>
        <w:left w:val="none" w:sz="0" w:space="0" w:color="auto"/>
        <w:bottom w:val="none" w:sz="0" w:space="0" w:color="auto"/>
        <w:right w:val="none" w:sz="0" w:space="0" w:color="auto"/>
      </w:divBdr>
    </w:div>
    <w:div w:id="1563758141">
      <w:bodyDiv w:val="1"/>
      <w:marLeft w:val="0"/>
      <w:marRight w:val="0"/>
      <w:marTop w:val="0"/>
      <w:marBottom w:val="0"/>
      <w:divBdr>
        <w:top w:val="none" w:sz="0" w:space="0" w:color="auto"/>
        <w:left w:val="none" w:sz="0" w:space="0" w:color="auto"/>
        <w:bottom w:val="none" w:sz="0" w:space="0" w:color="auto"/>
        <w:right w:val="none" w:sz="0" w:space="0" w:color="auto"/>
      </w:divBdr>
    </w:div>
    <w:div w:id="1604145728">
      <w:bodyDiv w:val="1"/>
      <w:marLeft w:val="0"/>
      <w:marRight w:val="0"/>
      <w:marTop w:val="0"/>
      <w:marBottom w:val="0"/>
      <w:divBdr>
        <w:top w:val="none" w:sz="0" w:space="0" w:color="auto"/>
        <w:left w:val="none" w:sz="0" w:space="0" w:color="auto"/>
        <w:bottom w:val="none" w:sz="0" w:space="0" w:color="auto"/>
        <w:right w:val="none" w:sz="0" w:space="0" w:color="auto"/>
      </w:divBdr>
    </w:div>
    <w:div w:id="1637031904">
      <w:bodyDiv w:val="1"/>
      <w:marLeft w:val="0"/>
      <w:marRight w:val="0"/>
      <w:marTop w:val="0"/>
      <w:marBottom w:val="0"/>
      <w:divBdr>
        <w:top w:val="none" w:sz="0" w:space="0" w:color="auto"/>
        <w:left w:val="none" w:sz="0" w:space="0" w:color="auto"/>
        <w:bottom w:val="none" w:sz="0" w:space="0" w:color="auto"/>
        <w:right w:val="none" w:sz="0" w:space="0" w:color="auto"/>
      </w:divBdr>
      <w:divsChild>
        <w:div w:id="1923559779">
          <w:marLeft w:val="0"/>
          <w:marRight w:val="0"/>
          <w:marTop w:val="0"/>
          <w:marBottom w:val="0"/>
          <w:divBdr>
            <w:top w:val="none" w:sz="0" w:space="0" w:color="auto"/>
            <w:left w:val="none" w:sz="0" w:space="0" w:color="auto"/>
            <w:bottom w:val="none" w:sz="0" w:space="0" w:color="auto"/>
            <w:right w:val="none" w:sz="0" w:space="0" w:color="auto"/>
          </w:divBdr>
        </w:div>
        <w:div w:id="654912941">
          <w:marLeft w:val="0"/>
          <w:marRight w:val="0"/>
          <w:marTop w:val="0"/>
          <w:marBottom w:val="0"/>
          <w:divBdr>
            <w:top w:val="none" w:sz="0" w:space="0" w:color="auto"/>
            <w:left w:val="none" w:sz="0" w:space="0" w:color="auto"/>
            <w:bottom w:val="none" w:sz="0" w:space="0" w:color="auto"/>
            <w:right w:val="none" w:sz="0" w:space="0" w:color="auto"/>
          </w:divBdr>
        </w:div>
        <w:div w:id="1623997327">
          <w:marLeft w:val="0"/>
          <w:marRight w:val="0"/>
          <w:marTop w:val="0"/>
          <w:marBottom w:val="0"/>
          <w:divBdr>
            <w:top w:val="none" w:sz="0" w:space="0" w:color="auto"/>
            <w:left w:val="none" w:sz="0" w:space="0" w:color="auto"/>
            <w:bottom w:val="none" w:sz="0" w:space="0" w:color="auto"/>
            <w:right w:val="none" w:sz="0" w:space="0" w:color="auto"/>
          </w:divBdr>
        </w:div>
        <w:div w:id="2110540319">
          <w:marLeft w:val="0"/>
          <w:marRight w:val="0"/>
          <w:marTop w:val="0"/>
          <w:marBottom w:val="0"/>
          <w:divBdr>
            <w:top w:val="none" w:sz="0" w:space="0" w:color="auto"/>
            <w:left w:val="none" w:sz="0" w:space="0" w:color="auto"/>
            <w:bottom w:val="none" w:sz="0" w:space="0" w:color="auto"/>
            <w:right w:val="none" w:sz="0" w:space="0" w:color="auto"/>
          </w:divBdr>
        </w:div>
        <w:div w:id="831796961">
          <w:marLeft w:val="0"/>
          <w:marRight w:val="0"/>
          <w:marTop w:val="0"/>
          <w:marBottom w:val="0"/>
          <w:divBdr>
            <w:top w:val="none" w:sz="0" w:space="0" w:color="auto"/>
            <w:left w:val="none" w:sz="0" w:space="0" w:color="auto"/>
            <w:bottom w:val="none" w:sz="0" w:space="0" w:color="auto"/>
            <w:right w:val="none" w:sz="0" w:space="0" w:color="auto"/>
          </w:divBdr>
        </w:div>
        <w:div w:id="1850830582">
          <w:marLeft w:val="0"/>
          <w:marRight w:val="0"/>
          <w:marTop w:val="0"/>
          <w:marBottom w:val="0"/>
          <w:divBdr>
            <w:top w:val="none" w:sz="0" w:space="0" w:color="auto"/>
            <w:left w:val="none" w:sz="0" w:space="0" w:color="auto"/>
            <w:bottom w:val="none" w:sz="0" w:space="0" w:color="auto"/>
            <w:right w:val="none" w:sz="0" w:space="0" w:color="auto"/>
          </w:divBdr>
        </w:div>
        <w:div w:id="2036887139">
          <w:marLeft w:val="0"/>
          <w:marRight w:val="0"/>
          <w:marTop w:val="0"/>
          <w:marBottom w:val="0"/>
          <w:divBdr>
            <w:top w:val="none" w:sz="0" w:space="0" w:color="auto"/>
            <w:left w:val="none" w:sz="0" w:space="0" w:color="auto"/>
            <w:bottom w:val="none" w:sz="0" w:space="0" w:color="auto"/>
            <w:right w:val="none" w:sz="0" w:space="0" w:color="auto"/>
          </w:divBdr>
        </w:div>
        <w:div w:id="2129817043">
          <w:marLeft w:val="0"/>
          <w:marRight w:val="0"/>
          <w:marTop w:val="0"/>
          <w:marBottom w:val="0"/>
          <w:divBdr>
            <w:top w:val="none" w:sz="0" w:space="0" w:color="auto"/>
            <w:left w:val="none" w:sz="0" w:space="0" w:color="auto"/>
            <w:bottom w:val="none" w:sz="0" w:space="0" w:color="auto"/>
            <w:right w:val="none" w:sz="0" w:space="0" w:color="auto"/>
          </w:divBdr>
        </w:div>
      </w:divsChild>
    </w:div>
    <w:div w:id="1644769669">
      <w:bodyDiv w:val="1"/>
      <w:marLeft w:val="0"/>
      <w:marRight w:val="0"/>
      <w:marTop w:val="0"/>
      <w:marBottom w:val="0"/>
      <w:divBdr>
        <w:top w:val="none" w:sz="0" w:space="0" w:color="auto"/>
        <w:left w:val="none" w:sz="0" w:space="0" w:color="auto"/>
        <w:bottom w:val="none" w:sz="0" w:space="0" w:color="auto"/>
        <w:right w:val="none" w:sz="0" w:space="0" w:color="auto"/>
      </w:divBdr>
    </w:div>
    <w:div w:id="1664047146">
      <w:bodyDiv w:val="1"/>
      <w:marLeft w:val="0"/>
      <w:marRight w:val="0"/>
      <w:marTop w:val="0"/>
      <w:marBottom w:val="0"/>
      <w:divBdr>
        <w:top w:val="none" w:sz="0" w:space="0" w:color="auto"/>
        <w:left w:val="none" w:sz="0" w:space="0" w:color="auto"/>
        <w:bottom w:val="none" w:sz="0" w:space="0" w:color="auto"/>
        <w:right w:val="none" w:sz="0" w:space="0" w:color="auto"/>
      </w:divBdr>
    </w:div>
    <w:div w:id="1672753258">
      <w:bodyDiv w:val="1"/>
      <w:marLeft w:val="0"/>
      <w:marRight w:val="0"/>
      <w:marTop w:val="0"/>
      <w:marBottom w:val="0"/>
      <w:divBdr>
        <w:top w:val="none" w:sz="0" w:space="0" w:color="auto"/>
        <w:left w:val="none" w:sz="0" w:space="0" w:color="auto"/>
        <w:bottom w:val="none" w:sz="0" w:space="0" w:color="auto"/>
        <w:right w:val="none" w:sz="0" w:space="0" w:color="auto"/>
      </w:divBdr>
    </w:div>
    <w:div w:id="1681658244">
      <w:bodyDiv w:val="1"/>
      <w:marLeft w:val="0"/>
      <w:marRight w:val="0"/>
      <w:marTop w:val="0"/>
      <w:marBottom w:val="0"/>
      <w:divBdr>
        <w:top w:val="none" w:sz="0" w:space="0" w:color="auto"/>
        <w:left w:val="none" w:sz="0" w:space="0" w:color="auto"/>
        <w:bottom w:val="none" w:sz="0" w:space="0" w:color="auto"/>
        <w:right w:val="none" w:sz="0" w:space="0" w:color="auto"/>
      </w:divBdr>
    </w:div>
    <w:div w:id="1685938094">
      <w:bodyDiv w:val="1"/>
      <w:marLeft w:val="0"/>
      <w:marRight w:val="0"/>
      <w:marTop w:val="0"/>
      <w:marBottom w:val="0"/>
      <w:divBdr>
        <w:top w:val="none" w:sz="0" w:space="0" w:color="auto"/>
        <w:left w:val="none" w:sz="0" w:space="0" w:color="auto"/>
        <w:bottom w:val="none" w:sz="0" w:space="0" w:color="auto"/>
        <w:right w:val="none" w:sz="0" w:space="0" w:color="auto"/>
      </w:divBdr>
    </w:div>
    <w:div w:id="1686249445">
      <w:bodyDiv w:val="1"/>
      <w:marLeft w:val="0"/>
      <w:marRight w:val="0"/>
      <w:marTop w:val="0"/>
      <w:marBottom w:val="0"/>
      <w:divBdr>
        <w:top w:val="none" w:sz="0" w:space="0" w:color="auto"/>
        <w:left w:val="none" w:sz="0" w:space="0" w:color="auto"/>
        <w:bottom w:val="none" w:sz="0" w:space="0" w:color="auto"/>
        <w:right w:val="none" w:sz="0" w:space="0" w:color="auto"/>
      </w:divBdr>
    </w:div>
    <w:div w:id="1692799443">
      <w:bodyDiv w:val="1"/>
      <w:marLeft w:val="0"/>
      <w:marRight w:val="0"/>
      <w:marTop w:val="0"/>
      <w:marBottom w:val="0"/>
      <w:divBdr>
        <w:top w:val="none" w:sz="0" w:space="0" w:color="auto"/>
        <w:left w:val="none" w:sz="0" w:space="0" w:color="auto"/>
        <w:bottom w:val="none" w:sz="0" w:space="0" w:color="auto"/>
        <w:right w:val="none" w:sz="0" w:space="0" w:color="auto"/>
      </w:divBdr>
    </w:div>
    <w:div w:id="1694647539">
      <w:bodyDiv w:val="1"/>
      <w:marLeft w:val="0"/>
      <w:marRight w:val="0"/>
      <w:marTop w:val="0"/>
      <w:marBottom w:val="0"/>
      <w:divBdr>
        <w:top w:val="none" w:sz="0" w:space="0" w:color="auto"/>
        <w:left w:val="none" w:sz="0" w:space="0" w:color="auto"/>
        <w:bottom w:val="none" w:sz="0" w:space="0" w:color="auto"/>
        <w:right w:val="none" w:sz="0" w:space="0" w:color="auto"/>
      </w:divBdr>
    </w:div>
    <w:div w:id="1709909424">
      <w:bodyDiv w:val="1"/>
      <w:marLeft w:val="0"/>
      <w:marRight w:val="0"/>
      <w:marTop w:val="0"/>
      <w:marBottom w:val="0"/>
      <w:divBdr>
        <w:top w:val="none" w:sz="0" w:space="0" w:color="auto"/>
        <w:left w:val="none" w:sz="0" w:space="0" w:color="auto"/>
        <w:bottom w:val="none" w:sz="0" w:space="0" w:color="auto"/>
        <w:right w:val="none" w:sz="0" w:space="0" w:color="auto"/>
      </w:divBdr>
    </w:div>
    <w:div w:id="1721633993">
      <w:bodyDiv w:val="1"/>
      <w:marLeft w:val="0"/>
      <w:marRight w:val="0"/>
      <w:marTop w:val="0"/>
      <w:marBottom w:val="0"/>
      <w:divBdr>
        <w:top w:val="none" w:sz="0" w:space="0" w:color="auto"/>
        <w:left w:val="none" w:sz="0" w:space="0" w:color="auto"/>
        <w:bottom w:val="none" w:sz="0" w:space="0" w:color="auto"/>
        <w:right w:val="none" w:sz="0" w:space="0" w:color="auto"/>
      </w:divBdr>
    </w:div>
    <w:div w:id="1750884784">
      <w:bodyDiv w:val="1"/>
      <w:marLeft w:val="0"/>
      <w:marRight w:val="0"/>
      <w:marTop w:val="0"/>
      <w:marBottom w:val="0"/>
      <w:divBdr>
        <w:top w:val="none" w:sz="0" w:space="0" w:color="auto"/>
        <w:left w:val="none" w:sz="0" w:space="0" w:color="auto"/>
        <w:bottom w:val="none" w:sz="0" w:space="0" w:color="auto"/>
        <w:right w:val="none" w:sz="0" w:space="0" w:color="auto"/>
      </w:divBdr>
    </w:div>
    <w:div w:id="1763986006">
      <w:bodyDiv w:val="1"/>
      <w:marLeft w:val="0"/>
      <w:marRight w:val="0"/>
      <w:marTop w:val="0"/>
      <w:marBottom w:val="0"/>
      <w:divBdr>
        <w:top w:val="none" w:sz="0" w:space="0" w:color="auto"/>
        <w:left w:val="none" w:sz="0" w:space="0" w:color="auto"/>
        <w:bottom w:val="none" w:sz="0" w:space="0" w:color="auto"/>
        <w:right w:val="none" w:sz="0" w:space="0" w:color="auto"/>
      </w:divBdr>
    </w:div>
    <w:div w:id="1790665829">
      <w:bodyDiv w:val="1"/>
      <w:marLeft w:val="0"/>
      <w:marRight w:val="0"/>
      <w:marTop w:val="0"/>
      <w:marBottom w:val="0"/>
      <w:divBdr>
        <w:top w:val="none" w:sz="0" w:space="0" w:color="auto"/>
        <w:left w:val="none" w:sz="0" w:space="0" w:color="auto"/>
        <w:bottom w:val="none" w:sz="0" w:space="0" w:color="auto"/>
        <w:right w:val="none" w:sz="0" w:space="0" w:color="auto"/>
      </w:divBdr>
      <w:divsChild>
        <w:div w:id="508178858">
          <w:marLeft w:val="-720"/>
          <w:marRight w:val="0"/>
          <w:marTop w:val="0"/>
          <w:marBottom w:val="0"/>
          <w:divBdr>
            <w:top w:val="none" w:sz="0" w:space="0" w:color="auto"/>
            <w:left w:val="none" w:sz="0" w:space="0" w:color="auto"/>
            <w:bottom w:val="none" w:sz="0" w:space="0" w:color="auto"/>
            <w:right w:val="none" w:sz="0" w:space="0" w:color="auto"/>
          </w:divBdr>
        </w:div>
      </w:divsChild>
    </w:div>
    <w:div w:id="1805347025">
      <w:bodyDiv w:val="1"/>
      <w:marLeft w:val="0"/>
      <w:marRight w:val="0"/>
      <w:marTop w:val="0"/>
      <w:marBottom w:val="0"/>
      <w:divBdr>
        <w:top w:val="none" w:sz="0" w:space="0" w:color="auto"/>
        <w:left w:val="none" w:sz="0" w:space="0" w:color="auto"/>
        <w:bottom w:val="none" w:sz="0" w:space="0" w:color="auto"/>
        <w:right w:val="none" w:sz="0" w:space="0" w:color="auto"/>
      </w:divBdr>
      <w:divsChild>
        <w:div w:id="213586374">
          <w:marLeft w:val="-720"/>
          <w:marRight w:val="0"/>
          <w:marTop w:val="0"/>
          <w:marBottom w:val="0"/>
          <w:divBdr>
            <w:top w:val="none" w:sz="0" w:space="0" w:color="auto"/>
            <w:left w:val="none" w:sz="0" w:space="0" w:color="auto"/>
            <w:bottom w:val="none" w:sz="0" w:space="0" w:color="auto"/>
            <w:right w:val="none" w:sz="0" w:space="0" w:color="auto"/>
          </w:divBdr>
        </w:div>
      </w:divsChild>
    </w:div>
    <w:div w:id="1844777927">
      <w:bodyDiv w:val="1"/>
      <w:marLeft w:val="0"/>
      <w:marRight w:val="0"/>
      <w:marTop w:val="0"/>
      <w:marBottom w:val="0"/>
      <w:divBdr>
        <w:top w:val="none" w:sz="0" w:space="0" w:color="auto"/>
        <w:left w:val="none" w:sz="0" w:space="0" w:color="auto"/>
        <w:bottom w:val="none" w:sz="0" w:space="0" w:color="auto"/>
        <w:right w:val="none" w:sz="0" w:space="0" w:color="auto"/>
      </w:divBdr>
    </w:div>
    <w:div w:id="1851219984">
      <w:bodyDiv w:val="1"/>
      <w:marLeft w:val="0"/>
      <w:marRight w:val="0"/>
      <w:marTop w:val="0"/>
      <w:marBottom w:val="0"/>
      <w:divBdr>
        <w:top w:val="none" w:sz="0" w:space="0" w:color="auto"/>
        <w:left w:val="none" w:sz="0" w:space="0" w:color="auto"/>
        <w:bottom w:val="none" w:sz="0" w:space="0" w:color="auto"/>
        <w:right w:val="none" w:sz="0" w:space="0" w:color="auto"/>
      </w:divBdr>
    </w:div>
    <w:div w:id="1856460668">
      <w:bodyDiv w:val="1"/>
      <w:marLeft w:val="0"/>
      <w:marRight w:val="0"/>
      <w:marTop w:val="0"/>
      <w:marBottom w:val="0"/>
      <w:divBdr>
        <w:top w:val="none" w:sz="0" w:space="0" w:color="auto"/>
        <w:left w:val="none" w:sz="0" w:space="0" w:color="auto"/>
        <w:bottom w:val="none" w:sz="0" w:space="0" w:color="auto"/>
        <w:right w:val="none" w:sz="0" w:space="0" w:color="auto"/>
      </w:divBdr>
    </w:div>
    <w:div w:id="1861040003">
      <w:bodyDiv w:val="1"/>
      <w:marLeft w:val="0"/>
      <w:marRight w:val="0"/>
      <w:marTop w:val="0"/>
      <w:marBottom w:val="0"/>
      <w:divBdr>
        <w:top w:val="none" w:sz="0" w:space="0" w:color="auto"/>
        <w:left w:val="none" w:sz="0" w:space="0" w:color="auto"/>
        <w:bottom w:val="none" w:sz="0" w:space="0" w:color="auto"/>
        <w:right w:val="none" w:sz="0" w:space="0" w:color="auto"/>
      </w:divBdr>
    </w:div>
    <w:div w:id="1874999829">
      <w:bodyDiv w:val="1"/>
      <w:marLeft w:val="0"/>
      <w:marRight w:val="0"/>
      <w:marTop w:val="0"/>
      <w:marBottom w:val="0"/>
      <w:divBdr>
        <w:top w:val="none" w:sz="0" w:space="0" w:color="auto"/>
        <w:left w:val="none" w:sz="0" w:space="0" w:color="auto"/>
        <w:bottom w:val="none" w:sz="0" w:space="0" w:color="auto"/>
        <w:right w:val="none" w:sz="0" w:space="0" w:color="auto"/>
      </w:divBdr>
    </w:div>
    <w:div w:id="1893226256">
      <w:bodyDiv w:val="1"/>
      <w:marLeft w:val="0"/>
      <w:marRight w:val="0"/>
      <w:marTop w:val="0"/>
      <w:marBottom w:val="0"/>
      <w:divBdr>
        <w:top w:val="none" w:sz="0" w:space="0" w:color="auto"/>
        <w:left w:val="none" w:sz="0" w:space="0" w:color="auto"/>
        <w:bottom w:val="none" w:sz="0" w:space="0" w:color="auto"/>
        <w:right w:val="none" w:sz="0" w:space="0" w:color="auto"/>
      </w:divBdr>
      <w:divsChild>
        <w:div w:id="1924678493">
          <w:marLeft w:val="-720"/>
          <w:marRight w:val="0"/>
          <w:marTop w:val="0"/>
          <w:marBottom w:val="0"/>
          <w:divBdr>
            <w:top w:val="none" w:sz="0" w:space="0" w:color="auto"/>
            <w:left w:val="none" w:sz="0" w:space="0" w:color="auto"/>
            <w:bottom w:val="none" w:sz="0" w:space="0" w:color="auto"/>
            <w:right w:val="none" w:sz="0" w:space="0" w:color="auto"/>
          </w:divBdr>
        </w:div>
      </w:divsChild>
    </w:div>
    <w:div w:id="1901477399">
      <w:bodyDiv w:val="1"/>
      <w:marLeft w:val="0"/>
      <w:marRight w:val="0"/>
      <w:marTop w:val="0"/>
      <w:marBottom w:val="0"/>
      <w:divBdr>
        <w:top w:val="none" w:sz="0" w:space="0" w:color="auto"/>
        <w:left w:val="none" w:sz="0" w:space="0" w:color="auto"/>
        <w:bottom w:val="none" w:sz="0" w:space="0" w:color="auto"/>
        <w:right w:val="none" w:sz="0" w:space="0" w:color="auto"/>
      </w:divBdr>
    </w:div>
    <w:div w:id="1937594526">
      <w:bodyDiv w:val="1"/>
      <w:marLeft w:val="0"/>
      <w:marRight w:val="0"/>
      <w:marTop w:val="0"/>
      <w:marBottom w:val="0"/>
      <w:divBdr>
        <w:top w:val="none" w:sz="0" w:space="0" w:color="auto"/>
        <w:left w:val="none" w:sz="0" w:space="0" w:color="auto"/>
        <w:bottom w:val="none" w:sz="0" w:space="0" w:color="auto"/>
        <w:right w:val="none" w:sz="0" w:space="0" w:color="auto"/>
      </w:divBdr>
    </w:div>
    <w:div w:id="1952857097">
      <w:bodyDiv w:val="1"/>
      <w:marLeft w:val="0"/>
      <w:marRight w:val="0"/>
      <w:marTop w:val="0"/>
      <w:marBottom w:val="0"/>
      <w:divBdr>
        <w:top w:val="none" w:sz="0" w:space="0" w:color="auto"/>
        <w:left w:val="none" w:sz="0" w:space="0" w:color="auto"/>
        <w:bottom w:val="none" w:sz="0" w:space="0" w:color="auto"/>
        <w:right w:val="none" w:sz="0" w:space="0" w:color="auto"/>
      </w:divBdr>
    </w:div>
    <w:div w:id="2007392549">
      <w:bodyDiv w:val="1"/>
      <w:marLeft w:val="0"/>
      <w:marRight w:val="0"/>
      <w:marTop w:val="0"/>
      <w:marBottom w:val="0"/>
      <w:divBdr>
        <w:top w:val="none" w:sz="0" w:space="0" w:color="auto"/>
        <w:left w:val="none" w:sz="0" w:space="0" w:color="auto"/>
        <w:bottom w:val="none" w:sz="0" w:space="0" w:color="auto"/>
        <w:right w:val="none" w:sz="0" w:space="0" w:color="auto"/>
      </w:divBdr>
    </w:div>
    <w:div w:id="2014800948">
      <w:bodyDiv w:val="1"/>
      <w:marLeft w:val="0"/>
      <w:marRight w:val="0"/>
      <w:marTop w:val="0"/>
      <w:marBottom w:val="0"/>
      <w:divBdr>
        <w:top w:val="none" w:sz="0" w:space="0" w:color="auto"/>
        <w:left w:val="none" w:sz="0" w:space="0" w:color="auto"/>
        <w:bottom w:val="none" w:sz="0" w:space="0" w:color="auto"/>
        <w:right w:val="none" w:sz="0" w:space="0" w:color="auto"/>
      </w:divBdr>
    </w:div>
    <w:div w:id="2037583206">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7219632">
      <w:bodyDiv w:val="1"/>
      <w:marLeft w:val="0"/>
      <w:marRight w:val="0"/>
      <w:marTop w:val="0"/>
      <w:marBottom w:val="0"/>
      <w:divBdr>
        <w:top w:val="none" w:sz="0" w:space="0" w:color="auto"/>
        <w:left w:val="none" w:sz="0" w:space="0" w:color="auto"/>
        <w:bottom w:val="none" w:sz="0" w:space="0" w:color="auto"/>
        <w:right w:val="none" w:sz="0" w:space="0" w:color="auto"/>
      </w:divBdr>
    </w:div>
    <w:div w:id="2056660331">
      <w:bodyDiv w:val="1"/>
      <w:marLeft w:val="0"/>
      <w:marRight w:val="0"/>
      <w:marTop w:val="0"/>
      <w:marBottom w:val="0"/>
      <w:divBdr>
        <w:top w:val="none" w:sz="0" w:space="0" w:color="auto"/>
        <w:left w:val="none" w:sz="0" w:space="0" w:color="auto"/>
        <w:bottom w:val="none" w:sz="0" w:space="0" w:color="auto"/>
        <w:right w:val="none" w:sz="0" w:space="0" w:color="auto"/>
      </w:divBdr>
    </w:div>
    <w:div w:id="2080130893">
      <w:bodyDiv w:val="1"/>
      <w:marLeft w:val="0"/>
      <w:marRight w:val="0"/>
      <w:marTop w:val="0"/>
      <w:marBottom w:val="0"/>
      <w:divBdr>
        <w:top w:val="none" w:sz="0" w:space="0" w:color="auto"/>
        <w:left w:val="none" w:sz="0" w:space="0" w:color="auto"/>
        <w:bottom w:val="none" w:sz="0" w:space="0" w:color="auto"/>
        <w:right w:val="none" w:sz="0" w:space="0" w:color="auto"/>
      </w:divBdr>
    </w:div>
    <w:div w:id="2092004257">
      <w:bodyDiv w:val="1"/>
      <w:marLeft w:val="0"/>
      <w:marRight w:val="0"/>
      <w:marTop w:val="0"/>
      <w:marBottom w:val="0"/>
      <w:divBdr>
        <w:top w:val="none" w:sz="0" w:space="0" w:color="auto"/>
        <w:left w:val="none" w:sz="0" w:space="0" w:color="auto"/>
        <w:bottom w:val="none" w:sz="0" w:space="0" w:color="auto"/>
        <w:right w:val="none" w:sz="0" w:space="0" w:color="auto"/>
      </w:divBdr>
    </w:div>
    <w:div w:id="2105220739">
      <w:bodyDiv w:val="1"/>
      <w:marLeft w:val="0"/>
      <w:marRight w:val="0"/>
      <w:marTop w:val="0"/>
      <w:marBottom w:val="0"/>
      <w:divBdr>
        <w:top w:val="none" w:sz="0" w:space="0" w:color="auto"/>
        <w:left w:val="none" w:sz="0" w:space="0" w:color="auto"/>
        <w:bottom w:val="none" w:sz="0" w:space="0" w:color="auto"/>
        <w:right w:val="none" w:sz="0" w:space="0" w:color="auto"/>
      </w:divBdr>
    </w:div>
    <w:div w:id="213027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57/jibs.2009.52" TargetMode="External"/><Relationship Id="rId18" Type="http://schemas.openxmlformats.org/officeDocument/2006/relationships/hyperlink" Target="https://hbr.org/1997/07/why-focused-strategies-may-be-wrong-for-emerging-markets" TargetMode="External"/><Relationship Id="rId26" Type="http://schemas.openxmlformats.org/officeDocument/2006/relationships/hyperlink" Target="https://www.semanticscholar.org/paper/EMERGING-MARKETS%3A-CONCEPT-EVOLUTION-AND-BUSINESS-Serban-Borisov/4e9bcec4bf565b169137786f2dc3d5c9fda8d590" TargetMode="External"/><Relationship Id="rId3" Type="http://schemas.openxmlformats.org/officeDocument/2006/relationships/styles" Target="styles.xml"/><Relationship Id="rId21" Type="http://schemas.openxmlformats.org/officeDocument/2006/relationships/hyperlink" Target="https://doi.org/10.5465/20159604"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54254/2754-1169/2025.20870" TargetMode="External"/><Relationship Id="rId17" Type="http://schemas.openxmlformats.org/officeDocument/2006/relationships/hyperlink" Target="https://cstj.cqvip.com/Qikan/Article/Detail?id=00002EKIL5587JP0MPDG6JP06P" TargetMode="External"/><Relationship Id="rId25" Type="http://schemas.openxmlformats.org/officeDocument/2006/relationships/hyperlink" Target="https://doi.org/10.3390/jrfm17070262"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77/0149206317723711" TargetMode="External"/><Relationship Id="rId20" Type="http://schemas.openxmlformats.org/officeDocument/2006/relationships/hyperlink" Target="https://doi.org/10.1108/ijebr-10-2019-0573" TargetMode="External"/><Relationship Id="rId29" Type="http://schemas.openxmlformats.org/officeDocument/2006/relationships/hyperlink" Target="https://www.semanticscholar.org/paper/Internationalization-propensity-in-public-firms-in-Tsao-Wang/2b2e5c3d1cbb26d395ac1028f3470a2c40b8edc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p.cnfol.com/49592/article/1743169804-141725357.html" TargetMode="External"/><Relationship Id="rId24" Type="http://schemas.openxmlformats.org/officeDocument/2006/relationships/hyperlink" Target="https://doi.org/10.1016/j.jwb.2018.12.00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2660/joscmv11n1p53-63" TargetMode="External"/><Relationship Id="rId23" Type="http://schemas.openxmlformats.org/officeDocument/2006/relationships/hyperlink" Target="https://www.oppo.com/en/about/" TargetMode="External"/><Relationship Id="rId28" Type="http://schemas.openxmlformats.org/officeDocument/2006/relationships/hyperlink" Target="https://www.gov.cn/zhengce/2022-01/12/content_5718603.htm" TargetMode="Externa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wanfangdata.com.cn/thesis/ChhUaGVzaXNOZXdTMjAyNDA5MjAxNTE3MjUSB0Q3MjI4NDcaCGQyaXVnbjY5"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mp.weixin.qq.com/s?__biz=MjM5MzM0NjY2MA%3D%3D&amp;mid=2652671510&amp;idx=2&amp;sn=cc470ee1c9f9180af099d4012e2dae7c&amp;chksm=bc87c6c5f3487cbd08bfea116fa5205f8b91c8f648806a43f42740bc42b8fd3309ee8c433419&amp;scene=27" TargetMode="External"/><Relationship Id="rId22" Type="http://schemas.openxmlformats.org/officeDocument/2006/relationships/hyperlink" Target="https://trendinsight.oceanengine.com/arithmetic-report/detail/802" TargetMode="External"/><Relationship Id="rId27" Type="http://schemas.openxmlformats.org/officeDocument/2006/relationships/hyperlink" Target="http://mp.cnfol.com/49592/article/1743169804-141725357.html" TargetMode="External"/><Relationship Id="rId30" Type="http://schemas.openxmlformats.org/officeDocument/2006/relationships/header" Target="header1.xml"/><Relationship Id="rId35"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2.8744886908749056E-2"/>
          <c:y val="2.973240832507433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031625398381958E-3"/>
          <c:y val="0.26977205153617445"/>
          <c:w val="0.62936183602202944"/>
          <c:h val="0.66085232903865221"/>
        </c:manualLayout>
      </c:layout>
      <c:pie3DChart>
        <c:varyColors val="1"/>
        <c:ser>
          <c:idx val="0"/>
          <c:order val="0"/>
          <c:tx>
            <c:strRef>
              <c:f>Sheet1!$B$1</c:f>
              <c:strCache>
                <c:ptCount val="1"/>
                <c:pt idx="0">
                  <c:v>Share Structure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058-4427-B749-97FFDA091A2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058-4427-B749-97FFDA091A2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058-4427-B749-97FFDA091A2A}"/>
              </c:ext>
            </c:extLst>
          </c:dPt>
          <c:cat>
            <c:strRef>
              <c:f>Sheet1!$A$2:$A$4</c:f>
              <c:strCache>
                <c:ptCount val="3"/>
                <c:pt idx="0">
                  <c:v>Chen Mingyong</c:v>
                </c:pt>
                <c:pt idx="1">
                  <c:v>Foreign Capital</c:v>
                </c:pt>
                <c:pt idx="2">
                  <c:v>Employees and Other Shareholders</c:v>
                </c:pt>
              </c:strCache>
            </c:strRef>
          </c:cat>
          <c:val>
            <c:numRef>
              <c:f>Sheet1!$B$2:$B$4</c:f>
              <c:numCache>
                <c:formatCode>0%</c:formatCode>
                <c:ptCount val="3"/>
                <c:pt idx="0" formatCode="0.00%">
                  <c:v>0.1</c:v>
                </c:pt>
                <c:pt idx="1">
                  <c:v>0.4</c:v>
                </c:pt>
                <c:pt idx="2">
                  <c:v>0.5</c:v>
                </c:pt>
              </c:numCache>
            </c:numRef>
          </c:val>
          <c:extLst>
            <c:ext xmlns:c16="http://schemas.microsoft.com/office/drawing/2014/chart" uri="{C3380CC4-5D6E-409C-BE32-E72D297353CC}">
              <c16:uniqueId val="{00000006-4058-4427-B749-97FFDA091A2A}"/>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3426499856186769"/>
          <c:y val="3.6449903623295886E-2"/>
          <c:w val="0.33631602619910317"/>
          <c:h val="0.9069320992953184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2.8744886908749056E-2"/>
          <c:y val="2.973240832507433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031625398381958E-3"/>
          <c:y val="0.26977205153617445"/>
          <c:w val="0.62936183602202944"/>
          <c:h val="0.66085232903865221"/>
        </c:manualLayout>
      </c:layout>
      <c:pie3DChart>
        <c:varyColors val="1"/>
        <c:ser>
          <c:idx val="0"/>
          <c:order val="0"/>
          <c:tx>
            <c:strRef>
              <c:f>Sheet1!$B$1</c:f>
              <c:strCache>
                <c:ptCount val="1"/>
                <c:pt idx="0">
                  <c:v>Voting Rights Structure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0C0-4977-AD5D-3CD2CC6EC6D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0C0-4977-AD5D-3CD2CC6EC6D1}"/>
              </c:ext>
            </c:extLst>
          </c:dPt>
          <c:cat>
            <c:strRef>
              <c:f>Sheet1!$A$2:$A$3</c:f>
              <c:strCache>
                <c:ptCount val="2"/>
                <c:pt idx="0">
                  <c:v>Chen Mingyong</c:v>
                </c:pt>
                <c:pt idx="1">
                  <c:v>Others</c:v>
                </c:pt>
              </c:strCache>
            </c:strRef>
          </c:cat>
          <c:val>
            <c:numRef>
              <c:f>Sheet1!$B$2:$B$3</c:f>
              <c:numCache>
                <c:formatCode>0%</c:formatCode>
                <c:ptCount val="2"/>
                <c:pt idx="0" formatCode="0.00%">
                  <c:v>0.61080000000000001</c:v>
                </c:pt>
                <c:pt idx="1">
                  <c:v>0.4</c:v>
                </c:pt>
              </c:numCache>
            </c:numRef>
          </c:val>
          <c:extLst>
            <c:ext xmlns:c16="http://schemas.microsoft.com/office/drawing/2014/chart" uri="{C3380CC4-5D6E-409C-BE32-E72D297353CC}">
              <c16:uniqueId val="{00000006-B0C0-4977-AD5D-3CD2CC6EC6D1}"/>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3426499856186769"/>
          <c:y val="3.6449903623295886E-2"/>
          <c:w val="0.33631602619910317"/>
          <c:h val="0.9069320992953184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C93E6-6F9C-41B8-A694-CA7A2EA7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3708</Words>
  <Characters>21140</Characters>
  <Application>Microsoft Office Word</Application>
  <DocSecurity>0</DocSecurity>
  <Lines>176</Lines>
  <Paragraphs>49</Paragraphs>
  <ScaleCrop>false</ScaleCrop>
  <Company/>
  <LinksUpToDate>false</LinksUpToDate>
  <CharactersWithSpaces>24799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Zhuang</dc:creator>
  <cp:keywords/>
  <dc:description/>
  <cp:lastModifiedBy>Editor-22</cp:lastModifiedBy>
  <cp:revision>7</cp:revision>
  <cp:lastPrinted>2024-12-17T02:10:00Z</cp:lastPrinted>
  <dcterms:created xsi:type="dcterms:W3CDTF">2025-06-19T03:27:00Z</dcterms:created>
  <dcterms:modified xsi:type="dcterms:W3CDTF">2025-06-20T05:52:00Z</dcterms:modified>
</cp:coreProperties>
</file>