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3B30FA8" w14:textId="77777777" w:rsidR="00EE1B41" w:rsidRDefault="00EE1B41">
      <w:pPr>
        <w:keepNext/>
        <w:keepLines/>
        <w:pBdr>
          <w:top w:val="nil"/>
          <w:left w:val="nil"/>
          <w:bottom w:val="nil"/>
          <w:right w:val="nil"/>
          <w:between w:val="nil"/>
        </w:pBdr>
        <w:spacing w:before="200" w:line="276" w:lineRule="auto"/>
        <w:rPr>
          <w:b/>
          <w:i/>
          <w:color w:val="000000"/>
          <w:sz w:val="48"/>
          <w:szCs w:val="48"/>
        </w:rPr>
      </w:pPr>
    </w:p>
    <w:p w14:paraId="076C5AA1" w14:textId="70F75BBF" w:rsidR="00EE1B41" w:rsidRPr="002275DA" w:rsidRDefault="00EE68A4">
      <w:pPr>
        <w:rPr>
          <w:rFonts w:ascii="Constantia" w:eastAsia="Merriweather" w:hAnsi="Constantia" w:cs="Merriweather"/>
          <w:b/>
          <w:sz w:val="48"/>
          <w:szCs w:val="48"/>
        </w:rPr>
      </w:pPr>
      <w:r w:rsidRPr="002275DA">
        <w:rPr>
          <w:rFonts w:ascii="Constantia" w:eastAsia="Merriweather" w:hAnsi="Constantia" w:cs="Merriweather"/>
          <w:b/>
          <w:sz w:val="48"/>
          <w:szCs w:val="48"/>
        </w:rPr>
        <w:t xml:space="preserve">Dual-Fungal Bioconversion Model for Ethanol Production from </w:t>
      </w:r>
      <w:proofErr w:type="spellStart"/>
      <w:r w:rsidRPr="002275DA">
        <w:rPr>
          <w:rFonts w:ascii="Constantia" w:eastAsia="Merriweather" w:hAnsi="Constantia" w:cs="Merriweather"/>
          <w:b/>
          <w:sz w:val="48"/>
          <w:szCs w:val="48"/>
        </w:rPr>
        <w:t>Agro</w:t>
      </w:r>
      <w:proofErr w:type="spellEnd"/>
      <w:r w:rsidRPr="002275DA">
        <w:rPr>
          <w:rFonts w:ascii="Constantia" w:eastAsia="Merriweather" w:hAnsi="Constantia" w:cs="Merriweather"/>
          <w:b/>
          <w:sz w:val="48"/>
          <w:szCs w:val="48"/>
        </w:rPr>
        <w:t xml:space="preserve">-Waste Using </w:t>
      </w:r>
      <w:r w:rsidRPr="002275DA">
        <w:rPr>
          <w:rFonts w:ascii="Constantia" w:eastAsia="Merriweather" w:hAnsi="Constantia" w:cs="Merriweather"/>
          <w:b/>
          <w:i/>
          <w:sz w:val="48"/>
          <w:szCs w:val="48"/>
        </w:rPr>
        <w:t xml:space="preserve">Trichoderma </w:t>
      </w:r>
      <w:proofErr w:type="spellStart"/>
      <w:r w:rsidRPr="002275DA">
        <w:rPr>
          <w:rFonts w:ascii="Constantia" w:eastAsia="Merriweather" w:hAnsi="Constantia" w:cs="Merriweather"/>
          <w:b/>
          <w:i/>
          <w:sz w:val="48"/>
          <w:szCs w:val="48"/>
        </w:rPr>
        <w:t>viride</w:t>
      </w:r>
      <w:proofErr w:type="spellEnd"/>
      <w:r w:rsidR="00B21F30" w:rsidRPr="002275DA">
        <w:rPr>
          <w:rFonts w:ascii="Constantia" w:eastAsia="Merriweather" w:hAnsi="Constantia" w:cs="Merriweather"/>
          <w:b/>
          <w:i/>
          <w:sz w:val="48"/>
          <w:szCs w:val="48"/>
        </w:rPr>
        <w:t xml:space="preserve"> </w:t>
      </w:r>
      <w:r w:rsidRPr="002275DA">
        <w:rPr>
          <w:rFonts w:ascii="Constantia" w:eastAsia="Merriweather" w:hAnsi="Constantia" w:cs="Merriweather"/>
          <w:b/>
          <w:sz w:val="48"/>
          <w:szCs w:val="48"/>
        </w:rPr>
        <w:t xml:space="preserve">and </w:t>
      </w:r>
      <w:r w:rsidRPr="002275DA">
        <w:rPr>
          <w:rFonts w:ascii="Constantia" w:eastAsia="Merriweather" w:hAnsi="Constantia" w:cs="Merriweather"/>
          <w:b/>
          <w:i/>
          <w:sz w:val="48"/>
          <w:szCs w:val="48"/>
        </w:rPr>
        <w:t xml:space="preserve">Aspergillus </w:t>
      </w:r>
      <w:proofErr w:type="spellStart"/>
      <w:r w:rsidRPr="002275DA">
        <w:rPr>
          <w:rFonts w:ascii="Constantia" w:eastAsia="Merriweather" w:hAnsi="Constantia" w:cs="Merriweather"/>
          <w:b/>
          <w:i/>
          <w:sz w:val="48"/>
          <w:szCs w:val="48"/>
        </w:rPr>
        <w:t>niger</w:t>
      </w:r>
      <w:proofErr w:type="spellEnd"/>
    </w:p>
    <w:p w14:paraId="42003067" w14:textId="77777777" w:rsidR="00EE1B41" w:rsidRDefault="00EE1B41">
      <w:pPr>
        <w:spacing w:line="276" w:lineRule="auto"/>
        <w:rPr>
          <w:i/>
          <w:sz w:val="22"/>
          <w:szCs w:val="22"/>
        </w:rPr>
      </w:pPr>
    </w:p>
    <w:p w14:paraId="1C4DB5E3" w14:textId="77777777" w:rsidR="00EE1B41" w:rsidRDefault="00EE1B41">
      <w:pPr>
        <w:spacing w:line="276" w:lineRule="auto"/>
        <w:rPr>
          <w:i/>
          <w:sz w:val="22"/>
          <w:szCs w:val="22"/>
        </w:rPr>
      </w:pPr>
      <w:bookmarkStart w:id="0" w:name="_heading=h.2310nc2043cj" w:colFirst="0" w:colLast="0"/>
      <w:bookmarkEnd w:id="0"/>
    </w:p>
    <w:p w14:paraId="04BABBA6" w14:textId="0B56B448" w:rsidR="00EE1B41" w:rsidRDefault="00D16E33">
      <w:pPr>
        <w:spacing w:line="276" w:lineRule="auto"/>
        <w:rPr>
          <w:rFonts w:ascii="Merriweather" w:eastAsia="Merriweather" w:hAnsi="Merriweather" w:cs="Merriweather"/>
          <w:i/>
          <w:color w:val="FF0000"/>
          <w:sz w:val="22"/>
          <w:szCs w:val="22"/>
        </w:rPr>
      </w:pPr>
      <w:r>
        <w:t xml:space="preserve"> </w:t>
      </w:r>
      <w:r w:rsidR="00EE68A4">
        <w:rPr>
          <w:rFonts w:ascii="Merriweather" w:eastAsia="Merriweather" w:hAnsi="Merriweather" w:cs="Merriweather"/>
          <w:i/>
          <w:color w:val="FF0000"/>
          <w:sz w:val="22"/>
          <w:szCs w:val="22"/>
        </w:rPr>
        <w:t xml:space="preserve"> </w:t>
      </w:r>
    </w:p>
    <w:p w14:paraId="24715745" w14:textId="77777777" w:rsidR="00D16E33" w:rsidRDefault="00D16E33">
      <w:pPr>
        <w:spacing w:line="276" w:lineRule="auto"/>
        <w:rPr>
          <w:rFonts w:ascii="Merriweather" w:eastAsia="Merriweather" w:hAnsi="Merriweather" w:cs="Merriweather"/>
          <w:i/>
          <w:color w:val="FF0000"/>
          <w:sz w:val="22"/>
          <w:szCs w:val="22"/>
        </w:rPr>
      </w:pPr>
    </w:p>
    <w:p w14:paraId="183F2C52" w14:textId="0FC9ACAC" w:rsidR="00D16E33" w:rsidRDefault="00D16E33">
      <w:pPr>
        <w:spacing w:line="276" w:lineRule="auto"/>
        <w:rPr>
          <w:rFonts w:ascii="Merriweather" w:eastAsia="Merriweather" w:hAnsi="Merriweather" w:cs="Merriweather"/>
          <w:color w:val="FF0000"/>
          <w:sz w:val="22"/>
          <w:szCs w:val="22"/>
        </w:rPr>
        <w:sectPr w:rsidR="00D16E33">
          <w:headerReference w:type="even" r:id="rId8"/>
          <w:headerReference w:type="default" r:id="rId9"/>
          <w:footerReference w:type="even" r:id="rId10"/>
          <w:footerReference w:type="default" r:id="rId11"/>
          <w:headerReference w:type="first" r:id="rId12"/>
          <w:footerReference w:type="first" r:id="rId13"/>
          <w:pgSz w:w="11906" w:h="16838"/>
          <w:pgMar w:top="1080" w:right="734" w:bottom="1080" w:left="734" w:header="432" w:footer="0" w:gutter="0"/>
          <w:pgNumType w:start="1"/>
          <w:cols w:space="720"/>
        </w:sectPr>
      </w:pPr>
    </w:p>
    <w:p w14:paraId="4A93F8BD" w14:textId="77777777" w:rsidR="00EE1B41" w:rsidRDefault="00EE1B41">
      <w:pPr>
        <w:pBdr>
          <w:top w:val="nil"/>
          <w:left w:val="nil"/>
          <w:bottom w:val="nil"/>
          <w:right w:val="nil"/>
          <w:between w:val="nil"/>
        </w:pBdr>
        <w:spacing w:line="276" w:lineRule="auto"/>
        <w:jc w:val="both"/>
        <w:rPr>
          <w:i/>
          <w:color w:val="17365D"/>
        </w:rPr>
        <w:sectPr w:rsidR="00EE1B41">
          <w:type w:val="continuous"/>
          <w:pgSz w:w="11906" w:h="16838"/>
          <w:pgMar w:top="1080" w:right="734" w:bottom="1080" w:left="734" w:header="432" w:footer="0" w:gutter="0"/>
          <w:cols w:num="2" w:space="720" w:equalWidth="0">
            <w:col w:w="4858" w:space="720"/>
            <w:col w:w="4858" w:space="0"/>
          </w:cols>
        </w:sectPr>
      </w:pPr>
    </w:p>
    <w:p w14:paraId="29BA5848" w14:textId="77777777" w:rsidR="00EE1B41" w:rsidRDefault="00EE1B41">
      <w:pPr>
        <w:pBdr>
          <w:top w:val="nil"/>
          <w:left w:val="nil"/>
          <w:bottom w:val="nil"/>
          <w:right w:val="nil"/>
          <w:between w:val="nil"/>
        </w:pBdr>
        <w:jc w:val="left"/>
        <w:rPr>
          <w:i/>
          <w:color w:val="17365D"/>
        </w:rPr>
        <w:sectPr w:rsidR="00EE1B41">
          <w:type w:val="continuous"/>
          <w:pgSz w:w="11906" w:h="16838"/>
          <w:pgMar w:top="1080" w:right="734" w:bottom="1080" w:left="734" w:header="432" w:footer="0" w:gutter="0"/>
          <w:cols w:space="720"/>
        </w:sectPr>
      </w:pPr>
    </w:p>
    <w:p w14:paraId="6CD99207" w14:textId="77777777" w:rsidR="00EE1B41" w:rsidRDefault="00EE68A4">
      <w:pPr>
        <w:spacing w:line="276" w:lineRule="auto"/>
        <w:jc w:val="left"/>
        <w:rPr>
          <w:sz w:val="22"/>
          <w:szCs w:val="22"/>
        </w:rPr>
      </w:pPr>
      <w:proofErr w:type="gramStart"/>
      <w:r>
        <w:rPr>
          <w:b/>
          <w:sz w:val="22"/>
          <w:szCs w:val="22"/>
        </w:rPr>
        <w:t>ABSTRACT :</w:t>
      </w:r>
      <w:proofErr w:type="gramEnd"/>
      <w:r>
        <w:rPr>
          <w:sz w:val="22"/>
          <w:szCs w:val="22"/>
        </w:rPr>
        <w:t xml:space="preserve"> The exponential generation of agro-industrial waste in India estimated at over 350 million metric tons annually poses a dual threat of environmental degradation and missed </w:t>
      </w:r>
      <w:proofErr w:type="spellStart"/>
      <w:r>
        <w:rPr>
          <w:sz w:val="22"/>
          <w:szCs w:val="22"/>
        </w:rPr>
        <w:t>valorization</w:t>
      </w:r>
      <w:proofErr w:type="spellEnd"/>
      <w:r>
        <w:rPr>
          <w:sz w:val="22"/>
          <w:szCs w:val="22"/>
        </w:rPr>
        <w:t xml:space="preserve"> opportunities. While rich in cellulose and hemicellulose, the complex lignocellulosic matrix of such biomass limits its direct fermentability. In this study, a decentralized, fungal-only bioconversion model is proposed for sustainable ethanol production using </w:t>
      </w:r>
      <w:r>
        <w:rPr>
          <w:i/>
          <w:sz w:val="22"/>
          <w:szCs w:val="22"/>
        </w:rPr>
        <w:t xml:space="preserve">Trichoderma </w:t>
      </w:r>
      <w:proofErr w:type="spellStart"/>
      <w:r>
        <w:rPr>
          <w:i/>
          <w:sz w:val="22"/>
          <w:szCs w:val="22"/>
        </w:rPr>
        <w:t>viride</w:t>
      </w:r>
      <w:proofErr w:type="spellEnd"/>
      <w:r>
        <w:rPr>
          <w:i/>
          <w:sz w:val="22"/>
          <w:szCs w:val="22"/>
        </w:rPr>
        <w:t xml:space="preserve"> </w:t>
      </w:r>
      <w:r>
        <w:rPr>
          <w:sz w:val="22"/>
          <w:szCs w:val="22"/>
        </w:rPr>
        <w:t xml:space="preserve">and </w:t>
      </w:r>
      <w:r>
        <w:rPr>
          <w:i/>
          <w:sz w:val="22"/>
          <w:szCs w:val="22"/>
        </w:rPr>
        <w:t xml:space="preserve">Aspergillus </w:t>
      </w:r>
      <w:proofErr w:type="spellStart"/>
      <w:r>
        <w:rPr>
          <w:i/>
          <w:sz w:val="22"/>
          <w:szCs w:val="22"/>
        </w:rPr>
        <w:t>niger</w:t>
      </w:r>
      <w:proofErr w:type="spellEnd"/>
      <w:r>
        <w:rPr>
          <w:sz w:val="22"/>
          <w:szCs w:val="22"/>
        </w:rPr>
        <w:t>, both isolated from pond and compost niches due to their adaptation to high organic stress environments. The biomass matrix comprising fruit pulp, sugarcane</w:t>
      </w:r>
    </w:p>
    <w:p w14:paraId="71C40882" w14:textId="77777777" w:rsidR="00EE1B41" w:rsidRDefault="00EE68A4">
      <w:pPr>
        <w:spacing w:line="276" w:lineRule="auto"/>
        <w:jc w:val="left"/>
        <w:rPr>
          <w:sz w:val="22"/>
          <w:szCs w:val="22"/>
        </w:rPr>
      </w:pPr>
      <w:r>
        <w:rPr>
          <w:sz w:val="22"/>
          <w:szCs w:val="22"/>
        </w:rPr>
        <w:t xml:space="preserve">bagasse, and vegetable residues was pretreated via overnight soaking in 10% H₂SO₄ followed by a 5-minute steam explosion at 180 °C and 1.2 MPa, leading to effective delignification and the release of 42.6 g/L of fermentable sugars. Fungal enzymatic hydrolysis was enhanced by the addition of 0.5% carboxymethyl cellulose (CMC), which improved matrix loosening and enzyme substrate interaction. Fermentation was carried out by an ethanol-tolerant </w:t>
      </w:r>
      <w:r>
        <w:rPr>
          <w:i/>
          <w:sz w:val="22"/>
          <w:szCs w:val="22"/>
        </w:rPr>
        <w:t xml:space="preserve">Saccharomyces cerevisiae </w:t>
      </w:r>
      <w:r>
        <w:rPr>
          <w:sz w:val="22"/>
          <w:szCs w:val="22"/>
        </w:rPr>
        <w:t>strain, isolated from dried fig, under semi-anaerobic conditions at 32 °C. The process achieved a final ethanol yield of 10.6% (v/v), with a pH drop from 6.2 to 4.8 and refractive index stabilization at 1.341, confirming active fermentation. Viability tests revealed sustained fungal growth (2-1 × 10⁷ CFU/mL) after 30 days, confirming that the process is biologically stable and potentially reusable.</w:t>
      </w:r>
    </w:p>
    <w:p w14:paraId="088747B6" w14:textId="77777777" w:rsidR="00EE1B41" w:rsidRDefault="00EE68A4">
      <w:pPr>
        <w:spacing w:line="276" w:lineRule="auto"/>
        <w:jc w:val="left"/>
        <w:rPr>
          <w:sz w:val="22"/>
          <w:szCs w:val="22"/>
        </w:rPr>
      </w:pPr>
      <w:r>
        <w:rPr>
          <w:sz w:val="22"/>
          <w:szCs w:val="22"/>
        </w:rPr>
        <w:t xml:space="preserve">Comparative analysis against previous bacterial fungal systems showed that this dual-fungal consortium offers superior substrate adaptability, reduced contamination risk, and higher ethanol recovery from heterogeneous feedstock. The approach avoids </w:t>
      </w:r>
      <w:r>
        <w:rPr>
          <w:sz w:val="22"/>
          <w:szCs w:val="22"/>
        </w:rPr>
        <w:t>commercial enzyme dependency and high-energy demands, offering a low-cost, modular strategy aligned with India’s bioenergy and circular economy goals. Although this study focused on ethanol generation, the fungal-rich residue presents additional potential for biofertilizer</w:t>
      </w:r>
    </w:p>
    <w:p w14:paraId="48D6B48F" w14:textId="77777777" w:rsidR="00EE1B41" w:rsidRDefault="00EE68A4">
      <w:pPr>
        <w:spacing w:line="276" w:lineRule="auto"/>
        <w:jc w:val="left"/>
        <w:rPr>
          <w:sz w:val="22"/>
          <w:szCs w:val="22"/>
        </w:rPr>
      </w:pPr>
      <w:r>
        <w:rPr>
          <w:sz w:val="22"/>
          <w:szCs w:val="22"/>
        </w:rPr>
        <w:t>applications reserved for future work</w:t>
      </w:r>
    </w:p>
    <w:p w14:paraId="6FD9A890" w14:textId="77777777" w:rsidR="00EE1B41" w:rsidRDefault="00EE1B41">
      <w:pPr>
        <w:spacing w:line="276" w:lineRule="auto"/>
        <w:jc w:val="left"/>
        <w:rPr>
          <w:b/>
          <w:sz w:val="22"/>
          <w:szCs w:val="22"/>
        </w:rPr>
      </w:pPr>
    </w:p>
    <w:p w14:paraId="0C249B9F" w14:textId="77777777" w:rsidR="00EE1B41" w:rsidRDefault="00EE68A4">
      <w:pPr>
        <w:spacing w:line="276" w:lineRule="auto"/>
        <w:jc w:val="left"/>
        <w:rPr>
          <w:sz w:val="22"/>
          <w:szCs w:val="22"/>
        </w:rPr>
      </w:pPr>
      <w:r>
        <w:rPr>
          <w:b/>
          <w:sz w:val="22"/>
          <w:szCs w:val="22"/>
        </w:rPr>
        <w:t>KEYWORDS</w:t>
      </w:r>
      <w:r>
        <w:rPr>
          <w:sz w:val="22"/>
          <w:szCs w:val="22"/>
        </w:rPr>
        <w:t xml:space="preserve"> - </w:t>
      </w:r>
      <w:proofErr w:type="spellStart"/>
      <w:r>
        <w:rPr>
          <w:sz w:val="22"/>
          <w:szCs w:val="22"/>
        </w:rPr>
        <w:t>Agro</w:t>
      </w:r>
      <w:proofErr w:type="spellEnd"/>
      <w:r>
        <w:rPr>
          <w:sz w:val="22"/>
          <w:szCs w:val="22"/>
        </w:rPr>
        <w:t xml:space="preserve">-waste </w:t>
      </w:r>
      <w:proofErr w:type="spellStart"/>
      <w:r>
        <w:rPr>
          <w:sz w:val="22"/>
          <w:szCs w:val="22"/>
        </w:rPr>
        <w:t>valorization</w:t>
      </w:r>
      <w:proofErr w:type="spellEnd"/>
      <w:r>
        <w:rPr>
          <w:sz w:val="22"/>
          <w:szCs w:val="22"/>
        </w:rPr>
        <w:t xml:space="preserve">; Lignocellulosic </w:t>
      </w:r>
      <w:proofErr w:type="spellStart"/>
      <w:r>
        <w:rPr>
          <w:sz w:val="22"/>
          <w:szCs w:val="22"/>
        </w:rPr>
        <w:t>pretreatment</w:t>
      </w:r>
      <w:proofErr w:type="spellEnd"/>
      <w:r>
        <w:rPr>
          <w:sz w:val="22"/>
          <w:szCs w:val="22"/>
        </w:rPr>
        <w:t xml:space="preserve">; </w:t>
      </w:r>
      <w:r>
        <w:rPr>
          <w:i/>
          <w:sz w:val="22"/>
          <w:szCs w:val="22"/>
        </w:rPr>
        <w:t xml:space="preserve">Trichoderma </w:t>
      </w:r>
      <w:proofErr w:type="spellStart"/>
      <w:r>
        <w:rPr>
          <w:i/>
          <w:sz w:val="22"/>
          <w:szCs w:val="22"/>
        </w:rPr>
        <w:t>viride</w:t>
      </w:r>
      <w:proofErr w:type="spellEnd"/>
      <w:r>
        <w:rPr>
          <w:sz w:val="22"/>
          <w:szCs w:val="22"/>
        </w:rPr>
        <w:t xml:space="preserve">; </w:t>
      </w:r>
      <w:r>
        <w:rPr>
          <w:i/>
          <w:sz w:val="22"/>
          <w:szCs w:val="22"/>
        </w:rPr>
        <w:t xml:space="preserve">Aspergillus </w:t>
      </w:r>
      <w:proofErr w:type="spellStart"/>
      <w:r>
        <w:rPr>
          <w:i/>
          <w:sz w:val="22"/>
          <w:szCs w:val="22"/>
        </w:rPr>
        <w:t>niger</w:t>
      </w:r>
      <w:proofErr w:type="spellEnd"/>
      <w:r>
        <w:rPr>
          <w:sz w:val="22"/>
          <w:szCs w:val="22"/>
        </w:rPr>
        <w:t xml:space="preserve">; </w:t>
      </w:r>
      <w:r>
        <w:rPr>
          <w:i/>
          <w:sz w:val="22"/>
          <w:szCs w:val="22"/>
        </w:rPr>
        <w:t>Saccharomyces cerevisiae</w:t>
      </w:r>
      <w:r>
        <w:rPr>
          <w:sz w:val="22"/>
          <w:szCs w:val="22"/>
        </w:rPr>
        <w:t>; Bioethanol; Regenerative agriculture; Biorefinery; CMC-enhanced saccharification; Steam explosion</w:t>
      </w:r>
    </w:p>
    <w:p w14:paraId="7372C740" w14:textId="77777777" w:rsidR="00EE1B41" w:rsidRDefault="00EE1B41">
      <w:pPr>
        <w:spacing w:line="276" w:lineRule="auto"/>
        <w:jc w:val="left"/>
        <w:rPr>
          <w:b/>
          <w:sz w:val="22"/>
          <w:szCs w:val="22"/>
        </w:rPr>
      </w:pPr>
    </w:p>
    <w:p w14:paraId="1552CDB3" w14:textId="77777777" w:rsidR="00EE1B41" w:rsidRDefault="00EE68A4">
      <w:pPr>
        <w:spacing w:line="276" w:lineRule="auto"/>
        <w:jc w:val="left"/>
        <w:rPr>
          <w:sz w:val="22"/>
          <w:szCs w:val="22"/>
        </w:rPr>
      </w:pPr>
      <w:r>
        <w:rPr>
          <w:b/>
          <w:sz w:val="22"/>
          <w:szCs w:val="22"/>
        </w:rPr>
        <w:t xml:space="preserve">ABBREVIATIONS </w:t>
      </w:r>
      <w:r>
        <w:rPr>
          <w:sz w:val="22"/>
          <w:szCs w:val="22"/>
        </w:rPr>
        <w:t xml:space="preserve">- CMC – Carboxymethyl Cellulose, DNS – </w:t>
      </w:r>
      <w:proofErr w:type="spellStart"/>
      <w:r>
        <w:rPr>
          <w:sz w:val="22"/>
          <w:szCs w:val="22"/>
        </w:rPr>
        <w:t>Dinitrosalicylic</w:t>
      </w:r>
      <w:proofErr w:type="spellEnd"/>
      <w:r>
        <w:rPr>
          <w:sz w:val="22"/>
          <w:szCs w:val="22"/>
        </w:rPr>
        <w:t xml:space="preserve"> Acid, RI – Refractive Index, CFU – Colony Forming Units, MPa – Megapascal, SDG – Sustainable Development Goals, SI – Système International (International System of Units), H₂SO₄ – Sulfuric acid</w:t>
      </w:r>
    </w:p>
    <w:p w14:paraId="24AA11A3" w14:textId="77777777" w:rsidR="00EE1B41" w:rsidRDefault="00EE1B41">
      <w:pPr>
        <w:spacing w:line="276" w:lineRule="auto"/>
        <w:jc w:val="left"/>
        <w:rPr>
          <w:sz w:val="22"/>
          <w:szCs w:val="22"/>
        </w:rPr>
      </w:pPr>
    </w:p>
    <w:p w14:paraId="2B736A3D" w14:textId="77777777" w:rsidR="00EE1B41" w:rsidRDefault="00EE68A4">
      <w:pPr>
        <w:numPr>
          <w:ilvl w:val="0"/>
          <w:numId w:val="3"/>
        </w:numPr>
        <w:pBdr>
          <w:top w:val="nil"/>
          <w:left w:val="nil"/>
          <w:bottom w:val="nil"/>
          <w:right w:val="nil"/>
          <w:between w:val="nil"/>
        </w:pBdr>
        <w:spacing w:before="280" w:after="280" w:line="276" w:lineRule="auto"/>
        <w:jc w:val="left"/>
        <w:rPr>
          <w:b/>
          <w:color w:val="000000"/>
          <w:sz w:val="22"/>
          <w:szCs w:val="22"/>
        </w:rPr>
      </w:pPr>
      <w:r>
        <w:rPr>
          <w:b/>
          <w:color w:val="000000"/>
          <w:sz w:val="22"/>
          <w:szCs w:val="22"/>
        </w:rPr>
        <w:t>INTRODUCTION</w:t>
      </w:r>
    </w:p>
    <w:p w14:paraId="05BF7FB4" w14:textId="77777777" w:rsidR="00EE1B41" w:rsidRDefault="00EE68A4">
      <w:pPr>
        <w:spacing w:before="240" w:after="240" w:line="276" w:lineRule="auto"/>
        <w:jc w:val="left"/>
        <w:rPr>
          <w:sz w:val="22"/>
          <w:szCs w:val="22"/>
        </w:rPr>
      </w:pPr>
      <w:r>
        <w:rPr>
          <w:sz w:val="22"/>
          <w:szCs w:val="22"/>
        </w:rPr>
        <w:t xml:space="preserve">The exponential rise in agro-industrial biomass generation presents a significant environmental and bioeconomic challenge. India alone produces over 350 million metric tons of crop residues and food processing waste annually, much of which is discarded or incinerated due to lack of decentralized processing technologies (Singh and Sharma, 2023; Kumar </w:t>
      </w:r>
      <w:r>
        <w:rPr>
          <w:i/>
          <w:sz w:val="22"/>
          <w:szCs w:val="22"/>
        </w:rPr>
        <w:t>et al.</w:t>
      </w:r>
      <w:r>
        <w:rPr>
          <w:sz w:val="22"/>
          <w:szCs w:val="22"/>
        </w:rPr>
        <w:t xml:space="preserve">, 2022). These waste streams, rich in lignocellulosic content such as cellulose, hemicellulose, and lignin, hold immense potential as renewable feedstocks for bioethanol generation a clean liquid fuel with </w:t>
      </w:r>
      <w:r>
        <w:rPr>
          <w:sz w:val="22"/>
          <w:szCs w:val="22"/>
        </w:rPr>
        <w:lastRenderedPageBreak/>
        <w:t xml:space="preserve">established blending infrastructure and policy support under India’s Ethanol Blending Programme (EBP) (Meena </w:t>
      </w:r>
      <w:r>
        <w:rPr>
          <w:i/>
          <w:sz w:val="22"/>
          <w:szCs w:val="22"/>
        </w:rPr>
        <w:t>et al.</w:t>
      </w:r>
      <w:r>
        <w:rPr>
          <w:sz w:val="22"/>
          <w:szCs w:val="22"/>
        </w:rPr>
        <w:t>, 2021; Ministry of Petroleum &amp; Natural Gas, 2022).</w:t>
      </w:r>
    </w:p>
    <w:p w14:paraId="1E92D231" w14:textId="77777777" w:rsidR="00EE1B41" w:rsidRDefault="00EE68A4">
      <w:pPr>
        <w:spacing w:before="240" w:after="240" w:line="276" w:lineRule="auto"/>
        <w:jc w:val="left"/>
        <w:rPr>
          <w:sz w:val="22"/>
          <w:szCs w:val="22"/>
        </w:rPr>
      </w:pPr>
      <w:r>
        <w:rPr>
          <w:sz w:val="22"/>
          <w:szCs w:val="22"/>
        </w:rPr>
        <w:t xml:space="preserve">However, the recalcitrant architecture of lignocellulose limits its digestibility by standard fermentation organisms. Pretreatment becomes essential for disrupting the crystalline structure and releasing fermentable sugars. Methods such as dilute acid soaking followed by steam explosion have shown promising results in breaking down hemicellulose and partially solubilizing lignin (Suhag </w:t>
      </w:r>
      <w:r>
        <w:rPr>
          <w:i/>
          <w:sz w:val="22"/>
          <w:szCs w:val="22"/>
        </w:rPr>
        <w:t>et al.</w:t>
      </w:r>
      <w:r>
        <w:rPr>
          <w:sz w:val="22"/>
          <w:szCs w:val="22"/>
        </w:rPr>
        <w:t xml:space="preserve">, 2021; Alvira </w:t>
      </w:r>
      <w:r>
        <w:rPr>
          <w:i/>
          <w:sz w:val="22"/>
          <w:szCs w:val="22"/>
        </w:rPr>
        <w:t>et al.</w:t>
      </w:r>
      <w:r>
        <w:rPr>
          <w:sz w:val="22"/>
          <w:szCs w:val="22"/>
        </w:rPr>
        <w:t>, 2010). Steam-assisted pressure disruption at moderate temperature-pressure combinations (180 °C, 1.2 MPa) offers a balance between sugar yield and energy input, especially for small-scale rural applications (Bhatia and Jha, 2020).</w:t>
      </w:r>
    </w:p>
    <w:p w14:paraId="01966551" w14:textId="77777777" w:rsidR="00EE1B41" w:rsidRDefault="00EE68A4">
      <w:pPr>
        <w:spacing w:before="240" w:after="240" w:line="276" w:lineRule="auto"/>
        <w:jc w:val="left"/>
        <w:rPr>
          <w:sz w:val="22"/>
          <w:szCs w:val="22"/>
        </w:rPr>
      </w:pPr>
      <w:r>
        <w:rPr>
          <w:sz w:val="22"/>
          <w:szCs w:val="22"/>
        </w:rPr>
        <w:t xml:space="preserve">In recent years, fungal systems have gained attention for their enzymatic versatility in biomass degradation. Fungi such as </w:t>
      </w:r>
      <w:r>
        <w:rPr>
          <w:i/>
          <w:sz w:val="22"/>
          <w:szCs w:val="22"/>
        </w:rPr>
        <w:t>Trichoderma spp.</w:t>
      </w:r>
      <w:r>
        <w:rPr>
          <w:sz w:val="22"/>
          <w:szCs w:val="22"/>
        </w:rPr>
        <w:t xml:space="preserve"> and </w:t>
      </w:r>
      <w:r>
        <w:rPr>
          <w:i/>
          <w:sz w:val="22"/>
          <w:szCs w:val="22"/>
        </w:rPr>
        <w:t>Aspergillus spp.</w:t>
      </w:r>
      <w:r>
        <w:rPr>
          <w:sz w:val="22"/>
          <w:szCs w:val="22"/>
        </w:rPr>
        <w:t xml:space="preserve"> naturally secrete a suite of hydrolytic enzymes including cellulases, </w:t>
      </w:r>
      <w:proofErr w:type="spellStart"/>
      <w:r>
        <w:rPr>
          <w:sz w:val="22"/>
          <w:szCs w:val="22"/>
        </w:rPr>
        <w:t>hemicellulases</w:t>
      </w:r>
      <w:proofErr w:type="spellEnd"/>
      <w:r>
        <w:rPr>
          <w:sz w:val="22"/>
          <w:szCs w:val="22"/>
        </w:rPr>
        <w:t xml:space="preserve">, and pectinases (Fan </w:t>
      </w:r>
      <w:r>
        <w:rPr>
          <w:i/>
          <w:sz w:val="22"/>
          <w:szCs w:val="22"/>
        </w:rPr>
        <w:t>et al.</w:t>
      </w:r>
      <w:r>
        <w:rPr>
          <w:sz w:val="22"/>
          <w:szCs w:val="22"/>
        </w:rPr>
        <w:t xml:space="preserve">, 2020; Yadav </w:t>
      </w:r>
      <w:r>
        <w:rPr>
          <w:i/>
          <w:sz w:val="22"/>
          <w:szCs w:val="22"/>
        </w:rPr>
        <w:t>et al.</w:t>
      </w:r>
      <w:r>
        <w:rPr>
          <w:sz w:val="22"/>
          <w:szCs w:val="22"/>
        </w:rPr>
        <w:t xml:space="preserve">, 2018). Unlike mono-culture yeast systems that rely on pre-released glucose, fungal consortia can actively digest and liquefy complex substrates prior to fermentation (Patel </w:t>
      </w:r>
      <w:r>
        <w:rPr>
          <w:i/>
          <w:sz w:val="22"/>
          <w:szCs w:val="22"/>
        </w:rPr>
        <w:t>et al.</w:t>
      </w:r>
      <w:r>
        <w:rPr>
          <w:sz w:val="22"/>
          <w:szCs w:val="22"/>
        </w:rPr>
        <w:t xml:space="preserve">, 2021). </w:t>
      </w:r>
      <w:r>
        <w:rPr>
          <w:i/>
          <w:sz w:val="22"/>
          <w:szCs w:val="22"/>
        </w:rPr>
        <w:t xml:space="preserve">Trichoderma viride </w:t>
      </w:r>
      <w:r>
        <w:rPr>
          <w:sz w:val="22"/>
          <w:szCs w:val="22"/>
        </w:rPr>
        <w:t xml:space="preserve">is widely known for its role in cellulose breakdown and composting, while </w:t>
      </w:r>
      <w:r>
        <w:rPr>
          <w:i/>
          <w:sz w:val="22"/>
          <w:szCs w:val="22"/>
        </w:rPr>
        <w:t xml:space="preserve">Aspergillus </w:t>
      </w:r>
      <w:proofErr w:type="spellStart"/>
      <w:r>
        <w:rPr>
          <w:i/>
          <w:sz w:val="22"/>
          <w:szCs w:val="22"/>
        </w:rPr>
        <w:t>niger</w:t>
      </w:r>
      <w:proofErr w:type="spellEnd"/>
      <w:r>
        <w:rPr>
          <w:sz w:val="22"/>
          <w:szCs w:val="22"/>
        </w:rPr>
        <w:t xml:space="preserve"> contributes pectinase and acid-tolerant enzymatic activity, often complementing other microbes in fermentation ecosystems (Romero-Frasca </w:t>
      </w:r>
      <w:r>
        <w:rPr>
          <w:i/>
          <w:sz w:val="22"/>
          <w:szCs w:val="22"/>
        </w:rPr>
        <w:t>et al.</w:t>
      </w:r>
      <w:r>
        <w:rPr>
          <w:sz w:val="22"/>
          <w:szCs w:val="22"/>
        </w:rPr>
        <w:t xml:space="preserve">, 2021; Saini </w:t>
      </w:r>
      <w:r>
        <w:rPr>
          <w:i/>
          <w:sz w:val="22"/>
          <w:szCs w:val="22"/>
        </w:rPr>
        <w:t>et al.</w:t>
      </w:r>
      <w:r>
        <w:rPr>
          <w:sz w:val="22"/>
          <w:szCs w:val="22"/>
        </w:rPr>
        <w:t>, 2015).</w:t>
      </w:r>
    </w:p>
    <w:p w14:paraId="01B97ACB" w14:textId="77777777" w:rsidR="00EE1B41" w:rsidRDefault="00EE68A4">
      <w:pPr>
        <w:spacing w:before="240" w:after="240" w:line="276" w:lineRule="auto"/>
        <w:jc w:val="left"/>
        <w:rPr>
          <w:sz w:val="22"/>
          <w:szCs w:val="22"/>
        </w:rPr>
      </w:pPr>
      <w:r>
        <w:rPr>
          <w:sz w:val="22"/>
          <w:szCs w:val="22"/>
        </w:rPr>
        <w:t xml:space="preserve">The synergistic potential of fungal–fungal consortia has been supported by various co-cultivation models that report enhanced saccharification and better stress tolerance under semi-aerobic or ambient conditions (Zhou </w:t>
      </w:r>
      <w:r>
        <w:rPr>
          <w:i/>
          <w:sz w:val="22"/>
          <w:szCs w:val="22"/>
        </w:rPr>
        <w:t>et al.</w:t>
      </w:r>
      <w:r>
        <w:rPr>
          <w:sz w:val="22"/>
          <w:szCs w:val="22"/>
        </w:rPr>
        <w:t xml:space="preserve">, 2021). Furthermore, these fungi thrive in nutrient-limited and high organic matter </w:t>
      </w:r>
      <w:proofErr w:type="gramStart"/>
      <w:r>
        <w:rPr>
          <w:sz w:val="22"/>
          <w:szCs w:val="22"/>
        </w:rPr>
        <w:t>environments  as</w:t>
      </w:r>
      <w:proofErr w:type="gramEnd"/>
      <w:r>
        <w:rPr>
          <w:sz w:val="22"/>
          <w:szCs w:val="22"/>
        </w:rPr>
        <w:t xml:space="preserve"> seen in pond water and compost-rich niches  making them naturally adapted to </w:t>
      </w:r>
      <w:proofErr w:type="spellStart"/>
      <w:r>
        <w:rPr>
          <w:sz w:val="22"/>
          <w:szCs w:val="22"/>
        </w:rPr>
        <w:t>agro</w:t>
      </w:r>
      <w:proofErr w:type="spellEnd"/>
      <w:r>
        <w:rPr>
          <w:sz w:val="22"/>
          <w:szCs w:val="22"/>
        </w:rPr>
        <w:t>-waste systems (</w:t>
      </w:r>
      <w:proofErr w:type="spellStart"/>
      <w:r>
        <w:rPr>
          <w:sz w:val="22"/>
          <w:szCs w:val="22"/>
        </w:rPr>
        <w:t>Bokhari</w:t>
      </w:r>
      <w:proofErr w:type="spellEnd"/>
      <w:r>
        <w:rPr>
          <w:sz w:val="22"/>
          <w:szCs w:val="22"/>
        </w:rPr>
        <w:t xml:space="preserve"> </w:t>
      </w:r>
      <w:r>
        <w:rPr>
          <w:i/>
          <w:sz w:val="22"/>
          <w:szCs w:val="22"/>
        </w:rPr>
        <w:t>et al.</w:t>
      </w:r>
      <w:r>
        <w:rPr>
          <w:sz w:val="22"/>
          <w:szCs w:val="22"/>
        </w:rPr>
        <w:t>, 2019). Their ability to operate without industrial-level sterile conditions adds to their feasibility in field-scale or village-scale ethanol production settings.</w:t>
      </w:r>
    </w:p>
    <w:p w14:paraId="43A87139" w14:textId="77777777" w:rsidR="00EE1B41" w:rsidRDefault="00EE68A4">
      <w:pPr>
        <w:spacing w:before="240" w:after="240" w:line="276" w:lineRule="auto"/>
        <w:jc w:val="left"/>
        <w:rPr>
          <w:sz w:val="22"/>
          <w:szCs w:val="22"/>
        </w:rPr>
      </w:pPr>
      <w:r>
        <w:rPr>
          <w:sz w:val="22"/>
          <w:szCs w:val="22"/>
        </w:rPr>
        <w:t xml:space="preserve">Enzymatic hydrolysis often benefits from the inclusion of facilitators such as carboxymethyl cellulose (CMC), which modifies substrate accessibility and promotes </w:t>
      </w:r>
      <w:r>
        <w:rPr>
          <w:sz w:val="22"/>
          <w:szCs w:val="22"/>
        </w:rPr>
        <w:t xml:space="preserve">enzyme-substrate interaction by increasing water retention and matrix looseness (Zhang </w:t>
      </w:r>
      <w:r>
        <w:rPr>
          <w:i/>
          <w:sz w:val="22"/>
          <w:szCs w:val="22"/>
        </w:rPr>
        <w:t>et al.</w:t>
      </w:r>
      <w:r>
        <w:rPr>
          <w:sz w:val="22"/>
          <w:szCs w:val="22"/>
        </w:rPr>
        <w:t xml:space="preserve">, 2021; Chandel </w:t>
      </w:r>
      <w:r>
        <w:rPr>
          <w:i/>
          <w:sz w:val="22"/>
          <w:szCs w:val="22"/>
        </w:rPr>
        <w:t>et al.</w:t>
      </w:r>
      <w:r>
        <w:rPr>
          <w:sz w:val="22"/>
          <w:szCs w:val="22"/>
        </w:rPr>
        <w:t>, 2012). CMC-assisted fungal saccharification has been shown to increase reducing sugar yield and shorten fermentation time, especially in heterogeneous waste mixtures (Gupta and Rao, 2022).</w:t>
      </w:r>
    </w:p>
    <w:p w14:paraId="300C74E1" w14:textId="77777777" w:rsidR="00EE1B41" w:rsidRDefault="00EE68A4">
      <w:pPr>
        <w:spacing w:before="240" w:after="240" w:line="276" w:lineRule="auto"/>
        <w:jc w:val="left"/>
        <w:rPr>
          <w:sz w:val="22"/>
          <w:szCs w:val="22"/>
        </w:rPr>
      </w:pPr>
      <w:r>
        <w:rPr>
          <w:sz w:val="22"/>
          <w:szCs w:val="22"/>
        </w:rPr>
        <w:t xml:space="preserve">The fermentative stage typically relies on </w:t>
      </w:r>
      <w:r>
        <w:rPr>
          <w:i/>
          <w:sz w:val="22"/>
          <w:szCs w:val="22"/>
        </w:rPr>
        <w:t>Saccharomyces cerevisiae</w:t>
      </w:r>
      <w:r>
        <w:rPr>
          <w:sz w:val="22"/>
          <w:szCs w:val="22"/>
        </w:rPr>
        <w:t xml:space="preserve">, which is industrially preferred for its ethanol tolerance, rapid glucose uptake, and regulatory GRAS status. However, its performance is tightly linked to upstream saccharification efficiency and inhibitor levels post-pretreatment (Zhou </w:t>
      </w:r>
      <w:r>
        <w:rPr>
          <w:i/>
          <w:sz w:val="22"/>
          <w:szCs w:val="22"/>
        </w:rPr>
        <w:t>et al.</w:t>
      </w:r>
      <w:r>
        <w:rPr>
          <w:sz w:val="22"/>
          <w:szCs w:val="22"/>
        </w:rPr>
        <w:t xml:space="preserve">, 2021; Mehta and Sharma, 2021). Stress-adapted strains isolated from dried fruits or natural ferments often show improved tolerance to acidic pH and osmotic stress, making them suitable partners in fungal-integrated systems (Ali </w:t>
      </w:r>
      <w:r>
        <w:rPr>
          <w:i/>
          <w:sz w:val="22"/>
          <w:szCs w:val="22"/>
        </w:rPr>
        <w:t>et al.</w:t>
      </w:r>
      <w:r>
        <w:rPr>
          <w:sz w:val="22"/>
          <w:szCs w:val="22"/>
        </w:rPr>
        <w:t>, 2022).</w:t>
      </w:r>
    </w:p>
    <w:p w14:paraId="68ECACCF" w14:textId="77777777" w:rsidR="00EE1B41" w:rsidRDefault="00EE68A4">
      <w:pPr>
        <w:spacing w:before="240" w:after="240" w:line="276" w:lineRule="auto"/>
        <w:jc w:val="left"/>
        <w:rPr>
          <w:sz w:val="22"/>
          <w:szCs w:val="22"/>
        </w:rPr>
      </w:pPr>
      <w:r>
        <w:rPr>
          <w:sz w:val="22"/>
          <w:szCs w:val="22"/>
        </w:rPr>
        <w:t xml:space="preserve">Despite multiple advances, few studies have integrated non-bacterial, dual-fungal enzymatic systems with scalable ethanol fermentation models under realistic field conditions. Most reports rely on purified enzymes or monocultures, limiting their rural adaptability. This study introduces a two-stage fungal fermentation platform using pond-isolated </w:t>
      </w:r>
      <w:r>
        <w:rPr>
          <w:i/>
          <w:sz w:val="22"/>
          <w:szCs w:val="22"/>
        </w:rPr>
        <w:t xml:space="preserve">Trichoderma </w:t>
      </w:r>
      <w:proofErr w:type="spellStart"/>
      <w:r>
        <w:rPr>
          <w:i/>
          <w:sz w:val="22"/>
          <w:szCs w:val="22"/>
        </w:rPr>
        <w:t>viride</w:t>
      </w:r>
      <w:proofErr w:type="spellEnd"/>
      <w:r>
        <w:rPr>
          <w:i/>
          <w:sz w:val="22"/>
          <w:szCs w:val="22"/>
        </w:rPr>
        <w:t xml:space="preserve"> </w:t>
      </w:r>
      <w:r>
        <w:rPr>
          <w:sz w:val="22"/>
          <w:szCs w:val="22"/>
        </w:rPr>
        <w:t xml:space="preserve">and </w:t>
      </w:r>
      <w:r>
        <w:rPr>
          <w:i/>
          <w:sz w:val="22"/>
          <w:szCs w:val="22"/>
        </w:rPr>
        <w:t xml:space="preserve">Aspergillus </w:t>
      </w:r>
      <w:proofErr w:type="spellStart"/>
      <w:r>
        <w:rPr>
          <w:i/>
          <w:sz w:val="22"/>
          <w:szCs w:val="22"/>
        </w:rPr>
        <w:t>niger</w:t>
      </w:r>
      <w:proofErr w:type="spellEnd"/>
      <w:r>
        <w:rPr>
          <w:sz w:val="22"/>
          <w:szCs w:val="22"/>
        </w:rPr>
        <w:t>, supported by CMC-enhanced hydrolysis and semi-anaerobic fermentation using adapted S. cerevisiae. The system was applied to mixed agro-waste under low-energy pretreatment and evaluated for ethanol yield, pH drift, refractive index change, and fermentation robustness.</w:t>
      </w:r>
    </w:p>
    <w:p w14:paraId="5AAE6F91" w14:textId="77777777" w:rsidR="00EE1B41" w:rsidRDefault="00EE68A4">
      <w:pPr>
        <w:spacing w:before="240" w:after="240" w:line="276" w:lineRule="auto"/>
        <w:jc w:val="left"/>
        <w:rPr>
          <w:sz w:val="22"/>
          <w:szCs w:val="22"/>
        </w:rPr>
      </w:pPr>
      <w:r>
        <w:rPr>
          <w:sz w:val="22"/>
          <w:szCs w:val="22"/>
        </w:rPr>
        <w:t>This approach aligns with India’s climate-smart agriculture initiatives, the National Bio-Energy Mission, and broader SDG targets for sustainable fuel generation from waste.</w:t>
      </w:r>
    </w:p>
    <w:p w14:paraId="70FAFCDE" w14:textId="77777777" w:rsidR="00EE1B41" w:rsidRDefault="00EE68A4">
      <w:pPr>
        <w:numPr>
          <w:ilvl w:val="0"/>
          <w:numId w:val="3"/>
        </w:numPr>
        <w:pBdr>
          <w:top w:val="nil"/>
          <w:left w:val="nil"/>
          <w:bottom w:val="nil"/>
          <w:right w:val="nil"/>
          <w:between w:val="nil"/>
        </w:pBdr>
        <w:spacing w:before="280" w:after="280" w:line="276" w:lineRule="auto"/>
        <w:jc w:val="left"/>
        <w:rPr>
          <w:b/>
          <w:color w:val="000000"/>
          <w:sz w:val="22"/>
          <w:szCs w:val="22"/>
        </w:rPr>
      </w:pPr>
      <w:r>
        <w:rPr>
          <w:b/>
          <w:color w:val="000000"/>
          <w:sz w:val="22"/>
          <w:szCs w:val="22"/>
        </w:rPr>
        <w:t>LITRATURE REVIEW</w:t>
      </w:r>
    </w:p>
    <w:p w14:paraId="67C3BFC4" w14:textId="77777777" w:rsidR="00EE1B41" w:rsidRDefault="00EE68A4">
      <w:pPr>
        <w:spacing w:before="240" w:after="240" w:line="276" w:lineRule="auto"/>
        <w:jc w:val="left"/>
        <w:rPr>
          <w:sz w:val="22"/>
          <w:szCs w:val="22"/>
        </w:rPr>
      </w:pPr>
      <w:r>
        <w:rPr>
          <w:sz w:val="22"/>
          <w:szCs w:val="22"/>
        </w:rPr>
        <w:t xml:space="preserve">The conversion of lignocellulosic biomass into fermentable sugars for ethanol production has been a focus of bioenergy research for decades. Traditionally, chemical and thermochemical pretreatment methods like dilute acid hydrolysis and steam explosion have been employed to disrupt the complex structure of plant biomass (Alvira </w:t>
      </w:r>
      <w:r>
        <w:rPr>
          <w:i/>
          <w:sz w:val="22"/>
          <w:szCs w:val="22"/>
        </w:rPr>
        <w:t>et al.</w:t>
      </w:r>
      <w:r>
        <w:rPr>
          <w:sz w:val="22"/>
          <w:szCs w:val="22"/>
        </w:rPr>
        <w:t xml:space="preserve">, 2010; Suhag </w:t>
      </w:r>
      <w:r>
        <w:rPr>
          <w:i/>
          <w:sz w:val="22"/>
          <w:szCs w:val="22"/>
        </w:rPr>
        <w:t>et al.</w:t>
      </w:r>
      <w:r>
        <w:rPr>
          <w:sz w:val="22"/>
          <w:szCs w:val="22"/>
        </w:rPr>
        <w:t xml:space="preserve">, 2021). Steam explosion at moderate pressures (1.0–1.5 MPa) and temperatures (170–200 °C) has been especially </w:t>
      </w:r>
      <w:r>
        <w:rPr>
          <w:sz w:val="22"/>
          <w:szCs w:val="22"/>
        </w:rPr>
        <w:lastRenderedPageBreak/>
        <w:t xml:space="preserve">effective in solubilizing hemicellulose and increasing cellulose accessibility, particularly when combined with prior acid soaking (Kumar </w:t>
      </w:r>
      <w:r>
        <w:rPr>
          <w:i/>
          <w:sz w:val="22"/>
          <w:szCs w:val="22"/>
        </w:rPr>
        <w:t>et al.</w:t>
      </w:r>
      <w:r>
        <w:rPr>
          <w:sz w:val="22"/>
          <w:szCs w:val="22"/>
        </w:rPr>
        <w:t>, 2022; Bhatia and Jha, 2020).</w:t>
      </w:r>
    </w:p>
    <w:p w14:paraId="5BA0AA6D" w14:textId="77777777" w:rsidR="00EE1B41" w:rsidRDefault="00EE68A4">
      <w:pPr>
        <w:spacing w:before="240" w:after="240" w:line="276" w:lineRule="auto"/>
        <w:jc w:val="left"/>
        <w:rPr>
          <w:sz w:val="22"/>
          <w:szCs w:val="22"/>
        </w:rPr>
      </w:pPr>
      <w:r>
        <w:rPr>
          <w:sz w:val="22"/>
          <w:szCs w:val="22"/>
        </w:rPr>
        <w:t xml:space="preserve">Fungal bioconversion, using organisms such as </w:t>
      </w:r>
      <w:r>
        <w:rPr>
          <w:i/>
          <w:sz w:val="22"/>
          <w:szCs w:val="22"/>
        </w:rPr>
        <w:t>Trichoderma spp.</w:t>
      </w:r>
      <w:r>
        <w:rPr>
          <w:sz w:val="22"/>
          <w:szCs w:val="22"/>
        </w:rPr>
        <w:t xml:space="preserve"> and </w:t>
      </w:r>
      <w:r>
        <w:rPr>
          <w:i/>
          <w:sz w:val="22"/>
          <w:szCs w:val="22"/>
        </w:rPr>
        <w:t>Aspergillus spp.</w:t>
      </w:r>
      <w:r>
        <w:rPr>
          <w:sz w:val="22"/>
          <w:szCs w:val="22"/>
        </w:rPr>
        <w:t xml:space="preserve">, offers a more sustainable approach due to their ability to secrete multiple lignocellulolytic enzymes, including endoglucanases, β-glucosidases, and pectinases (Yadav </w:t>
      </w:r>
      <w:r>
        <w:rPr>
          <w:i/>
          <w:sz w:val="22"/>
          <w:szCs w:val="22"/>
        </w:rPr>
        <w:t>et al.</w:t>
      </w:r>
      <w:r>
        <w:rPr>
          <w:sz w:val="22"/>
          <w:szCs w:val="22"/>
        </w:rPr>
        <w:t xml:space="preserve">, 2018; Saini </w:t>
      </w:r>
      <w:r>
        <w:rPr>
          <w:i/>
          <w:sz w:val="22"/>
          <w:szCs w:val="22"/>
        </w:rPr>
        <w:t>et al.</w:t>
      </w:r>
      <w:r>
        <w:rPr>
          <w:sz w:val="22"/>
          <w:szCs w:val="22"/>
        </w:rPr>
        <w:t xml:space="preserve">, 2015). </w:t>
      </w:r>
      <w:r>
        <w:rPr>
          <w:i/>
          <w:sz w:val="22"/>
          <w:szCs w:val="22"/>
        </w:rPr>
        <w:t xml:space="preserve">Trichoderma viride </w:t>
      </w:r>
      <w:r>
        <w:rPr>
          <w:sz w:val="22"/>
          <w:szCs w:val="22"/>
        </w:rPr>
        <w:t xml:space="preserve">has been widely used in composting, bio-enzyme production, and cellulose degradation, while </w:t>
      </w:r>
      <w:r>
        <w:rPr>
          <w:i/>
          <w:sz w:val="22"/>
          <w:szCs w:val="22"/>
        </w:rPr>
        <w:t xml:space="preserve">Aspergillus </w:t>
      </w:r>
      <w:proofErr w:type="spellStart"/>
      <w:r>
        <w:rPr>
          <w:i/>
          <w:sz w:val="22"/>
          <w:szCs w:val="22"/>
        </w:rPr>
        <w:t>niger</w:t>
      </w:r>
      <w:proofErr w:type="spellEnd"/>
      <w:r>
        <w:rPr>
          <w:sz w:val="22"/>
          <w:szCs w:val="22"/>
        </w:rPr>
        <w:t xml:space="preserve"> is known for its acidic tolerance and its role in the production of industrial enzymes such as glucoamylase and pectinase (Patel </w:t>
      </w:r>
      <w:r>
        <w:rPr>
          <w:i/>
          <w:sz w:val="22"/>
          <w:szCs w:val="22"/>
        </w:rPr>
        <w:t>et al.</w:t>
      </w:r>
      <w:r>
        <w:rPr>
          <w:sz w:val="22"/>
          <w:szCs w:val="22"/>
        </w:rPr>
        <w:t xml:space="preserve">, 2021; Romero-Frasca </w:t>
      </w:r>
      <w:r>
        <w:rPr>
          <w:i/>
          <w:sz w:val="22"/>
          <w:szCs w:val="22"/>
        </w:rPr>
        <w:t>et al.</w:t>
      </w:r>
      <w:r>
        <w:rPr>
          <w:sz w:val="22"/>
          <w:szCs w:val="22"/>
        </w:rPr>
        <w:t>, 2021).</w:t>
      </w:r>
    </w:p>
    <w:p w14:paraId="3DB70AD6" w14:textId="77777777" w:rsidR="00EE1B41" w:rsidRDefault="00EE68A4">
      <w:pPr>
        <w:spacing w:before="240" w:after="240" w:line="276" w:lineRule="auto"/>
        <w:jc w:val="left"/>
        <w:rPr>
          <w:sz w:val="22"/>
          <w:szCs w:val="22"/>
        </w:rPr>
      </w:pPr>
      <w:r>
        <w:rPr>
          <w:sz w:val="22"/>
          <w:szCs w:val="22"/>
        </w:rPr>
        <w:t xml:space="preserve">Several studies have examined the enzymatic synergy between fungal strains for biomass liquefaction. For instance, co-cultivation of </w:t>
      </w:r>
      <w:r>
        <w:rPr>
          <w:i/>
          <w:sz w:val="22"/>
          <w:szCs w:val="22"/>
        </w:rPr>
        <w:t xml:space="preserve">T. </w:t>
      </w:r>
      <w:proofErr w:type="spellStart"/>
      <w:r>
        <w:rPr>
          <w:i/>
          <w:sz w:val="22"/>
          <w:szCs w:val="22"/>
        </w:rPr>
        <w:t>reesei</w:t>
      </w:r>
      <w:proofErr w:type="spellEnd"/>
      <w:r>
        <w:rPr>
          <w:sz w:val="22"/>
          <w:szCs w:val="22"/>
        </w:rPr>
        <w:t xml:space="preserve"> with </w:t>
      </w:r>
      <w:r>
        <w:rPr>
          <w:i/>
          <w:sz w:val="22"/>
          <w:szCs w:val="22"/>
        </w:rPr>
        <w:t xml:space="preserve">A. </w:t>
      </w:r>
      <w:proofErr w:type="spellStart"/>
      <w:r>
        <w:rPr>
          <w:i/>
          <w:sz w:val="22"/>
          <w:szCs w:val="22"/>
        </w:rPr>
        <w:t>niger</w:t>
      </w:r>
      <w:proofErr w:type="spellEnd"/>
      <w:r>
        <w:rPr>
          <w:sz w:val="22"/>
          <w:szCs w:val="22"/>
        </w:rPr>
        <w:t xml:space="preserve"> was reported to enhance xylanase and pectinase activity, improving saccharification of mixed </w:t>
      </w:r>
      <w:proofErr w:type="spellStart"/>
      <w:r>
        <w:rPr>
          <w:sz w:val="22"/>
          <w:szCs w:val="22"/>
        </w:rPr>
        <w:t>agro</w:t>
      </w:r>
      <w:proofErr w:type="spellEnd"/>
      <w:r>
        <w:rPr>
          <w:sz w:val="22"/>
          <w:szCs w:val="22"/>
        </w:rPr>
        <w:t xml:space="preserve">-residues (Zhang </w:t>
      </w:r>
      <w:r>
        <w:rPr>
          <w:i/>
          <w:sz w:val="22"/>
          <w:szCs w:val="22"/>
        </w:rPr>
        <w:t>et al.</w:t>
      </w:r>
      <w:r>
        <w:rPr>
          <w:sz w:val="22"/>
          <w:szCs w:val="22"/>
        </w:rPr>
        <w:t xml:space="preserve">, 2021). Similarly, T. viride paired with </w:t>
      </w:r>
      <w:r>
        <w:rPr>
          <w:i/>
          <w:sz w:val="22"/>
          <w:szCs w:val="22"/>
        </w:rPr>
        <w:t xml:space="preserve">Penicillium </w:t>
      </w:r>
      <w:proofErr w:type="spellStart"/>
      <w:r>
        <w:rPr>
          <w:i/>
          <w:sz w:val="22"/>
          <w:szCs w:val="22"/>
        </w:rPr>
        <w:t>chrysogenum</w:t>
      </w:r>
      <w:proofErr w:type="spellEnd"/>
      <w:r>
        <w:rPr>
          <w:sz w:val="22"/>
          <w:szCs w:val="22"/>
        </w:rPr>
        <w:t xml:space="preserve"> increased the release of reducing sugars from sugarcane bagasse, due to complementary action on cellulose and hemicellulose fractions (Bokhari </w:t>
      </w:r>
      <w:r>
        <w:rPr>
          <w:i/>
          <w:sz w:val="22"/>
          <w:szCs w:val="22"/>
        </w:rPr>
        <w:t>et al.</w:t>
      </w:r>
      <w:r>
        <w:rPr>
          <w:sz w:val="22"/>
          <w:szCs w:val="22"/>
        </w:rPr>
        <w:t>, 2019). However, many of these studies were limited to laboratory-scale enzyme assays or used pure cellulose rather than heterogeneous field-collected biomass.</w:t>
      </w:r>
    </w:p>
    <w:p w14:paraId="32279B85" w14:textId="77777777" w:rsidR="00EE1B41" w:rsidRDefault="00EE68A4">
      <w:pPr>
        <w:spacing w:before="240" w:after="240" w:line="276" w:lineRule="auto"/>
        <w:jc w:val="left"/>
        <w:rPr>
          <w:sz w:val="22"/>
          <w:szCs w:val="22"/>
        </w:rPr>
      </w:pPr>
      <w:r>
        <w:rPr>
          <w:sz w:val="22"/>
          <w:szCs w:val="22"/>
        </w:rPr>
        <w:t xml:space="preserve">The inclusion of carboxymethyl cellulose (CMC) as a saccharification aid has also been shown to increase reducing sugar yield by loosening the substrate matrix and increasing water retention (Chandel </w:t>
      </w:r>
      <w:r>
        <w:rPr>
          <w:i/>
          <w:sz w:val="22"/>
          <w:szCs w:val="22"/>
        </w:rPr>
        <w:t>et al.</w:t>
      </w:r>
      <w:r>
        <w:rPr>
          <w:sz w:val="22"/>
          <w:szCs w:val="22"/>
        </w:rPr>
        <w:t>, 2012; Gupta and Rao, 2022). When used alongside fungal enzymes, CMC improves contact between enzyme and substrate, particularly in complex substrates like fruit–vegetable pulp mixtures.</w:t>
      </w:r>
    </w:p>
    <w:p w14:paraId="348606BF" w14:textId="77777777" w:rsidR="00EE1B41" w:rsidRDefault="00EE68A4">
      <w:pPr>
        <w:spacing w:before="240" w:after="240" w:line="276" w:lineRule="auto"/>
        <w:jc w:val="left"/>
        <w:rPr>
          <w:sz w:val="22"/>
          <w:szCs w:val="22"/>
        </w:rPr>
      </w:pPr>
      <w:r>
        <w:rPr>
          <w:sz w:val="22"/>
          <w:szCs w:val="22"/>
        </w:rPr>
        <w:t xml:space="preserve">Fermentation following enzymatic hydrolysis typically relies on </w:t>
      </w:r>
      <w:r>
        <w:rPr>
          <w:i/>
          <w:sz w:val="22"/>
          <w:szCs w:val="22"/>
        </w:rPr>
        <w:t>Saccharomyces cerevisiae</w:t>
      </w:r>
      <w:r>
        <w:rPr>
          <w:sz w:val="22"/>
          <w:szCs w:val="22"/>
        </w:rPr>
        <w:t xml:space="preserve">, which is capable of tolerating ethanol concentrations up to 14% (v/v) under optimized conditions (Ali </w:t>
      </w:r>
      <w:r>
        <w:rPr>
          <w:i/>
          <w:sz w:val="22"/>
          <w:szCs w:val="22"/>
        </w:rPr>
        <w:t>et al.</w:t>
      </w:r>
      <w:r>
        <w:rPr>
          <w:sz w:val="22"/>
          <w:szCs w:val="22"/>
        </w:rPr>
        <w:t xml:space="preserve">, 2022; Mehta and Sharma, 2021). Some studies have reported the use of wild-type yeast isolates adapted to higher sugar and ethanol concentrations from natural ferments, such as dried figs and palm sap (Romero-Frasca </w:t>
      </w:r>
      <w:r>
        <w:rPr>
          <w:i/>
          <w:sz w:val="22"/>
          <w:szCs w:val="22"/>
        </w:rPr>
        <w:t>et al.</w:t>
      </w:r>
      <w:r>
        <w:rPr>
          <w:sz w:val="22"/>
          <w:szCs w:val="22"/>
        </w:rPr>
        <w:t xml:space="preserve">, 2021; Das </w:t>
      </w:r>
      <w:r>
        <w:rPr>
          <w:i/>
          <w:sz w:val="22"/>
          <w:szCs w:val="22"/>
        </w:rPr>
        <w:t>et al.</w:t>
      </w:r>
      <w:r>
        <w:rPr>
          <w:sz w:val="22"/>
          <w:szCs w:val="22"/>
        </w:rPr>
        <w:t xml:space="preserve">, 2020). These strains exhibit higher stress tolerance, especially under pH fluctuations and </w:t>
      </w:r>
      <w:r>
        <w:rPr>
          <w:sz w:val="22"/>
          <w:szCs w:val="22"/>
        </w:rPr>
        <w:t>in the presence of residual inhibitors from pretreatment steps.</w:t>
      </w:r>
    </w:p>
    <w:p w14:paraId="14BDA787" w14:textId="77777777" w:rsidR="00EE1B41" w:rsidRDefault="00EE68A4">
      <w:pPr>
        <w:spacing w:before="240" w:after="240" w:line="276" w:lineRule="auto"/>
        <w:jc w:val="left"/>
        <w:rPr>
          <w:sz w:val="22"/>
          <w:szCs w:val="22"/>
        </w:rPr>
      </w:pPr>
      <w:r>
        <w:rPr>
          <w:sz w:val="22"/>
          <w:szCs w:val="22"/>
        </w:rPr>
        <w:t xml:space="preserve">Despite advances in fungal fermentation, most ethanol studies still focus on mono-culture models or require expensive enzyme purification (Zhou </w:t>
      </w:r>
      <w:r>
        <w:rPr>
          <w:i/>
          <w:sz w:val="22"/>
          <w:szCs w:val="22"/>
        </w:rPr>
        <w:t>et al.</w:t>
      </w:r>
      <w:r>
        <w:rPr>
          <w:sz w:val="22"/>
          <w:szCs w:val="22"/>
        </w:rPr>
        <w:t>, 2021; Singh and Chaurasia, 2022). Few have attempted to develop integrated, fungal-only systems that are capable of both hydrolysis and fermentation support using real, mixed agro-waste under low-energy pretreatment. There is also a lack of scalable models employing field-adapted fungal isolates, particularly those sourced from nutrient-rich environments like pond sediments or composting zones.</w:t>
      </w:r>
    </w:p>
    <w:p w14:paraId="4AD0AD39" w14:textId="77777777" w:rsidR="00EE1B41" w:rsidRDefault="00EE68A4">
      <w:pPr>
        <w:pBdr>
          <w:top w:val="nil"/>
          <w:left w:val="nil"/>
          <w:bottom w:val="nil"/>
          <w:right w:val="nil"/>
          <w:between w:val="nil"/>
        </w:pBdr>
        <w:spacing w:before="280" w:after="280" w:line="276" w:lineRule="auto"/>
        <w:jc w:val="left"/>
        <w:rPr>
          <w:color w:val="000000"/>
          <w:sz w:val="22"/>
          <w:szCs w:val="22"/>
        </w:rPr>
      </w:pPr>
      <w:bookmarkStart w:id="1" w:name="_heading=h.ki9n7ywhi6x5" w:colFirst="0" w:colLast="0"/>
      <w:bookmarkEnd w:id="1"/>
      <w:r>
        <w:rPr>
          <w:color w:val="000000"/>
          <w:sz w:val="22"/>
          <w:szCs w:val="22"/>
        </w:rPr>
        <w:t>Therefore, this study aims to bridge these gaps by using a compatible, pond-isolated fungal consortium (</w:t>
      </w:r>
      <w:r>
        <w:rPr>
          <w:i/>
          <w:color w:val="000000"/>
          <w:sz w:val="22"/>
          <w:szCs w:val="22"/>
        </w:rPr>
        <w:t xml:space="preserve">Trichoderma </w:t>
      </w:r>
      <w:proofErr w:type="spellStart"/>
      <w:r>
        <w:rPr>
          <w:i/>
          <w:color w:val="000000"/>
          <w:sz w:val="22"/>
          <w:szCs w:val="22"/>
        </w:rPr>
        <w:t>viride</w:t>
      </w:r>
      <w:proofErr w:type="spellEnd"/>
      <w:r>
        <w:rPr>
          <w:i/>
          <w:color w:val="000000"/>
          <w:sz w:val="22"/>
          <w:szCs w:val="22"/>
        </w:rPr>
        <w:t xml:space="preserve"> </w:t>
      </w:r>
      <w:r>
        <w:rPr>
          <w:color w:val="000000"/>
          <w:sz w:val="22"/>
          <w:szCs w:val="22"/>
        </w:rPr>
        <w:t xml:space="preserve">and </w:t>
      </w:r>
      <w:r>
        <w:rPr>
          <w:i/>
          <w:color w:val="000000"/>
          <w:sz w:val="22"/>
          <w:szCs w:val="22"/>
        </w:rPr>
        <w:t xml:space="preserve">Aspergillus </w:t>
      </w:r>
      <w:proofErr w:type="spellStart"/>
      <w:r>
        <w:rPr>
          <w:i/>
          <w:color w:val="000000"/>
          <w:sz w:val="22"/>
          <w:szCs w:val="22"/>
        </w:rPr>
        <w:t>niger</w:t>
      </w:r>
      <w:proofErr w:type="spellEnd"/>
      <w:r>
        <w:rPr>
          <w:color w:val="000000"/>
          <w:sz w:val="22"/>
          <w:szCs w:val="22"/>
        </w:rPr>
        <w:t xml:space="preserve">) for enzymatic hydrolysis, enhanced by CMC, followed by fermentation using stress-adapted </w:t>
      </w:r>
      <w:r>
        <w:rPr>
          <w:i/>
          <w:color w:val="000000"/>
          <w:sz w:val="22"/>
          <w:szCs w:val="22"/>
        </w:rPr>
        <w:t>S. cerevisiae</w:t>
      </w:r>
      <w:r>
        <w:rPr>
          <w:color w:val="000000"/>
          <w:sz w:val="22"/>
          <w:szCs w:val="22"/>
        </w:rPr>
        <w:t>. The approach is designed for small-scale, decentralized ethanol production using mixed agro-residues under moderate processing conditions, aligning with sustainable biofuel strategies.</w:t>
      </w:r>
    </w:p>
    <w:p w14:paraId="429252FA" w14:textId="77777777" w:rsidR="00EE1B41" w:rsidRDefault="00EE68A4">
      <w:pPr>
        <w:numPr>
          <w:ilvl w:val="0"/>
          <w:numId w:val="3"/>
        </w:numPr>
        <w:pBdr>
          <w:top w:val="nil"/>
          <w:left w:val="nil"/>
          <w:bottom w:val="nil"/>
          <w:right w:val="nil"/>
          <w:between w:val="nil"/>
        </w:pBdr>
        <w:spacing w:before="280" w:after="280" w:line="276" w:lineRule="auto"/>
        <w:jc w:val="left"/>
        <w:rPr>
          <w:b/>
          <w:color w:val="000000"/>
          <w:sz w:val="22"/>
          <w:szCs w:val="22"/>
        </w:rPr>
      </w:pPr>
      <w:r>
        <w:rPr>
          <w:b/>
          <w:color w:val="000000"/>
          <w:sz w:val="22"/>
          <w:szCs w:val="22"/>
        </w:rPr>
        <w:t xml:space="preserve"> MATERIALS AND METHODS</w:t>
      </w:r>
    </w:p>
    <w:p w14:paraId="0286108C" w14:textId="77777777" w:rsidR="00EE1B41" w:rsidRDefault="00EE68A4">
      <w:pPr>
        <w:numPr>
          <w:ilvl w:val="0"/>
          <w:numId w:val="2"/>
        </w:numPr>
        <w:pBdr>
          <w:top w:val="nil"/>
          <w:left w:val="nil"/>
          <w:bottom w:val="nil"/>
          <w:right w:val="nil"/>
          <w:between w:val="nil"/>
        </w:pBdr>
        <w:spacing w:before="280" w:after="280" w:line="276" w:lineRule="auto"/>
        <w:jc w:val="left"/>
        <w:rPr>
          <w:b/>
          <w:sz w:val="18"/>
          <w:szCs w:val="18"/>
        </w:rPr>
      </w:pPr>
      <w:r>
        <w:rPr>
          <w:b/>
          <w:sz w:val="18"/>
          <w:szCs w:val="18"/>
        </w:rPr>
        <w:t>Collection and Preparation of Substrates</w:t>
      </w:r>
    </w:p>
    <w:p w14:paraId="6C358886" w14:textId="77777777" w:rsidR="00EE1B41" w:rsidRDefault="00EE68A4">
      <w:pPr>
        <w:spacing w:before="240" w:after="240" w:line="276" w:lineRule="auto"/>
        <w:jc w:val="left"/>
        <w:rPr>
          <w:sz w:val="22"/>
          <w:szCs w:val="22"/>
        </w:rPr>
      </w:pPr>
      <w:bookmarkStart w:id="2" w:name="_heading=h.olrh883uuzm5" w:colFirst="0" w:colLast="0"/>
      <w:bookmarkEnd w:id="2"/>
      <w:r>
        <w:rPr>
          <w:sz w:val="22"/>
          <w:szCs w:val="22"/>
        </w:rPr>
        <w:t xml:space="preserve">Agro-waste samples were collected from roadside vegetable vendors, juice stalls, and agro-industrial waste points near the MIET campus, Meerut (Uttar Pradesh, India). The biomass included sugarcane bagasse, mixed fruit pulp (mainly orange, pomegranate, papaya), and decaying vegetable residues (cabbage, bottle gourd, and tomato). All samples were washed with sterile water, chopped into 2–4 cm fragments, and stored at 4 °C until further use (Gupta and Rao, 2022; Suhag </w:t>
      </w:r>
      <w:r>
        <w:rPr>
          <w:i/>
          <w:sz w:val="22"/>
          <w:szCs w:val="22"/>
        </w:rPr>
        <w:t>et al.</w:t>
      </w:r>
      <w:r>
        <w:rPr>
          <w:sz w:val="22"/>
          <w:szCs w:val="22"/>
        </w:rPr>
        <w:t>, 2021</w:t>
      </w:r>
      <w:proofErr w:type="gramStart"/>
      <w:r>
        <w:rPr>
          <w:sz w:val="22"/>
          <w:szCs w:val="22"/>
        </w:rPr>
        <w:t>).The</w:t>
      </w:r>
      <w:proofErr w:type="gramEnd"/>
      <w:r>
        <w:rPr>
          <w:sz w:val="22"/>
          <w:szCs w:val="22"/>
        </w:rPr>
        <w:t xml:space="preserve"> mixture was homogenized manually and weighed to maintain a dry matter content of 8–10%. Equal quantities were pooled into sterile flasks for pretreatment.</w:t>
      </w:r>
    </w:p>
    <w:tbl>
      <w:tblPr>
        <w:tblStyle w:val="ab"/>
        <w:tblW w:w="4272" w:type="dxa"/>
        <w:tblInd w:w="-108"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400" w:firstRow="0" w:lastRow="0" w:firstColumn="0" w:lastColumn="0" w:noHBand="0" w:noVBand="1"/>
      </w:tblPr>
      <w:tblGrid>
        <w:gridCol w:w="2136"/>
        <w:gridCol w:w="2136"/>
      </w:tblGrid>
      <w:tr w:rsidR="00EE1B41" w14:paraId="2AC81749" w14:textId="77777777">
        <w:tc>
          <w:tcPr>
            <w:tcW w:w="2136" w:type="dxa"/>
            <w:tcBorders>
              <w:top w:val="single" w:sz="6" w:space="0" w:color="000000"/>
              <w:left w:val="single" w:sz="6" w:space="0" w:color="000000"/>
              <w:bottom w:val="single" w:sz="6" w:space="0" w:color="000000"/>
              <w:right w:val="single" w:sz="6" w:space="0" w:color="000000"/>
            </w:tcBorders>
          </w:tcPr>
          <w:p w14:paraId="5CC36954" w14:textId="77777777" w:rsidR="00EE1B41" w:rsidRDefault="00EE68A4">
            <w:pPr>
              <w:spacing w:before="240" w:after="240" w:line="276" w:lineRule="auto"/>
            </w:pPr>
            <w:r>
              <w:rPr>
                <w:noProof/>
              </w:rPr>
              <w:drawing>
                <wp:inline distT="0" distB="0" distL="0" distR="0" wp14:anchorId="02425746" wp14:editId="461AD738">
                  <wp:extent cx="1217947" cy="914400"/>
                  <wp:effectExtent l="0" t="0" r="0" b="0"/>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217947" cy="914400"/>
                          </a:xfrm>
                          <a:prstGeom prst="rect">
                            <a:avLst/>
                          </a:prstGeom>
                          <a:ln/>
                        </pic:spPr>
                      </pic:pic>
                    </a:graphicData>
                  </a:graphic>
                </wp:inline>
              </w:drawing>
            </w:r>
          </w:p>
        </w:tc>
        <w:tc>
          <w:tcPr>
            <w:tcW w:w="2136" w:type="dxa"/>
            <w:tcBorders>
              <w:top w:val="single" w:sz="6" w:space="0" w:color="000000"/>
              <w:left w:val="single" w:sz="6" w:space="0" w:color="000000"/>
              <w:bottom w:val="single" w:sz="6" w:space="0" w:color="000000"/>
              <w:right w:val="single" w:sz="6" w:space="0" w:color="000000"/>
            </w:tcBorders>
          </w:tcPr>
          <w:p w14:paraId="4FAC9474" w14:textId="77777777" w:rsidR="00EE1B41" w:rsidRDefault="00EE68A4">
            <w:pPr>
              <w:spacing w:before="240" w:after="240" w:line="276" w:lineRule="auto"/>
            </w:pPr>
            <w:r>
              <w:rPr>
                <w:noProof/>
              </w:rPr>
              <w:drawing>
                <wp:inline distT="0" distB="0" distL="0" distR="0" wp14:anchorId="0EBF616E" wp14:editId="5F097A86">
                  <wp:extent cx="1219283" cy="914400"/>
                  <wp:effectExtent l="0" t="0" r="0" b="0"/>
                  <wp:docPr id="2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1219283" cy="914400"/>
                          </a:xfrm>
                          <a:prstGeom prst="rect">
                            <a:avLst/>
                          </a:prstGeom>
                          <a:ln/>
                        </pic:spPr>
                      </pic:pic>
                    </a:graphicData>
                  </a:graphic>
                </wp:inline>
              </w:drawing>
            </w:r>
          </w:p>
        </w:tc>
      </w:tr>
    </w:tbl>
    <w:p w14:paraId="593209A2" w14:textId="77777777" w:rsidR="00EE1B41" w:rsidRDefault="00EE68A4">
      <w:pPr>
        <w:numPr>
          <w:ilvl w:val="0"/>
          <w:numId w:val="7"/>
        </w:numPr>
        <w:pBdr>
          <w:top w:val="nil"/>
          <w:left w:val="nil"/>
          <w:bottom w:val="nil"/>
          <w:right w:val="nil"/>
          <w:between w:val="nil"/>
        </w:pBdr>
        <w:spacing w:before="240" w:line="276" w:lineRule="auto"/>
        <w:jc w:val="left"/>
        <w:rPr>
          <w:b/>
          <w:color w:val="000000"/>
          <w:sz w:val="18"/>
          <w:szCs w:val="18"/>
        </w:rPr>
      </w:pPr>
      <w:r>
        <w:rPr>
          <w:b/>
          <w:color w:val="000000"/>
          <w:sz w:val="18"/>
          <w:szCs w:val="18"/>
        </w:rPr>
        <w:lastRenderedPageBreak/>
        <w:t>Fig 1(wasted fruit taken from local market,)</w:t>
      </w:r>
    </w:p>
    <w:p w14:paraId="6FA87BF1" w14:textId="77777777" w:rsidR="00EE1B41" w:rsidRDefault="00EE68A4">
      <w:pPr>
        <w:numPr>
          <w:ilvl w:val="0"/>
          <w:numId w:val="7"/>
        </w:numPr>
        <w:pBdr>
          <w:top w:val="nil"/>
          <w:left w:val="nil"/>
          <w:bottom w:val="nil"/>
          <w:right w:val="nil"/>
          <w:between w:val="nil"/>
        </w:pBdr>
        <w:spacing w:after="240" w:line="276" w:lineRule="auto"/>
        <w:jc w:val="left"/>
        <w:rPr>
          <w:b/>
          <w:color w:val="000000"/>
          <w:sz w:val="18"/>
          <w:szCs w:val="18"/>
        </w:rPr>
      </w:pPr>
      <w:r>
        <w:rPr>
          <w:b/>
          <w:color w:val="000000"/>
          <w:sz w:val="18"/>
          <w:szCs w:val="18"/>
        </w:rPr>
        <w:t>Fig 2 (wasted agro-waste near MIET, INDIA</w:t>
      </w:r>
    </w:p>
    <w:p w14:paraId="2DA7C290" w14:textId="77777777" w:rsidR="00EE1B41" w:rsidRDefault="00EE68A4">
      <w:pPr>
        <w:numPr>
          <w:ilvl w:val="0"/>
          <w:numId w:val="2"/>
        </w:numPr>
        <w:pBdr>
          <w:top w:val="nil"/>
          <w:left w:val="nil"/>
          <w:bottom w:val="nil"/>
          <w:right w:val="nil"/>
          <w:between w:val="nil"/>
        </w:pBdr>
        <w:spacing w:after="240" w:line="276" w:lineRule="auto"/>
        <w:jc w:val="left"/>
        <w:rPr>
          <w:b/>
          <w:color w:val="000000"/>
          <w:sz w:val="18"/>
          <w:szCs w:val="18"/>
        </w:rPr>
      </w:pPr>
      <w:r>
        <w:rPr>
          <w:b/>
          <w:color w:val="000000"/>
          <w:sz w:val="18"/>
          <w:szCs w:val="18"/>
        </w:rPr>
        <w:t xml:space="preserve">Acid Soaking and Steam </w:t>
      </w:r>
      <w:proofErr w:type="gramStart"/>
      <w:r>
        <w:rPr>
          <w:b/>
          <w:color w:val="000000"/>
          <w:sz w:val="18"/>
          <w:szCs w:val="18"/>
        </w:rPr>
        <w:t>Explosion  Pretreatment</w:t>
      </w:r>
      <w:proofErr w:type="gramEnd"/>
    </w:p>
    <w:p w14:paraId="17DFEB73" w14:textId="77777777" w:rsidR="00EE1B41" w:rsidRDefault="00EE68A4">
      <w:pPr>
        <w:spacing w:before="240" w:after="240" w:line="276" w:lineRule="auto"/>
        <w:jc w:val="left"/>
        <w:rPr>
          <w:b/>
          <w:sz w:val="18"/>
          <w:szCs w:val="18"/>
        </w:rPr>
      </w:pPr>
      <w:r>
        <w:rPr>
          <w:b/>
          <w:sz w:val="18"/>
          <w:szCs w:val="18"/>
        </w:rPr>
        <w:t>Pretreatment was performed in two sequential stages:</w:t>
      </w:r>
    </w:p>
    <w:p w14:paraId="04586C27" w14:textId="77777777" w:rsidR="00EE1B41" w:rsidRDefault="00EE68A4">
      <w:pPr>
        <w:spacing w:before="240" w:line="276" w:lineRule="auto"/>
        <w:jc w:val="left"/>
        <w:rPr>
          <w:sz w:val="22"/>
          <w:szCs w:val="22"/>
        </w:rPr>
      </w:pPr>
      <w:r>
        <w:rPr>
          <w:b/>
          <w:sz w:val="22"/>
          <w:szCs w:val="22"/>
        </w:rPr>
        <w:t xml:space="preserve">Acid Soaking: </w:t>
      </w:r>
      <w:r>
        <w:rPr>
          <w:sz w:val="22"/>
          <w:szCs w:val="22"/>
        </w:rPr>
        <w:t xml:space="preserve">Chopped biomass was soaked in 10% (v/v) H₂SO₄ overnight (16 hours) at room temperature (~28 °C) for hemicellulose disruption and microbial deactivation (Chandel </w:t>
      </w:r>
      <w:r>
        <w:rPr>
          <w:i/>
          <w:sz w:val="22"/>
          <w:szCs w:val="22"/>
        </w:rPr>
        <w:t>et al.</w:t>
      </w:r>
      <w:r>
        <w:rPr>
          <w:sz w:val="22"/>
          <w:szCs w:val="22"/>
        </w:rPr>
        <w:t>, 2012).</w:t>
      </w:r>
      <w:r>
        <w:rPr>
          <w:sz w:val="22"/>
          <w:szCs w:val="22"/>
        </w:rPr>
        <w:br/>
        <w:t>The slurry was filtered and washed with distilled water until near-neutral pH, then pH was manually adjusted to 6.0 using 1N NaOH.</w:t>
      </w:r>
      <w:r>
        <w:rPr>
          <w:sz w:val="22"/>
          <w:szCs w:val="22"/>
        </w:rPr>
        <w:br/>
      </w:r>
      <w:r>
        <w:rPr>
          <w:b/>
          <w:sz w:val="22"/>
          <w:szCs w:val="22"/>
        </w:rPr>
        <w:t>Steam Explosion:</w:t>
      </w:r>
      <w:r>
        <w:rPr>
          <w:sz w:val="22"/>
          <w:szCs w:val="22"/>
        </w:rPr>
        <w:t xml:space="preserve"> The acid-treated biomass was transferred to a stainless-steel pressure vessel and subjected to 180 °C at 1.2 MPa for 5 minutes, followed by sudden decompression (Kumar </w:t>
      </w:r>
      <w:r>
        <w:rPr>
          <w:i/>
          <w:sz w:val="22"/>
          <w:szCs w:val="22"/>
        </w:rPr>
        <w:t>et al.</w:t>
      </w:r>
      <w:r>
        <w:rPr>
          <w:sz w:val="22"/>
          <w:szCs w:val="22"/>
        </w:rPr>
        <w:t xml:space="preserve">, 2022; Alvira </w:t>
      </w:r>
      <w:r>
        <w:rPr>
          <w:i/>
          <w:sz w:val="22"/>
          <w:szCs w:val="22"/>
        </w:rPr>
        <w:t>et al.</w:t>
      </w:r>
      <w:r>
        <w:rPr>
          <w:sz w:val="22"/>
          <w:szCs w:val="22"/>
        </w:rPr>
        <w:t>, 2010). This facilitated further breakdown of lignocellulosic structure and enhanced enzyme accessibility. Post-explosion slurry was cooled, and the final pH was rechecked and adjusted to 6.0 prior to enzymatic hydrolysis.</w:t>
      </w:r>
    </w:p>
    <w:p w14:paraId="4F39D1AF" w14:textId="77777777" w:rsidR="00EE1B41" w:rsidRDefault="00EE68A4">
      <w:pPr>
        <w:numPr>
          <w:ilvl w:val="0"/>
          <w:numId w:val="2"/>
        </w:numPr>
        <w:spacing w:before="240" w:line="276" w:lineRule="auto"/>
        <w:jc w:val="left"/>
        <w:rPr>
          <w:b/>
          <w:sz w:val="18"/>
          <w:szCs w:val="18"/>
        </w:rPr>
      </w:pPr>
      <w:r>
        <w:rPr>
          <w:b/>
          <w:sz w:val="18"/>
          <w:szCs w:val="18"/>
        </w:rPr>
        <w:t xml:space="preserve">Isolation and Cultivation of Fungal </w:t>
      </w:r>
      <w:r>
        <w:rPr>
          <w:b/>
          <w:i/>
          <w:sz w:val="18"/>
          <w:szCs w:val="18"/>
        </w:rPr>
        <w:t>Consortium</w:t>
      </w:r>
    </w:p>
    <w:p w14:paraId="782E0548" w14:textId="77777777" w:rsidR="00EE1B41" w:rsidRDefault="00EE68A4">
      <w:pPr>
        <w:spacing w:before="240" w:after="240" w:line="276" w:lineRule="auto"/>
        <w:jc w:val="left"/>
        <w:rPr>
          <w:sz w:val="22"/>
          <w:szCs w:val="22"/>
        </w:rPr>
      </w:pPr>
      <w:r>
        <w:rPr>
          <w:sz w:val="22"/>
          <w:szCs w:val="22"/>
        </w:rPr>
        <w:t>Pond water and surrounding compost-soil samples were screened for cellulolytic fungi by serial dilution and plating on Potato Dextrose Agar (PDA) amended with 2% cellulose.</w:t>
      </w:r>
    </w:p>
    <w:p w14:paraId="188D8BC7" w14:textId="77777777" w:rsidR="00EE1B41" w:rsidRDefault="00EE68A4">
      <w:pPr>
        <w:spacing w:before="240" w:after="240" w:line="276" w:lineRule="auto"/>
        <w:jc w:val="left"/>
        <w:rPr>
          <w:sz w:val="22"/>
          <w:szCs w:val="22"/>
        </w:rPr>
      </w:pPr>
      <w:r>
        <w:rPr>
          <w:sz w:val="22"/>
          <w:szCs w:val="22"/>
        </w:rPr>
        <w:t xml:space="preserve">Two dominant morphotypes were isolated and identified through microscopic and phenotypic analysis as: </w:t>
      </w:r>
      <w:r>
        <w:rPr>
          <w:i/>
          <w:sz w:val="22"/>
          <w:szCs w:val="22"/>
        </w:rPr>
        <w:t>Trichoderma viride</w:t>
      </w:r>
      <w:r>
        <w:rPr>
          <w:sz w:val="22"/>
          <w:szCs w:val="22"/>
        </w:rPr>
        <w:t xml:space="preserve">, </w:t>
      </w:r>
      <w:proofErr w:type="gramStart"/>
      <w:r>
        <w:rPr>
          <w:sz w:val="22"/>
          <w:szCs w:val="22"/>
        </w:rPr>
        <w:t>Showing</w:t>
      </w:r>
      <w:proofErr w:type="gramEnd"/>
      <w:r>
        <w:rPr>
          <w:sz w:val="22"/>
          <w:szCs w:val="22"/>
        </w:rPr>
        <w:t xml:space="preserve"> green conidial mass, fast sporulation, and clear zone on CMC agar, </w:t>
      </w:r>
      <w:r>
        <w:rPr>
          <w:i/>
          <w:sz w:val="22"/>
          <w:szCs w:val="22"/>
        </w:rPr>
        <w:t xml:space="preserve">Aspergillus </w:t>
      </w:r>
      <w:proofErr w:type="spellStart"/>
      <w:r>
        <w:rPr>
          <w:i/>
          <w:sz w:val="22"/>
          <w:szCs w:val="22"/>
        </w:rPr>
        <w:t>niger</w:t>
      </w:r>
      <w:proofErr w:type="spellEnd"/>
      <w:r>
        <w:rPr>
          <w:sz w:val="22"/>
          <w:szCs w:val="22"/>
        </w:rPr>
        <w:t xml:space="preserve">: Characterized by black, conidial heads with radial growth and pectinolytic activity on citrus peel agar. Fungal </w:t>
      </w:r>
      <w:proofErr w:type="spellStart"/>
      <w:r>
        <w:rPr>
          <w:sz w:val="22"/>
          <w:szCs w:val="22"/>
        </w:rPr>
        <w:t>inocula</w:t>
      </w:r>
      <w:proofErr w:type="spellEnd"/>
      <w:r>
        <w:rPr>
          <w:sz w:val="22"/>
          <w:szCs w:val="22"/>
        </w:rPr>
        <w:t xml:space="preserve"> were maintained on PDA slants at 4 °C and subcultured regularly for enzyme production (Yadav </w:t>
      </w:r>
      <w:r>
        <w:rPr>
          <w:i/>
          <w:sz w:val="22"/>
          <w:szCs w:val="22"/>
        </w:rPr>
        <w:t>et al.</w:t>
      </w:r>
      <w:r>
        <w:rPr>
          <w:sz w:val="22"/>
          <w:szCs w:val="22"/>
        </w:rPr>
        <w:t xml:space="preserve">, 2018; Bokhari </w:t>
      </w:r>
      <w:r>
        <w:rPr>
          <w:i/>
          <w:sz w:val="22"/>
          <w:szCs w:val="22"/>
        </w:rPr>
        <w:t>et al.</w:t>
      </w:r>
      <w:r>
        <w:rPr>
          <w:sz w:val="22"/>
          <w:szCs w:val="22"/>
        </w:rPr>
        <w:t>, 2019).</w:t>
      </w:r>
    </w:p>
    <w:tbl>
      <w:tblPr>
        <w:tblStyle w:val="ac"/>
        <w:tblW w:w="4490" w:type="dxa"/>
        <w:tblInd w:w="-108"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400" w:firstRow="0" w:lastRow="0" w:firstColumn="0" w:lastColumn="0" w:noHBand="0" w:noVBand="1"/>
      </w:tblPr>
      <w:tblGrid>
        <w:gridCol w:w="2245"/>
        <w:gridCol w:w="2245"/>
      </w:tblGrid>
      <w:tr w:rsidR="00EE1B41" w14:paraId="0F6A641E" w14:textId="77777777">
        <w:trPr>
          <w:trHeight w:val="1681"/>
        </w:trPr>
        <w:tc>
          <w:tcPr>
            <w:tcW w:w="2245" w:type="dxa"/>
            <w:tcBorders>
              <w:top w:val="single" w:sz="6" w:space="0" w:color="000000"/>
              <w:left w:val="single" w:sz="6" w:space="0" w:color="000000"/>
              <w:bottom w:val="single" w:sz="6" w:space="0" w:color="000000"/>
              <w:right w:val="single" w:sz="6" w:space="0" w:color="000000"/>
            </w:tcBorders>
          </w:tcPr>
          <w:p w14:paraId="09380512" w14:textId="77777777" w:rsidR="00EE1B41" w:rsidRDefault="00EE68A4">
            <w:pPr>
              <w:spacing w:before="240" w:after="240" w:line="276" w:lineRule="auto"/>
            </w:pPr>
            <w:r>
              <w:rPr>
                <w:noProof/>
                <w:sz w:val="22"/>
                <w:szCs w:val="22"/>
              </w:rPr>
              <w:drawing>
                <wp:inline distT="0" distB="0" distL="0" distR="0" wp14:anchorId="09AE3E0D" wp14:editId="7C8F2441">
                  <wp:extent cx="1041529" cy="914400"/>
                  <wp:effectExtent l="0" t="0" r="0" b="0"/>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t="36792" b="22641"/>
                          <a:stretch>
                            <a:fillRect/>
                          </a:stretch>
                        </pic:blipFill>
                        <pic:spPr>
                          <a:xfrm>
                            <a:off x="0" y="0"/>
                            <a:ext cx="1041529" cy="914400"/>
                          </a:xfrm>
                          <a:prstGeom prst="rect">
                            <a:avLst/>
                          </a:prstGeom>
                          <a:ln/>
                        </pic:spPr>
                      </pic:pic>
                    </a:graphicData>
                  </a:graphic>
                </wp:inline>
              </w:drawing>
            </w:r>
          </w:p>
        </w:tc>
        <w:tc>
          <w:tcPr>
            <w:tcW w:w="2245" w:type="dxa"/>
            <w:tcBorders>
              <w:top w:val="single" w:sz="6" w:space="0" w:color="000000"/>
              <w:left w:val="single" w:sz="6" w:space="0" w:color="000000"/>
              <w:bottom w:val="single" w:sz="6" w:space="0" w:color="000000"/>
              <w:right w:val="single" w:sz="6" w:space="0" w:color="000000"/>
            </w:tcBorders>
            <w:vAlign w:val="center"/>
          </w:tcPr>
          <w:p w14:paraId="45274AB9" w14:textId="77777777" w:rsidR="00EE1B41" w:rsidRDefault="00EE68A4">
            <w:pPr>
              <w:spacing w:before="240" w:after="240" w:line="276" w:lineRule="auto"/>
              <w:rPr>
                <w:sz w:val="22"/>
                <w:szCs w:val="22"/>
              </w:rPr>
            </w:pPr>
            <w:r>
              <w:rPr>
                <w:noProof/>
                <w:sz w:val="22"/>
                <w:szCs w:val="22"/>
              </w:rPr>
              <w:drawing>
                <wp:inline distT="0" distB="0" distL="0" distR="0" wp14:anchorId="1A6EBFE9" wp14:editId="25C50F82">
                  <wp:extent cx="1095747" cy="914400"/>
                  <wp:effectExtent l="0" t="0" r="0" b="0"/>
                  <wp:docPr id="3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1095747" cy="914400"/>
                          </a:xfrm>
                          <a:prstGeom prst="rect">
                            <a:avLst/>
                          </a:prstGeom>
                          <a:ln/>
                        </pic:spPr>
                      </pic:pic>
                    </a:graphicData>
                  </a:graphic>
                </wp:inline>
              </w:drawing>
            </w:r>
          </w:p>
        </w:tc>
      </w:tr>
    </w:tbl>
    <w:p w14:paraId="7F8F7C41" w14:textId="77777777" w:rsidR="00EE1B41" w:rsidRDefault="00EE68A4">
      <w:pPr>
        <w:numPr>
          <w:ilvl w:val="0"/>
          <w:numId w:val="5"/>
        </w:numPr>
        <w:pBdr>
          <w:top w:val="nil"/>
          <w:left w:val="nil"/>
          <w:bottom w:val="nil"/>
          <w:right w:val="nil"/>
          <w:between w:val="nil"/>
        </w:pBdr>
        <w:spacing w:before="240" w:line="276" w:lineRule="auto"/>
        <w:jc w:val="left"/>
        <w:rPr>
          <w:b/>
          <w:color w:val="000000"/>
          <w:sz w:val="18"/>
          <w:szCs w:val="18"/>
        </w:rPr>
      </w:pPr>
      <w:r>
        <w:rPr>
          <w:b/>
          <w:color w:val="000000"/>
          <w:sz w:val="18"/>
          <w:szCs w:val="18"/>
        </w:rPr>
        <w:t xml:space="preserve">Fig.3 </w:t>
      </w:r>
      <w:proofErr w:type="gramStart"/>
      <w:r>
        <w:rPr>
          <w:b/>
          <w:color w:val="000000"/>
          <w:sz w:val="18"/>
          <w:szCs w:val="18"/>
        </w:rPr>
        <w:t xml:space="preserve">( </w:t>
      </w:r>
      <w:proofErr w:type="spellStart"/>
      <w:r>
        <w:rPr>
          <w:b/>
          <w:color w:val="000000"/>
          <w:sz w:val="18"/>
          <w:szCs w:val="18"/>
        </w:rPr>
        <w:t>Aspegillus</w:t>
      </w:r>
      <w:proofErr w:type="spellEnd"/>
      <w:proofErr w:type="gramEnd"/>
      <w:r>
        <w:rPr>
          <w:b/>
          <w:color w:val="000000"/>
          <w:sz w:val="18"/>
          <w:szCs w:val="18"/>
        </w:rPr>
        <w:t xml:space="preserve"> </w:t>
      </w:r>
      <w:proofErr w:type="spellStart"/>
      <w:r>
        <w:rPr>
          <w:b/>
          <w:color w:val="000000"/>
          <w:sz w:val="18"/>
          <w:szCs w:val="18"/>
        </w:rPr>
        <w:t>niger</w:t>
      </w:r>
      <w:proofErr w:type="spellEnd"/>
      <w:r>
        <w:rPr>
          <w:b/>
          <w:color w:val="000000"/>
          <w:sz w:val="18"/>
          <w:szCs w:val="18"/>
        </w:rPr>
        <w:t xml:space="preserve"> microscopy 10x)</w:t>
      </w:r>
    </w:p>
    <w:p w14:paraId="3E9ED402" w14:textId="77777777" w:rsidR="00EE1B41" w:rsidRDefault="00EE68A4">
      <w:pPr>
        <w:numPr>
          <w:ilvl w:val="0"/>
          <w:numId w:val="5"/>
        </w:numPr>
        <w:pBdr>
          <w:top w:val="nil"/>
          <w:left w:val="nil"/>
          <w:bottom w:val="nil"/>
          <w:right w:val="nil"/>
          <w:between w:val="nil"/>
        </w:pBdr>
        <w:spacing w:after="240" w:line="276" w:lineRule="auto"/>
        <w:jc w:val="left"/>
        <w:rPr>
          <w:b/>
          <w:color w:val="000000"/>
          <w:sz w:val="18"/>
          <w:szCs w:val="18"/>
        </w:rPr>
      </w:pPr>
      <w:r>
        <w:rPr>
          <w:b/>
          <w:color w:val="000000"/>
          <w:sz w:val="18"/>
          <w:szCs w:val="18"/>
        </w:rPr>
        <w:t xml:space="preserve">Fig 4 </w:t>
      </w:r>
      <w:proofErr w:type="gramStart"/>
      <w:r>
        <w:rPr>
          <w:b/>
          <w:color w:val="000000"/>
          <w:sz w:val="18"/>
          <w:szCs w:val="18"/>
        </w:rPr>
        <w:t>( Trichoderma</w:t>
      </w:r>
      <w:proofErr w:type="gramEnd"/>
      <w:r>
        <w:rPr>
          <w:b/>
          <w:color w:val="000000"/>
          <w:sz w:val="18"/>
          <w:szCs w:val="18"/>
        </w:rPr>
        <w:t xml:space="preserve"> viride microscopy, 40x)</w:t>
      </w:r>
    </w:p>
    <w:p w14:paraId="6E381715" w14:textId="77777777" w:rsidR="00EE1B41" w:rsidRDefault="00EE68A4">
      <w:pPr>
        <w:numPr>
          <w:ilvl w:val="0"/>
          <w:numId w:val="2"/>
        </w:numPr>
        <w:pBdr>
          <w:top w:val="nil"/>
          <w:left w:val="nil"/>
          <w:bottom w:val="nil"/>
          <w:right w:val="nil"/>
          <w:between w:val="nil"/>
        </w:pBdr>
        <w:spacing w:after="240" w:line="276" w:lineRule="auto"/>
        <w:jc w:val="left"/>
        <w:rPr>
          <w:b/>
          <w:sz w:val="18"/>
          <w:szCs w:val="18"/>
        </w:rPr>
      </w:pPr>
      <w:r>
        <w:rPr>
          <w:b/>
          <w:sz w:val="18"/>
          <w:szCs w:val="18"/>
        </w:rPr>
        <w:t>Enzymatic Saccharification</w:t>
      </w:r>
    </w:p>
    <w:p w14:paraId="78DA6FF8" w14:textId="77777777" w:rsidR="00EE1B41" w:rsidRDefault="00EE68A4">
      <w:pPr>
        <w:spacing w:before="240" w:after="240" w:line="276" w:lineRule="auto"/>
        <w:jc w:val="left"/>
        <w:rPr>
          <w:sz w:val="22"/>
          <w:szCs w:val="22"/>
        </w:rPr>
      </w:pPr>
      <w:r>
        <w:rPr>
          <w:sz w:val="22"/>
          <w:szCs w:val="22"/>
        </w:rPr>
        <w:t xml:space="preserve">Submerged fermentation was carried out in 1000 mL Erlenmeyer flasks containing 500 mL of sterilized pretreated slurry. Each flask was inoculated with 10% v/v spore suspensions of both </w:t>
      </w:r>
      <w:r>
        <w:rPr>
          <w:i/>
          <w:sz w:val="22"/>
          <w:szCs w:val="22"/>
        </w:rPr>
        <w:t>T. viride</w:t>
      </w:r>
      <w:r>
        <w:rPr>
          <w:sz w:val="22"/>
          <w:szCs w:val="22"/>
        </w:rPr>
        <w:t xml:space="preserve"> and </w:t>
      </w:r>
      <w:r>
        <w:rPr>
          <w:i/>
          <w:sz w:val="22"/>
          <w:szCs w:val="22"/>
        </w:rPr>
        <w:t xml:space="preserve">A. </w:t>
      </w:r>
      <w:proofErr w:type="spellStart"/>
      <w:r>
        <w:rPr>
          <w:i/>
          <w:sz w:val="22"/>
          <w:szCs w:val="22"/>
        </w:rPr>
        <w:t>niger</w:t>
      </w:r>
      <w:proofErr w:type="spellEnd"/>
      <w:r>
        <w:rPr>
          <w:sz w:val="22"/>
          <w:szCs w:val="22"/>
        </w:rPr>
        <w:t xml:space="preserve"> in equal ratio (1:1), and incubated at 30 °C for 96 hours under static conditions.</w:t>
      </w:r>
    </w:p>
    <w:tbl>
      <w:tblPr>
        <w:tblStyle w:val="ad"/>
        <w:tblW w:w="45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3"/>
        <w:gridCol w:w="2294"/>
      </w:tblGrid>
      <w:tr w:rsidR="00EE1B41" w14:paraId="2C978A16" w14:textId="77777777">
        <w:trPr>
          <w:trHeight w:val="1861"/>
        </w:trPr>
        <w:tc>
          <w:tcPr>
            <w:tcW w:w="2293" w:type="dxa"/>
            <w:tcBorders>
              <w:top w:val="single" w:sz="6" w:space="0" w:color="000000"/>
              <w:left w:val="single" w:sz="6" w:space="0" w:color="000000"/>
              <w:bottom w:val="single" w:sz="6" w:space="0" w:color="000000"/>
              <w:right w:val="single" w:sz="6" w:space="0" w:color="000000"/>
            </w:tcBorders>
            <w:shd w:val="clear" w:color="auto" w:fill="FFFFFF"/>
          </w:tcPr>
          <w:p w14:paraId="6F067A26" w14:textId="77777777" w:rsidR="00EE1B41" w:rsidRDefault="00EE68A4">
            <w:pPr>
              <w:spacing w:before="240" w:after="240" w:line="276" w:lineRule="auto"/>
              <w:rPr>
                <w:sz w:val="22"/>
                <w:szCs w:val="22"/>
              </w:rPr>
            </w:pPr>
            <w:r>
              <w:rPr>
                <w:noProof/>
                <w:sz w:val="22"/>
                <w:szCs w:val="22"/>
              </w:rPr>
              <w:drawing>
                <wp:inline distT="0" distB="0" distL="0" distR="0" wp14:anchorId="13F0BB1B" wp14:editId="1546BC39">
                  <wp:extent cx="1301683" cy="914400"/>
                  <wp:effectExtent l="0" t="0" r="0" b="0"/>
                  <wp:docPr id="2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l="9705"/>
                          <a:stretch>
                            <a:fillRect/>
                          </a:stretch>
                        </pic:blipFill>
                        <pic:spPr>
                          <a:xfrm>
                            <a:off x="0" y="0"/>
                            <a:ext cx="1301683" cy="914400"/>
                          </a:xfrm>
                          <a:prstGeom prst="rect">
                            <a:avLst/>
                          </a:prstGeom>
                          <a:ln/>
                        </pic:spPr>
                      </pic:pic>
                    </a:graphicData>
                  </a:graphic>
                </wp:inline>
              </w:drawing>
            </w:r>
          </w:p>
        </w:tc>
        <w:tc>
          <w:tcPr>
            <w:tcW w:w="2294" w:type="dxa"/>
            <w:tcBorders>
              <w:top w:val="single" w:sz="6" w:space="0" w:color="000000"/>
              <w:left w:val="single" w:sz="6" w:space="0" w:color="000000"/>
              <w:bottom w:val="single" w:sz="6" w:space="0" w:color="000000"/>
              <w:right w:val="single" w:sz="6" w:space="0" w:color="000000"/>
            </w:tcBorders>
            <w:shd w:val="clear" w:color="auto" w:fill="FFFFFF"/>
          </w:tcPr>
          <w:p w14:paraId="6688E3C9" w14:textId="77777777" w:rsidR="00EE1B41" w:rsidRDefault="00EE68A4">
            <w:pPr>
              <w:spacing w:before="240" w:after="240" w:line="276" w:lineRule="auto"/>
              <w:rPr>
                <w:sz w:val="22"/>
                <w:szCs w:val="22"/>
              </w:rPr>
            </w:pPr>
            <w:r>
              <w:rPr>
                <w:noProof/>
                <w:sz w:val="22"/>
                <w:szCs w:val="22"/>
              </w:rPr>
              <w:drawing>
                <wp:inline distT="0" distB="0" distL="0" distR="0" wp14:anchorId="55AFA023" wp14:editId="4D9F38DA">
                  <wp:extent cx="1282474" cy="914400"/>
                  <wp:effectExtent l="0" t="0" r="0" b="0"/>
                  <wp:docPr id="3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t="25472"/>
                          <a:stretch>
                            <a:fillRect/>
                          </a:stretch>
                        </pic:blipFill>
                        <pic:spPr>
                          <a:xfrm>
                            <a:off x="0" y="0"/>
                            <a:ext cx="1282474" cy="914400"/>
                          </a:xfrm>
                          <a:prstGeom prst="rect">
                            <a:avLst/>
                          </a:prstGeom>
                          <a:ln/>
                        </pic:spPr>
                      </pic:pic>
                    </a:graphicData>
                  </a:graphic>
                </wp:inline>
              </w:drawing>
            </w:r>
          </w:p>
        </w:tc>
      </w:tr>
    </w:tbl>
    <w:p w14:paraId="4C992F54" w14:textId="77777777" w:rsidR="00EE1B41" w:rsidRDefault="00EE68A4">
      <w:pPr>
        <w:numPr>
          <w:ilvl w:val="0"/>
          <w:numId w:val="6"/>
        </w:numPr>
        <w:pBdr>
          <w:top w:val="nil"/>
          <w:left w:val="nil"/>
          <w:bottom w:val="nil"/>
          <w:right w:val="nil"/>
          <w:between w:val="nil"/>
        </w:pBdr>
        <w:spacing w:before="240" w:line="276" w:lineRule="auto"/>
        <w:jc w:val="left"/>
        <w:rPr>
          <w:b/>
          <w:color w:val="000000"/>
          <w:sz w:val="18"/>
          <w:szCs w:val="18"/>
        </w:rPr>
      </w:pPr>
      <w:r>
        <w:rPr>
          <w:b/>
          <w:color w:val="000000"/>
          <w:sz w:val="18"/>
          <w:szCs w:val="18"/>
        </w:rPr>
        <w:t>Fig. 5 Agro-waste slurry after pH set</w:t>
      </w:r>
    </w:p>
    <w:p w14:paraId="2BB99258" w14:textId="77777777" w:rsidR="00EE1B41" w:rsidRDefault="00EE68A4">
      <w:pPr>
        <w:numPr>
          <w:ilvl w:val="0"/>
          <w:numId w:val="6"/>
        </w:numPr>
        <w:pBdr>
          <w:top w:val="nil"/>
          <w:left w:val="nil"/>
          <w:bottom w:val="nil"/>
          <w:right w:val="nil"/>
          <w:between w:val="nil"/>
        </w:pBdr>
        <w:spacing w:line="276" w:lineRule="auto"/>
        <w:jc w:val="left"/>
        <w:rPr>
          <w:b/>
          <w:color w:val="000000"/>
          <w:sz w:val="22"/>
          <w:szCs w:val="22"/>
        </w:rPr>
      </w:pPr>
      <w:r>
        <w:rPr>
          <w:b/>
          <w:color w:val="000000"/>
          <w:sz w:val="18"/>
          <w:szCs w:val="18"/>
        </w:rPr>
        <w:t>Fig. 6 Filtration of biomass after primary fungal ferment</w:t>
      </w:r>
      <w:r>
        <w:rPr>
          <w:b/>
          <w:color w:val="000000"/>
          <w:sz w:val="22"/>
          <w:szCs w:val="22"/>
        </w:rPr>
        <w:t>ation for centrifugation</w:t>
      </w:r>
    </w:p>
    <w:p w14:paraId="092FF1DE" w14:textId="77777777" w:rsidR="00EE1B41" w:rsidRDefault="00EE68A4">
      <w:pPr>
        <w:spacing w:before="240" w:line="276" w:lineRule="auto"/>
        <w:jc w:val="left"/>
        <w:rPr>
          <w:b/>
          <w:sz w:val="22"/>
          <w:szCs w:val="22"/>
        </w:rPr>
      </w:pPr>
      <w:bookmarkStart w:id="3" w:name="_heading=h.wrkvuy4g4wz2" w:colFirst="0" w:colLast="0"/>
      <w:bookmarkEnd w:id="3"/>
      <w:r>
        <w:rPr>
          <w:sz w:val="22"/>
          <w:szCs w:val="22"/>
        </w:rPr>
        <w:t xml:space="preserve">0.5% Carboxymethyl Cellulose (CMC) was added to each flask as an inducer and structural enhancer for enzymatic action (Zhang </w:t>
      </w:r>
      <w:r>
        <w:rPr>
          <w:i/>
          <w:sz w:val="22"/>
          <w:szCs w:val="22"/>
        </w:rPr>
        <w:t>et al.</w:t>
      </w:r>
      <w:r>
        <w:rPr>
          <w:sz w:val="22"/>
          <w:szCs w:val="22"/>
        </w:rPr>
        <w:t xml:space="preserve">, 2021), Sampling was done every 24 hours, and reducing sugar concentration was measured using the DNS method (Miller, 1959), </w:t>
      </w:r>
      <w:r>
        <w:rPr>
          <w:sz w:val="22"/>
          <w:szCs w:val="22"/>
        </w:rPr>
        <w:br/>
        <w:t>Final sugar yield (g/L) was recorded at 96 h for further fermentation.</w:t>
      </w:r>
      <w:r>
        <w:rPr>
          <w:sz w:val="22"/>
          <w:szCs w:val="22"/>
        </w:rPr>
        <w:br/>
      </w:r>
    </w:p>
    <w:p w14:paraId="0F5E9875" w14:textId="77777777" w:rsidR="00EE1B41" w:rsidRDefault="00EE68A4">
      <w:pPr>
        <w:numPr>
          <w:ilvl w:val="0"/>
          <w:numId w:val="2"/>
        </w:numPr>
        <w:spacing w:before="240" w:line="276" w:lineRule="auto"/>
        <w:jc w:val="left"/>
        <w:rPr>
          <w:b/>
          <w:color w:val="000000"/>
          <w:sz w:val="18"/>
          <w:szCs w:val="18"/>
        </w:rPr>
      </w:pPr>
      <w:bookmarkStart w:id="4" w:name="_heading=h.hl7ru1fl0u46" w:colFirst="0" w:colLast="0"/>
      <w:bookmarkEnd w:id="4"/>
      <w:r>
        <w:rPr>
          <w:b/>
          <w:color w:val="000000"/>
          <w:sz w:val="18"/>
          <w:szCs w:val="18"/>
        </w:rPr>
        <w:t xml:space="preserve">Fermentation Using Adapted </w:t>
      </w:r>
      <w:r>
        <w:rPr>
          <w:b/>
          <w:i/>
          <w:color w:val="000000"/>
          <w:sz w:val="18"/>
          <w:szCs w:val="18"/>
        </w:rPr>
        <w:t>Saccharomyces cerevisiae</w:t>
      </w:r>
    </w:p>
    <w:p w14:paraId="3B0B8CEE" w14:textId="77777777" w:rsidR="00EE1B41" w:rsidRDefault="00EE68A4">
      <w:pPr>
        <w:spacing w:before="240" w:after="240" w:line="276" w:lineRule="auto"/>
        <w:jc w:val="left"/>
        <w:rPr>
          <w:sz w:val="22"/>
          <w:szCs w:val="22"/>
        </w:rPr>
      </w:pPr>
      <w:r>
        <w:rPr>
          <w:sz w:val="22"/>
          <w:szCs w:val="22"/>
        </w:rPr>
        <w:t xml:space="preserve">The hydrolysate was centrifuged to remove fungal biomass and inoculated with an adapted strain of </w:t>
      </w:r>
      <w:r>
        <w:rPr>
          <w:i/>
          <w:sz w:val="22"/>
          <w:szCs w:val="22"/>
        </w:rPr>
        <w:t>Saccharomyces cerevisiae</w:t>
      </w:r>
      <w:r>
        <w:rPr>
          <w:sz w:val="22"/>
          <w:szCs w:val="22"/>
        </w:rPr>
        <w:t xml:space="preserve">, isolated from dried fig ferment and selected for ethanol tolerance up to 14% v/v (Ali </w:t>
      </w:r>
      <w:r>
        <w:rPr>
          <w:i/>
          <w:sz w:val="22"/>
          <w:szCs w:val="22"/>
        </w:rPr>
        <w:t>et al.</w:t>
      </w:r>
      <w:r>
        <w:rPr>
          <w:sz w:val="22"/>
          <w:szCs w:val="22"/>
        </w:rPr>
        <w:t>, 2022).</w:t>
      </w:r>
    </w:p>
    <w:p w14:paraId="452A6ACA" w14:textId="77777777" w:rsidR="00EE1B41" w:rsidRDefault="00EE68A4">
      <w:pPr>
        <w:spacing w:before="240" w:line="276" w:lineRule="auto"/>
        <w:jc w:val="left"/>
        <w:rPr>
          <w:sz w:val="22"/>
          <w:szCs w:val="22"/>
        </w:rPr>
      </w:pPr>
      <w:bookmarkStart w:id="5" w:name="_heading=h.fe7tj5c26cik" w:colFirst="0" w:colLast="0"/>
      <w:bookmarkEnd w:id="5"/>
      <w:r>
        <w:rPr>
          <w:sz w:val="22"/>
          <w:szCs w:val="22"/>
        </w:rPr>
        <w:t>Fermentation was carried out in 1 L flasks with 500 mL working volume under semi-anaerobic conditions at 32 °C for 5–7 days, Occasional shaking was applied for uniform distribution, Refractive index (RI), ethanol concentration (% v/v), and pH were monitored at 48 h intervals, Final ethanol was recovered via fractional distillation, and % alcohol was confirmed using alcoholmeter.</w:t>
      </w:r>
      <w:r>
        <w:rPr>
          <w:sz w:val="22"/>
          <w:szCs w:val="22"/>
        </w:rPr>
        <w:br/>
      </w:r>
    </w:p>
    <w:p w14:paraId="074FA98B" w14:textId="77777777" w:rsidR="00EE1B41" w:rsidRDefault="00EE68A4">
      <w:pPr>
        <w:numPr>
          <w:ilvl w:val="0"/>
          <w:numId w:val="2"/>
        </w:numPr>
        <w:spacing w:before="240" w:line="276" w:lineRule="auto"/>
        <w:jc w:val="left"/>
        <w:rPr>
          <w:b/>
          <w:color w:val="000000"/>
          <w:sz w:val="18"/>
          <w:szCs w:val="18"/>
        </w:rPr>
      </w:pPr>
      <w:bookmarkStart w:id="6" w:name="_heading=h.q59qqmt36umu" w:colFirst="0" w:colLast="0"/>
      <w:bookmarkEnd w:id="6"/>
      <w:r>
        <w:rPr>
          <w:b/>
          <w:color w:val="000000"/>
          <w:sz w:val="18"/>
          <w:szCs w:val="18"/>
        </w:rPr>
        <w:t>Microbial Viability and CFU Determination</w:t>
      </w:r>
    </w:p>
    <w:p w14:paraId="1627EB07" w14:textId="77777777" w:rsidR="00EE1B41" w:rsidRDefault="00EE68A4">
      <w:pPr>
        <w:spacing w:before="240" w:after="240" w:line="276" w:lineRule="auto"/>
        <w:jc w:val="left"/>
        <w:rPr>
          <w:sz w:val="22"/>
          <w:szCs w:val="22"/>
        </w:rPr>
      </w:pPr>
      <w:r>
        <w:rPr>
          <w:sz w:val="22"/>
          <w:szCs w:val="22"/>
        </w:rPr>
        <w:t xml:space="preserve">After fermentation, residual fungal viability was assessed by plating on PDA and serial dilution </w:t>
      </w:r>
      <w:r>
        <w:rPr>
          <w:sz w:val="22"/>
          <w:szCs w:val="22"/>
        </w:rPr>
        <w:lastRenderedPageBreak/>
        <w:t>technique. Viable cell count (CFU/mL) for both fungi was measured after 30 days of liquid culture storage to check formulation compatibility.</w:t>
      </w:r>
    </w:p>
    <w:p w14:paraId="1470217F" w14:textId="77777777" w:rsidR="00EE1B41" w:rsidRDefault="00EE68A4">
      <w:pPr>
        <w:numPr>
          <w:ilvl w:val="0"/>
          <w:numId w:val="2"/>
        </w:numPr>
        <w:spacing w:before="240" w:after="240" w:line="276" w:lineRule="auto"/>
        <w:jc w:val="left"/>
        <w:rPr>
          <w:b/>
          <w:sz w:val="18"/>
          <w:szCs w:val="18"/>
        </w:rPr>
      </w:pPr>
      <w:r>
        <w:rPr>
          <w:b/>
          <w:sz w:val="18"/>
          <w:szCs w:val="18"/>
        </w:rPr>
        <w:t>Analytical Methods and Controls</w:t>
      </w:r>
    </w:p>
    <w:p w14:paraId="2CC1B039" w14:textId="77777777" w:rsidR="00EE1B41" w:rsidRDefault="00EE68A4">
      <w:pPr>
        <w:spacing w:before="240" w:line="276" w:lineRule="auto"/>
        <w:jc w:val="left"/>
        <w:rPr>
          <w:sz w:val="22"/>
          <w:szCs w:val="22"/>
        </w:rPr>
      </w:pPr>
      <w:bookmarkStart w:id="7" w:name="_heading=h.5x1yp21tbpzq" w:colFirst="0" w:colLast="0"/>
      <w:bookmarkEnd w:id="7"/>
      <w:r>
        <w:rPr>
          <w:sz w:val="22"/>
          <w:szCs w:val="22"/>
        </w:rPr>
        <w:t>Reducing sugars: Measured by DNS assay at 540 nm (Miller, 1959), Ethanol content: Alcoholmeter and refractometer reading (RI ~1.341) cross-verified., pH: Digital pH meter, calibrated before use, CFU: Standard pour plate technique (10⁻⁶ dilution, triplicates).</w:t>
      </w:r>
      <w:r>
        <w:rPr>
          <w:sz w:val="22"/>
          <w:szCs w:val="22"/>
        </w:rPr>
        <w:br/>
        <w:t>Control sets (uninoculated, acid-treated but non-fermented) were maintained to validate natural degradation vs enzymatic conversion.</w:t>
      </w:r>
    </w:p>
    <w:p w14:paraId="1D923F32" w14:textId="77777777" w:rsidR="00EE1B41" w:rsidRDefault="00EE68A4">
      <w:pPr>
        <w:numPr>
          <w:ilvl w:val="0"/>
          <w:numId w:val="3"/>
        </w:numPr>
        <w:pBdr>
          <w:top w:val="nil"/>
          <w:left w:val="nil"/>
          <w:bottom w:val="nil"/>
          <w:right w:val="nil"/>
          <w:between w:val="nil"/>
        </w:pBdr>
        <w:spacing w:before="240" w:after="240" w:line="276" w:lineRule="auto"/>
        <w:jc w:val="both"/>
        <w:rPr>
          <w:b/>
          <w:color w:val="000000"/>
          <w:sz w:val="22"/>
          <w:szCs w:val="22"/>
        </w:rPr>
      </w:pPr>
      <w:r>
        <w:rPr>
          <w:b/>
          <w:color w:val="000000"/>
          <w:sz w:val="22"/>
          <w:szCs w:val="22"/>
        </w:rPr>
        <w:t xml:space="preserve"> RESULTS AND DISCUSSION</w:t>
      </w:r>
      <w:r>
        <w:rPr>
          <w:b/>
          <w:sz w:val="22"/>
          <w:szCs w:val="22"/>
        </w:rPr>
        <w:t xml:space="preserve"> </w:t>
      </w:r>
    </w:p>
    <w:p w14:paraId="0E8F1564" w14:textId="77777777" w:rsidR="00EE1B41" w:rsidRDefault="00EE68A4">
      <w:pPr>
        <w:numPr>
          <w:ilvl w:val="0"/>
          <w:numId w:val="1"/>
        </w:numPr>
        <w:pBdr>
          <w:top w:val="nil"/>
          <w:left w:val="nil"/>
          <w:bottom w:val="nil"/>
          <w:right w:val="nil"/>
          <w:between w:val="nil"/>
        </w:pBdr>
        <w:spacing w:before="240" w:after="240" w:line="276" w:lineRule="auto"/>
        <w:jc w:val="both"/>
        <w:rPr>
          <w:b/>
          <w:sz w:val="18"/>
          <w:szCs w:val="18"/>
        </w:rPr>
      </w:pPr>
      <w:r>
        <w:rPr>
          <w:b/>
          <w:sz w:val="18"/>
          <w:szCs w:val="18"/>
        </w:rPr>
        <w:t xml:space="preserve">Ethanol Yield and Fermentation Profile </w:t>
      </w:r>
    </w:p>
    <w:p w14:paraId="223467F5" w14:textId="77777777" w:rsidR="00EE1B41" w:rsidRDefault="00EE68A4">
      <w:pPr>
        <w:pStyle w:val="Heading3"/>
        <w:spacing w:before="280" w:line="276" w:lineRule="auto"/>
        <w:ind w:firstLine="0"/>
        <w:jc w:val="left"/>
      </w:pPr>
      <w:r>
        <w:rPr>
          <w:i w:val="0"/>
          <w:sz w:val="22"/>
          <w:szCs w:val="22"/>
        </w:rPr>
        <w:t xml:space="preserve">The pretreated agro-waste slurry yielded 42.6 g/L of reducing sugars after enzymatic hydrolysis by the fungal consortium. Following fermentation with stress-adapted </w:t>
      </w:r>
      <w:r>
        <w:rPr>
          <w:sz w:val="22"/>
          <w:szCs w:val="22"/>
        </w:rPr>
        <w:t xml:space="preserve">S. cerevisiae, </w:t>
      </w:r>
      <w:r>
        <w:rPr>
          <w:i w:val="0"/>
          <w:sz w:val="22"/>
          <w:szCs w:val="22"/>
        </w:rPr>
        <w:t xml:space="preserve">a final ethanol yield of 10.6% v/v was recorded by day 6. The pH dropped from 6.2 to 4.8 during fermentation, indicating active metabolic conversion, while the refractive index stabilized at 1.341, aligning with values reported in ethanol-dominant broths (Das </w:t>
      </w:r>
      <w:r>
        <w:rPr>
          <w:sz w:val="22"/>
          <w:szCs w:val="22"/>
        </w:rPr>
        <w:t>et al.,</w:t>
      </w:r>
      <w:r>
        <w:rPr>
          <w:i w:val="0"/>
          <w:sz w:val="22"/>
          <w:szCs w:val="22"/>
        </w:rPr>
        <w:t xml:space="preserve"> 2020).</w:t>
      </w:r>
    </w:p>
    <w:p w14:paraId="4F84F88C" w14:textId="77777777" w:rsidR="00EE1B41" w:rsidRDefault="00EE1B41">
      <w:pPr>
        <w:jc w:val="both"/>
      </w:pPr>
    </w:p>
    <w:tbl>
      <w:tblPr>
        <w:tblStyle w:val="ae"/>
        <w:tblW w:w="4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9"/>
        <w:gridCol w:w="2538"/>
      </w:tblGrid>
      <w:tr w:rsidR="00EE1B41" w14:paraId="4C16198B" w14:textId="77777777">
        <w:tc>
          <w:tcPr>
            <w:tcW w:w="2429" w:type="dxa"/>
          </w:tcPr>
          <w:p w14:paraId="3B3FE4D5" w14:textId="77777777" w:rsidR="00EE1B41" w:rsidRDefault="00EE1B41"/>
          <w:p w14:paraId="1D3A8E48" w14:textId="77777777" w:rsidR="00EE1B41" w:rsidRDefault="00EE68A4">
            <w:r>
              <w:rPr>
                <w:noProof/>
              </w:rPr>
              <w:drawing>
                <wp:inline distT="0" distB="0" distL="0" distR="0" wp14:anchorId="7054F0BD" wp14:editId="05A471EF">
                  <wp:extent cx="1297829" cy="914400"/>
                  <wp:effectExtent l="0" t="0" r="0" b="0"/>
                  <wp:docPr id="3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0"/>
                          <a:srcRect t="16385" b="2946"/>
                          <a:stretch>
                            <a:fillRect/>
                          </a:stretch>
                        </pic:blipFill>
                        <pic:spPr>
                          <a:xfrm>
                            <a:off x="0" y="0"/>
                            <a:ext cx="1297829" cy="914400"/>
                          </a:xfrm>
                          <a:prstGeom prst="rect">
                            <a:avLst/>
                          </a:prstGeom>
                          <a:ln/>
                        </pic:spPr>
                      </pic:pic>
                    </a:graphicData>
                  </a:graphic>
                </wp:inline>
              </w:drawing>
            </w:r>
          </w:p>
        </w:tc>
        <w:tc>
          <w:tcPr>
            <w:tcW w:w="2538" w:type="dxa"/>
          </w:tcPr>
          <w:p w14:paraId="6A711DE5" w14:textId="77777777" w:rsidR="00EE1B41" w:rsidRDefault="00EE1B41">
            <w:pPr>
              <w:jc w:val="both"/>
            </w:pPr>
          </w:p>
          <w:p w14:paraId="1094CDCF" w14:textId="77777777" w:rsidR="00EE1B41" w:rsidRDefault="00EE68A4">
            <w:r>
              <w:rPr>
                <w:noProof/>
              </w:rPr>
              <w:drawing>
                <wp:inline distT="0" distB="0" distL="0" distR="0" wp14:anchorId="10B38743" wp14:editId="5258D9F9">
                  <wp:extent cx="1454947" cy="914400"/>
                  <wp:effectExtent l="0" t="0" r="0" b="0"/>
                  <wp:docPr id="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t="16036" b="22641"/>
                          <a:stretch>
                            <a:fillRect/>
                          </a:stretch>
                        </pic:blipFill>
                        <pic:spPr>
                          <a:xfrm>
                            <a:off x="0" y="0"/>
                            <a:ext cx="1454947" cy="914400"/>
                          </a:xfrm>
                          <a:prstGeom prst="rect">
                            <a:avLst/>
                          </a:prstGeom>
                          <a:ln/>
                        </pic:spPr>
                      </pic:pic>
                    </a:graphicData>
                  </a:graphic>
                </wp:inline>
              </w:drawing>
            </w:r>
          </w:p>
          <w:p w14:paraId="37A83C17" w14:textId="77777777" w:rsidR="00EE1B41" w:rsidRDefault="00EE1B41"/>
        </w:tc>
      </w:tr>
    </w:tbl>
    <w:p w14:paraId="06DEC583" w14:textId="77777777" w:rsidR="00EE1B41" w:rsidRDefault="00EE1B41">
      <w:pPr>
        <w:rPr>
          <w:b/>
          <w:sz w:val="22"/>
          <w:szCs w:val="22"/>
        </w:rPr>
      </w:pPr>
    </w:p>
    <w:p w14:paraId="2B4BE82A" w14:textId="77777777" w:rsidR="00EE1B41" w:rsidRDefault="00EE68A4">
      <w:pPr>
        <w:numPr>
          <w:ilvl w:val="0"/>
          <w:numId w:val="4"/>
        </w:numPr>
        <w:pBdr>
          <w:top w:val="nil"/>
          <w:left w:val="nil"/>
          <w:bottom w:val="nil"/>
          <w:right w:val="nil"/>
          <w:between w:val="nil"/>
        </w:pBdr>
        <w:jc w:val="left"/>
        <w:rPr>
          <w:b/>
          <w:color w:val="000000"/>
          <w:sz w:val="18"/>
          <w:szCs w:val="18"/>
        </w:rPr>
      </w:pPr>
      <w:r>
        <w:rPr>
          <w:b/>
          <w:color w:val="000000"/>
          <w:sz w:val="18"/>
          <w:szCs w:val="18"/>
        </w:rPr>
        <w:t xml:space="preserve">Fig. 7 Enzyme hydrolysed hemicellulose ethanol level almost 0 before </w:t>
      </w:r>
      <w:r>
        <w:rPr>
          <w:b/>
          <w:i/>
          <w:color w:val="000000"/>
          <w:sz w:val="18"/>
          <w:szCs w:val="18"/>
        </w:rPr>
        <w:t xml:space="preserve">Saccharomyces cerevisiae </w:t>
      </w:r>
      <w:r>
        <w:rPr>
          <w:b/>
          <w:color w:val="000000"/>
          <w:sz w:val="18"/>
          <w:szCs w:val="18"/>
        </w:rPr>
        <w:t>fermentation.</w:t>
      </w:r>
    </w:p>
    <w:p w14:paraId="1A16683B" w14:textId="77777777" w:rsidR="00EE1B41" w:rsidRDefault="00EE1B41">
      <w:pPr>
        <w:jc w:val="left"/>
        <w:rPr>
          <w:b/>
          <w:sz w:val="18"/>
          <w:szCs w:val="18"/>
        </w:rPr>
      </w:pPr>
    </w:p>
    <w:p w14:paraId="68A95228" w14:textId="77777777" w:rsidR="00EE1B41" w:rsidRDefault="00EE68A4">
      <w:pPr>
        <w:numPr>
          <w:ilvl w:val="0"/>
          <w:numId w:val="4"/>
        </w:numPr>
        <w:pBdr>
          <w:top w:val="nil"/>
          <w:left w:val="nil"/>
          <w:bottom w:val="nil"/>
          <w:right w:val="nil"/>
          <w:between w:val="nil"/>
        </w:pBdr>
        <w:jc w:val="left"/>
        <w:rPr>
          <w:b/>
          <w:color w:val="000000"/>
          <w:sz w:val="18"/>
          <w:szCs w:val="18"/>
        </w:rPr>
      </w:pPr>
      <w:r>
        <w:rPr>
          <w:b/>
          <w:color w:val="000000"/>
          <w:sz w:val="18"/>
          <w:szCs w:val="18"/>
        </w:rPr>
        <w:t>Fig 8. Spectrophotometer reading of enzyme hydrolysed hemicellulose mass (529 nm ABS) at 1100 nm beam.</w:t>
      </w:r>
    </w:p>
    <w:p w14:paraId="42C1C79C" w14:textId="77777777" w:rsidR="00EE1B41" w:rsidRDefault="00EE1B41">
      <w:pPr>
        <w:pBdr>
          <w:top w:val="nil"/>
          <w:left w:val="nil"/>
          <w:bottom w:val="nil"/>
          <w:right w:val="nil"/>
          <w:between w:val="nil"/>
        </w:pBdr>
        <w:jc w:val="left"/>
        <w:rPr>
          <w:b/>
          <w:sz w:val="18"/>
          <w:szCs w:val="18"/>
        </w:rPr>
      </w:pPr>
    </w:p>
    <w:p w14:paraId="1F1387E9" w14:textId="77777777" w:rsidR="00EE1B41" w:rsidRDefault="00EE1B41">
      <w:pPr>
        <w:pBdr>
          <w:top w:val="nil"/>
          <w:left w:val="nil"/>
          <w:bottom w:val="nil"/>
          <w:right w:val="nil"/>
          <w:between w:val="nil"/>
        </w:pBdr>
        <w:jc w:val="left"/>
        <w:rPr>
          <w:b/>
          <w:sz w:val="18"/>
          <w:szCs w:val="18"/>
        </w:rPr>
      </w:pPr>
    </w:p>
    <w:p w14:paraId="4B51C01F" w14:textId="77777777" w:rsidR="00EE1B41" w:rsidRDefault="00EE1B41">
      <w:pPr>
        <w:pBdr>
          <w:top w:val="nil"/>
          <w:left w:val="nil"/>
          <w:bottom w:val="nil"/>
          <w:right w:val="nil"/>
          <w:between w:val="nil"/>
        </w:pBdr>
        <w:jc w:val="left"/>
        <w:rPr>
          <w:b/>
          <w:sz w:val="18"/>
          <w:szCs w:val="18"/>
        </w:rPr>
      </w:pPr>
    </w:p>
    <w:p w14:paraId="1A44543C" w14:textId="77777777" w:rsidR="00EE1B41" w:rsidRDefault="00EE1B41"/>
    <w:p w14:paraId="4A6035A6" w14:textId="77777777" w:rsidR="00EE1B41" w:rsidRDefault="00EE68A4">
      <w:pPr>
        <w:pStyle w:val="Heading3"/>
        <w:spacing w:before="240" w:after="240" w:line="276" w:lineRule="auto"/>
        <w:ind w:firstLine="0"/>
        <w:rPr>
          <w:i w:val="0"/>
          <w:sz w:val="18"/>
          <w:szCs w:val="18"/>
        </w:rPr>
      </w:pPr>
      <w:r>
        <w:rPr>
          <w:b/>
          <w:i w:val="0"/>
          <w:sz w:val="18"/>
          <w:szCs w:val="18"/>
        </w:rPr>
        <w:t>TABLE I. Fermentation Indicators for Ethanol Production</w:t>
      </w:r>
    </w:p>
    <w:tbl>
      <w:tblPr>
        <w:tblStyle w:val="af"/>
        <w:tblW w:w="4598" w:type="dxa"/>
        <w:tblBorders>
          <w:top w:val="single" w:sz="8" w:space="0" w:color="404040"/>
          <w:left w:val="single" w:sz="8" w:space="0" w:color="404040"/>
          <w:bottom w:val="single" w:sz="8" w:space="0" w:color="404040"/>
          <w:right w:val="single" w:sz="8" w:space="0" w:color="404040"/>
          <w:insideH w:val="single" w:sz="8" w:space="0" w:color="404040"/>
        </w:tblBorders>
        <w:tblLayout w:type="fixed"/>
        <w:tblLook w:val="0600" w:firstRow="0" w:lastRow="0" w:firstColumn="0" w:lastColumn="0" w:noHBand="1" w:noVBand="1"/>
      </w:tblPr>
      <w:tblGrid>
        <w:gridCol w:w="2245"/>
        <w:gridCol w:w="2353"/>
      </w:tblGrid>
      <w:tr w:rsidR="00EE1B41" w14:paraId="34DC86FB" w14:textId="77777777" w:rsidTr="00EE1B41">
        <w:trPr>
          <w:trHeight w:val="18"/>
        </w:trPr>
        <w:tc>
          <w:tcPr>
            <w:tcW w:w="2245" w:type="dxa"/>
          </w:tcPr>
          <w:p w14:paraId="67F6EF74" w14:textId="77777777" w:rsidR="00EE1B41" w:rsidRDefault="00EE68A4">
            <w:pPr>
              <w:pStyle w:val="Heading3"/>
              <w:spacing w:before="240" w:after="240" w:line="276" w:lineRule="auto"/>
              <w:jc w:val="center"/>
              <w:outlineLvl w:val="2"/>
              <w:rPr>
                <w:b/>
                <w:i w:val="0"/>
                <w:smallCaps/>
                <w:sz w:val="18"/>
                <w:szCs w:val="18"/>
              </w:rPr>
            </w:pPr>
            <w:r>
              <w:rPr>
                <w:b/>
                <w:i w:val="0"/>
                <w:smallCaps/>
                <w:sz w:val="18"/>
                <w:szCs w:val="18"/>
              </w:rPr>
              <w:t>Parameter</w:t>
            </w:r>
          </w:p>
        </w:tc>
        <w:tc>
          <w:tcPr>
            <w:tcW w:w="2353" w:type="dxa"/>
          </w:tcPr>
          <w:p w14:paraId="074D204B" w14:textId="77777777" w:rsidR="00EE1B41" w:rsidRDefault="00EE68A4">
            <w:pPr>
              <w:pStyle w:val="Heading3"/>
              <w:spacing w:before="240" w:after="240" w:line="276" w:lineRule="auto"/>
              <w:jc w:val="center"/>
              <w:outlineLvl w:val="2"/>
              <w:rPr>
                <w:b/>
                <w:i w:val="0"/>
                <w:smallCaps/>
                <w:sz w:val="18"/>
                <w:szCs w:val="18"/>
              </w:rPr>
            </w:pPr>
            <w:r>
              <w:rPr>
                <w:b/>
                <w:i w:val="0"/>
                <w:smallCaps/>
                <w:sz w:val="18"/>
                <w:szCs w:val="18"/>
              </w:rPr>
              <w:t>Value</w:t>
            </w:r>
          </w:p>
        </w:tc>
      </w:tr>
      <w:tr w:rsidR="00EE1B41" w14:paraId="7746DCDA" w14:textId="77777777" w:rsidTr="00EE1B41">
        <w:trPr>
          <w:trHeight w:val="18"/>
        </w:trPr>
        <w:tc>
          <w:tcPr>
            <w:tcW w:w="2245" w:type="dxa"/>
          </w:tcPr>
          <w:p w14:paraId="0B332BB2" w14:textId="77777777" w:rsidR="00EE1B41" w:rsidRDefault="00EE68A4">
            <w:pPr>
              <w:pStyle w:val="Heading3"/>
              <w:spacing w:before="240" w:after="240" w:line="276" w:lineRule="auto"/>
              <w:jc w:val="center"/>
              <w:outlineLvl w:val="2"/>
              <w:rPr>
                <w:i w:val="0"/>
                <w:smallCaps/>
                <w:sz w:val="18"/>
                <w:szCs w:val="18"/>
              </w:rPr>
            </w:pPr>
            <w:r>
              <w:rPr>
                <w:i w:val="0"/>
                <w:smallCaps/>
                <w:sz w:val="18"/>
                <w:szCs w:val="18"/>
              </w:rPr>
              <w:t>Reducing sugars (g/L)</w:t>
            </w:r>
          </w:p>
        </w:tc>
        <w:tc>
          <w:tcPr>
            <w:tcW w:w="2353" w:type="dxa"/>
          </w:tcPr>
          <w:p w14:paraId="451FFD57" w14:textId="77777777" w:rsidR="00EE1B41" w:rsidRDefault="00EE68A4">
            <w:pPr>
              <w:pStyle w:val="Heading3"/>
              <w:spacing w:before="240" w:after="240" w:line="276" w:lineRule="auto"/>
              <w:jc w:val="center"/>
              <w:outlineLvl w:val="2"/>
              <w:rPr>
                <w:i w:val="0"/>
                <w:smallCaps/>
                <w:sz w:val="18"/>
                <w:szCs w:val="18"/>
              </w:rPr>
            </w:pPr>
            <w:r>
              <w:rPr>
                <w:i w:val="0"/>
                <w:smallCaps/>
                <w:sz w:val="18"/>
                <w:szCs w:val="18"/>
              </w:rPr>
              <w:t>42.6</w:t>
            </w:r>
          </w:p>
        </w:tc>
      </w:tr>
      <w:tr w:rsidR="00EE1B41" w14:paraId="2689C62E" w14:textId="77777777" w:rsidTr="00EE1B41">
        <w:trPr>
          <w:trHeight w:val="18"/>
        </w:trPr>
        <w:tc>
          <w:tcPr>
            <w:tcW w:w="2245" w:type="dxa"/>
          </w:tcPr>
          <w:p w14:paraId="749386C3" w14:textId="77777777" w:rsidR="00EE1B41" w:rsidRDefault="00EE68A4">
            <w:pPr>
              <w:pStyle w:val="Heading3"/>
              <w:spacing w:before="240" w:after="240" w:line="276" w:lineRule="auto"/>
              <w:jc w:val="center"/>
              <w:outlineLvl w:val="2"/>
              <w:rPr>
                <w:i w:val="0"/>
                <w:smallCaps/>
                <w:sz w:val="18"/>
                <w:szCs w:val="18"/>
              </w:rPr>
            </w:pPr>
            <w:r>
              <w:rPr>
                <w:i w:val="0"/>
                <w:smallCaps/>
                <w:sz w:val="18"/>
                <w:szCs w:val="18"/>
              </w:rPr>
              <w:t>Ethanol yield (% v/v)</w:t>
            </w:r>
          </w:p>
        </w:tc>
        <w:tc>
          <w:tcPr>
            <w:tcW w:w="2353" w:type="dxa"/>
          </w:tcPr>
          <w:p w14:paraId="5AA5D283" w14:textId="77777777" w:rsidR="00EE1B41" w:rsidRDefault="00EE68A4">
            <w:pPr>
              <w:pStyle w:val="Heading3"/>
              <w:spacing w:before="240" w:after="240" w:line="276" w:lineRule="auto"/>
              <w:jc w:val="center"/>
              <w:outlineLvl w:val="2"/>
              <w:rPr>
                <w:i w:val="0"/>
                <w:smallCaps/>
                <w:sz w:val="18"/>
                <w:szCs w:val="18"/>
              </w:rPr>
            </w:pPr>
            <w:r>
              <w:rPr>
                <w:i w:val="0"/>
                <w:smallCaps/>
                <w:sz w:val="18"/>
                <w:szCs w:val="18"/>
              </w:rPr>
              <w:t>10.6</w:t>
            </w:r>
          </w:p>
        </w:tc>
      </w:tr>
      <w:tr w:rsidR="00EE1B41" w14:paraId="3BC128C7" w14:textId="77777777" w:rsidTr="00EE1B41">
        <w:trPr>
          <w:trHeight w:val="18"/>
        </w:trPr>
        <w:tc>
          <w:tcPr>
            <w:tcW w:w="2245" w:type="dxa"/>
          </w:tcPr>
          <w:p w14:paraId="0E849D58" w14:textId="77777777" w:rsidR="00EE1B41" w:rsidRDefault="00EE68A4">
            <w:pPr>
              <w:pStyle w:val="Heading3"/>
              <w:spacing w:before="240" w:after="240" w:line="276" w:lineRule="auto"/>
              <w:jc w:val="center"/>
              <w:outlineLvl w:val="2"/>
              <w:rPr>
                <w:i w:val="0"/>
                <w:smallCaps/>
                <w:sz w:val="18"/>
                <w:szCs w:val="18"/>
              </w:rPr>
            </w:pPr>
            <w:r>
              <w:rPr>
                <w:i w:val="0"/>
                <w:smallCaps/>
                <w:sz w:val="18"/>
                <w:szCs w:val="18"/>
              </w:rPr>
              <w:t>Final pH</w:t>
            </w:r>
          </w:p>
        </w:tc>
        <w:tc>
          <w:tcPr>
            <w:tcW w:w="2353" w:type="dxa"/>
          </w:tcPr>
          <w:p w14:paraId="1094E927" w14:textId="77777777" w:rsidR="00EE1B41" w:rsidRDefault="00EE68A4">
            <w:pPr>
              <w:pStyle w:val="Heading3"/>
              <w:spacing w:before="240" w:after="240" w:line="276" w:lineRule="auto"/>
              <w:jc w:val="center"/>
              <w:outlineLvl w:val="2"/>
              <w:rPr>
                <w:i w:val="0"/>
                <w:smallCaps/>
                <w:sz w:val="18"/>
                <w:szCs w:val="18"/>
              </w:rPr>
            </w:pPr>
            <w:r>
              <w:rPr>
                <w:i w:val="0"/>
                <w:smallCaps/>
                <w:sz w:val="18"/>
                <w:szCs w:val="18"/>
              </w:rPr>
              <w:t>4.8</w:t>
            </w:r>
          </w:p>
        </w:tc>
      </w:tr>
      <w:tr w:rsidR="00EE1B41" w14:paraId="68A63188" w14:textId="77777777" w:rsidTr="00EE1B41">
        <w:trPr>
          <w:trHeight w:val="18"/>
        </w:trPr>
        <w:tc>
          <w:tcPr>
            <w:tcW w:w="2245" w:type="dxa"/>
          </w:tcPr>
          <w:p w14:paraId="7C462930" w14:textId="77777777" w:rsidR="00EE1B41" w:rsidRDefault="00EE68A4">
            <w:pPr>
              <w:pStyle w:val="Heading3"/>
              <w:spacing w:before="240" w:after="240" w:line="276" w:lineRule="auto"/>
              <w:jc w:val="center"/>
              <w:outlineLvl w:val="2"/>
              <w:rPr>
                <w:i w:val="0"/>
                <w:smallCaps/>
                <w:sz w:val="18"/>
                <w:szCs w:val="18"/>
              </w:rPr>
            </w:pPr>
            <w:r>
              <w:rPr>
                <w:i w:val="0"/>
                <w:smallCaps/>
                <w:sz w:val="18"/>
                <w:szCs w:val="18"/>
              </w:rPr>
              <w:t>Refractive index (RI)</w:t>
            </w:r>
          </w:p>
        </w:tc>
        <w:tc>
          <w:tcPr>
            <w:tcW w:w="2353" w:type="dxa"/>
          </w:tcPr>
          <w:p w14:paraId="2AA720E8" w14:textId="77777777" w:rsidR="00EE1B41" w:rsidRDefault="00EE68A4">
            <w:pPr>
              <w:pStyle w:val="Heading3"/>
              <w:spacing w:before="240" w:after="240" w:line="276" w:lineRule="auto"/>
              <w:jc w:val="center"/>
              <w:outlineLvl w:val="2"/>
              <w:rPr>
                <w:i w:val="0"/>
                <w:smallCaps/>
                <w:sz w:val="18"/>
                <w:szCs w:val="18"/>
              </w:rPr>
            </w:pPr>
            <w:r>
              <w:rPr>
                <w:i w:val="0"/>
                <w:smallCaps/>
                <w:sz w:val="18"/>
                <w:szCs w:val="18"/>
              </w:rPr>
              <w:t>1.341</w:t>
            </w:r>
          </w:p>
        </w:tc>
      </w:tr>
      <w:tr w:rsidR="00EE1B41" w14:paraId="3F6D0824" w14:textId="77777777" w:rsidTr="00EE1B41">
        <w:trPr>
          <w:trHeight w:val="18"/>
        </w:trPr>
        <w:tc>
          <w:tcPr>
            <w:tcW w:w="2245" w:type="dxa"/>
          </w:tcPr>
          <w:p w14:paraId="4AC712A9" w14:textId="77777777" w:rsidR="00EE1B41" w:rsidRDefault="00EE68A4">
            <w:pPr>
              <w:pStyle w:val="Heading3"/>
              <w:spacing w:before="240" w:after="240" w:line="276" w:lineRule="auto"/>
              <w:jc w:val="center"/>
              <w:outlineLvl w:val="2"/>
              <w:rPr>
                <w:i w:val="0"/>
                <w:smallCaps/>
                <w:sz w:val="18"/>
                <w:szCs w:val="18"/>
              </w:rPr>
            </w:pPr>
            <w:r>
              <w:rPr>
                <w:i w:val="0"/>
                <w:smallCaps/>
                <w:sz w:val="18"/>
                <w:szCs w:val="18"/>
              </w:rPr>
              <w:t>Distillation temp (°C)</w:t>
            </w:r>
          </w:p>
        </w:tc>
        <w:tc>
          <w:tcPr>
            <w:tcW w:w="2353" w:type="dxa"/>
          </w:tcPr>
          <w:p w14:paraId="5223B895" w14:textId="77777777" w:rsidR="00EE1B41" w:rsidRDefault="00EE68A4">
            <w:pPr>
              <w:pStyle w:val="Heading3"/>
              <w:spacing w:before="240" w:after="240" w:line="276" w:lineRule="auto"/>
              <w:jc w:val="center"/>
              <w:outlineLvl w:val="2"/>
              <w:rPr>
                <w:i w:val="0"/>
                <w:smallCaps/>
                <w:sz w:val="18"/>
                <w:szCs w:val="18"/>
              </w:rPr>
            </w:pPr>
            <w:r>
              <w:rPr>
                <w:i w:val="0"/>
                <w:smallCaps/>
                <w:sz w:val="18"/>
                <w:szCs w:val="18"/>
              </w:rPr>
              <w:t>78.5</w:t>
            </w:r>
          </w:p>
        </w:tc>
      </w:tr>
    </w:tbl>
    <w:p w14:paraId="54DE2904" w14:textId="77777777" w:rsidR="00EE1B41" w:rsidRDefault="00EE68A4">
      <w:pPr>
        <w:pStyle w:val="Heading3"/>
        <w:spacing w:before="240" w:after="240" w:line="276" w:lineRule="auto"/>
        <w:jc w:val="left"/>
        <w:rPr>
          <w:i w:val="0"/>
          <w:sz w:val="22"/>
          <w:szCs w:val="22"/>
        </w:rPr>
      </w:pPr>
      <w:r>
        <w:rPr>
          <w:i w:val="0"/>
          <w:sz w:val="22"/>
          <w:szCs w:val="22"/>
        </w:rPr>
        <w:t xml:space="preserve">These values are consistent with prior work using dual fungal hydrolysis and wild yeast strains (Zhou </w:t>
      </w:r>
      <w:proofErr w:type="spellStart"/>
      <w:r>
        <w:rPr>
          <w:i w:val="0"/>
          <w:sz w:val="22"/>
          <w:szCs w:val="22"/>
        </w:rPr>
        <w:t>etal</w:t>
      </w:r>
      <w:proofErr w:type="spellEnd"/>
      <w:r>
        <w:rPr>
          <w:i w:val="0"/>
          <w:sz w:val="22"/>
          <w:szCs w:val="22"/>
        </w:rPr>
        <w:t xml:space="preserve">., 2021; Ali </w:t>
      </w:r>
      <w:r>
        <w:rPr>
          <w:sz w:val="22"/>
          <w:szCs w:val="22"/>
        </w:rPr>
        <w:t>et al.,</w:t>
      </w:r>
      <w:r>
        <w:rPr>
          <w:i w:val="0"/>
          <w:sz w:val="22"/>
          <w:szCs w:val="22"/>
        </w:rPr>
        <w:t xml:space="preserve"> 2022), though slightly higher ethanol conversion was observed, likely due to CMC inclusion and substrate diversity.</w:t>
      </w:r>
    </w:p>
    <w:p w14:paraId="69D8536B" w14:textId="77777777" w:rsidR="00EE1B41" w:rsidRDefault="00EE1B41">
      <w:pPr>
        <w:tabs>
          <w:tab w:val="left" w:pos="540"/>
        </w:tabs>
      </w:pPr>
    </w:p>
    <w:p w14:paraId="2B052F53" w14:textId="77777777" w:rsidR="00EE1B41" w:rsidRDefault="00EE1B41">
      <w:pPr>
        <w:tabs>
          <w:tab w:val="left" w:pos="540"/>
        </w:tabs>
      </w:pPr>
    </w:p>
    <w:p w14:paraId="00F55BDF" w14:textId="77777777" w:rsidR="00EE1B41" w:rsidRDefault="00EE1B41">
      <w:pPr>
        <w:tabs>
          <w:tab w:val="left" w:pos="540"/>
        </w:tabs>
      </w:pPr>
    </w:p>
    <w:p w14:paraId="5FD22FE2" w14:textId="77777777" w:rsidR="00EE1B41" w:rsidRDefault="00EE1B41">
      <w:pPr>
        <w:tabs>
          <w:tab w:val="left" w:pos="540"/>
        </w:tabs>
      </w:pPr>
    </w:p>
    <w:p w14:paraId="1D83E1F2" w14:textId="77777777" w:rsidR="00EE1B41" w:rsidRDefault="00EE1B41">
      <w:pPr>
        <w:tabs>
          <w:tab w:val="left" w:pos="540"/>
        </w:tabs>
      </w:pPr>
    </w:p>
    <w:p w14:paraId="677FD4FB" w14:textId="77777777" w:rsidR="00EE1B41" w:rsidRDefault="00EE1B41">
      <w:pPr>
        <w:tabs>
          <w:tab w:val="left" w:pos="540"/>
        </w:tabs>
      </w:pPr>
    </w:p>
    <w:p w14:paraId="2E1A99BF" w14:textId="77777777" w:rsidR="00EE1B41" w:rsidRDefault="00EE1B41">
      <w:pPr>
        <w:tabs>
          <w:tab w:val="left" w:pos="540"/>
        </w:tabs>
      </w:pPr>
    </w:p>
    <w:p w14:paraId="4D88F1D4" w14:textId="77777777" w:rsidR="00EE1B41" w:rsidRDefault="00EE1B41">
      <w:pPr>
        <w:tabs>
          <w:tab w:val="left" w:pos="540"/>
        </w:tabs>
      </w:pPr>
    </w:p>
    <w:p w14:paraId="19B229C2" w14:textId="77777777" w:rsidR="00EE1B41" w:rsidRDefault="00EE1B41">
      <w:pPr>
        <w:tabs>
          <w:tab w:val="left" w:pos="540"/>
        </w:tabs>
      </w:pPr>
    </w:p>
    <w:p w14:paraId="62F8C5DA" w14:textId="77777777" w:rsidR="00EE1B41" w:rsidRDefault="00EE1B41">
      <w:pPr>
        <w:tabs>
          <w:tab w:val="left" w:pos="540"/>
        </w:tabs>
      </w:pPr>
    </w:p>
    <w:p w14:paraId="7CCB15E2" w14:textId="77777777" w:rsidR="00EE1B41" w:rsidRDefault="00EE1B41">
      <w:pPr>
        <w:tabs>
          <w:tab w:val="left" w:pos="540"/>
        </w:tabs>
      </w:pPr>
    </w:p>
    <w:p w14:paraId="16136934" w14:textId="77777777" w:rsidR="00EE1B41" w:rsidRDefault="00EE1B41">
      <w:pPr>
        <w:tabs>
          <w:tab w:val="left" w:pos="540"/>
        </w:tabs>
      </w:pPr>
    </w:p>
    <w:p w14:paraId="01B7AB2A" w14:textId="77777777" w:rsidR="00EE1B41" w:rsidRDefault="00EE1B41">
      <w:pPr>
        <w:tabs>
          <w:tab w:val="left" w:pos="540"/>
        </w:tabs>
      </w:pPr>
    </w:p>
    <w:p w14:paraId="7E2E115E" w14:textId="77777777" w:rsidR="00EE1B41" w:rsidRDefault="00EE68A4">
      <w:pPr>
        <w:pStyle w:val="Heading3"/>
        <w:numPr>
          <w:ilvl w:val="0"/>
          <w:numId w:val="1"/>
        </w:numPr>
        <w:spacing w:before="240" w:after="240" w:line="276" w:lineRule="auto"/>
        <w:jc w:val="left"/>
        <w:rPr>
          <w:b/>
          <w:i w:val="0"/>
          <w:color w:val="000000"/>
          <w:sz w:val="22"/>
          <w:szCs w:val="22"/>
        </w:rPr>
      </w:pPr>
      <w:r>
        <w:rPr>
          <w:b/>
          <w:i w:val="0"/>
          <w:color w:val="000000"/>
          <w:sz w:val="22"/>
          <w:szCs w:val="22"/>
        </w:rPr>
        <w:t>Fungal Viability Post-Fermentation</w:t>
      </w:r>
    </w:p>
    <w:p w14:paraId="485D3C4F" w14:textId="77777777" w:rsidR="00EE1B41" w:rsidRDefault="00EE68A4">
      <w:pPr>
        <w:pStyle w:val="Heading3"/>
        <w:spacing w:before="240" w:after="240" w:line="276" w:lineRule="auto"/>
        <w:ind w:left="360" w:firstLine="0"/>
        <w:rPr>
          <w:b/>
          <w:i w:val="0"/>
          <w:sz w:val="18"/>
          <w:szCs w:val="18"/>
        </w:rPr>
      </w:pPr>
      <w:bookmarkStart w:id="8" w:name="_heading=h.py8t285n1xgc" w:colFirst="0" w:colLast="0"/>
      <w:bookmarkEnd w:id="8"/>
      <w:r>
        <w:rPr>
          <w:b/>
          <w:i w:val="0"/>
          <w:sz w:val="18"/>
          <w:szCs w:val="18"/>
        </w:rPr>
        <w:t>Table II.  shelf life of fungus after 30 days for checking its compatibility.</w:t>
      </w:r>
      <w:r>
        <w:rPr>
          <w:b/>
          <w:sz w:val="18"/>
          <w:szCs w:val="18"/>
        </w:rPr>
        <w:t xml:space="preserve"> </w:t>
      </w:r>
    </w:p>
    <w:tbl>
      <w:tblPr>
        <w:tblStyle w:val="af0"/>
        <w:tblpPr w:leftFromText="180" w:rightFromText="180" w:vertAnchor="text" w:tblpY="137"/>
        <w:tblW w:w="4605" w:type="dxa"/>
        <w:tblBorders>
          <w:top w:val="single" w:sz="8" w:space="0" w:color="404040"/>
          <w:left w:val="single" w:sz="8" w:space="0" w:color="404040"/>
          <w:bottom w:val="single" w:sz="8" w:space="0" w:color="404040"/>
          <w:right w:val="single" w:sz="8" w:space="0" w:color="404040"/>
          <w:insideH w:val="single" w:sz="8" w:space="0" w:color="404040"/>
        </w:tblBorders>
        <w:tblLayout w:type="fixed"/>
        <w:tblLook w:val="0600" w:firstRow="0" w:lastRow="0" w:firstColumn="0" w:lastColumn="0" w:noHBand="1" w:noVBand="1"/>
      </w:tblPr>
      <w:tblGrid>
        <w:gridCol w:w="1535"/>
        <w:gridCol w:w="1535"/>
        <w:gridCol w:w="1535"/>
      </w:tblGrid>
      <w:tr w:rsidR="00EE1B41" w14:paraId="48469ABD" w14:textId="77777777" w:rsidTr="00EE1B41">
        <w:trPr>
          <w:trHeight w:val="20"/>
        </w:trPr>
        <w:tc>
          <w:tcPr>
            <w:tcW w:w="1535" w:type="dxa"/>
          </w:tcPr>
          <w:p w14:paraId="3BDF8887" w14:textId="77777777" w:rsidR="00EE1B41" w:rsidRDefault="00EE68A4">
            <w:pPr>
              <w:pStyle w:val="Heading3"/>
              <w:spacing w:before="240" w:after="240" w:line="276" w:lineRule="auto"/>
              <w:jc w:val="center"/>
              <w:outlineLvl w:val="2"/>
              <w:rPr>
                <w:b/>
                <w:i w:val="0"/>
                <w:smallCaps/>
                <w:sz w:val="18"/>
                <w:szCs w:val="18"/>
              </w:rPr>
            </w:pPr>
            <w:r>
              <w:rPr>
                <w:b/>
                <w:i w:val="0"/>
                <w:smallCaps/>
                <w:sz w:val="18"/>
                <w:szCs w:val="18"/>
              </w:rPr>
              <w:lastRenderedPageBreak/>
              <w:t>Parameter</w:t>
            </w:r>
          </w:p>
        </w:tc>
        <w:tc>
          <w:tcPr>
            <w:tcW w:w="1535" w:type="dxa"/>
          </w:tcPr>
          <w:p w14:paraId="0985771E" w14:textId="77777777" w:rsidR="00EE1B41" w:rsidRDefault="00EE68A4">
            <w:pPr>
              <w:pStyle w:val="Heading3"/>
              <w:spacing w:before="240" w:after="240" w:line="276" w:lineRule="auto"/>
              <w:jc w:val="center"/>
              <w:outlineLvl w:val="2"/>
              <w:rPr>
                <w:b/>
                <w:smallCaps/>
                <w:sz w:val="18"/>
                <w:szCs w:val="18"/>
              </w:rPr>
            </w:pPr>
            <w:r>
              <w:rPr>
                <w:b/>
                <w:smallCaps/>
                <w:sz w:val="18"/>
                <w:szCs w:val="18"/>
              </w:rPr>
              <w:t>T. viride</w:t>
            </w:r>
          </w:p>
        </w:tc>
        <w:tc>
          <w:tcPr>
            <w:tcW w:w="1535" w:type="dxa"/>
          </w:tcPr>
          <w:p w14:paraId="603765BB" w14:textId="77777777" w:rsidR="00EE1B41" w:rsidRDefault="00EE68A4">
            <w:pPr>
              <w:pStyle w:val="Heading3"/>
              <w:spacing w:before="240" w:after="240" w:line="276" w:lineRule="auto"/>
              <w:jc w:val="center"/>
              <w:outlineLvl w:val="2"/>
              <w:rPr>
                <w:b/>
                <w:smallCaps/>
                <w:sz w:val="18"/>
                <w:szCs w:val="18"/>
              </w:rPr>
            </w:pPr>
            <w:r>
              <w:rPr>
                <w:b/>
                <w:smallCaps/>
                <w:sz w:val="18"/>
                <w:szCs w:val="18"/>
              </w:rPr>
              <w:t xml:space="preserve">A. </w:t>
            </w:r>
            <w:proofErr w:type="spellStart"/>
            <w:r>
              <w:rPr>
                <w:b/>
                <w:smallCaps/>
                <w:sz w:val="18"/>
                <w:szCs w:val="18"/>
              </w:rPr>
              <w:t>niger</w:t>
            </w:r>
            <w:proofErr w:type="spellEnd"/>
          </w:p>
        </w:tc>
      </w:tr>
      <w:tr w:rsidR="00EE1B41" w14:paraId="03800E6D" w14:textId="77777777" w:rsidTr="00EE1B41">
        <w:trPr>
          <w:trHeight w:val="20"/>
        </w:trPr>
        <w:tc>
          <w:tcPr>
            <w:tcW w:w="1535" w:type="dxa"/>
          </w:tcPr>
          <w:p w14:paraId="57AB1C66" w14:textId="77777777" w:rsidR="00EE1B41" w:rsidRDefault="00EE68A4">
            <w:pPr>
              <w:pStyle w:val="Heading3"/>
              <w:spacing w:before="240" w:after="240" w:line="276" w:lineRule="auto"/>
              <w:jc w:val="center"/>
              <w:outlineLvl w:val="2"/>
              <w:rPr>
                <w:i w:val="0"/>
                <w:smallCaps/>
                <w:sz w:val="18"/>
                <w:szCs w:val="18"/>
              </w:rPr>
            </w:pPr>
            <w:r>
              <w:rPr>
                <w:i w:val="0"/>
                <w:smallCaps/>
                <w:sz w:val="18"/>
                <w:szCs w:val="18"/>
              </w:rPr>
              <w:t>Initial CFU (day 0)</w:t>
            </w:r>
          </w:p>
        </w:tc>
        <w:tc>
          <w:tcPr>
            <w:tcW w:w="1535" w:type="dxa"/>
          </w:tcPr>
          <w:p w14:paraId="5A6D69CB" w14:textId="77777777" w:rsidR="00EE1B41" w:rsidRDefault="00EE68A4">
            <w:pPr>
              <w:pStyle w:val="Heading3"/>
              <w:spacing w:before="240" w:after="240" w:line="276" w:lineRule="auto"/>
              <w:jc w:val="center"/>
              <w:outlineLvl w:val="2"/>
              <w:rPr>
                <w:i w:val="0"/>
                <w:smallCaps/>
                <w:sz w:val="18"/>
                <w:szCs w:val="18"/>
              </w:rPr>
            </w:pPr>
            <w:r>
              <w:rPr>
                <w:i w:val="0"/>
                <w:smallCaps/>
                <w:sz w:val="18"/>
                <w:szCs w:val="18"/>
              </w:rPr>
              <w:t>2 × 10⁷</w:t>
            </w:r>
          </w:p>
        </w:tc>
        <w:tc>
          <w:tcPr>
            <w:tcW w:w="1535" w:type="dxa"/>
          </w:tcPr>
          <w:p w14:paraId="32806A70" w14:textId="77777777" w:rsidR="00EE1B41" w:rsidRDefault="00EE68A4">
            <w:pPr>
              <w:pStyle w:val="Heading3"/>
              <w:spacing w:before="240" w:after="240" w:line="276" w:lineRule="auto"/>
              <w:jc w:val="center"/>
              <w:outlineLvl w:val="2"/>
              <w:rPr>
                <w:i w:val="0"/>
                <w:smallCaps/>
                <w:sz w:val="18"/>
                <w:szCs w:val="18"/>
              </w:rPr>
            </w:pPr>
            <w:r>
              <w:rPr>
                <w:i w:val="0"/>
                <w:smallCaps/>
                <w:sz w:val="18"/>
                <w:szCs w:val="18"/>
              </w:rPr>
              <w:t>1 × 10⁷</w:t>
            </w:r>
          </w:p>
        </w:tc>
      </w:tr>
      <w:tr w:rsidR="00EE1B41" w14:paraId="63AC440F" w14:textId="77777777" w:rsidTr="00EE1B41">
        <w:trPr>
          <w:trHeight w:val="20"/>
        </w:trPr>
        <w:tc>
          <w:tcPr>
            <w:tcW w:w="1535" w:type="dxa"/>
          </w:tcPr>
          <w:p w14:paraId="62B626DD" w14:textId="77777777" w:rsidR="00EE1B41" w:rsidRDefault="00EE68A4">
            <w:pPr>
              <w:pStyle w:val="Heading3"/>
              <w:spacing w:before="240" w:after="240" w:line="276" w:lineRule="auto"/>
              <w:jc w:val="center"/>
              <w:outlineLvl w:val="2"/>
              <w:rPr>
                <w:i w:val="0"/>
                <w:smallCaps/>
                <w:sz w:val="18"/>
                <w:szCs w:val="18"/>
              </w:rPr>
            </w:pPr>
            <w:r>
              <w:rPr>
                <w:i w:val="0"/>
                <w:smallCaps/>
                <w:sz w:val="18"/>
                <w:szCs w:val="18"/>
              </w:rPr>
              <w:t>Final CFU (day 30)</w:t>
            </w:r>
          </w:p>
        </w:tc>
        <w:tc>
          <w:tcPr>
            <w:tcW w:w="1535" w:type="dxa"/>
          </w:tcPr>
          <w:p w14:paraId="00FDE021" w14:textId="77777777" w:rsidR="00EE1B41" w:rsidRDefault="00EE68A4">
            <w:pPr>
              <w:pStyle w:val="Heading3"/>
              <w:spacing w:before="240" w:after="240" w:line="276" w:lineRule="auto"/>
              <w:jc w:val="center"/>
              <w:outlineLvl w:val="2"/>
              <w:rPr>
                <w:i w:val="0"/>
                <w:smallCaps/>
                <w:sz w:val="18"/>
                <w:szCs w:val="18"/>
              </w:rPr>
            </w:pPr>
            <w:r>
              <w:rPr>
                <w:i w:val="0"/>
                <w:smallCaps/>
                <w:sz w:val="18"/>
                <w:szCs w:val="18"/>
              </w:rPr>
              <w:t>1 × 10⁷</w:t>
            </w:r>
          </w:p>
        </w:tc>
        <w:tc>
          <w:tcPr>
            <w:tcW w:w="1535" w:type="dxa"/>
          </w:tcPr>
          <w:p w14:paraId="268BFE6C" w14:textId="77777777" w:rsidR="00EE1B41" w:rsidRDefault="00EE68A4">
            <w:pPr>
              <w:pStyle w:val="Heading3"/>
              <w:spacing w:before="240" w:after="240" w:line="276" w:lineRule="auto"/>
              <w:jc w:val="center"/>
              <w:outlineLvl w:val="2"/>
              <w:rPr>
                <w:i w:val="0"/>
                <w:smallCaps/>
                <w:sz w:val="18"/>
                <w:szCs w:val="18"/>
              </w:rPr>
            </w:pPr>
            <w:r>
              <w:rPr>
                <w:i w:val="0"/>
                <w:smallCaps/>
                <w:sz w:val="18"/>
                <w:szCs w:val="18"/>
              </w:rPr>
              <w:t xml:space="preserve"> 1 × 10⁶</w:t>
            </w:r>
          </w:p>
        </w:tc>
      </w:tr>
      <w:tr w:rsidR="00EE1B41" w14:paraId="2ABB230A" w14:textId="77777777" w:rsidTr="00EE1B41">
        <w:trPr>
          <w:trHeight w:val="20"/>
        </w:trPr>
        <w:tc>
          <w:tcPr>
            <w:tcW w:w="1535" w:type="dxa"/>
          </w:tcPr>
          <w:p w14:paraId="62BBDC16" w14:textId="77777777" w:rsidR="00EE1B41" w:rsidRDefault="00EE68A4">
            <w:pPr>
              <w:pStyle w:val="Heading3"/>
              <w:spacing w:before="240" w:after="240" w:line="276" w:lineRule="auto"/>
              <w:jc w:val="center"/>
              <w:outlineLvl w:val="2"/>
              <w:rPr>
                <w:i w:val="0"/>
                <w:smallCaps/>
                <w:sz w:val="18"/>
                <w:szCs w:val="18"/>
              </w:rPr>
            </w:pPr>
            <w:r>
              <w:rPr>
                <w:i w:val="0"/>
                <w:smallCaps/>
                <w:sz w:val="18"/>
                <w:szCs w:val="18"/>
              </w:rPr>
              <w:t>Spore viability (%)</w:t>
            </w:r>
          </w:p>
        </w:tc>
        <w:tc>
          <w:tcPr>
            <w:tcW w:w="1535" w:type="dxa"/>
          </w:tcPr>
          <w:p w14:paraId="5BF7180D" w14:textId="77777777" w:rsidR="00EE1B41" w:rsidRDefault="00EE68A4">
            <w:pPr>
              <w:pStyle w:val="Heading3"/>
              <w:spacing w:before="240" w:after="240" w:line="276" w:lineRule="auto"/>
              <w:jc w:val="center"/>
              <w:outlineLvl w:val="2"/>
              <w:rPr>
                <w:i w:val="0"/>
                <w:smallCaps/>
                <w:sz w:val="18"/>
                <w:szCs w:val="18"/>
              </w:rPr>
            </w:pPr>
            <w:r>
              <w:rPr>
                <w:i w:val="0"/>
                <w:smallCaps/>
                <w:sz w:val="18"/>
                <w:szCs w:val="18"/>
              </w:rPr>
              <w:t>85%</w:t>
            </w:r>
          </w:p>
        </w:tc>
        <w:tc>
          <w:tcPr>
            <w:tcW w:w="1535" w:type="dxa"/>
          </w:tcPr>
          <w:p w14:paraId="31627F51" w14:textId="77777777" w:rsidR="00EE1B41" w:rsidRDefault="00EE68A4">
            <w:pPr>
              <w:pStyle w:val="Heading3"/>
              <w:spacing w:before="240" w:after="240" w:line="276" w:lineRule="auto"/>
              <w:jc w:val="center"/>
              <w:outlineLvl w:val="2"/>
              <w:rPr>
                <w:i w:val="0"/>
                <w:smallCaps/>
                <w:sz w:val="18"/>
                <w:szCs w:val="18"/>
              </w:rPr>
            </w:pPr>
            <w:r>
              <w:rPr>
                <w:i w:val="0"/>
                <w:smallCaps/>
                <w:sz w:val="18"/>
                <w:szCs w:val="18"/>
              </w:rPr>
              <w:t>80%</w:t>
            </w:r>
          </w:p>
        </w:tc>
      </w:tr>
      <w:tr w:rsidR="00EE1B41" w14:paraId="4CD422DE" w14:textId="77777777" w:rsidTr="00EE1B41">
        <w:trPr>
          <w:trHeight w:val="20"/>
        </w:trPr>
        <w:tc>
          <w:tcPr>
            <w:tcW w:w="1535" w:type="dxa"/>
          </w:tcPr>
          <w:p w14:paraId="683BFD96" w14:textId="77777777" w:rsidR="00EE1B41" w:rsidRDefault="00EE68A4">
            <w:pPr>
              <w:pStyle w:val="Heading3"/>
              <w:spacing w:before="240" w:after="240" w:line="276" w:lineRule="auto"/>
              <w:jc w:val="center"/>
              <w:outlineLvl w:val="2"/>
              <w:rPr>
                <w:i w:val="0"/>
                <w:smallCaps/>
                <w:sz w:val="18"/>
                <w:szCs w:val="18"/>
              </w:rPr>
            </w:pPr>
            <w:r>
              <w:rPr>
                <w:i w:val="0"/>
                <w:smallCaps/>
                <w:sz w:val="18"/>
                <w:szCs w:val="18"/>
              </w:rPr>
              <w:t>Shelf-stability (30 days)</w:t>
            </w:r>
          </w:p>
        </w:tc>
        <w:tc>
          <w:tcPr>
            <w:tcW w:w="1535" w:type="dxa"/>
          </w:tcPr>
          <w:p w14:paraId="607C6438" w14:textId="77777777" w:rsidR="00EE1B41" w:rsidRDefault="00EE68A4">
            <w:pPr>
              <w:pStyle w:val="Heading3"/>
              <w:spacing w:before="240" w:after="240" w:line="276" w:lineRule="auto"/>
              <w:jc w:val="center"/>
              <w:outlineLvl w:val="2"/>
              <w:rPr>
                <w:i w:val="0"/>
                <w:smallCaps/>
                <w:sz w:val="18"/>
                <w:szCs w:val="18"/>
              </w:rPr>
            </w:pPr>
            <w:r>
              <w:rPr>
                <w:i w:val="0"/>
                <w:smallCaps/>
                <w:sz w:val="18"/>
                <w:szCs w:val="18"/>
              </w:rPr>
              <w:t>Maintained</w:t>
            </w:r>
          </w:p>
        </w:tc>
        <w:tc>
          <w:tcPr>
            <w:tcW w:w="1535" w:type="dxa"/>
          </w:tcPr>
          <w:p w14:paraId="1F1D946F" w14:textId="77777777" w:rsidR="00EE1B41" w:rsidRDefault="00EE68A4">
            <w:pPr>
              <w:pStyle w:val="Heading3"/>
              <w:spacing w:before="240" w:after="240" w:line="276" w:lineRule="auto"/>
              <w:jc w:val="center"/>
              <w:outlineLvl w:val="2"/>
              <w:rPr>
                <w:i w:val="0"/>
                <w:smallCaps/>
                <w:sz w:val="18"/>
                <w:szCs w:val="18"/>
              </w:rPr>
            </w:pPr>
            <w:r>
              <w:rPr>
                <w:i w:val="0"/>
                <w:smallCaps/>
                <w:sz w:val="18"/>
                <w:szCs w:val="18"/>
              </w:rPr>
              <w:t>Maintained</w:t>
            </w:r>
          </w:p>
        </w:tc>
      </w:tr>
    </w:tbl>
    <w:p w14:paraId="014A6F80" w14:textId="77777777" w:rsidR="00EE1B41" w:rsidRDefault="00EE68A4">
      <w:pPr>
        <w:pStyle w:val="Heading3"/>
        <w:spacing w:before="240" w:after="240" w:line="276" w:lineRule="auto"/>
        <w:ind w:firstLine="0"/>
        <w:jc w:val="left"/>
        <w:rPr>
          <w:i w:val="0"/>
          <w:sz w:val="22"/>
          <w:szCs w:val="22"/>
        </w:rPr>
      </w:pPr>
      <w:r>
        <w:rPr>
          <w:sz w:val="22"/>
          <w:szCs w:val="22"/>
        </w:rPr>
        <w:t xml:space="preserve"> </w:t>
      </w:r>
      <w:r>
        <w:rPr>
          <w:i w:val="0"/>
          <w:sz w:val="22"/>
          <w:szCs w:val="22"/>
        </w:rPr>
        <w:t xml:space="preserve">This confirms that the residual biomass post-distillation has potential for further compost-based </w:t>
      </w:r>
      <w:proofErr w:type="spellStart"/>
      <w:proofErr w:type="gramStart"/>
      <w:r>
        <w:rPr>
          <w:i w:val="0"/>
          <w:sz w:val="22"/>
          <w:szCs w:val="22"/>
        </w:rPr>
        <w:t>valorization</w:t>
      </w:r>
      <w:proofErr w:type="spellEnd"/>
      <w:r>
        <w:rPr>
          <w:i w:val="0"/>
          <w:sz w:val="22"/>
          <w:szCs w:val="22"/>
        </w:rPr>
        <w:t xml:space="preserve">  to</w:t>
      </w:r>
      <w:proofErr w:type="gramEnd"/>
      <w:r>
        <w:rPr>
          <w:i w:val="0"/>
          <w:sz w:val="22"/>
          <w:szCs w:val="22"/>
        </w:rPr>
        <w:t xml:space="preserve"> be explored in a separate study.</w:t>
      </w:r>
    </w:p>
    <w:p w14:paraId="1FA4349A" w14:textId="77777777" w:rsidR="00EE1B41" w:rsidRDefault="00EE68A4">
      <w:pPr>
        <w:pStyle w:val="Heading3"/>
        <w:spacing w:before="240" w:after="240" w:line="276" w:lineRule="auto"/>
        <w:ind w:firstLine="0"/>
        <w:jc w:val="left"/>
        <w:rPr>
          <w:i w:val="0"/>
          <w:sz w:val="22"/>
          <w:szCs w:val="22"/>
        </w:rPr>
      </w:pPr>
      <w:r>
        <w:rPr>
          <w:i w:val="0"/>
          <w:sz w:val="22"/>
          <w:szCs w:val="22"/>
        </w:rPr>
        <w:t xml:space="preserve">Both </w:t>
      </w:r>
      <w:r>
        <w:rPr>
          <w:sz w:val="22"/>
          <w:szCs w:val="22"/>
        </w:rPr>
        <w:t>T. viride</w:t>
      </w:r>
      <w:r>
        <w:rPr>
          <w:i w:val="0"/>
          <w:sz w:val="22"/>
          <w:szCs w:val="22"/>
        </w:rPr>
        <w:t xml:space="preserve"> and </w:t>
      </w:r>
      <w:r>
        <w:rPr>
          <w:sz w:val="22"/>
          <w:szCs w:val="22"/>
        </w:rPr>
        <w:t xml:space="preserve">A. </w:t>
      </w:r>
      <w:proofErr w:type="spellStart"/>
      <w:r>
        <w:rPr>
          <w:sz w:val="22"/>
          <w:szCs w:val="22"/>
        </w:rPr>
        <w:t>niger</w:t>
      </w:r>
      <w:proofErr w:type="spellEnd"/>
      <w:r>
        <w:rPr>
          <w:i w:val="0"/>
          <w:sz w:val="22"/>
          <w:szCs w:val="22"/>
        </w:rPr>
        <w:t xml:space="preserve"> remained viable post-saccharification, with final CFU counts of 2 × 10⁷ CFU/mL and 1 × 10⁶ CFU/mL, respectively, after 30 days in stored broth. Their co-existence without zone inhibition confirms compatibility, supported by earlier findings on fungal consortiums in compost ecosystems (Romero-Frasca et al., 2021; Bokhari </w:t>
      </w:r>
      <w:r>
        <w:rPr>
          <w:sz w:val="22"/>
          <w:szCs w:val="22"/>
        </w:rPr>
        <w:t>et al.</w:t>
      </w:r>
      <w:r>
        <w:rPr>
          <w:i w:val="0"/>
          <w:sz w:val="22"/>
          <w:szCs w:val="22"/>
        </w:rPr>
        <w:t>, 2019).</w:t>
      </w:r>
    </w:p>
    <w:p w14:paraId="7982CD23" w14:textId="77777777" w:rsidR="00EE1B41" w:rsidRDefault="00EE1B41"/>
    <w:tbl>
      <w:tblPr>
        <w:tblStyle w:val="af1"/>
        <w:tblW w:w="4477" w:type="dxa"/>
        <w:tblInd w:w="-108" w:type="dxa"/>
        <w:tblLayout w:type="fixed"/>
        <w:tblLook w:val="0400" w:firstRow="0" w:lastRow="0" w:firstColumn="0" w:lastColumn="0" w:noHBand="0" w:noVBand="1"/>
      </w:tblPr>
      <w:tblGrid>
        <w:gridCol w:w="2274"/>
        <w:gridCol w:w="2203"/>
      </w:tblGrid>
      <w:tr w:rsidR="00EE1B41" w14:paraId="1109DE1C" w14:textId="77777777">
        <w:trPr>
          <w:trHeight w:val="1821"/>
        </w:trPr>
        <w:tc>
          <w:tcPr>
            <w:tcW w:w="2274" w:type="dxa"/>
          </w:tcPr>
          <w:p w14:paraId="2A04B136" w14:textId="77777777" w:rsidR="00EE1B41" w:rsidRDefault="00EE68A4">
            <w:r>
              <w:rPr>
                <w:noProof/>
              </w:rPr>
              <w:drawing>
                <wp:inline distT="0" distB="0" distL="0" distR="0" wp14:anchorId="35AF0DFC" wp14:editId="17B83EF0">
                  <wp:extent cx="1166497" cy="914400"/>
                  <wp:effectExtent l="0" t="0" r="0" b="0"/>
                  <wp:docPr id="3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l="12767" t="12447" r="14460" b="13208"/>
                          <a:stretch>
                            <a:fillRect/>
                          </a:stretch>
                        </pic:blipFill>
                        <pic:spPr>
                          <a:xfrm>
                            <a:off x="0" y="0"/>
                            <a:ext cx="1166497" cy="914400"/>
                          </a:xfrm>
                          <a:prstGeom prst="rect">
                            <a:avLst/>
                          </a:prstGeom>
                          <a:ln/>
                        </pic:spPr>
                      </pic:pic>
                    </a:graphicData>
                  </a:graphic>
                </wp:inline>
              </w:drawing>
            </w:r>
          </w:p>
        </w:tc>
        <w:tc>
          <w:tcPr>
            <w:tcW w:w="2203" w:type="dxa"/>
          </w:tcPr>
          <w:p w14:paraId="110F3FA9" w14:textId="77777777" w:rsidR="00EE1B41" w:rsidRDefault="00EE68A4">
            <w:pPr>
              <w:jc w:val="left"/>
            </w:pPr>
            <w:r>
              <w:rPr>
                <w:noProof/>
              </w:rPr>
              <w:drawing>
                <wp:inline distT="0" distB="0" distL="0" distR="0" wp14:anchorId="12532E1E" wp14:editId="1C1CFFD4">
                  <wp:extent cx="1391526" cy="914400"/>
                  <wp:effectExtent l="0" t="0" r="0" b="0"/>
                  <wp:docPr id="3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a:srcRect/>
                          <a:stretch>
                            <a:fillRect/>
                          </a:stretch>
                        </pic:blipFill>
                        <pic:spPr>
                          <a:xfrm>
                            <a:off x="0" y="0"/>
                            <a:ext cx="1391526" cy="914400"/>
                          </a:xfrm>
                          <a:prstGeom prst="rect">
                            <a:avLst/>
                          </a:prstGeom>
                          <a:ln/>
                        </pic:spPr>
                      </pic:pic>
                    </a:graphicData>
                  </a:graphic>
                </wp:inline>
              </w:drawing>
            </w:r>
          </w:p>
        </w:tc>
      </w:tr>
      <w:tr w:rsidR="00EE1B41" w14:paraId="19243425" w14:textId="77777777">
        <w:trPr>
          <w:trHeight w:val="1821"/>
        </w:trPr>
        <w:tc>
          <w:tcPr>
            <w:tcW w:w="2274" w:type="dxa"/>
          </w:tcPr>
          <w:p w14:paraId="429A95FD" w14:textId="77777777" w:rsidR="00EE1B41" w:rsidRDefault="00EE1B41"/>
          <w:p w14:paraId="3F78DF21" w14:textId="77777777" w:rsidR="00EE1B41" w:rsidRDefault="00EE68A4">
            <w:r>
              <w:rPr>
                <w:noProof/>
              </w:rPr>
              <w:drawing>
                <wp:inline distT="0" distB="0" distL="0" distR="0" wp14:anchorId="1F8F3412" wp14:editId="53CD5807">
                  <wp:extent cx="1305592" cy="914400"/>
                  <wp:effectExtent l="0" t="0" r="0" b="0"/>
                  <wp:docPr id="3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1305592" cy="914400"/>
                          </a:xfrm>
                          <a:prstGeom prst="rect">
                            <a:avLst/>
                          </a:prstGeom>
                          <a:ln/>
                        </pic:spPr>
                      </pic:pic>
                    </a:graphicData>
                  </a:graphic>
                </wp:inline>
              </w:drawing>
            </w:r>
          </w:p>
        </w:tc>
        <w:tc>
          <w:tcPr>
            <w:tcW w:w="2203" w:type="dxa"/>
          </w:tcPr>
          <w:p w14:paraId="1B14D520" w14:textId="77777777" w:rsidR="00EE1B41" w:rsidRDefault="00EE1B41"/>
          <w:p w14:paraId="0940E1D4" w14:textId="77777777" w:rsidR="00EE1B41" w:rsidRDefault="00EE68A4">
            <w:r>
              <w:rPr>
                <w:noProof/>
              </w:rPr>
              <w:drawing>
                <wp:inline distT="0" distB="0" distL="0" distR="0" wp14:anchorId="07B6D4F2" wp14:editId="0C13F792">
                  <wp:extent cx="1373498" cy="907027"/>
                  <wp:effectExtent l="0" t="0" r="0" b="0"/>
                  <wp:docPr id="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5"/>
                          <a:srcRect r="30166" b="22221"/>
                          <a:stretch>
                            <a:fillRect/>
                          </a:stretch>
                        </pic:blipFill>
                        <pic:spPr>
                          <a:xfrm>
                            <a:off x="0" y="0"/>
                            <a:ext cx="1373498" cy="907027"/>
                          </a:xfrm>
                          <a:prstGeom prst="rect">
                            <a:avLst/>
                          </a:prstGeom>
                          <a:ln/>
                        </pic:spPr>
                      </pic:pic>
                    </a:graphicData>
                  </a:graphic>
                </wp:inline>
              </w:drawing>
            </w:r>
          </w:p>
        </w:tc>
      </w:tr>
    </w:tbl>
    <w:p w14:paraId="1CF136C7" w14:textId="77777777" w:rsidR="00EE1B41" w:rsidRDefault="00EE1B41">
      <w:pPr>
        <w:jc w:val="left"/>
      </w:pPr>
    </w:p>
    <w:p w14:paraId="6CCF20C5" w14:textId="77777777" w:rsidR="00EE1B41" w:rsidRDefault="00EE1B41"/>
    <w:p w14:paraId="61291369" w14:textId="77777777" w:rsidR="00EE1B41" w:rsidRDefault="00EE68A4">
      <w:pPr>
        <w:numPr>
          <w:ilvl w:val="0"/>
          <w:numId w:val="11"/>
        </w:numPr>
        <w:pBdr>
          <w:top w:val="nil"/>
          <w:left w:val="nil"/>
          <w:bottom w:val="nil"/>
          <w:right w:val="nil"/>
          <w:between w:val="nil"/>
        </w:pBdr>
        <w:jc w:val="left"/>
        <w:rPr>
          <w:b/>
          <w:color w:val="000000"/>
          <w:sz w:val="18"/>
          <w:szCs w:val="18"/>
        </w:rPr>
      </w:pPr>
      <w:r>
        <w:rPr>
          <w:b/>
          <w:color w:val="000000"/>
          <w:sz w:val="18"/>
          <w:szCs w:val="18"/>
        </w:rPr>
        <w:t>Fig. 9 (Fermentation in 5L pot ,2</w:t>
      </w:r>
      <w:r>
        <w:rPr>
          <w:b/>
          <w:color w:val="000000"/>
          <w:sz w:val="18"/>
          <w:szCs w:val="18"/>
          <w:vertAlign w:val="superscript"/>
        </w:rPr>
        <w:t>nd</w:t>
      </w:r>
      <w:r>
        <w:rPr>
          <w:b/>
          <w:color w:val="000000"/>
          <w:sz w:val="18"/>
          <w:szCs w:val="18"/>
        </w:rPr>
        <w:t xml:space="preserve"> trail)</w:t>
      </w:r>
    </w:p>
    <w:p w14:paraId="7FDA87EB" w14:textId="77777777" w:rsidR="00EE1B41" w:rsidRDefault="00EE1B41">
      <w:pPr>
        <w:jc w:val="left"/>
        <w:rPr>
          <w:b/>
          <w:sz w:val="18"/>
          <w:szCs w:val="18"/>
        </w:rPr>
      </w:pPr>
    </w:p>
    <w:p w14:paraId="7D9D4E55" w14:textId="77777777" w:rsidR="00EE1B41" w:rsidRDefault="00EE68A4">
      <w:pPr>
        <w:numPr>
          <w:ilvl w:val="0"/>
          <w:numId w:val="11"/>
        </w:numPr>
        <w:pBdr>
          <w:top w:val="nil"/>
          <w:left w:val="nil"/>
          <w:bottom w:val="nil"/>
          <w:right w:val="nil"/>
          <w:between w:val="nil"/>
        </w:pBdr>
        <w:jc w:val="left"/>
        <w:rPr>
          <w:b/>
          <w:color w:val="000000"/>
          <w:sz w:val="18"/>
          <w:szCs w:val="18"/>
        </w:rPr>
      </w:pPr>
      <w:r>
        <w:rPr>
          <w:b/>
          <w:color w:val="000000"/>
          <w:sz w:val="18"/>
          <w:szCs w:val="18"/>
        </w:rPr>
        <w:t>Fig. 10 (Final ethanol reading 10.5 v/v)</w:t>
      </w:r>
    </w:p>
    <w:p w14:paraId="16D31EC6" w14:textId="77777777" w:rsidR="00EE1B41" w:rsidRDefault="00EE1B41">
      <w:pPr>
        <w:jc w:val="left"/>
        <w:rPr>
          <w:b/>
          <w:sz w:val="18"/>
          <w:szCs w:val="18"/>
        </w:rPr>
      </w:pPr>
    </w:p>
    <w:p w14:paraId="3C504A34" w14:textId="77777777" w:rsidR="00EE1B41" w:rsidRDefault="00EE68A4">
      <w:pPr>
        <w:numPr>
          <w:ilvl w:val="0"/>
          <w:numId w:val="11"/>
        </w:numPr>
        <w:pBdr>
          <w:top w:val="nil"/>
          <w:left w:val="nil"/>
          <w:bottom w:val="nil"/>
          <w:right w:val="nil"/>
          <w:between w:val="nil"/>
        </w:pBdr>
        <w:jc w:val="left"/>
        <w:rPr>
          <w:b/>
          <w:color w:val="000000"/>
          <w:sz w:val="18"/>
          <w:szCs w:val="18"/>
        </w:rPr>
      </w:pPr>
      <w:r>
        <w:rPr>
          <w:b/>
          <w:color w:val="000000"/>
          <w:sz w:val="18"/>
          <w:szCs w:val="18"/>
        </w:rPr>
        <w:t>Fig. 11 (Distillation assembly for pure ethanol recovery</w:t>
      </w:r>
      <w:r>
        <w:rPr>
          <w:b/>
          <w:sz w:val="18"/>
          <w:szCs w:val="18"/>
        </w:rPr>
        <w:t>.</w:t>
      </w:r>
    </w:p>
    <w:p w14:paraId="6F3B702C" w14:textId="77777777" w:rsidR="00EE1B41" w:rsidRDefault="00EE68A4">
      <w:pPr>
        <w:numPr>
          <w:ilvl w:val="0"/>
          <w:numId w:val="11"/>
        </w:numPr>
        <w:pBdr>
          <w:top w:val="nil"/>
          <w:left w:val="nil"/>
          <w:bottom w:val="nil"/>
          <w:right w:val="nil"/>
          <w:between w:val="nil"/>
        </w:pBdr>
        <w:jc w:val="left"/>
        <w:rPr>
          <w:b/>
          <w:color w:val="000000"/>
          <w:sz w:val="18"/>
          <w:szCs w:val="18"/>
        </w:rPr>
      </w:pPr>
      <w:r>
        <w:rPr>
          <w:b/>
          <w:color w:val="000000"/>
          <w:sz w:val="18"/>
          <w:szCs w:val="18"/>
        </w:rPr>
        <w:t>Fig 12 (Extracted Ethanol after primary distillation)</w:t>
      </w:r>
      <w:r>
        <w:rPr>
          <w:b/>
          <w:i/>
          <w:sz w:val="22"/>
          <w:szCs w:val="22"/>
        </w:rPr>
        <w:t xml:space="preserve"> </w:t>
      </w:r>
    </w:p>
    <w:p w14:paraId="564B4C88" w14:textId="77777777" w:rsidR="00EE1B41" w:rsidRDefault="00EE1B41">
      <w:pPr>
        <w:pBdr>
          <w:top w:val="nil"/>
          <w:left w:val="nil"/>
          <w:bottom w:val="nil"/>
          <w:right w:val="nil"/>
          <w:between w:val="nil"/>
        </w:pBdr>
        <w:jc w:val="left"/>
        <w:rPr>
          <w:b/>
          <w:sz w:val="22"/>
          <w:szCs w:val="22"/>
        </w:rPr>
      </w:pPr>
    </w:p>
    <w:p w14:paraId="21C3E3AF" w14:textId="77777777" w:rsidR="00EE1B41" w:rsidRDefault="00EE1B41">
      <w:pPr>
        <w:pBdr>
          <w:top w:val="nil"/>
          <w:left w:val="nil"/>
          <w:bottom w:val="nil"/>
          <w:right w:val="nil"/>
          <w:between w:val="nil"/>
        </w:pBdr>
        <w:jc w:val="left"/>
        <w:rPr>
          <w:b/>
          <w:sz w:val="22"/>
          <w:szCs w:val="22"/>
        </w:rPr>
      </w:pPr>
    </w:p>
    <w:p w14:paraId="73028816" w14:textId="77777777" w:rsidR="00EE1B41" w:rsidRDefault="00EE68A4">
      <w:pPr>
        <w:numPr>
          <w:ilvl w:val="0"/>
          <w:numId w:val="1"/>
        </w:numPr>
        <w:pBdr>
          <w:top w:val="nil"/>
          <w:left w:val="nil"/>
          <w:bottom w:val="nil"/>
          <w:right w:val="nil"/>
          <w:between w:val="nil"/>
        </w:pBdr>
        <w:jc w:val="left"/>
        <w:rPr>
          <w:b/>
          <w:sz w:val="18"/>
          <w:szCs w:val="18"/>
        </w:rPr>
      </w:pPr>
      <w:r>
        <w:rPr>
          <w:b/>
          <w:sz w:val="18"/>
          <w:szCs w:val="18"/>
        </w:rPr>
        <w:t>Summary of Results</w:t>
      </w:r>
    </w:p>
    <w:p w14:paraId="432BBA30" w14:textId="77777777" w:rsidR="00EE1B41" w:rsidRDefault="00EE68A4">
      <w:pPr>
        <w:pStyle w:val="Heading3"/>
        <w:numPr>
          <w:ilvl w:val="0"/>
          <w:numId w:val="8"/>
        </w:numPr>
        <w:spacing w:before="240" w:line="276" w:lineRule="auto"/>
        <w:jc w:val="left"/>
        <w:rPr>
          <w:i w:val="0"/>
          <w:sz w:val="22"/>
          <w:szCs w:val="22"/>
        </w:rPr>
      </w:pPr>
      <w:r>
        <w:rPr>
          <w:i w:val="0"/>
          <w:sz w:val="22"/>
          <w:szCs w:val="22"/>
        </w:rPr>
        <w:t>High ethanol conversion from mixed substrates with only fungal enzymes</w:t>
      </w:r>
    </w:p>
    <w:p w14:paraId="7F92A990" w14:textId="77777777" w:rsidR="00EE1B41" w:rsidRDefault="00EE68A4">
      <w:pPr>
        <w:pStyle w:val="Heading3"/>
        <w:numPr>
          <w:ilvl w:val="0"/>
          <w:numId w:val="8"/>
        </w:numPr>
        <w:spacing w:before="240" w:line="276" w:lineRule="auto"/>
        <w:jc w:val="left"/>
        <w:rPr>
          <w:i w:val="0"/>
          <w:sz w:val="22"/>
          <w:szCs w:val="22"/>
        </w:rPr>
      </w:pPr>
      <w:r>
        <w:rPr>
          <w:i w:val="0"/>
          <w:sz w:val="22"/>
          <w:szCs w:val="22"/>
        </w:rPr>
        <w:t>Dual fungal culture showed strong compatibility and shelf stability</w:t>
      </w:r>
    </w:p>
    <w:p w14:paraId="387FE942" w14:textId="77777777" w:rsidR="00EE1B41" w:rsidRDefault="00EE68A4">
      <w:pPr>
        <w:pStyle w:val="Heading3"/>
        <w:numPr>
          <w:ilvl w:val="0"/>
          <w:numId w:val="8"/>
        </w:numPr>
        <w:spacing w:before="240" w:line="276" w:lineRule="auto"/>
        <w:jc w:val="left"/>
        <w:rPr>
          <w:i w:val="0"/>
          <w:sz w:val="22"/>
          <w:szCs w:val="22"/>
        </w:rPr>
      </w:pPr>
      <w:r>
        <w:rPr>
          <w:i w:val="0"/>
          <w:sz w:val="22"/>
          <w:szCs w:val="22"/>
        </w:rPr>
        <w:t>CMC inclusion boosted hydrolysis efficiency</w:t>
      </w:r>
    </w:p>
    <w:p w14:paraId="1E244AB1" w14:textId="77777777" w:rsidR="00EE1B41" w:rsidRDefault="00EE68A4">
      <w:pPr>
        <w:pStyle w:val="Heading3"/>
        <w:numPr>
          <w:ilvl w:val="0"/>
          <w:numId w:val="8"/>
        </w:numPr>
        <w:spacing w:before="240" w:line="276" w:lineRule="auto"/>
        <w:jc w:val="left"/>
        <w:rPr>
          <w:i w:val="0"/>
          <w:sz w:val="22"/>
          <w:szCs w:val="22"/>
        </w:rPr>
      </w:pPr>
      <w:bookmarkStart w:id="9" w:name="_heading=h.shtbtzov5e83" w:colFirst="0" w:colLast="0"/>
      <w:bookmarkEnd w:id="9"/>
      <w:r>
        <w:rPr>
          <w:i w:val="0"/>
          <w:sz w:val="22"/>
          <w:szCs w:val="22"/>
        </w:rPr>
        <w:t>Low-energy pretreatment (overnight acid + 5-min steam) was effective</w:t>
      </w:r>
    </w:p>
    <w:p w14:paraId="7152273D" w14:textId="77777777" w:rsidR="00EE1B41" w:rsidRDefault="00EE68A4">
      <w:pPr>
        <w:pStyle w:val="Heading3"/>
        <w:numPr>
          <w:ilvl w:val="0"/>
          <w:numId w:val="8"/>
        </w:numPr>
        <w:spacing w:before="240" w:line="276" w:lineRule="auto"/>
        <w:jc w:val="left"/>
        <w:rPr>
          <w:i w:val="0"/>
          <w:sz w:val="22"/>
          <w:szCs w:val="22"/>
        </w:rPr>
      </w:pPr>
      <w:r>
        <w:rPr>
          <w:i w:val="0"/>
          <w:sz w:val="22"/>
          <w:szCs w:val="22"/>
        </w:rPr>
        <w:t>Residual broth retained fungal load indicates future reuse possibilities</w:t>
      </w:r>
      <w:r>
        <w:rPr>
          <w:i w:val="0"/>
          <w:sz w:val="22"/>
          <w:szCs w:val="22"/>
        </w:rPr>
        <w:br/>
      </w:r>
    </w:p>
    <w:p w14:paraId="77B83F2D" w14:textId="77777777" w:rsidR="00EE1B41" w:rsidRDefault="00EE1B41">
      <w:pPr>
        <w:spacing w:line="276" w:lineRule="auto"/>
        <w:jc w:val="left"/>
        <w:rPr>
          <w:sz w:val="22"/>
          <w:szCs w:val="22"/>
        </w:rPr>
      </w:pPr>
    </w:p>
    <w:p w14:paraId="725C9077" w14:textId="77777777" w:rsidR="00EE1B41" w:rsidRDefault="00EE68A4">
      <w:pPr>
        <w:pStyle w:val="Heading2"/>
        <w:keepNext w:val="0"/>
        <w:keepLines w:val="0"/>
        <w:numPr>
          <w:ilvl w:val="0"/>
          <w:numId w:val="3"/>
        </w:numPr>
        <w:spacing w:after="80" w:line="276" w:lineRule="auto"/>
        <w:rPr>
          <w:b/>
          <w:i w:val="0"/>
          <w:sz w:val="22"/>
          <w:szCs w:val="22"/>
        </w:rPr>
      </w:pPr>
      <w:bookmarkStart w:id="10" w:name="_heading=h.3g0hmh4e4pkr" w:colFirst="0" w:colLast="0"/>
      <w:bookmarkEnd w:id="10"/>
      <w:r>
        <w:rPr>
          <w:b/>
          <w:i w:val="0"/>
          <w:sz w:val="22"/>
          <w:szCs w:val="22"/>
        </w:rPr>
        <w:t>CONCLUSION</w:t>
      </w:r>
    </w:p>
    <w:p w14:paraId="641F0D74" w14:textId="77777777" w:rsidR="00EE1B41" w:rsidRDefault="00EE68A4">
      <w:pPr>
        <w:spacing w:before="240" w:after="240" w:line="276" w:lineRule="auto"/>
        <w:jc w:val="left"/>
        <w:rPr>
          <w:sz w:val="22"/>
          <w:szCs w:val="22"/>
        </w:rPr>
      </w:pPr>
      <w:r>
        <w:rPr>
          <w:sz w:val="22"/>
          <w:szCs w:val="22"/>
        </w:rPr>
        <w:t xml:space="preserve">This study successfully demonstrates a field-relevant bioconversion model for ethanol production using a dual-fungal consortium of </w:t>
      </w:r>
      <w:r>
        <w:rPr>
          <w:i/>
          <w:sz w:val="22"/>
          <w:szCs w:val="22"/>
        </w:rPr>
        <w:t xml:space="preserve">Trichoderma </w:t>
      </w:r>
      <w:proofErr w:type="spellStart"/>
      <w:r>
        <w:rPr>
          <w:i/>
          <w:sz w:val="22"/>
          <w:szCs w:val="22"/>
        </w:rPr>
        <w:t>viride</w:t>
      </w:r>
      <w:proofErr w:type="spellEnd"/>
      <w:r>
        <w:rPr>
          <w:i/>
          <w:sz w:val="22"/>
          <w:szCs w:val="22"/>
        </w:rPr>
        <w:t xml:space="preserve"> </w:t>
      </w:r>
      <w:r>
        <w:rPr>
          <w:sz w:val="22"/>
          <w:szCs w:val="22"/>
        </w:rPr>
        <w:t xml:space="preserve">and </w:t>
      </w:r>
      <w:r>
        <w:rPr>
          <w:i/>
          <w:sz w:val="22"/>
          <w:szCs w:val="22"/>
        </w:rPr>
        <w:t xml:space="preserve">Aspergillus </w:t>
      </w:r>
      <w:proofErr w:type="spellStart"/>
      <w:r>
        <w:rPr>
          <w:i/>
          <w:sz w:val="22"/>
          <w:szCs w:val="22"/>
        </w:rPr>
        <w:t>niger</w:t>
      </w:r>
      <w:proofErr w:type="spellEnd"/>
      <w:r>
        <w:rPr>
          <w:sz w:val="22"/>
          <w:szCs w:val="22"/>
        </w:rPr>
        <w:t xml:space="preserve"> on heterogeneous </w:t>
      </w:r>
      <w:proofErr w:type="spellStart"/>
      <w:r>
        <w:rPr>
          <w:sz w:val="22"/>
          <w:szCs w:val="22"/>
        </w:rPr>
        <w:t>agro</w:t>
      </w:r>
      <w:proofErr w:type="spellEnd"/>
      <w:r>
        <w:rPr>
          <w:sz w:val="22"/>
          <w:szCs w:val="22"/>
        </w:rPr>
        <w:t xml:space="preserve">-industrial waste. The combination of overnight 10% H₂SO₄ soaking and steam explosion proved effective in releasing fermentable sugars. Enzymatic hydrolysis supported by CMC yielded 42.6 g/L of reducing sugars, and subsequent fermentation using stress-tolerant </w:t>
      </w:r>
      <w:r>
        <w:rPr>
          <w:i/>
          <w:sz w:val="22"/>
          <w:szCs w:val="22"/>
        </w:rPr>
        <w:t xml:space="preserve">Saccharomyces cerevisiae </w:t>
      </w:r>
      <w:r>
        <w:rPr>
          <w:sz w:val="22"/>
          <w:szCs w:val="22"/>
        </w:rPr>
        <w:t xml:space="preserve">resulted in an ethanol yield of 10.6% (v/v). The fungal consortium remained viable post-fermentation, indicating both enzymatic efficiency and strain stability. The scalable and decentralized nature of this model aligns with rural biofuel solutions and national bioenergy missions. While this study focused on ethanol generation, the fungal-rich residue also shows potential for future compost or </w:t>
      </w:r>
      <w:proofErr w:type="spellStart"/>
      <w:r>
        <w:rPr>
          <w:sz w:val="22"/>
          <w:szCs w:val="22"/>
        </w:rPr>
        <w:t>bioinput</w:t>
      </w:r>
      <w:proofErr w:type="spellEnd"/>
      <w:r>
        <w:rPr>
          <w:sz w:val="22"/>
          <w:szCs w:val="22"/>
        </w:rPr>
        <w:t xml:space="preserve"> applications, which will be explored in a follow-up study.</w:t>
      </w:r>
    </w:p>
    <w:p w14:paraId="5B8D2142" w14:textId="77777777" w:rsidR="00EE1B41" w:rsidRDefault="00EE1B41">
      <w:pPr>
        <w:tabs>
          <w:tab w:val="left" w:pos="540"/>
        </w:tabs>
      </w:pPr>
      <w:bookmarkStart w:id="11" w:name="_heading=h.yy82ycp3zx1b" w:colFirst="0" w:colLast="0"/>
      <w:bookmarkStart w:id="12" w:name="_heading=h.b52vuq86obei" w:colFirst="0" w:colLast="0"/>
      <w:bookmarkEnd w:id="11"/>
      <w:bookmarkEnd w:id="12"/>
    </w:p>
    <w:p w14:paraId="5041B891" w14:textId="77777777" w:rsidR="00EE1B41" w:rsidRDefault="00EE68A4">
      <w:pPr>
        <w:pStyle w:val="Heading3"/>
        <w:numPr>
          <w:ilvl w:val="0"/>
          <w:numId w:val="10"/>
        </w:numPr>
        <w:spacing w:before="280" w:line="276" w:lineRule="auto"/>
        <w:jc w:val="left"/>
        <w:rPr>
          <w:b/>
          <w:i w:val="0"/>
          <w:sz w:val="22"/>
          <w:szCs w:val="22"/>
        </w:rPr>
      </w:pPr>
      <w:bookmarkStart w:id="13" w:name="_heading=h.xpxz3p3dco01" w:colFirst="0" w:colLast="0"/>
      <w:bookmarkEnd w:id="13"/>
      <w:r>
        <w:rPr>
          <w:b/>
          <w:i w:val="0"/>
          <w:sz w:val="22"/>
          <w:szCs w:val="22"/>
        </w:rPr>
        <w:t>REFERENCES</w:t>
      </w:r>
    </w:p>
    <w:p w14:paraId="0452797B" w14:textId="77777777" w:rsidR="00EE1B41" w:rsidRDefault="00EE68A4">
      <w:pPr>
        <w:numPr>
          <w:ilvl w:val="0"/>
          <w:numId w:val="9"/>
        </w:numPr>
        <w:pBdr>
          <w:top w:val="nil"/>
          <w:left w:val="nil"/>
          <w:bottom w:val="nil"/>
          <w:right w:val="nil"/>
          <w:between w:val="nil"/>
        </w:pBdr>
        <w:spacing w:before="240" w:line="276" w:lineRule="auto"/>
        <w:jc w:val="left"/>
        <w:rPr>
          <w:color w:val="000000"/>
          <w:sz w:val="18"/>
          <w:szCs w:val="18"/>
        </w:rPr>
      </w:pPr>
      <w:r>
        <w:rPr>
          <w:color w:val="000000"/>
          <w:sz w:val="18"/>
          <w:szCs w:val="18"/>
        </w:rPr>
        <w:t xml:space="preserve">Ali M., Kumar R. and Singh N. (2022). Evaluation of stress-tolerant </w:t>
      </w:r>
      <w:r>
        <w:rPr>
          <w:i/>
          <w:color w:val="000000"/>
          <w:sz w:val="18"/>
          <w:szCs w:val="18"/>
        </w:rPr>
        <w:t xml:space="preserve">Saccharomyces cerevisiae </w:t>
      </w:r>
      <w:r>
        <w:rPr>
          <w:color w:val="000000"/>
          <w:sz w:val="18"/>
          <w:szCs w:val="18"/>
        </w:rPr>
        <w:t xml:space="preserve">strains for ethanol fermentation under high sugar and low pH conditions. Indian J. </w:t>
      </w:r>
      <w:proofErr w:type="spellStart"/>
      <w:r>
        <w:rPr>
          <w:color w:val="000000"/>
          <w:sz w:val="18"/>
          <w:szCs w:val="18"/>
        </w:rPr>
        <w:t>Microbiol</w:t>
      </w:r>
      <w:proofErr w:type="spellEnd"/>
      <w:r>
        <w:rPr>
          <w:color w:val="000000"/>
          <w:sz w:val="18"/>
          <w:szCs w:val="18"/>
        </w:rPr>
        <w:t>., 62(3): 381-390.</w:t>
      </w:r>
    </w:p>
    <w:p w14:paraId="6B0B1F40" w14:textId="77777777" w:rsidR="00EE1B41" w:rsidRDefault="00EE68A4">
      <w:pPr>
        <w:numPr>
          <w:ilvl w:val="0"/>
          <w:numId w:val="9"/>
        </w:numPr>
        <w:pBdr>
          <w:top w:val="nil"/>
          <w:left w:val="nil"/>
          <w:bottom w:val="nil"/>
          <w:right w:val="nil"/>
          <w:between w:val="nil"/>
        </w:pBdr>
        <w:spacing w:line="276" w:lineRule="auto"/>
        <w:jc w:val="left"/>
        <w:rPr>
          <w:color w:val="000000"/>
          <w:sz w:val="18"/>
          <w:szCs w:val="18"/>
        </w:rPr>
      </w:pPr>
      <w:r>
        <w:rPr>
          <w:color w:val="000000"/>
          <w:sz w:val="18"/>
          <w:szCs w:val="18"/>
        </w:rPr>
        <w:t>Alvira P., Tomás-</w:t>
      </w:r>
      <w:proofErr w:type="spellStart"/>
      <w:r>
        <w:rPr>
          <w:color w:val="000000"/>
          <w:sz w:val="18"/>
          <w:szCs w:val="18"/>
        </w:rPr>
        <w:t>Pejó</w:t>
      </w:r>
      <w:proofErr w:type="spellEnd"/>
      <w:r>
        <w:rPr>
          <w:color w:val="000000"/>
          <w:sz w:val="18"/>
          <w:szCs w:val="18"/>
        </w:rPr>
        <w:t xml:space="preserve"> E., Ballesteros M. and Negro M.J. (2010). Pretreatment technologies for an efficient bioethanol production process based on </w:t>
      </w:r>
      <w:r>
        <w:rPr>
          <w:color w:val="000000"/>
          <w:sz w:val="18"/>
          <w:szCs w:val="18"/>
        </w:rPr>
        <w:lastRenderedPageBreak/>
        <w:t>enzymatic hydrolysis: A review. </w:t>
      </w:r>
      <w:proofErr w:type="spellStart"/>
      <w:r>
        <w:rPr>
          <w:color w:val="000000"/>
          <w:sz w:val="18"/>
          <w:szCs w:val="18"/>
        </w:rPr>
        <w:t>Bioresour</w:t>
      </w:r>
      <w:proofErr w:type="spellEnd"/>
      <w:r>
        <w:rPr>
          <w:color w:val="000000"/>
          <w:sz w:val="18"/>
          <w:szCs w:val="18"/>
        </w:rPr>
        <w:t>. Technol., 101(13): 4851–4861.</w:t>
      </w:r>
    </w:p>
    <w:p w14:paraId="24BAC39A" w14:textId="77777777" w:rsidR="00EE1B41" w:rsidRDefault="00EE68A4">
      <w:pPr>
        <w:numPr>
          <w:ilvl w:val="0"/>
          <w:numId w:val="9"/>
        </w:numPr>
        <w:pBdr>
          <w:top w:val="nil"/>
          <w:left w:val="nil"/>
          <w:bottom w:val="nil"/>
          <w:right w:val="nil"/>
          <w:between w:val="nil"/>
        </w:pBdr>
        <w:spacing w:line="276" w:lineRule="auto"/>
        <w:jc w:val="left"/>
        <w:rPr>
          <w:color w:val="000000"/>
          <w:sz w:val="18"/>
          <w:szCs w:val="18"/>
        </w:rPr>
      </w:pPr>
      <w:r>
        <w:rPr>
          <w:color w:val="000000"/>
          <w:sz w:val="18"/>
          <w:szCs w:val="18"/>
        </w:rPr>
        <w:t>Bhatia S. and Jha A.K. (2020). Steam explosion of lignocellulosic biomass: An overview on its chemistry, advantages and recent applications. Renew. Sustain. Energy Rev., 119: 109602.</w:t>
      </w:r>
    </w:p>
    <w:p w14:paraId="2BEEAD42" w14:textId="77777777" w:rsidR="00EE1B41" w:rsidRDefault="00EE68A4">
      <w:pPr>
        <w:numPr>
          <w:ilvl w:val="0"/>
          <w:numId w:val="9"/>
        </w:numPr>
        <w:pBdr>
          <w:top w:val="nil"/>
          <w:left w:val="nil"/>
          <w:bottom w:val="nil"/>
          <w:right w:val="nil"/>
          <w:between w:val="nil"/>
        </w:pBdr>
        <w:spacing w:line="276" w:lineRule="auto"/>
        <w:jc w:val="left"/>
        <w:rPr>
          <w:color w:val="000000"/>
          <w:sz w:val="18"/>
          <w:szCs w:val="18"/>
        </w:rPr>
      </w:pPr>
      <w:r>
        <w:rPr>
          <w:color w:val="000000"/>
          <w:sz w:val="18"/>
          <w:szCs w:val="18"/>
        </w:rPr>
        <w:t xml:space="preserve">Bokhari A., Mahmood T., Irshad M. and Shakir H.A. (2019). Comparative performance of fungal consortia for biodegradation and ethanol production from wheat straw. </w:t>
      </w:r>
      <w:proofErr w:type="spellStart"/>
      <w:r>
        <w:rPr>
          <w:color w:val="000000"/>
          <w:sz w:val="18"/>
          <w:szCs w:val="18"/>
        </w:rPr>
        <w:t>Biocatal</w:t>
      </w:r>
      <w:proofErr w:type="spellEnd"/>
      <w:r>
        <w:rPr>
          <w:color w:val="000000"/>
          <w:sz w:val="18"/>
          <w:szCs w:val="18"/>
        </w:rPr>
        <w:t xml:space="preserve">. Agric. </w:t>
      </w:r>
      <w:proofErr w:type="spellStart"/>
      <w:r>
        <w:rPr>
          <w:color w:val="000000"/>
          <w:sz w:val="18"/>
          <w:szCs w:val="18"/>
        </w:rPr>
        <w:t>Biotechnol</w:t>
      </w:r>
      <w:proofErr w:type="spellEnd"/>
      <w:r>
        <w:rPr>
          <w:color w:val="000000"/>
          <w:sz w:val="18"/>
          <w:szCs w:val="18"/>
        </w:rPr>
        <w:t>., 21: 101317.</w:t>
      </w:r>
    </w:p>
    <w:p w14:paraId="7E798D4C" w14:textId="77777777" w:rsidR="00EE1B41" w:rsidRDefault="00EE68A4">
      <w:pPr>
        <w:numPr>
          <w:ilvl w:val="0"/>
          <w:numId w:val="9"/>
        </w:numPr>
        <w:pBdr>
          <w:top w:val="nil"/>
          <w:left w:val="nil"/>
          <w:bottom w:val="nil"/>
          <w:right w:val="nil"/>
          <w:between w:val="nil"/>
        </w:pBdr>
        <w:spacing w:line="276" w:lineRule="auto"/>
        <w:jc w:val="left"/>
        <w:rPr>
          <w:color w:val="000000"/>
          <w:sz w:val="18"/>
          <w:szCs w:val="18"/>
        </w:rPr>
      </w:pPr>
      <w:r>
        <w:rPr>
          <w:color w:val="000000"/>
          <w:sz w:val="18"/>
          <w:szCs w:val="18"/>
        </w:rPr>
        <w:t xml:space="preserve">Chandel A.K., Chandrasekhar G., Radhika K., Ravinder R. and Ravindra P. (2012). Bioconversion of </w:t>
      </w:r>
      <w:proofErr w:type="spellStart"/>
      <w:r>
        <w:rPr>
          <w:color w:val="000000"/>
          <w:sz w:val="18"/>
          <w:szCs w:val="18"/>
        </w:rPr>
        <w:t>hemicellulosic</w:t>
      </w:r>
      <w:proofErr w:type="spellEnd"/>
      <w:r>
        <w:rPr>
          <w:color w:val="000000"/>
          <w:sz w:val="18"/>
          <w:szCs w:val="18"/>
        </w:rPr>
        <w:t xml:space="preserve"> hydrolysate into ethanol: An overview and future prospects. In: Biofuels: Alternative Feedstocks and Conversion Processes. Elsevier. pp. 157–183.</w:t>
      </w:r>
    </w:p>
    <w:p w14:paraId="182E9206" w14:textId="77777777" w:rsidR="00EE1B41" w:rsidRDefault="00EE68A4">
      <w:pPr>
        <w:numPr>
          <w:ilvl w:val="0"/>
          <w:numId w:val="9"/>
        </w:numPr>
        <w:pBdr>
          <w:top w:val="nil"/>
          <w:left w:val="nil"/>
          <w:bottom w:val="nil"/>
          <w:right w:val="nil"/>
          <w:between w:val="nil"/>
        </w:pBdr>
        <w:spacing w:line="276" w:lineRule="auto"/>
        <w:jc w:val="left"/>
        <w:rPr>
          <w:color w:val="000000"/>
          <w:sz w:val="18"/>
          <w:szCs w:val="18"/>
        </w:rPr>
      </w:pPr>
      <w:r>
        <w:rPr>
          <w:color w:val="000000"/>
          <w:sz w:val="18"/>
          <w:szCs w:val="18"/>
        </w:rPr>
        <w:t xml:space="preserve">Das R.K., Mandal A., Chowdhury A. and Bhattacharya P. (2020). Ethanol production from banana peel using </w:t>
      </w:r>
      <w:r>
        <w:rPr>
          <w:i/>
          <w:color w:val="000000"/>
          <w:sz w:val="18"/>
          <w:szCs w:val="18"/>
        </w:rPr>
        <w:t xml:space="preserve">Saccharomyces cerevisiae </w:t>
      </w:r>
      <w:r>
        <w:rPr>
          <w:color w:val="000000"/>
          <w:sz w:val="18"/>
          <w:szCs w:val="18"/>
        </w:rPr>
        <w:t>isolated from palm sap. J. Cleaner Prod., 259: 120837.</w:t>
      </w:r>
    </w:p>
    <w:p w14:paraId="4DA4BBEF" w14:textId="77777777" w:rsidR="00EE1B41" w:rsidRDefault="00EE68A4">
      <w:pPr>
        <w:numPr>
          <w:ilvl w:val="0"/>
          <w:numId w:val="9"/>
        </w:numPr>
        <w:pBdr>
          <w:top w:val="nil"/>
          <w:left w:val="nil"/>
          <w:bottom w:val="nil"/>
          <w:right w:val="nil"/>
          <w:between w:val="nil"/>
        </w:pBdr>
        <w:spacing w:line="276" w:lineRule="auto"/>
        <w:jc w:val="left"/>
        <w:rPr>
          <w:color w:val="000000"/>
          <w:sz w:val="18"/>
          <w:szCs w:val="18"/>
        </w:rPr>
      </w:pPr>
      <w:r>
        <w:rPr>
          <w:color w:val="000000"/>
          <w:sz w:val="18"/>
          <w:szCs w:val="18"/>
        </w:rPr>
        <w:t xml:space="preserve">Fan G., Zhang X., Wang L. and Hou H. (2020). Co-culture of Trichoderma </w:t>
      </w:r>
      <w:proofErr w:type="spellStart"/>
      <w:r>
        <w:rPr>
          <w:color w:val="000000"/>
          <w:sz w:val="18"/>
          <w:szCs w:val="18"/>
        </w:rPr>
        <w:t>reesei</w:t>
      </w:r>
      <w:proofErr w:type="spellEnd"/>
      <w:r>
        <w:rPr>
          <w:color w:val="000000"/>
          <w:sz w:val="18"/>
          <w:szCs w:val="18"/>
        </w:rPr>
        <w:t xml:space="preserve"> and </w:t>
      </w:r>
      <w:r>
        <w:rPr>
          <w:i/>
          <w:color w:val="000000"/>
          <w:sz w:val="18"/>
          <w:szCs w:val="18"/>
        </w:rPr>
        <w:t xml:space="preserve">Aspergillus </w:t>
      </w:r>
      <w:proofErr w:type="spellStart"/>
      <w:r>
        <w:rPr>
          <w:i/>
          <w:color w:val="000000"/>
          <w:sz w:val="18"/>
          <w:szCs w:val="18"/>
        </w:rPr>
        <w:t>niger</w:t>
      </w:r>
      <w:proofErr w:type="spellEnd"/>
      <w:r>
        <w:rPr>
          <w:color w:val="000000"/>
          <w:sz w:val="18"/>
          <w:szCs w:val="18"/>
        </w:rPr>
        <w:t xml:space="preserve"> for improved enzymatic hydrolysis of corn stover. </w:t>
      </w:r>
      <w:proofErr w:type="spellStart"/>
      <w:r>
        <w:rPr>
          <w:color w:val="000000"/>
          <w:sz w:val="18"/>
          <w:szCs w:val="18"/>
        </w:rPr>
        <w:t>Biotechnol</w:t>
      </w:r>
      <w:proofErr w:type="spellEnd"/>
      <w:r>
        <w:rPr>
          <w:color w:val="000000"/>
          <w:sz w:val="18"/>
          <w:szCs w:val="18"/>
        </w:rPr>
        <w:t>. Lett., 42(8): 1489–1497.</w:t>
      </w:r>
    </w:p>
    <w:p w14:paraId="43CA8BCD" w14:textId="77777777" w:rsidR="00EE1B41" w:rsidRDefault="00EE68A4">
      <w:pPr>
        <w:numPr>
          <w:ilvl w:val="0"/>
          <w:numId w:val="9"/>
        </w:numPr>
        <w:pBdr>
          <w:top w:val="nil"/>
          <w:left w:val="nil"/>
          <w:bottom w:val="nil"/>
          <w:right w:val="nil"/>
          <w:between w:val="nil"/>
        </w:pBdr>
        <w:spacing w:line="276" w:lineRule="auto"/>
        <w:jc w:val="left"/>
        <w:rPr>
          <w:color w:val="000000"/>
          <w:sz w:val="18"/>
          <w:szCs w:val="18"/>
        </w:rPr>
      </w:pPr>
      <w:r>
        <w:rPr>
          <w:color w:val="000000"/>
          <w:sz w:val="18"/>
          <w:szCs w:val="18"/>
        </w:rPr>
        <w:t>Gupta R. and Rao K.P. (2022). Impact of chemical and biological pretreatments on the fermentability of fruit waste for bioethanol production. Waste Biomass Valor., 13(4): 2011–2021.</w:t>
      </w:r>
    </w:p>
    <w:p w14:paraId="4C62185B" w14:textId="77777777" w:rsidR="00EE1B41" w:rsidRDefault="00EE68A4">
      <w:pPr>
        <w:numPr>
          <w:ilvl w:val="0"/>
          <w:numId w:val="9"/>
        </w:numPr>
        <w:pBdr>
          <w:top w:val="nil"/>
          <w:left w:val="nil"/>
          <w:bottom w:val="nil"/>
          <w:right w:val="nil"/>
          <w:between w:val="nil"/>
        </w:pBdr>
        <w:spacing w:line="276" w:lineRule="auto"/>
        <w:jc w:val="left"/>
        <w:rPr>
          <w:color w:val="000000"/>
          <w:sz w:val="18"/>
          <w:szCs w:val="18"/>
        </w:rPr>
      </w:pPr>
      <w:r>
        <w:rPr>
          <w:color w:val="000000"/>
          <w:sz w:val="18"/>
          <w:szCs w:val="18"/>
        </w:rPr>
        <w:t>Kumar M., Yadav S.K. and Lal B. (2022). Steam explosion–based bioconversion of agricultural residues: Process optimization and industrial feasibility. Renew. Energy, 183: 731–741.</w:t>
      </w:r>
    </w:p>
    <w:p w14:paraId="6A4D2F93" w14:textId="77777777" w:rsidR="00EE1B41" w:rsidRDefault="00EE68A4">
      <w:pPr>
        <w:numPr>
          <w:ilvl w:val="0"/>
          <w:numId w:val="9"/>
        </w:numPr>
        <w:pBdr>
          <w:top w:val="nil"/>
          <w:left w:val="nil"/>
          <w:bottom w:val="nil"/>
          <w:right w:val="nil"/>
          <w:between w:val="nil"/>
        </w:pBdr>
        <w:spacing w:line="276" w:lineRule="auto"/>
        <w:jc w:val="left"/>
        <w:rPr>
          <w:color w:val="000000"/>
          <w:sz w:val="18"/>
          <w:szCs w:val="18"/>
        </w:rPr>
      </w:pPr>
      <w:r>
        <w:rPr>
          <w:color w:val="000000"/>
          <w:sz w:val="18"/>
          <w:szCs w:val="18"/>
        </w:rPr>
        <w:t>Meena V., Singh R. and Ahlawat O.P. (2021). Ethanol blending in India: Challenges, policies, and opportunities. Renew. Sustain. Energy Rev., 148: 111265.</w:t>
      </w:r>
    </w:p>
    <w:p w14:paraId="2E271669" w14:textId="77777777" w:rsidR="00EE1B41" w:rsidRDefault="00EE68A4">
      <w:pPr>
        <w:numPr>
          <w:ilvl w:val="0"/>
          <w:numId w:val="9"/>
        </w:numPr>
        <w:pBdr>
          <w:top w:val="nil"/>
          <w:left w:val="nil"/>
          <w:bottom w:val="nil"/>
          <w:right w:val="nil"/>
          <w:between w:val="nil"/>
        </w:pBdr>
        <w:spacing w:line="276" w:lineRule="auto"/>
        <w:jc w:val="left"/>
        <w:rPr>
          <w:color w:val="000000"/>
          <w:sz w:val="18"/>
          <w:szCs w:val="18"/>
        </w:rPr>
      </w:pPr>
      <w:r>
        <w:rPr>
          <w:color w:val="000000"/>
          <w:sz w:val="18"/>
          <w:szCs w:val="18"/>
        </w:rPr>
        <w:t>Mehta A. and Sharma R. (2021). Selection of ethanol-tolerant yeast strains isolated from dried grapes and their comparative fermentation efficiency. J. Food Sci. Technol., 58(1): 109–116.</w:t>
      </w:r>
    </w:p>
    <w:p w14:paraId="2C938539" w14:textId="77777777" w:rsidR="00EE1B41" w:rsidRDefault="00EE68A4">
      <w:pPr>
        <w:numPr>
          <w:ilvl w:val="0"/>
          <w:numId w:val="9"/>
        </w:numPr>
        <w:pBdr>
          <w:top w:val="nil"/>
          <w:left w:val="nil"/>
          <w:bottom w:val="nil"/>
          <w:right w:val="nil"/>
          <w:between w:val="nil"/>
        </w:pBdr>
        <w:spacing w:line="276" w:lineRule="auto"/>
        <w:jc w:val="left"/>
        <w:rPr>
          <w:color w:val="000000"/>
          <w:sz w:val="18"/>
          <w:szCs w:val="18"/>
        </w:rPr>
      </w:pPr>
      <w:r>
        <w:rPr>
          <w:color w:val="000000"/>
          <w:sz w:val="18"/>
          <w:szCs w:val="18"/>
        </w:rPr>
        <w:t xml:space="preserve">Miller G.L. (1959). Use of </w:t>
      </w:r>
      <w:proofErr w:type="spellStart"/>
      <w:r>
        <w:rPr>
          <w:color w:val="000000"/>
          <w:sz w:val="18"/>
          <w:szCs w:val="18"/>
        </w:rPr>
        <w:t>dinitrosalicylic</w:t>
      </w:r>
      <w:proofErr w:type="spellEnd"/>
      <w:r>
        <w:rPr>
          <w:color w:val="000000"/>
          <w:sz w:val="18"/>
          <w:szCs w:val="18"/>
        </w:rPr>
        <w:t xml:space="preserve"> acid reagent for determination of reducing sugar. Anal. Chem., 31(3): 426–428.</w:t>
      </w:r>
    </w:p>
    <w:p w14:paraId="326AB5B2" w14:textId="77777777" w:rsidR="00EE1B41" w:rsidRDefault="00EE68A4">
      <w:pPr>
        <w:numPr>
          <w:ilvl w:val="0"/>
          <w:numId w:val="9"/>
        </w:numPr>
        <w:pBdr>
          <w:top w:val="nil"/>
          <w:left w:val="nil"/>
          <w:bottom w:val="nil"/>
          <w:right w:val="nil"/>
          <w:between w:val="nil"/>
        </w:pBdr>
        <w:spacing w:line="276" w:lineRule="auto"/>
        <w:jc w:val="left"/>
        <w:rPr>
          <w:color w:val="000000"/>
          <w:sz w:val="18"/>
          <w:szCs w:val="18"/>
        </w:rPr>
      </w:pPr>
      <w:r>
        <w:rPr>
          <w:color w:val="000000"/>
          <w:sz w:val="18"/>
          <w:szCs w:val="18"/>
        </w:rPr>
        <w:t>Ministry of Petroleum and Natural Gas (2022). Ethanol Blended Petrol (EBP) Programme. Government of India, New Delhi. [Online available at https://petroleum.nic.in]</w:t>
      </w:r>
    </w:p>
    <w:p w14:paraId="42C94D46" w14:textId="77777777" w:rsidR="00EE1B41" w:rsidRDefault="00EE68A4">
      <w:pPr>
        <w:numPr>
          <w:ilvl w:val="0"/>
          <w:numId w:val="9"/>
        </w:numPr>
        <w:pBdr>
          <w:top w:val="nil"/>
          <w:left w:val="nil"/>
          <w:bottom w:val="nil"/>
          <w:right w:val="nil"/>
          <w:between w:val="nil"/>
        </w:pBdr>
        <w:spacing w:line="276" w:lineRule="auto"/>
        <w:jc w:val="left"/>
        <w:rPr>
          <w:color w:val="000000"/>
          <w:sz w:val="18"/>
          <w:szCs w:val="18"/>
        </w:rPr>
      </w:pPr>
      <w:r>
        <w:rPr>
          <w:color w:val="000000"/>
          <w:sz w:val="18"/>
          <w:szCs w:val="18"/>
        </w:rPr>
        <w:t>Patel A., Vyas D., Shah M. and Dave S. (2021). A review on co-fermentation using fungi and yeasts for enhanced production of bioethanol from agricultural wastes. Renew. Energy Focus, 39: 33–42.</w:t>
      </w:r>
    </w:p>
    <w:p w14:paraId="3FA64794" w14:textId="77777777" w:rsidR="00EE1B41" w:rsidRDefault="00EE68A4">
      <w:pPr>
        <w:numPr>
          <w:ilvl w:val="0"/>
          <w:numId w:val="9"/>
        </w:numPr>
        <w:pBdr>
          <w:top w:val="nil"/>
          <w:left w:val="nil"/>
          <w:bottom w:val="nil"/>
          <w:right w:val="nil"/>
          <w:between w:val="nil"/>
        </w:pBdr>
        <w:spacing w:line="276" w:lineRule="auto"/>
        <w:jc w:val="left"/>
        <w:rPr>
          <w:color w:val="000000"/>
          <w:sz w:val="18"/>
          <w:szCs w:val="18"/>
        </w:rPr>
      </w:pPr>
      <w:r>
        <w:rPr>
          <w:color w:val="000000"/>
          <w:sz w:val="18"/>
          <w:szCs w:val="18"/>
        </w:rPr>
        <w:t xml:space="preserve">Romero-Frasca T., Roncero-Díaz M., Gómez-Muñoz B. and Ríos-Corripio M. (2021). Biochemical responses of </w:t>
      </w:r>
      <w:r>
        <w:rPr>
          <w:i/>
          <w:color w:val="000000"/>
          <w:sz w:val="18"/>
          <w:szCs w:val="18"/>
        </w:rPr>
        <w:t xml:space="preserve">Aspergillus </w:t>
      </w:r>
      <w:proofErr w:type="spellStart"/>
      <w:r>
        <w:rPr>
          <w:i/>
          <w:color w:val="000000"/>
          <w:sz w:val="18"/>
          <w:szCs w:val="18"/>
        </w:rPr>
        <w:t>niger</w:t>
      </w:r>
      <w:proofErr w:type="spellEnd"/>
      <w:r>
        <w:rPr>
          <w:color w:val="000000"/>
          <w:sz w:val="18"/>
          <w:szCs w:val="18"/>
        </w:rPr>
        <w:t xml:space="preserve"> and </w:t>
      </w:r>
      <w:r>
        <w:rPr>
          <w:i/>
          <w:color w:val="000000"/>
          <w:sz w:val="18"/>
          <w:szCs w:val="18"/>
        </w:rPr>
        <w:t xml:space="preserve">Trichoderma </w:t>
      </w:r>
      <w:proofErr w:type="spellStart"/>
      <w:r>
        <w:rPr>
          <w:i/>
          <w:color w:val="000000"/>
          <w:sz w:val="18"/>
          <w:szCs w:val="18"/>
        </w:rPr>
        <w:t>viride</w:t>
      </w:r>
      <w:proofErr w:type="spellEnd"/>
      <w:r>
        <w:rPr>
          <w:i/>
          <w:color w:val="000000"/>
          <w:sz w:val="18"/>
          <w:szCs w:val="18"/>
        </w:rPr>
        <w:t xml:space="preserve"> </w:t>
      </w:r>
      <w:r>
        <w:rPr>
          <w:color w:val="000000"/>
          <w:sz w:val="18"/>
          <w:szCs w:val="18"/>
        </w:rPr>
        <w:t xml:space="preserve">co-cultures on municipal green waste substrates. </w:t>
      </w:r>
      <w:proofErr w:type="spellStart"/>
      <w:r>
        <w:rPr>
          <w:color w:val="000000"/>
          <w:sz w:val="18"/>
          <w:szCs w:val="18"/>
        </w:rPr>
        <w:t>Bioresour</w:t>
      </w:r>
      <w:proofErr w:type="spellEnd"/>
      <w:r>
        <w:rPr>
          <w:color w:val="000000"/>
          <w:sz w:val="18"/>
          <w:szCs w:val="18"/>
        </w:rPr>
        <w:t>. Bioprocess., 8: 67.</w:t>
      </w:r>
    </w:p>
    <w:p w14:paraId="6914C7BD" w14:textId="77777777" w:rsidR="00EE1B41" w:rsidRDefault="00EE68A4">
      <w:pPr>
        <w:numPr>
          <w:ilvl w:val="0"/>
          <w:numId w:val="9"/>
        </w:numPr>
        <w:pBdr>
          <w:top w:val="nil"/>
          <w:left w:val="nil"/>
          <w:bottom w:val="nil"/>
          <w:right w:val="nil"/>
          <w:between w:val="nil"/>
        </w:pBdr>
        <w:spacing w:line="276" w:lineRule="auto"/>
        <w:jc w:val="left"/>
        <w:rPr>
          <w:color w:val="000000"/>
          <w:sz w:val="18"/>
          <w:szCs w:val="18"/>
        </w:rPr>
      </w:pPr>
      <w:r>
        <w:rPr>
          <w:color w:val="000000"/>
          <w:sz w:val="18"/>
          <w:szCs w:val="18"/>
        </w:rPr>
        <w:t>Saini A., Aggarwal N.K., Sharma A. and Yadav A. (2015). Actinomycetes: A source of lignocellulolytic enzymes for biofuel production. Renew. Sustain. Energy Rev., 51: 356–365.</w:t>
      </w:r>
    </w:p>
    <w:p w14:paraId="5D3F88BB" w14:textId="77777777" w:rsidR="00EE1B41" w:rsidRDefault="00EE68A4">
      <w:pPr>
        <w:numPr>
          <w:ilvl w:val="0"/>
          <w:numId w:val="9"/>
        </w:numPr>
        <w:pBdr>
          <w:top w:val="nil"/>
          <w:left w:val="nil"/>
          <w:bottom w:val="nil"/>
          <w:right w:val="nil"/>
          <w:between w:val="nil"/>
        </w:pBdr>
        <w:spacing w:line="276" w:lineRule="auto"/>
        <w:jc w:val="left"/>
        <w:rPr>
          <w:color w:val="000000"/>
          <w:sz w:val="18"/>
          <w:szCs w:val="18"/>
        </w:rPr>
      </w:pPr>
      <w:r>
        <w:rPr>
          <w:color w:val="000000"/>
          <w:sz w:val="18"/>
          <w:szCs w:val="18"/>
        </w:rPr>
        <w:t xml:space="preserve">Singh A. and Sharma N. (2023). India’s biomass potential and decentralized biorefinery opportunities: An agro-industrial outlook. Biomass Convers. </w:t>
      </w:r>
      <w:proofErr w:type="spellStart"/>
      <w:r>
        <w:rPr>
          <w:color w:val="000000"/>
          <w:sz w:val="18"/>
          <w:szCs w:val="18"/>
        </w:rPr>
        <w:t>Biorefin</w:t>
      </w:r>
      <w:proofErr w:type="spellEnd"/>
      <w:r>
        <w:rPr>
          <w:color w:val="000000"/>
          <w:sz w:val="18"/>
          <w:szCs w:val="18"/>
        </w:rPr>
        <w:t>., 13(2): 349–362.</w:t>
      </w:r>
    </w:p>
    <w:p w14:paraId="696D5D6D" w14:textId="77777777" w:rsidR="00EE1B41" w:rsidRDefault="00EE68A4">
      <w:pPr>
        <w:numPr>
          <w:ilvl w:val="0"/>
          <w:numId w:val="9"/>
        </w:numPr>
        <w:pBdr>
          <w:top w:val="nil"/>
          <w:left w:val="nil"/>
          <w:bottom w:val="nil"/>
          <w:right w:val="nil"/>
          <w:between w:val="nil"/>
        </w:pBdr>
        <w:spacing w:line="276" w:lineRule="auto"/>
        <w:jc w:val="left"/>
        <w:rPr>
          <w:color w:val="000000"/>
          <w:sz w:val="18"/>
          <w:szCs w:val="18"/>
        </w:rPr>
      </w:pPr>
      <w:r>
        <w:rPr>
          <w:color w:val="000000"/>
          <w:sz w:val="18"/>
          <w:szCs w:val="18"/>
        </w:rPr>
        <w:t xml:space="preserve">Singh R. and Chaurasia P.K. (2022). Comparative evaluation of different fungal strains for </w:t>
      </w:r>
      <w:bookmarkStart w:id="14" w:name="_GoBack"/>
      <w:bookmarkEnd w:id="14"/>
      <w:r>
        <w:rPr>
          <w:color w:val="000000"/>
          <w:sz w:val="18"/>
          <w:szCs w:val="18"/>
        </w:rPr>
        <w:t>lignocellulose degradation and ethanol production from sugarcane bagasse. Fuel, 321: 123870.</w:t>
      </w:r>
    </w:p>
    <w:p w14:paraId="23A6033A" w14:textId="77777777" w:rsidR="00EE1B41" w:rsidRDefault="00EE68A4">
      <w:pPr>
        <w:numPr>
          <w:ilvl w:val="0"/>
          <w:numId w:val="9"/>
        </w:numPr>
        <w:pBdr>
          <w:top w:val="nil"/>
          <w:left w:val="nil"/>
          <w:bottom w:val="nil"/>
          <w:right w:val="nil"/>
          <w:between w:val="nil"/>
        </w:pBdr>
        <w:spacing w:line="276" w:lineRule="auto"/>
        <w:jc w:val="left"/>
        <w:rPr>
          <w:color w:val="000000"/>
          <w:sz w:val="18"/>
          <w:szCs w:val="18"/>
        </w:rPr>
      </w:pPr>
      <w:r>
        <w:rPr>
          <w:color w:val="000000"/>
          <w:sz w:val="18"/>
          <w:szCs w:val="18"/>
        </w:rPr>
        <w:t>Suhag R., Kumar N., Sharma P. and Sharma S. (2021). Recent advances in pretreatment technologies for efficient conversion of lignocellulosic biomass to biofuels. Fuel Process. Technol., 218: 106828.</w:t>
      </w:r>
    </w:p>
    <w:p w14:paraId="32D69FBD" w14:textId="77777777" w:rsidR="00EE1B41" w:rsidRDefault="00EE68A4">
      <w:pPr>
        <w:numPr>
          <w:ilvl w:val="0"/>
          <w:numId w:val="9"/>
        </w:numPr>
        <w:pBdr>
          <w:top w:val="nil"/>
          <w:left w:val="nil"/>
          <w:bottom w:val="nil"/>
          <w:right w:val="nil"/>
          <w:between w:val="nil"/>
        </w:pBdr>
        <w:spacing w:line="276" w:lineRule="auto"/>
        <w:jc w:val="left"/>
        <w:rPr>
          <w:color w:val="000000"/>
          <w:sz w:val="18"/>
          <w:szCs w:val="18"/>
        </w:rPr>
      </w:pPr>
      <w:r>
        <w:rPr>
          <w:color w:val="000000"/>
          <w:sz w:val="18"/>
          <w:szCs w:val="18"/>
        </w:rPr>
        <w:t xml:space="preserve">Yadav S.K., Dubey A.K., Yadav M.K. and Tiwari P. (2018). Isolation and characterization of cellulolytic fungi from compost soil and their potential in biomass degradation. </w:t>
      </w:r>
      <w:proofErr w:type="spellStart"/>
      <w:r>
        <w:rPr>
          <w:color w:val="000000"/>
          <w:sz w:val="18"/>
          <w:szCs w:val="18"/>
        </w:rPr>
        <w:t>Mycobiology</w:t>
      </w:r>
      <w:proofErr w:type="spellEnd"/>
      <w:r>
        <w:rPr>
          <w:color w:val="000000"/>
          <w:sz w:val="18"/>
          <w:szCs w:val="18"/>
        </w:rPr>
        <w:t>, 46(3): 230–238.</w:t>
      </w:r>
    </w:p>
    <w:p w14:paraId="6EBADD10" w14:textId="77777777" w:rsidR="00EE1B41" w:rsidRDefault="00EE68A4">
      <w:pPr>
        <w:numPr>
          <w:ilvl w:val="0"/>
          <w:numId w:val="9"/>
        </w:numPr>
        <w:pBdr>
          <w:top w:val="nil"/>
          <w:left w:val="nil"/>
          <w:bottom w:val="nil"/>
          <w:right w:val="nil"/>
          <w:between w:val="nil"/>
        </w:pBdr>
        <w:spacing w:line="276" w:lineRule="auto"/>
        <w:jc w:val="left"/>
        <w:rPr>
          <w:color w:val="000000"/>
          <w:sz w:val="18"/>
          <w:szCs w:val="18"/>
        </w:rPr>
      </w:pPr>
      <w:r>
        <w:rPr>
          <w:color w:val="000000"/>
          <w:sz w:val="18"/>
          <w:szCs w:val="18"/>
        </w:rPr>
        <w:t xml:space="preserve">Zhang J., Wang Y., Ma Y. and Li H. (2021). Enhancing enzymatic saccharification of fruit waste using co-culture of fungi and CMC induction. </w:t>
      </w:r>
      <w:proofErr w:type="spellStart"/>
      <w:r>
        <w:rPr>
          <w:color w:val="000000"/>
          <w:sz w:val="18"/>
          <w:szCs w:val="18"/>
        </w:rPr>
        <w:t>Bioresour</w:t>
      </w:r>
      <w:proofErr w:type="spellEnd"/>
      <w:r>
        <w:rPr>
          <w:color w:val="000000"/>
          <w:sz w:val="18"/>
          <w:szCs w:val="18"/>
        </w:rPr>
        <w:t>. Technol. Rep., 16: 100859.</w:t>
      </w:r>
    </w:p>
    <w:p w14:paraId="11BFB2FD" w14:textId="77777777" w:rsidR="00EE1B41" w:rsidRDefault="00EE68A4">
      <w:pPr>
        <w:numPr>
          <w:ilvl w:val="0"/>
          <w:numId w:val="9"/>
        </w:numPr>
        <w:pBdr>
          <w:top w:val="nil"/>
          <w:left w:val="nil"/>
          <w:bottom w:val="nil"/>
          <w:right w:val="nil"/>
          <w:between w:val="nil"/>
        </w:pBdr>
        <w:spacing w:after="240" w:line="276" w:lineRule="auto"/>
        <w:jc w:val="left"/>
        <w:rPr>
          <w:color w:val="000000"/>
          <w:sz w:val="18"/>
          <w:szCs w:val="18"/>
        </w:rPr>
      </w:pPr>
      <w:r>
        <w:rPr>
          <w:color w:val="000000"/>
          <w:sz w:val="18"/>
          <w:szCs w:val="18"/>
        </w:rPr>
        <w:t>Zhou Y., Lu Y., Wang J. and Li J. (2021). Synergistic enzymatic hydrolysis of agricultural waste by fungal consortium: Evaluation of compatibility and process enhancement. J. Environ. Chem. Eng., 9(4): 105388.</w:t>
      </w:r>
    </w:p>
    <w:sectPr w:rsidR="00EE1B41">
      <w:type w:val="continuous"/>
      <w:pgSz w:w="11906" w:h="16838"/>
      <w:pgMar w:top="1080" w:right="734" w:bottom="1080" w:left="734" w:header="432" w:footer="0" w:gutter="0"/>
      <w:cols w:num="2" w:space="720" w:equalWidth="0">
        <w:col w:w="4858" w:space="720"/>
        <w:col w:w="4858"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0BCD3" w14:textId="77777777" w:rsidR="003345C5" w:rsidRDefault="003345C5">
      <w:r>
        <w:separator/>
      </w:r>
    </w:p>
  </w:endnote>
  <w:endnote w:type="continuationSeparator" w:id="0">
    <w:p w14:paraId="69762F00" w14:textId="77777777" w:rsidR="003345C5" w:rsidRDefault="00334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6B76F034-2CE3-4D0A-8E2E-352E5C4E500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9AE5094D-4C70-489E-81D5-DF9C08071C43}"/>
    <w:embedItalic r:id="rId3" w:fontKey="{318A6D33-BEC8-4490-8E32-C6F47D021FD3}"/>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jaVu Sans">
    <w:altName w:val="Arial Unicode MS"/>
    <w:charset w:val="00"/>
    <w:family w:val="roman"/>
    <w:pitch w:val="default"/>
  </w:font>
  <w:font w:name="Lohit Hindi">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embedRegular r:id="rId4" w:fontKey="{49691839-C113-4562-B583-455696E170B1}"/>
    <w:embedItalic r:id="rId5" w:fontKey="{7D87DAE3-8202-4165-9BEA-87A6349D4900}"/>
    <w:embedBoldItalic r:id="rId6" w:fontKey="{347F27A7-8559-4E01-AC23-4C6FF87F2750}"/>
  </w:font>
  <w:font w:name="Tahoma">
    <w:panose1 w:val="020B0604030504040204"/>
    <w:charset w:val="00"/>
    <w:family w:val="swiss"/>
    <w:pitch w:val="variable"/>
    <w:sig w:usb0="E1002EFF" w:usb1="C000605B" w:usb2="00000029" w:usb3="00000000" w:csb0="000101FF" w:csb1="00000000"/>
    <w:embedRegular r:id="rId7" w:fontKey="{F486F876-1216-4780-8F73-77E0C46AD650}"/>
  </w:font>
  <w:font w:name="Georgia">
    <w:panose1 w:val="02040502050405020303"/>
    <w:charset w:val="00"/>
    <w:family w:val="roman"/>
    <w:pitch w:val="variable"/>
    <w:sig w:usb0="00000287" w:usb1="00000000" w:usb2="00000000" w:usb3="00000000" w:csb0="0000009F" w:csb1="00000000"/>
    <w:embedRegular r:id="rId8" w:fontKey="{AB523E07-C23C-4AC4-83DD-E7CB6716424B}"/>
    <w:embedItalic r:id="rId9" w:fontKey="{DEFEF81C-9A0E-4837-B19B-54F5D05D4592}"/>
  </w:font>
  <w:font w:name="Constantia">
    <w:panose1 w:val="02030602050306030303"/>
    <w:charset w:val="00"/>
    <w:family w:val="roman"/>
    <w:pitch w:val="variable"/>
    <w:sig w:usb0="A00002EF" w:usb1="4000204B" w:usb2="00000000" w:usb3="00000000" w:csb0="0000019F" w:csb1="00000000"/>
    <w:embedBold r:id="rId10" w:fontKey="{BF6D411B-B32A-483B-9DCC-C6B0E4A54672}"/>
    <w:embedBoldItalic r:id="rId11" w:fontKey="{683D4777-B44B-426E-A529-B92EE9DA9F50}"/>
  </w:font>
  <w:font w:name="Merriweather">
    <w:charset w:val="00"/>
    <w:family w:val="auto"/>
    <w:pitch w:val="variable"/>
    <w:sig w:usb0="20000207" w:usb1="00000002" w:usb2="00000000" w:usb3="00000000" w:csb0="00000197" w:csb1="00000000"/>
    <w:embedRegular r:id="rId12" w:fontKey="{CEDFB033-AA3C-47BF-9F6F-D947716D1857}"/>
    <w:embedBold r:id="rId13" w:fontKey="{569D2F14-2692-4A41-B9F7-3F9FDF933710}"/>
    <w:embedItalic r:id="rId14" w:fontKey="{EB361BD1-3C06-4111-91EE-BD159F7D3535}"/>
    <w:embedBoldItalic r:id="rId15" w:fontKey="{32DB2101-2DE7-416B-BB68-367AA33EE128}"/>
  </w:font>
  <w:font w:name="Calibri">
    <w:panose1 w:val="020F0502020204030204"/>
    <w:charset w:val="00"/>
    <w:family w:val="swiss"/>
    <w:pitch w:val="variable"/>
    <w:sig w:usb0="E4002EFF" w:usb1="C000247B" w:usb2="00000009" w:usb3="00000000" w:csb0="000001FF" w:csb1="00000000"/>
    <w:embedRegular r:id="rId16" w:fontKey="{714862DC-9865-43EA-BBC6-36DB3DD66A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0ED0" w14:textId="77777777" w:rsidR="00956EF2" w:rsidRDefault="00956E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7BD35" w14:textId="77777777" w:rsidR="00EE1B41" w:rsidRDefault="00EE1B41">
    <w:pP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51FB4" w14:textId="77777777" w:rsidR="00956EF2" w:rsidRDefault="00956E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6A06E" w14:textId="77777777" w:rsidR="003345C5" w:rsidRDefault="003345C5">
      <w:r>
        <w:separator/>
      </w:r>
    </w:p>
  </w:footnote>
  <w:footnote w:type="continuationSeparator" w:id="0">
    <w:p w14:paraId="526AC4BC" w14:textId="77777777" w:rsidR="003345C5" w:rsidRDefault="003345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A978A" w14:textId="4986CED6" w:rsidR="00956EF2" w:rsidRDefault="00DC7CED">
    <w:pPr>
      <w:pStyle w:val="Header"/>
    </w:pPr>
    <w:r>
      <w:rPr>
        <w:noProof/>
      </w:rPr>
      <w:pict w14:anchorId="068223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725844" o:spid="_x0000_s2050" type="#_x0000_t136" style="position:absolute;left:0;text-align:left;margin-left:0;margin-top:0;width:662.15pt;height:73.5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1FE75" w14:textId="019DB569" w:rsidR="00EE1B41" w:rsidRDefault="00DC7CED">
    <w:pPr>
      <w:spacing w:before="240" w:after="240"/>
      <w:jc w:val="right"/>
    </w:pPr>
    <w:r>
      <w:rPr>
        <w:noProof/>
      </w:rPr>
      <w:pict w14:anchorId="53FBE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725845" o:spid="_x0000_s2051" type="#_x0000_t136" style="position:absolute;left:0;text-align:left;margin-left:0;margin-top:0;width:662.15pt;height:73.5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EE68A4">
      <w:fldChar w:fldCharType="begin"/>
    </w:r>
    <w:r w:rsidR="00EE68A4">
      <w:instrText>PAGE</w:instrText>
    </w:r>
    <w:r w:rsidR="00EE68A4">
      <w:fldChar w:fldCharType="separate"/>
    </w:r>
    <w:r w:rsidR="00956EF2">
      <w:rPr>
        <w:noProof/>
      </w:rPr>
      <w:t>1</w:t>
    </w:r>
    <w:r w:rsidR="00EE68A4">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CFA38" w14:textId="67A76823" w:rsidR="00956EF2" w:rsidRDefault="00DC7CED">
    <w:pPr>
      <w:pStyle w:val="Header"/>
    </w:pPr>
    <w:r>
      <w:rPr>
        <w:noProof/>
      </w:rPr>
      <w:pict w14:anchorId="520011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725843" o:spid="_x0000_s2049" type="#_x0000_t136" style="position:absolute;left:0;text-align:left;margin-left:0;margin-top:0;width:662.15pt;height:73.5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2046"/>
    <w:multiLevelType w:val="multilevel"/>
    <w:tmpl w:val="FFFFFFFF"/>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9B7438"/>
    <w:multiLevelType w:val="multilevel"/>
    <w:tmpl w:val="FFFFFFF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BB676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83289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CE43C5"/>
    <w:multiLevelType w:val="multilevel"/>
    <w:tmpl w:val="FFFFFFFF"/>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4A944C27"/>
    <w:multiLevelType w:val="multilevel"/>
    <w:tmpl w:val="FFFFFFFF"/>
    <w:lvl w:ilvl="0">
      <w:start w:val="1"/>
      <w:numFmt w:val="low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00D517F"/>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59FD000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034667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57F101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2A74439"/>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0"/>
  </w:num>
  <w:num w:numId="2">
    <w:abstractNumId w:val="6"/>
  </w:num>
  <w:num w:numId="3">
    <w:abstractNumId w:val="5"/>
  </w:num>
  <w:num w:numId="4">
    <w:abstractNumId w:val="2"/>
  </w:num>
  <w:num w:numId="5">
    <w:abstractNumId w:val="8"/>
  </w:num>
  <w:num w:numId="6">
    <w:abstractNumId w:val="3"/>
  </w:num>
  <w:num w:numId="7">
    <w:abstractNumId w:val="9"/>
  </w:num>
  <w:num w:numId="8">
    <w:abstractNumId w:val="1"/>
  </w:num>
  <w:num w:numId="9">
    <w:abstractNumId w:val="4"/>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isplayBackgroundShape/>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B41"/>
    <w:rsid w:val="002275DA"/>
    <w:rsid w:val="002742A8"/>
    <w:rsid w:val="002C550F"/>
    <w:rsid w:val="003345C5"/>
    <w:rsid w:val="00427841"/>
    <w:rsid w:val="005869BA"/>
    <w:rsid w:val="005D633D"/>
    <w:rsid w:val="00741C91"/>
    <w:rsid w:val="0079601E"/>
    <w:rsid w:val="00956EF2"/>
    <w:rsid w:val="00AE7B5F"/>
    <w:rsid w:val="00B21F30"/>
    <w:rsid w:val="00D16E33"/>
    <w:rsid w:val="00DC7CED"/>
    <w:rsid w:val="00EB6327"/>
    <w:rsid w:val="00EE1B41"/>
    <w:rsid w:val="00EE68A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821025"/>
  <w15:docId w15:val="{949992BC-A81D-1C4C-BAF8-BF581F3A1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GB" w:bidi="ar-SA"/>
      </w:rPr>
    </w:rPrDefault>
    <w:pPrDefault>
      <w:pPr>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left" w:pos="216"/>
        <w:tab w:val="left" w:pos="283"/>
        <w:tab w:val="left" w:pos="340"/>
        <w:tab w:val="left" w:pos="397"/>
      </w:tabs>
      <w:spacing w:before="160" w:after="80"/>
      <w:ind w:firstLine="216"/>
      <w:outlineLvl w:val="0"/>
    </w:pPr>
    <w:rPr>
      <w:smallCaps/>
    </w:rPr>
  </w:style>
  <w:style w:type="paragraph" w:styleId="Heading2">
    <w:name w:val="heading 2"/>
    <w:basedOn w:val="Normal"/>
    <w:next w:val="Normal"/>
    <w:link w:val="Heading2Char"/>
    <w:uiPriority w:val="9"/>
    <w:unhideWhenUsed/>
    <w:qFormat/>
    <w:pPr>
      <w:keepNext/>
      <w:keepLines/>
      <w:spacing w:before="120" w:after="60"/>
      <w:ind w:left="288" w:hanging="288"/>
      <w:jc w:val="left"/>
      <w:outlineLvl w:val="1"/>
    </w:pPr>
    <w:rPr>
      <w:i/>
    </w:rPr>
  </w:style>
  <w:style w:type="paragraph" w:styleId="Heading3">
    <w:name w:val="heading 3"/>
    <w:basedOn w:val="Normal"/>
    <w:next w:val="Normal"/>
    <w:link w:val="Heading3Char"/>
    <w:uiPriority w:val="9"/>
    <w:unhideWhenUsed/>
    <w:qFormat/>
    <w:pPr>
      <w:tabs>
        <w:tab w:val="left" w:pos="540"/>
      </w:tabs>
      <w:ind w:firstLine="180"/>
      <w:jc w:val="both"/>
      <w:outlineLvl w:val="2"/>
    </w:pPr>
    <w:rPr>
      <w:i/>
    </w:rPr>
  </w:style>
  <w:style w:type="paragraph" w:styleId="Heading4">
    <w:name w:val="heading 4"/>
    <w:basedOn w:val="Normal"/>
    <w:next w:val="Normal"/>
    <w:link w:val="Heading4Char"/>
    <w:uiPriority w:val="9"/>
    <w:semiHidden/>
    <w:unhideWhenUsed/>
    <w:qFormat/>
    <w:pPr>
      <w:tabs>
        <w:tab w:val="left" w:pos="720"/>
      </w:tabs>
      <w:spacing w:before="40" w:after="40"/>
      <w:ind w:firstLine="360"/>
      <w:jc w:val="both"/>
      <w:outlineLvl w:val="3"/>
    </w:pPr>
    <w:rPr>
      <w:i/>
    </w:rPr>
  </w:style>
  <w:style w:type="paragraph" w:styleId="Heading5">
    <w:name w:val="heading 5"/>
    <w:basedOn w:val="Normal"/>
    <w:next w:val="Normal"/>
    <w:uiPriority w:val="9"/>
    <w:semiHidden/>
    <w:unhideWhenUsed/>
    <w:qFormat/>
    <w:pPr>
      <w:tabs>
        <w:tab w:val="left" w:pos="360"/>
      </w:tabs>
      <w:spacing w:before="160" w:after="80"/>
      <w:outlineLvl w:val="4"/>
    </w:pPr>
    <w:rPr>
      <w:smallCaps/>
    </w:rPr>
  </w:style>
  <w:style w:type="paragraph" w:styleId="Heading6">
    <w:name w:val="heading 6"/>
    <w:basedOn w:val="Normal"/>
    <w:next w:val="Normal"/>
    <w:uiPriority w:val="9"/>
    <w:semiHidden/>
    <w:unhideWhenUsed/>
    <w:qFormat/>
    <w:pPr>
      <w:keepNext/>
      <w:keepLines/>
      <w:spacing w:before="200" w:after="40"/>
      <w:outlineLvl w:val="5"/>
    </w:pPr>
    <w:rPr>
      <w:b/>
    </w:rPr>
  </w:style>
  <w:style w:type="paragraph" w:styleId="Heading7">
    <w:name w:val="heading 7"/>
    <w:basedOn w:val="Normal"/>
    <w:next w:val="Normal"/>
    <w:link w:val="Heading7Char"/>
    <w:uiPriority w:val="9"/>
    <w:unhideWhenUsed/>
    <w:qFormat/>
    <w:rsid w:val="0004323B"/>
    <w:pPr>
      <w:keepNext/>
      <w:keepLines/>
      <w:spacing w:before="200"/>
      <w:outlineLvl w:val="6"/>
    </w:pPr>
    <w:rPr>
      <w:rFonts w:asciiTheme="majorHAnsi" w:eastAsiaTheme="majorEastAsia" w:hAnsiTheme="majorHAnsi" w:cstheme="majorBidi"/>
      <w:i/>
      <w:iCs/>
      <w:color w:val="404040" w:themeColor="text1" w:themeTint="BF"/>
      <w:szCs w:val="18"/>
    </w:rPr>
  </w:style>
  <w:style w:type="paragraph" w:styleId="Heading8">
    <w:name w:val="heading 8"/>
    <w:basedOn w:val="Normal"/>
    <w:next w:val="Normal"/>
    <w:link w:val="Heading8Char"/>
    <w:uiPriority w:val="9"/>
    <w:unhideWhenUsed/>
    <w:qFormat/>
    <w:rsid w:val="0070617F"/>
    <w:pPr>
      <w:keepNext/>
      <w:keepLines/>
      <w:spacing w:before="200"/>
      <w:outlineLvl w:val="7"/>
    </w:pPr>
    <w:rPr>
      <w:rFonts w:asciiTheme="majorHAnsi" w:eastAsiaTheme="majorEastAsia" w:hAnsiTheme="majorHAnsi" w:cstheme="majorBidi"/>
      <w:color w:val="404040" w:themeColor="text1" w:themeTint="BF"/>
      <w:szCs w:val="18"/>
    </w:rPr>
  </w:style>
  <w:style w:type="paragraph" w:styleId="Heading9">
    <w:name w:val="heading 9"/>
    <w:basedOn w:val="Normal"/>
    <w:next w:val="Normal"/>
    <w:link w:val="Heading9Char"/>
    <w:uiPriority w:val="9"/>
    <w:unhideWhenUsed/>
    <w:qFormat/>
    <w:rsid w:val="00CC571D"/>
    <w:pPr>
      <w:keepNext/>
      <w:keepLines/>
      <w:spacing w:before="200"/>
      <w:outlineLvl w:val="8"/>
    </w:pPr>
    <w:rPr>
      <w:rFonts w:asciiTheme="majorHAnsi" w:eastAsiaTheme="majorEastAsia" w:hAnsiTheme="majorHAnsi" w:cstheme="majorBidi"/>
      <w:i/>
      <w:iCs/>
      <w:color w:val="404040" w:themeColor="text1" w:themeTint="BF"/>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customStyle="1" w:styleId="WW8Num1z0">
    <w:name w:val="WW8Num1z0"/>
    <w:rsid w:val="00692375"/>
    <w:rPr>
      <w:rFonts w:cs="Times New Roman"/>
      <w:i w:val="0"/>
      <w:iCs w:val="0"/>
    </w:rPr>
  </w:style>
  <w:style w:type="character" w:customStyle="1" w:styleId="WW8Num1z1">
    <w:name w:val="WW8Num1z1"/>
    <w:rsid w:val="00692375"/>
    <w:rPr>
      <w:rFonts w:cs="Times New Roman"/>
    </w:rPr>
  </w:style>
  <w:style w:type="character" w:customStyle="1" w:styleId="WW8Num1z3">
    <w:name w:val="WW8Num1z3"/>
    <w:rsid w:val="00692375"/>
    <w:rPr>
      <w:rFonts w:ascii="Times New Roman" w:hAnsi="Times New Roman" w:cs="Times New Roman"/>
      <w:b w:val="0"/>
      <w:bCs w:val="0"/>
      <w:i/>
      <w:iCs/>
      <w:sz w:val="20"/>
      <w:szCs w:val="20"/>
    </w:rPr>
  </w:style>
  <w:style w:type="character" w:customStyle="1" w:styleId="WW8Num2z0">
    <w:name w:val="WW8Num2z0"/>
    <w:rsid w:val="00692375"/>
    <w:rPr>
      <w:rFonts w:ascii="Times New Roman" w:hAnsi="Times New Roman" w:cs="Times New Roman"/>
      <w:b w:val="0"/>
      <w:bCs w:val="0"/>
      <w:i w:val="0"/>
      <w:iCs w:val="0"/>
      <w:caps w:val="0"/>
      <w:smallCaps w:val="0"/>
      <w:strike w:val="0"/>
      <w:dstrike w:val="0"/>
      <w:outline w:val="0"/>
      <w:shadow w:val="0"/>
      <w:vanish w:val="0"/>
      <w:sz w:val="16"/>
      <w:szCs w:val="16"/>
      <w:vertAlign w:val="superscript"/>
    </w:rPr>
  </w:style>
  <w:style w:type="character" w:customStyle="1" w:styleId="WW8Num3z0">
    <w:name w:val="WW8Num3z0"/>
    <w:rsid w:val="00692375"/>
    <w:rPr>
      <w:rFonts w:ascii="Symbol" w:hAnsi="Symbol" w:cs="Symbol"/>
    </w:rPr>
  </w:style>
  <w:style w:type="character" w:customStyle="1" w:styleId="WW8Num4z0">
    <w:name w:val="WW8Num4z0"/>
    <w:rsid w:val="00692375"/>
    <w:rPr>
      <w:rFonts w:cs="Times New Roman"/>
    </w:rPr>
  </w:style>
  <w:style w:type="character" w:customStyle="1" w:styleId="WW8Num5z0">
    <w:name w:val="WW8Num5z0"/>
    <w:rsid w:val="00692375"/>
    <w:rPr>
      <w:rFonts w:ascii="Times New Roman" w:hAnsi="Times New Roman" w:cs="Times New Roman"/>
      <w:caps w:val="0"/>
      <w:smallCaps w:val="0"/>
      <w:strike w:val="0"/>
      <w:dstrike w:val="0"/>
      <w:outline w:val="0"/>
      <w:shadow w:val="0"/>
      <w:vanish w:val="0"/>
      <w:color w:val="auto"/>
      <w:position w:val="0"/>
      <w:sz w:val="20"/>
      <w:szCs w:val="20"/>
      <w:vertAlign w:val="baseline"/>
    </w:rPr>
  </w:style>
  <w:style w:type="character" w:customStyle="1" w:styleId="WW8Num6z0">
    <w:name w:val="WW8Num6z0"/>
    <w:rsid w:val="00692375"/>
    <w:rPr>
      <w:rFonts w:ascii="Times New Roman" w:hAnsi="Times New Roman" w:cs="Times New Roman"/>
      <w:b w:val="0"/>
      <w:bCs w:val="0"/>
      <w:i w:val="0"/>
      <w:iCs w:val="0"/>
      <w:sz w:val="16"/>
      <w:szCs w:val="16"/>
    </w:rPr>
  </w:style>
  <w:style w:type="character" w:customStyle="1" w:styleId="Absatz-Standardschriftart">
    <w:name w:val="Absatz-Standardschriftart"/>
    <w:rsid w:val="00692375"/>
  </w:style>
  <w:style w:type="character" w:customStyle="1" w:styleId="WW8Num7z0">
    <w:name w:val="WW8Num7z0"/>
    <w:rsid w:val="00692375"/>
    <w:rPr>
      <w:rFonts w:ascii="Times New Roman" w:hAnsi="Times New Roman" w:cs="Times New Roman"/>
      <w:b w:val="0"/>
      <w:bCs w:val="0"/>
      <w:i w:val="0"/>
      <w:iCs w:val="0"/>
      <w:color w:val="auto"/>
      <w:sz w:val="16"/>
      <w:szCs w:val="16"/>
    </w:rPr>
  </w:style>
  <w:style w:type="character" w:customStyle="1" w:styleId="WW-DefaultParagraphFont">
    <w:name w:val="WW-Default Paragraph Font"/>
    <w:rsid w:val="00692375"/>
  </w:style>
  <w:style w:type="character" w:customStyle="1" w:styleId="WW-Absatz-Standardschriftart">
    <w:name w:val="WW-Absatz-Standardschriftart"/>
    <w:rsid w:val="00692375"/>
  </w:style>
  <w:style w:type="character" w:customStyle="1" w:styleId="WW-Absatz-Standardschriftart1">
    <w:name w:val="WW-Absatz-Standardschriftart1"/>
    <w:rsid w:val="00692375"/>
  </w:style>
  <w:style w:type="character" w:customStyle="1" w:styleId="WW-Absatz-Standardschriftart11">
    <w:name w:val="WW-Absatz-Standardschriftart11"/>
    <w:rsid w:val="00692375"/>
  </w:style>
  <w:style w:type="character" w:customStyle="1" w:styleId="WW-Absatz-Standardschriftart111">
    <w:name w:val="WW-Absatz-Standardschriftart111"/>
    <w:rsid w:val="00692375"/>
  </w:style>
  <w:style w:type="character" w:customStyle="1" w:styleId="WW-Absatz-Standardschriftart1111">
    <w:name w:val="WW-Absatz-Standardschriftart1111"/>
    <w:rsid w:val="00692375"/>
  </w:style>
  <w:style w:type="character" w:customStyle="1" w:styleId="WW-Absatz-Standardschriftart11111">
    <w:name w:val="WW-Absatz-Standardschriftart11111"/>
    <w:rsid w:val="00692375"/>
  </w:style>
  <w:style w:type="character" w:customStyle="1" w:styleId="WW-Absatz-Standardschriftart111111">
    <w:name w:val="WW-Absatz-Standardschriftart111111"/>
    <w:rsid w:val="00692375"/>
  </w:style>
  <w:style w:type="character" w:customStyle="1" w:styleId="WW-Absatz-Standardschriftart1111111">
    <w:name w:val="WW-Absatz-Standardschriftart1111111"/>
    <w:rsid w:val="00692375"/>
  </w:style>
  <w:style w:type="character" w:customStyle="1" w:styleId="WW8Num1z4">
    <w:name w:val="WW8Num1z4"/>
    <w:rsid w:val="00692375"/>
    <w:rPr>
      <w:rFonts w:cs="Times New Roman"/>
    </w:rPr>
  </w:style>
  <w:style w:type="character" w:customStyle="1" w:styleId="WW-Absatz-Standardschriftart11111111">
    <w:name w:val="WW-Absatz-Standardschriftart11111111"/>
    <w:rsid w:val="00692375"/>
  </w:style>
  <w:style w:type="character" w:customStyle="1" w:styleId="WW8Num2z1">
    <w:name w:val="WW8Num2z1"/>
    <w:rsid w:val="00692375"/>
    <w:rPr>
      <w:rFonts w:cs="Times New Roman"/>
    </w:rPr>
  </w:style>
  <w:style w:type="character" w:customStyle="1" w:styleId="WW8Num3z1">
    <w:name w:val="WW8Num3z1"/>
    <w:rsid w:val="00692375"/>
    <w:rPr>
      <w:rFonts w:ascii="Courier New" w:hAnsi="Courier New" w:cs="Courier New"/>
    </w:rPr>
  </w:style>
  <w:style w:type="character" w:customStyle="1" w:styleId="WW8Num3z2">
    <w:name w:val="WW8Num3z2"/>
    <w:rsid w:val="00692375"/>
    <w:rPr>
      <w:rFonts w:ascii="Wingdings" w:hAnsi="Wingdings" w:cs="Wingdings"/>
    </w:rPr>
  </w:style>
  <w:style w:type="character" w:customStyle="1" w:styleId="WW8Num5z1">
    <w:name w:val="WW8Num5z1"/>
    <w:rsid w:val="00692375"/>
    <w:rPr>
      <w:rFonts w:ascii="Times New Roman" w:hAnsi="Times New Roman" w:cs="Times New Roman"/>
      <w:b w:val="0"/>
      <w:bCs w:val="0"/>
      <w:i/>
      <w:iCs/>
      <w:caps w:val="0"/>
      <w:smallCaps w:val="0"/>
      <w:strike w:val="0"/>
      <w:dstrike w:val="0"/>
      <w:outline w:val="0"/>
      <w:shadow w:val="0"/>
      <w:vanish w:val="0"/>
      <w:color w:val="auto"/>
      <w:position w:val="0"/>
      <w:sz w:val="20"/>
      <w:szCs w:val="20"/>
      <w:vertAlign w:val="baseline"/>
    </w:rPr>
  </w:style>
  <w:style w:type="character" w:customStyle="1" w:styleId="WW8Num5z3">
    <w:name w:val="WW8Num5z3"/>
    <w:rsid w:val="00692375"/>
    <w:rPr>
      <w:rFonts w:ascii="Times New Roman" w:hAnsi="Times New Roman" w:cs="Times New Roman"/>
      <w:b w:val="0"/>
      <w:bCs w:val="0"/>
      <w:i/>
      <w:iCs/>
      <w:sz w:val="20"/>
      <w:szCs w:val="20"/>
    </w:rPr>
  </w:style>
  <w:style w:type="character" w:customStyle="1" w:styleId="WW8Num5z4">
    <w:name w:val="WW8Num5z4"/>
    <w:rsid w:val="00692375"/>
    <w:rPr>
      <w:rFonts w:cs="Times New Roman"/>
    </w:rPr>
  </w:style>
  <w:style w:type="character" w:customStyle="1" w:styleId="WW8Num7z1">
    <w:name w:val="WW8Num7z1"/>
    <w:rsid w:val="00692375"/>
    <w:rPr>
      <w:rFonts w:cs="Times New Roman"/>
    </w:rPr>
  </w:style>
  <w:style w:type="character" w:customStyle="1" w:styleId="WW8Num8z0">
    <w:name w:val="WW8Num8z0"/>
    <w:rsid w:val="00692375"/>
    <w:rPr>
      <w:rFonts w:ascii="Times New Roman" w:hAnsi="Times New Roman" w:cs="Times New Roman"/>
      <w:b w:val="0"/>
      <w:bCs w:val="0"/>
      <w:i w:val="0"/>
      <w:iCs w:val="0"/>
      <w:sz w:val="16"/>
      <w:szCs w:val="16"/>
    </w:rPr>
  </w:style>
  <w:style w:type="character" w:customStyle="1" w:styleId="WW-DefaultParagraphFont1">
    <w:name w:val="WW-Default Paragraph Font1"/>
    <w:rsid w:val="00692375"/>
  </w:style>
  <w:style w:type="paragraph" w:customStyle="1" w:styleId="Heading">
    <w:name w:val="Heading"/>
    <w:basedOn w:val="Normal"/>
    <w:next w:val="BodyText"/>
    <w:rsid w:val="00692375"/>
    <w:pPr>
      <w:keepNext/>
      <w:spacing w:before="240" w:after="120"/>
    </w:pPr>
    <w:rPr>
      <w:rFonts w:ascii="Arial" w:eastAsia="DejaVu Sans" w:hAnsi="Arial" w:cs="Lohit Hindi"/>
      <w:sz w:val="28"/>
      <w:szCs w:val="28"/>
    </w:rPr>
  </w:style>
  <w:style w:type="paragraph" w:styleId="BodyText">
    <w:name w:val="Body Text"/>
    <w:basedOn w:val="Normal"/>
    <w:rsid w:val="00692375"/>
    <w:pPr>
      <w:spacing w:after="6"/>
      <w:ind w:firstLine="288"/>
      <w:jc w:val="both"/>
    </w:pPr>
    <w:rPr>
      <w:spacing w:val="-1"/>
    </w:rPr>
  </w:style>
  <w:style w:type="paragraph" w:styleId="List">
    <w:name w:val="List"/>
    <w:basedOn w:val="BodyText"/>
    <w:rsid w:val="00692375"/>
    <w:rPr>
      <w:rFonts w:cs="Lohit Hindi"/>
    </w:rPr>
  </w:style>
  <w:style w:type="paragraph" w:styleId="Caption">
    <w:name w:val="caption"/>
    <w:basedOn w:val="Normal"/>
    <w:uiPriority w:val="35"/>
    <w:qFormat/>
    <w:rsid w:val="00692375"/>
    <w:pPr>
      <w:suppressLineNumbers/>
      <w:spacing w:before="120" w:after="120"/>
    </w:pPr>
    <w:rPr>
      <w:rFonts w:cs="Lohit Hindi"/>
      <w:i/>
      <w:iCs/>
      <w:sz w:val="24"/>
      <w:szCs w:val="24"/>
    </w:rPr>
  </w:style>
  <w:style w:type="paragraph" w:customStyle="1" w:styleId="Index">
    <w:name w:val="Index"/>
    <w:basedOn w:val="Normal"/>
    <w:rsid w:val="00692375"/>
    <w:pPr>
      <w:suppressLineNumbers/>
    </w:pPr>
    <w:rPr>
      <w:rFonts w:cs="Lohit Hindi"/>
    </w:rPr>
  </w:style>
  <w:style w:type="paragraph" w:customStyle="1" w:styleId="Abstract">
    <w:name w:val="Abstract"/>
    <w:rsid w:val="00692375"/>
    <w:pPr>
      <w:suppressAutoHyphens/>
      <w:spacing w:after="200"/>
      <w:ind w:firstLine="170"/>
      <w:jc w:val="both"/>
    </w:pPr>
    <w:rPr>
      <w:rFonts w:eastAsia="SimSun"/>
      <w:b/>
      <w:bCs/>
      <w:sz w:val="18"/>
      <w:szCs w:val="18"/>
      <w:lang w:eastAsia="zh-CN"/>
    </w:rPr>
  </w:style>
  <w:style w:type="paragraph" w:customStyle="1" w:styleId="Affiliation">
    <w:name w:val="Affiliation"/>
    <w:rsid w:val="00692375"/>
    <w:pPr>
      <w:suppressAutoHyphens/>
    </w:pPr>
    <w:rPr>
      <w:rFonts w:eastAsia="SimSun"/>
      <w:lang w:eastAsia="zh-CN"/>
    </w:rPr>
  </w:style>
  <w:style w:type="paragraph" w:customStyle="1" w:styleId="Author">
    <w:name w:val="Author"/>
    <w:rsid w:val="00692375"/>
    <w:pPr>
      <w:suppressAutoHyphens/>
      <w:spacing w:before="360" w:after="40"/>
    </w:pPr>
    <w:rPr>
      <w:rFonts w:eastAsia="SimSun"/>
      <w:sz w:val="22"/>
      <w:szCs w:val="22"/>
    </w:rPr>
  </w:style>
  <w:style w:type="paragraph" w:customStyle="1" w:styleId="bulletlist">
    <w:name w:val="bullet list"/>
    <w:basedOn w:val="BodyText"/>
    <w:rsid w:val="00692375"/>
    <w:pPr>
      <w:tabs>
        <w:tab w:val="left" w:pos="648"/>
      </w:tabs>
      <w:ind w:left="648" w:hanging="360"/>
    </w:pPr>
  </w:style>
  <w:style w:type="paragraph" w:customStyle="1" w:styleId="equation">
    <w:name w:val="equation"/>
    <w:basedOn w:val="Normal"/>
    <w:rsid w:val="00692375"/>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692375"/>
    <w:pPr>
      <w:tabs>
        <w:tab w:val="num" w:pos="0"/>
      </w:tabs>
      <w:suppressAutoHyphens/>
      <w:spacing w:before="80" w:after="200"/>
      <w:ind w:left="360" w:hanging="360"/>
    </w:pPr>
    <w:rPr>
      <w:rFonts w:eastAsia="SimSun"/>
      <w:sz w:val="16"/>
      <w:szCs w:val="16"/>
    </w:rPr>
  </w:style>
  <w:style w:type="paragraph" w:customStyle="1" w:styleId="footnote">
    <w:name w:val="footnote"/>
    <w:rsid w:val="00692375"/>
    <w:pPr>
      <w:tabs>
        <w:tab w:val="left" w:pos="648"/>
      </w:tabs>
      <w:suppressAutoHyphens/>
      <w:spacing w:after="40"/>
      <w:ind w:firstLine="288"/>
    </w:pPr>
    <w:rPr>
      <w:rFonts w:eastAsia="SimSun"/>
      <w:sz w:val="16"/>
      <w:szCs w:val="16"/>
      <w:lang w:eastAsia="zh-CN"/>
    </w:rPr>
  </w:style>
  <w:style w:type="paragraph" w:customStyle="1" w:styleId="keywords">
    <w:name w:val="key words"/>
    <w:rsid w:val="00692375"/>
    <w:pPr>
      <w:suppressAutoHyphens/>
      <w:spacing w:after="120"/>
      <w:ind w:firstLine="288"/>
      <w:jc w:val="both"/>
    </w:pPr>
    <w:rPr>
      <w:rFonts w:eastAsia="SimSun"/>
      <w:b/>
      <w:bCs/>
      <w:iCs/>
      <w:sz w:val="18"/>
      <w:szCs w:val="18"/>
    </w:rPr>
  </w:style>
  <w:style w:type="paragraph" w:customStyle="1" w:styleId="papersubtitle">
    <w:name w:val="paper subtitle"/>
    <w:rsid w:val="00692375"/>
    <w:pPr>
      <w:suppressAutoHyphens/>
      <w:spacing w:after="120"/>
    </w:pPr>
    <w:rPr>
      <w:rFonts w:eastAsia="MS Mincho"/>
      <w:sz w:val="28"/>
      <w:szCs w:val="28"/>
    </w:rPr>
  </w:style>
  <w:style w:type="paragraph" w:customStyle="1" w:styleId="papertitle">
    <w:name w:val="paper title"/>
    <w:rsid w:val="00692375"/>
    <w:pPr>
      <w:suppressAutoHyphens/>
      <w:spacing w:after="120"/>
    </w:pPr>
    <w:rPr>
      <w:rFonts w:eastAsia="MS Mincho"/>
      <w:sz w:val="48"/>
      <w:szCs w:val="48"/>
    </w:rPr>
  </w:style>
  <w:style w:type="paragraph" w:customStyle="1" w:styleId="references">
    <w:name w:val="references"/>
    <w:rsid w:val="00692375"/>
    <w:pPr>
      <w:tabs>
        <w:tab w:val="num" w:pos="360"/>
      </w:tabs>
      <w:suppressAutoHyphens/>
      <w:spacing w:after="50" w:line="180" w:lineRule="atLeast"/>
      <w:ind w:left="360" w:hanging="360"/>
      <w:jc w:val="both"/>
    </w:pPr>
    <w:rPr>
      <w:rFonts w:eastAsia="MS Mincho"/>
      <w:sz w:val="18"/>
      <w:szCs w:val="16"/>
    </w:rPr>
  </w:style>
  <w:style w:type="paragraph" w:customStyle="1" w:styleId="sponsors">
    <w:name w:val="sponsors"/>
    <w:rsid w:val="00692375"/>
    <w:pPr>
      <w:pBdr>
        <w:top w:val="single" w:sz="4" w:space="2" w:color="000000"/>
      </w:pBdr>
      <w:suppressAutoHyphens/>
      <w:ind w:firstLine="288"/>
    </w:pPr>
    <w:rPr>
      <w:rFonts w:eastAsia="SimSun"/>
      <w:sz w:val="16"/>
      <w:szCs w:val="16"/>
      <w:lang w:eastAsia="zh-CN"/>
    </w:rPr>
  </w:style>
  <w:style w:type="paragraph" w:customStyle="1" w:styleId="tablecolhead">
    <w:name w:val="table col head"/>
    <w:basedOn w:val="Normal"/>
    <w:rsid w:val="00692375"/>
    <w:rPr>
      <w:b/>
      <w:bCs/>
      <w:sz w:val="16"/>
      <w:szCs w:val="16"/>
    </w:rPr>
  </w:style>
  <w:style w:type="paragraph" w:customStyle="1" w:styleId="tablecolsubhead">
    <w:name w:val="table col subhead"/>
    <w:basedOn w:val="tablecolhead"/>
    <w:rsid w:val="00692375"/>
    <w:rPr>
      <w:i/>
      <w:iCs/>
      <w:sz w:val="15"/>
      <w:szCs w:val="15"/>
    </w:rPr>
  </w:style>
  <w:style w:type="paragraph" w:customStyle="1" w:styleId="tablecopy">
    <w:name w:val="table copy"/>
    <w:rsid w:val="00692375"/>
    <w:pPr>
      <w:suppressAutoHyphens/>
      <w:jc w:val="both"/>
    </w:pPr>
    <w:rPr>
      <w:rFonts w:eastAsia="SimSun"/>
      <w:sz w:val="16"/>
      <w:szCs w:val="16"/>
    </w:rPr>
  </w:style>
  <w:style w:type="paragraph" w:customStyle="1" w:styleId="tablefootnote">
    <w:name w:val="table footnote"/>
    <w:rsid w:val="00692375"/>
    <w:pPr>
      <w:suppressAutoHyphens/>
      <w:spacing w:before="60" w:after="30"/>
      <w:jc w:val="right"/>
    </w:pPr>
    <w:rPr>
      <w:rFonts w:eastAsia="SimSun"/>
      <w:sz w:val="12"/>
      <w:szCs w:val="12"/>
      <w:lang w:eastAsia="zh-CN"/>
    </w:rPr>
  </w:style>
  <w:style w:type="paragraph" w:customStyle="1" w:styleId="tablehead">
    <w:name w:val="table head"/>
    <w:rsid w:val="00692375"/>
    <w:pPr>
      <w:tabs>
        <w:tab w:val="num" w:pos="0"/>
        <w:tab w:val="left" w:pos="1080"/>
      </w:tabs>
      <w:suppressAutoHyphens/>
      <w:spacing w:before="240" w:after="120" w:line="216" w:lineRule="auto"/>
    </w:pPr>
    <w:rPr>
      <w:rFonts w:eastAsia="SimSun"/>
      <w:smallCaps/>
      <w:sz w:val="16"/>
      <w:szCs w:val="16"/>
    </w:rPr>
  </w:style>
  <w:style w:type="paragraph" w:customStyle="1" w:styleId="Framecontents">
    <w:name w:val="Frame contents"/>
    <w:basedOn w:val="BodyText"/>
    <w:rsid w:val="00692375"/>
  </w:style>
  <w:style w:type="paragraph" w:customStyle="1" w:styleId="TableContents">
    <w:name w:val="Table Contents"/>
    <w:basedOn w:val="Normal"/>
    <w:rsid w:val="00692375"/>
    <w:pPr>
      <w:suppressLineNumbers/>
    </w:pPr>
  </w:style>
  <w:style w:type="paragraph" w:customStyle="1" w:styleId="TableHeading">
    <w:name w:val="Table Heading"/>
    <w:basedOn w:val="TableContents"/>
    <w:rsid w:val="00692375"/>
    <w:rPr>
      <w:b/>
      <w:bCs/>
    </w:rPr>
  </w:style>
  <w:style w:type="character" w:styleId="Hyperlink">
    <w:name w:val="Hyperlink"/>
    <w:basedOn w:val="DefaultParagraphFont"/>
    <w:uiPriority w:val="99"/>
    <w:unhideWhenUsed/>
    <w:rsid w:val="00F4168E"/>
    <w:rPr>
      <w:color w:val="0000FF" w:themeColor="hyperlink"/>
      <w:u w:val="single"/>
    </w:rPr>
  </w:style>
  <w:style w:type="paragraph" w:styleId="Header">
    <w:name w:val="header"/>
    <w:basedOn w:val="Normal"/>
    <w:link w:val="HeaderChar"/>
    <w:uiPriority w:val="99"/>
    <w:unhideWhenUsed/>
    <w:rsid w:val="003C5B4F"/>
    <w:pPr>
      <w:tabs>
        <w:tab w:val="center" w:pos="4680"/>
        <w:tab w:val="right" w:pos="9360"/>
      </w:tabs>
    </w:pPr>
  </w:style>
  <w:style w:type="character" w:customStyle="1" w:styleId="HeaderChar">
    <w:name w:val="Header Char"/>
    <w:basedOn w:val="DefaultParagraphFont"/>
    <w:link w:val="Header"/>
    <w:uiPriority w:val="99"/>
    <w:rsid w:val="003C5B4F"/>
    <w:rPr>
      <w:rFonts w:eastAsia="SimSun"/>
      <w:lang w:eastAsia="zh-CN"/>
    </w:rPr>
  </w:style>
  <w:style w:type="paragraph" w:styleId="Footer">
    <w:name w:val="footer"/>
    <w:basedOn w:val="Normal"/>
    <w:link w:val="FooterChar"/>
    <w:uiPriority w:val="99"/>
    <w:unhideWhenUsed/>
    <w:rsid w:val="003C5B4F"/>
    <w:pPr>
      <w:tabs>
        <w:tab w:val="center" w:pos="4680"/>
        <w:tab w:val="right" w:pos="9360"/>
      </w:tabs>
    </w:pPr>
  </w:style>
  <w:style w:type="character" w:customStyle="1" w:styleId="FooterChar">
    <w:name w:val="Footer Char"/>
    <w:basedOn w:val="DefaultParagraphFont"/>
    <w:link w:val="Footer"/>
    <w:uiPriority w:val="99"/>
    <w:rsid w:val="003C5B4F"/>
    <w:rPr>
      <w:rFonts w:eastAsia="SimSun"/>
      <w:lang w:eastAsia="zh-CN"/>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DB6108"/>
    <w:pPr>
      <w:ind w:left="720"/>
      <w:contextualSpacing/>
    </w:pPr>
    <w:rPr>
      <w:rFonts w:cs="Mangal"/>
      <w:szCs w:val="18"/>
    </w:rPr>
  </w:style>
  <w:style w:type="character" w:styleId="Strong">
    <w:name w:val="Strong"/>
    <w:basedOn w:val="DefaultParagraphFont"/>
    <w:uiPriority w:val="22"/>
    <w:qFormat/>
    <w:rsid w:val="00573B64"/>
    <w:rPr>
      <w:b/>
      <w:bCs/>
    </w:rPr>
  </w:style>
  <w:style w:type="character" w:styleId="IntenseEmphasis">
    <w:name w:val="Intense Emphasis"/>
    <w:basedOn w:val="DefaultParagraphFont"/>
    <w:uiPriority w:val="21"/>
    <w:qFormat/>
    <w:rsid w:val="0083261D"/>
    <w:rPr>
      <w:b/>
      <w:bCs/>
      <w:i/>
      <w:iCs/>
      <w:color w:val="4F81BD" w:themeColor="accent1"/>
    </w:rPr>
  </w:style>
  <w:style w:type="paragraph" w:styleId="Quote">
    <w:name w:val="Quote"/>
    <w:basedOn w:val="Normal"/>
    <w:next w:val="Normal"/>
    <w:link w:val="QuoteChar"/>
    <w:uiPriority w:val="29"/>
    <w:qFormat/>
    <w:rsid w:val="0083261D"/>
    <w:rPr>
      <w:rFonts w:cs="Mangal"/>
      <w:i/>
      <w:iCs/>
      <w:color w:val="000000" w:themeColor="text1"/>
      <w:szCs w:val="18"/>
    </w:rPr>
  </w:style>
  <w:style w:type="character" w:customStyle="1" w:styleId="QuoteChar">
    <w:name w:val="Quote Char"/>
    <w:basedOn w:val="DefaultParagraphFont"/>
    <w:link w:val="Quote"/>
    <w:uiPriority w:val="29"/>
    <w:rsid w:val="0083261D"/>
    <w:rPr>
      <w:rFonts w:cs="Mangal"/>
      <w:i/>
      <w:iCs/>
      <w:color w:val="000000" w:themeColor="text1"/>
      <w:szCs w:val="18"/>
    </w:rPr>
  </w:style>
  <w:style w:type="character" w:styleId="IntenseReference">
    <w:name w:val="Intense Reference"/>
    <w:basedOn w:val="DefaultParagraphFont"/>
    <w:uiPriority w:val="32"/>
    <w:qFormat/>
    <w:rsid w:val="0004323B"/>
    <w:rPr>
      <w:b/>
      <w:bCs/>
      <w:smallCaps/>
      <w:color w:val="C0504D" w:themeColor="accent2"/>
      <w:spacing w:val="5"/>
      <w:u w:val="single"/>
    </w:rPr>
  </w:style>
  <w:style w:type="character" w:styleId="BookTitle">
    <w:name w:val="Book Title"/>
    <w:basedOn w:val="DefaultParagraphFont"/>
    <w:uiPriority w:val="33"/>
    <w:qFormat/>
    <w:rsid w:val="0004323B"/>
    <w:rPr>
      <w:b/>
      <w:bCs/>
      <w:smallCaps/>
      <w:spacing w:val="5"/>
    </w:rPr>
  </w:style>
  <w:style w:type="character" w:customStyle="1" w:styleId="Heading7Char">
    <w:name w:val="Heading 7 Char"/>
    <w:basedOn w:val="DefaultParagraphFont"/>
    <w:link w:val="Heading7"/>
    <w:uiPriority w:val="9"/>
    <w:rsid w:val="0004323B"/>
    <w:rPr>
      <w:rFonts w:asciiTheme="majorHAnsi" w:eastAsiaTheme="majorEastAsia" w:hAnsiTheme="majorHAnsi" w:cstheme="majorBidi"/>
      <w:i/>
      <w:iCs/>
      <w:color w:val="404040" w:themeColor="text1" w:themeTint="BF"/>
      <w:szCs w:val="18"/>
    </w:rPr>
  </w:style>
  <w:style w:type="paragraph" w:styleId="NoSpacing">
    <w:name w:val="No Spacing"/>
    <w:uiPriority w:val="1"/>
    <w:qFormat/>
    <w:rsid w:val="0004323B"/>
    <w:rPr>
      <w:rFonts w:cs="Mangal"/>
      <w:szCs w:val="18"/>
    </w:rPr>
  </w:style>
  <w:style w:type="paragraph" w:styleId="IntenseQuote">
    <w:name w:val="Intense Quote"/>
    <w:basedOn w:val="Normal"/>
    <w:next w:val="Normal"/>
    <w:link w:val="IntenseQuoteChar"/>
    <w:uiPriority w:val="30"/>
    <w:qFormat/>
    <w:rsid w:val="0070617F"/>
    <w:pPr>
      <w:pBdr>
        <w:bottom w:val="single" w:sz="4" w:space="4" w:color="4F81BD" w:themeColor="accent1"/>
      </w:pBdr>
      <w:spacing w:before="200" w:after="280"/>
      <w:ind w:left="936" w:right="936"/>
    </w:pPr>
    <w:rPr>
      <w:rFonts w:cs="Mangal"/>
      <w:b/>
      <w:bCs/>
      <w:i/>
      <w:iCs/>
      <w:color w:val="000000" w:themeColor="text1"/>
      <w:szCs w:val="18"/>
    </w:rPr>
  </w:style>
  <w:style w:type="character" w:customStyle="1" w:styleId="IntenseQuoteChar">
    <w:name w:val="Intense Quote Char"/>
    <w:basedOn w:val="DefaultParagraphFont"/>
    <w:link w:val="IntenseQuote"/>
    <w:uiPriority w:val="30"/>
    <w:rsid w:val="0070617F"/>
    <w:rPr>
      <w:rFonts w:cs="Mangal"/>
      <w:b/>
      <w:bCs/>
      <w:i/>
      <w:iCs/>
      <w:color w:val="000000" w:themeColor="text1"/>
      <w:szCs w:val="18"/>
    </w:rPr>
  </w:style>
  <w:style w:type="table" w:styleId="MediumShading2">
    <w:name w:val="Medium Shading 2"/>
    <w:basedOn w:val="TableNormal"/>
    <w:uiPriority w:val="64"/>
    <w:rsid w:val="009901A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rsid w:val="004230E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D4D83"/>
    <w:rPr>
      <w:rFonts w:ascii="Tahoma" w:hAnsi="Tahoma" w:cs="Mangal"/>
      <w:sz w:val="16"/>
      <w:szCs w:val="14"/>
    </w:rPr>
  </w:style>
  <w:style w:type="character" w:customStyle="1" w:styleId="BalloonTextChar">
    <w:name w:val="Balloon Text Char"/>
    <w:basedOn w:val="DefaultParagraphFont"/>
    <w:link w:val="BalloonText"/>
    <w:uiPriority w:val="99"/>
    <w:semiHidden/>
    <w:rsid w:val="00DD4D83"/>
    <w:rPr>
      <w:rFonts w:ascii="Tahoma" w:hAnsi="Tahoma" w:cs="Mangal"/>
      <w:sz w:val="16"/>
      <w:szCs w:val="14"/>
    </w:rPr>
  </w:style>
  <w:style w:type="character" w:styleId="SubtleEmphasis">
    <w:name w:val="Subtle Emphasis"/>
    <w:basedOn w:val="DefaultParagraphFont"/>
    <w:uiPriority w:val="19"/>
    <w:qFormat/>
    <w:rsid w:val="00CC571D"/>
    <w:rPr>
      <w:rFonts w:ascii="Times New Roman" w:hAnsi="Times New Roman"/>
      <w:i/>
      <w:iCs/>
      <w:color w:val="808080" w:themeColor="text1" w:themeTint="7F"/>
    </w:rPr>
  </w:style>
  <w:style w:type="character" w:styleId="Emphasis">
    <w:name w:val="Emphasis"/>
    <w:basedOn w:val="DefaultParagraphFont"/>
    <w:uiPriority w:val="20"/>
    <w:qFormat/>
    <w:rsid w:val="0042669D"/>
    <w:rPr>
      <w:i/>
      <w:iCs/>
    </w:rPr>
  </w:style>
  <w:style w:type="table" w:customStyle="1" w:styleId="a3">
    <w:basedOn w:val="TableNormal"/>
    <w:tblPr>
      <w:tblStyleRowBandSize w:val="1"/>
      <w:tblStyleColBandSize w:val="1"/>
    </w:tblPr>
    <w:tblStylePr w:type="firstRow">
      <w:pPr>
        <w:spacing w:before="0" w:after="0" w:line="240" w:lineRule="auto"/>
      </w:pPr>
      <w:rPr>
        <w:b/>
        <w:color w:val="FFFFFF"/>
      </w:rPr>
      <w:tblPr/>
      <w:tcPr>
        <w:tcBorders>
          <w:top w:val="single" w:sz="18" w:space="0" w:color="000000"/>
          <w:left w:val="nil"/>
          <w:bottom w:val="single" w:sz="18" w:space="0" w:color="000000"/>
          <w:right w:val="nil"/>
          <w:insideH w:val="nil"/>
          <w:insideV w:val="nil"/>
        </w:tcBorders>
        <w:shd w:val="clear" w:color="auto" w:fill="000000"/>
      </w:tcPr>
    </w:tblStylePr>
    <w:tblStylePr w:type="lastRow">
      <w:pPr>
        <w:spacing w:before="0" w:after="0" w:line="240" w:lineRule="auto"/>
      </w:pPr>
      <w:rPr>
        <w:color w:val="000000"/>
      </w:rPr>
      <w:tblPr/>
      <w:tcPr>
        <w:tcBorders>
          <w:top w:val="single" w:sz="6" w:space="0" w:color="000000"/>
          <w:left w:val="nil"/>
          <w:bottom w:val="single" w:sz="18" w:space="0" w:color="000000"/>
          <w:right w:val="nil"/>
          <w:insideH w:val="nil"/>
          <w:insideV w:val="nil"/>
        </w:tcBorders>
        <w:shd w:val="clear" w:color="auto" w:fill="FFFFFF"/>
      </w:tcPr>
    </w:tblStylePr>
    <w:tblStylePr w:type="firstCol">
      <w:rPr>
        <w:b/>
        <w:color w:val="FFFFFF"/>
      </w:rPr>
      <w:tblPr/>
      <w:tcPr>
        <w:tcBorders>
          <w:top w:val="nil"/>
          <w:left w:val="nil"/>
          <w:bottom w:val="single" w:sz="18" w:space="0" w:color="000000"/>
          <w:right w:val="nil"/>
          <w:insideH w:val="nil"/>
          <w:insideV w:val="nil"/>
        </w:tcBorders>
        <w:shd w:val="clear" w:color="auto" w:fill="000000"/>
      </w:tcPr>
    </w:tblStylePr>
    <w:tblStylePr w:type="lastCol">
      <w:rPr>
        <w:b/>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000000"/>
          <w:left w:val="nil"/>
          <w:bottom w:val="single" w:sz="18" w:space="0" w:color="000000"/>
          <w:right w:val="nil"/>
          <w:insideH w:val="nil"/>
          <w:insideV w:val="nil"/>
        </w:tcBorders>
      </w:tcPr>
    </w:tblStylePr>
    <w:tblStylePr w:type="nwCell">
      <w:rPr>
        <w:color w:val="FFFFFF"/>
      </w:rPr>
      <w:tblPr/>
      <w:tcPr>
        <w:tcBorders>
          <w:top w:val="single" w:sz="18" w:space="0" w:color="000000"/>
          <w:left w:val="nil"/>
          <w:bottom w:val="single" w:sz="18" w:space="0" w:color="000000"/>
          <w:right w:val="nil"/>
          <w:insideH w:val="nil"/>
          <w:insideV w:val="nil"/>
        </w:tcBorders>
      </w:tcPr>
    </w:tblStylePr>
  </w:style>
  <w:style w:type="table" w:customStyle="1" w:styleId="a4">
    <w:basedOn w:val="TableNormal"/>
    <w:tblPr>
      <w:tblStyleRowBandSize w:val="1"/>
      <w:tblStyleColBandSize w:val="1"/>
    </w:tblPr>
    <w:tblStylePr w:type="firstRow">
      <w:pPr>
        <w:spacing w:before="0" w:after="0" w:line="240" w:lineRule="auto"/>
      </w:pPr>
      <w:rPr>
        <w:b/>
        <w:color w:val="FFFFFF"/>
      </w:rPr>
      <w:tblPr/>
      <w:tcPr>
        <w:tcBorders>
          <w:top w:val="single" w:sz="18" w:space="0" w:color="000000"/>
          <w:left w:val="nil"/>
          <w:bottom w:val="single" w:sz="18" w:space="0" w:color="000000"/>
          <w:right w:val="nil"/>
          <w:insideH w:val="nil"/>
          <w:insideV w:val="nil"/>
        </w:tcBorders>
        <w:shd w:val="clear" w:color="auto" w:fill="000000"/>
      </w:tcPr>
    </w:tblStylePr>
    <w:tblStylePr w:type="lastRow">
      <w:pPr>
        <w:spacing w:before="0" w:after="0" w:line="240" w:lineRule="auto"/>
      </w:pPr>
      <w:rPr>
        <w:color w:val="000000"/>
      </w:rPr>
      <w:tblPr/>
      <w:tcPr>
        <w:tcBorders>
          <w:top w:val="single" w:sz="6" w:space="0" w:color="000000"/>
          <w:left w:val="nil"/>
          <w:bottom w:val="single" w:sz="18" w:space="0" w:color="000000"/>
          <w:right w:val="nil"/>
          <w:insideH w:val="nil"/>
          <w:insideV w:val="nil"/>
        </w:tcBorders>
        <w:shd w:val="clear" w:color="auto" w:fill="FFFFFF"/>
      </w:tcPr>
    </w:tblStylePr>
    <w:tblStylePr w:type="firstCol">
      <w:rPr>
        <w:b/>
        <w:color w:val="FFFFFF"/>
      </w:rPr>
      <w:tblPr/>
      <w:tcPr>
        <w:tcBorders>
          <w:top w:val="nil"/>
          <w:left w:val="nil"/>
          <w:bottom w:val="single" w:sz="18" w:space="0" w:color="000000"/>
          <w:right w:val="nil"/>
          <w:insideH w:val="nil"/>
          <w:insideV w:val="nil"/>
        </w:tcBorders>
        <w:shd w:val="clear" w:color="auto" w:fill="000000"/>
      </w:tcPr>
    </w:tblStylePr>
    <w:tblStylePr w:type="lastCol">
      <w:rPr>
        <w:b/>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000000"/>
          <w:left w:val="nil"/>
          <w:bottom w:val="single" w:sz="18" w:space="0" w:color="000000"/>
          <w:right w:val="nil"/>
          <w:insideH w:val="nil"/>
          <w:insideV w:val="nil"/>
        </w:tcBorders>
      </w:tcPr>
    </w:tblStylePr>
    <w:tblStylePr w:type="nwCell">
      <w:rPr>
        <w:color w:val="FFFFFF"/>
      </w:rPr>
      <w:tblPr/>
      <w:tcPr>
        <w:tcBorders>
          <w:top w:val="single" w:sz="18" w:space="0" w:color="000000"/>
          <w:left w:val="nil"/>
          <w:bottom w:val="single" w:sz="18" w:space="0" w:color="000000"/>
          <w:right w:val="nil"/>
          <w:insideH w:val="nil"/>
          <w:insideV w:val="nil"/>
        </w:tcBorders>
      </w:tcPr>
    </w:tblStylePr>
  </w:style>
  <w:style w:type="table" w:customStyle="1" w:styleId="a5">
    <w:basedOn w:val="TableNormal"/>
    <w:tblPr>
      <w:tblStyleRowBandSize w:val="1"/>
      <w:tblStyleColBandSize w:val="1"/>
    </w:tblPr>
    <w:tblStylePr w:type="firstRow">
      <w:pPr>
        <w:spacing w:before="0" w:after="0" w:line="240" w:lineRule="auto"/>
      </w:pPr>
      <w:rPr>
        <w:b/>
        <w:color w:val="FFFFFF"/>
      </w:rPr>
      <w:tblPr/>
      <w:tcPr>
        <w:tcBorders>
          <w:top w:val="single" w:sz="18" w:space="0" w:color="000000"/>
          <w:left w:val="nil"/>
          <w:bottom w:val="single" w:sz="18" w:space="0" w:color="000000"/>
          <w:right w:val="nil"/>
          <w:insideH w:val="nil"/>
          <w:insideV w:val="nil"/>
        </w:tcBorders>
        <w:shd w:val="clear" w:color="auto" w:fill="000000"/>
      </w:tcPr>
    </w:tblStylePr>
    <w:tblStylePr w:type="lastRow">
      <w:pPr>
        <w:spacing w:before="0" w:after="0" w:line="240" w:lineRule="auto"/>
      </w:pPr>
      <w:rPr>
        <w:color w:val="000000"/>
      </w:rPr>
      <w:tblPr/>
      <w:tcPr>
        <w:tcBorders>
          <w:top w:val="single" w:sz="6" w:space="0" w:color="000000"/>
          <w:left w:val="nil"/>
          <w:bottom w:val="single" w:sz="18" w:space="0" w:color="000000"/>
          <w:right w:val="nil"/>
          <w:insideH w:val="nil"/>
          <w:insideV w:val="nil"/>
        </w:tcBorders>
        <w:shd w:val="clear" w:color="auto" w:fill="FFFFFF"/>
      </w:tcPr>
    </w:tblStylePr>
    <w:tblStylePr w:type="firstCol">
      <w:rPr>
        <w:b/>
        <w:color w:val="FFFFFF"/>
      </w:rPr>
      <w:tblPr/>
      <w:tcPr>
        <w:tcBorders>
          <w:top w:val="nil"/>
          <w:left w:val="nil"/>
          <w:bottom w:val="single" w:sz="18" w:space="0" w:color="000000"/>
          <w:right w:val="nil"/>
          <w:insideH w:val="nil"/>
          <w:insideV w:val="nil"/>
        </w:tcBorders>
        <w:shd w:val="clear" w:color="auto" w:fill="000000"/>
      </w:tcPr>
    </w:tblStylePr>
    <w:tblStylePr w:type="lastCol">
      <w:rPr>
        <w:b/>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000000"/>
          <w:left w:val="nil"/>
          <w:bottom w:val="single" w:sz="18" w:space="0" w:color="000000"/>
          <w:right w:val="nil"/>
          <w:insideH w:val="nil"/>
          <w:insideV w:val="nil"/>
        </w:tcBorders>
      </w:tcPr>
    </w:tblStylePr>
    <w:tblStylePr w:type="nwCell">
      <w:rPr>
        <w:color w:val="FFFFFF"/>
      </w:rPr>
      <w:tblPr/>
      <w:tcPr>
        <w:tcBorders>
          <w:top w:val="single" w:sz="18" w:space="0" w:color="000000"/>
          <w:left w:val="nil"/>
          <w:bottom w:val="single" w:sz="18" w:space="0" w:color="000000"/>
          <w:right w:val="nil"/>
          <w:insideH w:val="nil"/>
          <w:insideV w:val="nil"/>
        </w:tcBorders>
      </w:tcPr>
    </w:tblStylePr>
  </w:style>
  <w:style w:type="table" w:customStyle="1" w:styleId="a6">
    <w:basedOn w:val="TableNormal"/>
    <w:tblPr>
      <w:tblStyleRowBandSize w:val="1"/>
      <w:tblStyleColBandSize w:val="1"/>
    </w:tblPr>
    <w:tblStylePr w:type="firstRow">
      <w:pPr>
        <w:spacing w:before="0" w:after="0" w:line="240" w:lineRule="auto"/>
      </w:pPr>
      <w:rPr>
        <w:b/>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rPr>
      <w:tblPr/>
      <w:tcPr>
        <w:tcBorders>
          <w:top w:val="single" w:sz="6" w:space="0" w:color="404040"/>
          <w:left w:val="single" w:sz="8" w:space="0" w:color="404040"/>
          <w:bottom w:val="single" w:sz="8" w:space="0" w:color="404040"/>
          <w:right w:val="single" w:sz="8" w:space="0" w:color="404040"/>
          <w:insideH w:val="nil"/>
          <w:insideV w:val="nil"/>
        </w:tcBorders>
      </w:tcPr>
    </w:tblStylePr>
    <w:tblStylePr w:type="firstCol">
      <w:rPr>
        <w:b/>
      </w:rPr>
    </w:tblStylePr>
    <w:tblStylePr w:type="lastCol">
      <w:rPr>
        <w:b/>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NormalWeb">
    <w:name w:val="Normal (Web)"/>
    <w:basedOn w:val="Normal"/>
    <w:uiPriority w:val="99"/>
    <w:unhideWhenUsed/>
    <w:rsid w:val="00492040"/>
    <w:pPr>
      <w:spacing w:before="100" w:beforeAutospacing="1" w:after="100" w:afterAutospacing="1"/>
      <w:jc w:val="left"/>
    </w:pPr>
    <w:rPr>
      <w:sz w:val="24"/>
      <w:szCs w:val="24"/>
    </w:rPr>
  </w:style>
  <w:style w:type="table" w:styleId="LightShading">
    <w:name w:val="Light Shading"/>
    <w:basedOn w:val="TableNormal"/>
    <w:uiPriority w:val="60"/>
    <w:rsid w:val="00054E2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483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character" w:customStyle="1" w:styleId="Heading8Char">
    <w:name w:val="Heading 8 Char"/>
    <w:basedOn w:val="DefaultParagraphFont"/>
    <w:link w:val="Heading8"/>
    <w:uiPriority w:val="9"/>
    <w:rsid w:val="0070617F"/>
    <w:rPr>
      <w:rFonts w:asciiTheme="majorHAnsi" w:eastAsiaTheme="majorEastAsia" w:hAnsiTheme="majorHAnsi" w:cstheme="majorBidi"/>
      <w:color w:val="404040" w:themeColor="text1" w:themeTint="BF"/>
      <w:szCs w:val="18"/>
    </w:rPr>
  </w:style>
  <w:style w:type="character" w:customStyle="1" w:styleId="Heading9Char">
    <w:name w:val="Heading 9 Char"/>
    <w:basedOn w:val="DefaultParagraphFont"/>
    <w:link w:val="Heading9"/>
    <w:uiPriority w:val="9"/>
    <w:rsid w:val="00CC571D"/>
    <w:rPr>
      <w:rFonts w:asciiTheme="majorHAnsi" w:eastAsiaTheme="majorEastAsia" w:hAnsiTheme="majorHAnsi" w:cstheme="majorBidi"/>
      <w:i/>
      <w:iCs/>
      <w:color w:val="404040" w:themeColor="text1" w:themeTint="BF"/>
      <w:szCs w:val="18"/>
    </w:rPr>
  </w:style>
  <w:style w:type="table" w:styleId="LightShading-Accent2">
    <w:name w:val="Light Shading Accent 2"/>
    <w:basedOn w:val="TableNormal"/>
    <w:uiPriority w:val="60"/>
    <w:rsid w:val="00B64FE6"/>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B64FE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2">
    <w:name w:val="Light List Accent 2"/>
    <w:basedOn w:val="TableNormal"/>
    <w:uiPriority w:val="61"/>
    <w:rsid w:val="00C5319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p1">
    <w:name w:val="p1"/>
    <w:basedOn w:val="Normal"/>
    <w:rsid w:val="00045B71"/>
    <w:pPr>
      <w:spacing w:before="100" w:beforeAutospacing="1" w:after="100" w:afterAutospacing="1"/>
      <w:jc w:val="left"/>
    </w:pPr>
    <w:rPr>
      <w:rFonts w:eastAsiaTheme="minorEastAsia"/>
      <w:sz w:val="24"/>
      <w:szCs w:val="24"/>
    </w:rPr>
  </w:style>
  <w:style w:type="character" w:customStyle="1" w:styleId="s1">
    <w:name w:val="s1"/>
    <w:basedOn w:val="DefaultParagraphFont"/>
    <w:rsid w:val="00045B71"/>
  </w:style>
  <w:style w:type="character" w:customStyle="1" w:styleId="s2">
    <w:name w:val="s2"/>
    <w:basedOn w:val="DefaultParagraphFont"/>
    <w:rsid w:val="00045B71"/>
  </w:style>
  <w:style w:type="character" w:customStyle="1" w:styleId="s3">
    <w:name w:val="s3"/>
    <w:basedOn w:val="DefaultParagraphFont"/>
    <w:rsid w:val="00045B71"/>
  </w:style>
  <w:style w:type="paragraph" w:customStyle="1" w:styleId="p2">
    <w:name w:val="p2"/>
    <w:basedOn w:val="Normal"/>
    <w:rsid w:val="00045B71"/>
    <w:pPr>
      <w:spacing w:before="100" w:beforeAutospacing="1" w:after="100" w:afterAutospacing="1"/>
      <w:jc w:val="left"/>
    </w:pPr>
    <w:rPr>
      <w:rFonts w:eastAsiaTheme="minorEastAsia"/>
      <w:sz w:val="24"/>
      <w:szCs w:val="24"/>
    </w:rPr>
  </w:style>
  <w:style w:type="character" w:customStyle="1" w:styleId="s4">
    <w:name w:val="s4"/>
    <w:basedOn w:val="DefaultParagraphFont"/>
    <w:rsid w:val="0010104D"/>
  </w:style>
  <w:style w:type="character" w:customStyle="1" w:styleId="Heading4Char">
    <w:name w:val="Heading 4 Char"/>
    <w:basedOn w:val="DefaultParagraphFont"/>
    <w:link w:val="Heading4"/>
    <w:uiPriority w:val="9"/>
    <w:rsid w:val="0010104D"/>
    <w:rPr>
      <w:i/>
    </w:rPr>
  </w:style>
  <w:style w:type="paragraph" w:customStyle="1" w:styleId="p3">
    <w:name w:val="p3"/>
    <w:basedOn w:val="Normal"/>
    <w:rsid w:val="0010104D"/>
    <w:pPr>
      <w:spacing w:before="100" w:beforeAutospacing="1" w:after="100" w:afterAutospacing="1"/>
      <w:jc w:val="left"/>
    </w:pPr>
    <w:rPr>
      <w:rFonts w:eastAsiaTheme="minorEastAsia"/>
      <w:sz w:val="24"/>
      <w:szCs w:val="24"/>
    </w:rPr>
  </w:style>
  <w:style w:type="character" w:customStyle="1" w:styleId="Heading2Char">
    <w:name w:val="Heading 2 Char"/>
    <w:basedOn w:val="DefaultParagraphFont"/>
    <w:link w:val="Heading2"/>
    <w:uiPriority w:val="9"/>
    <w:rsid w:val="00C16DC7"/>
    <w:rPr>
      <w:i/>
    </w:rPr>
  </w:style>
  <w:style w:type="character" w:customStyle="1" w:styleId="Heading3Char">
    <w:name w:val="Heading 3 Char"/>
    <w:basedOn w:val="DefaultParagraphFont"/>
    <w:link w:val="Heading3"/>
    <w:uiPriority w:val="9"/>
    <w:rsid w:val="00C16DC7"/>
    <w:rPr>
      <w:i/>
    </w:rPr>
  </w:style>
  <w:style w:type="character" w:customStyle="1" w:styleId="apple-converted-space">
    <w:name w:val="apple-converted-space"/>
    <w:basedOn w:val="DefaultParagraphFont"/>
    <w:rsid w:val="00C16DC7"/>
  </w:style>
  <w:style w:type="table" w:styleId="MediumShading2-Accent1">
    <w:name w:val="Medium Shading 2 Accent 1"/>
    <w:basedOn w:val="TableNormal"/>
    <w:uiPriority w:val="64"/>
    <w:rsid w:val="00DC1AF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tblStylePr w:type="firstRow">
      <w:pPr>
        <w:spacing w:before="0" w:after="0" w:line="240" w:lineRule="auto"/>
      </w:pPr>
      <w:rPr>
        <w:b/>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rPr>
      <w:tblPr/>
      <w:tcPr>
        <w:tcBorders>
          <w:top w:val="single" w:sz="6" w:space="0" w:color="404040"/>
          <w:left w:val="single" w:sz="8" w:space="0" w:color="404040"/>
          <w:bottom w:val="single" w:sz="8" w:space="0" w:color="404040"/>
          <w:right w:val="single" w:sz="8" w:space="0" w:color="404040"/>
          <w:insideH w:val="nil"/>
          <w:insideV w:val="nil"/>
        </w:tcBorders>
      </w:tcPr>
    </w:tblStylePr>
    <w:tblStylePr w:type="firstCol">
      <w:rPr>
        <w:b/>
      </w:rPr>
    </w:tblStylePr>
    <w:tblStylePr w:type="lastCol">
      <w:rPr>
        <w:b/>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af0">
    <w:basedOn w:val="TableNormal"/>
    <w:tblPr>
      <w:tblStyleRowBandSize w:val="1"/>
      <w:tblStyleColBandSize w:val="1"/>
    </w:tblPr>
    <w:tblStylePr w:type="firstRow">
      <w:pPr>
        <w:spacing w:before="0" w:after="0" w:line="240" w:lineRule="auto"/>
      </w:pPr>
      <w:rPr>
        <w:b/>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rPr>
      <w:tblPr/>
      <w:tcPr>
        <w:tcBorders>
          <w:top w:val="single" w:sz="6" w:space="0" w:color="404040"/>
          <w:left w:val="single" w:sz="8" w:space="0" w:color="404040"/>
          <w:bottom w:val="single" w:sz="8" w:space="0" w:color="404040"/>
          <w:right w:val="single" w:sz="8" w:space="0" w:color="404040"/>
          <w:insideH w:val="nil"/>
          <w:insideV w:val="nil"/>
        </w:tcBorders>
      </w:tcPr>
    </w:tblStylePr>
    <w:tblStylePr w:type="firstCol">
      <w:rPr>
        <w:b/>
      </w:rPr>
    </w:tblStylePr>
    <w:tblStylePr w:type="lastCol">
      <w:rPr>
        <w:b/>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af1">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D16E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1600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VhmttRor7J9GDqYKww2tCPah1A==">CgMxLjAyDmguMjMxMG5jMjA0M2NqMg5oLmtpOW43eXdoaTZ4NTIOaC5vbHJoODgzdXV6bTUyDmgud3JrdnV5NGc0d3oyMg5oLmhsN3J1MWZsMHU0NjIOaC5mZTd0ajVjMjZjaWsyDmgucTU5cXFtdDM2dW11Mg5oLjV4MXlwMjF0YnB6cTIOaC5weTh0Mjg1bjF4Z2MyDmguc2h0YnR6b3Y1ZTgzMg5oLjNnMGhtaDRlNHBrcjIOaC55eTgyeWNwM3p4MWIyDmgucXN4N296M3I1OWY3Mg5oLmI1MnZ1cTg2b2JlaTIOaC5kdm05eTVrdHBucXEyDmgueHB4ejNwM2RjbzAxOAByITFXOFZHRTE2M3ppT09RczJqVE4tVUUyZ1NXNGswWEFP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3506</Words>
  <Characters>19985</Characters>
  <Application>Microsoft Office Word</Application>
  <DocSecurity>0</DocSecurity>
  <Lines>166</Lines>
  <Paragraphs>46</Paragraphs>
  <ScaleCrop>false</ScaleCrop>
  <Company/>
  <LinksUpToDate>false</LinksUpToDate>
  <CharactersWithSpaces>23445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sheelvardhan</dc:creator>
  <cp:lastModifiedBy>SDI 1084</cp:lastModifiedBy>
  <cp:revision>9</cp:revision>
  <dcterms:created xsi:type="dcterms:W3CDTF">2025-07-10T14:57:00Z</dcterms:created>
  <dcterms:modified xsi:type="dcterms:W3CDTF">2025-07-11T13:33:00Z</dcterms:modified>
</cp:coreProperties>
</file>