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BF53" w14:textId="77777777" w:rsidR="00E210E1" w:rsidRDefault="00E210E1">
      <w:pPr>
        <w:widowControl w:val="0"/>
        <w:pBdr>
          <w:top w:val="nil"/>
          <w:left w:val="nil"/>
          <w:bottom w:val="nil"/>
          <w:right w:val="nil"/>
          <w:between w:val="nil"/>
        </w:pBdr>
        <w:spacing w:line="229" w:lineRule="auto"/>
        <w:ind w:left="9" w:right="21"/>
        <w:rPr>
          <w:rFonts w:ascii="Times New Roman" w:eastAsia="Times New Roman" w:hAnsi="Times New Roman" w:cs="Times New Roman"/>
          <w:b/>
          <w:color w:val="000000"/>
          <w:sz w:val="24"/>
          <w:szCs w:val="24"/>
        </w:rPr>
      </w:pPr>
      <w:bookmarkStart w:id="0" w:name="_GoBack"/>
      <w:bookmarkEnd w:id="0"/>
    </w:p>
    <w:p w14:paraId="3DCE5986" w14:textId="304D4877" w:rsidR="00E210E1" w:rsidRPr="009A2219" w:rsidRDefault="00E210E1" w:rsidP="00E210E1">
      <w:pPr>
        <w:widowControl w:val="0"/>
        <w:pBdr>
          <w:top w:val="nil"/>
          <w:left w:val="nil"/>
          <w:bottom w:val="nil"/>
          <w:right w:val="nil"/>
          <w:between w:val="nil"/>
        </w:pBdr>
        <w:spacing w:line="229" w:lineRule="auto"/>
        <w:ind w:left="9" w:right="21"/>
        <w:jc w:val="center"/>
        <w:rPr>
          <w:rFonts w:ascii="Times New Roman" w:eastAsia="Times New Roman" w:hAnsi="Times New Roman" w:cs="Times New Roman"/>
          <w:b/>
          <w:bCs/>
          <w:color w:val="000000"/>
          <w:sz w:val="24"/>
          <w:szCs w:val="24"/>
        </w:rPr>
      </w:pPr>
      <w:r w:rsidRPr="009A2219">
        <w:rPr>
          <w:b/>
          <w:bCs/>
          <w:sz w:val="20"/>
          <w:szCs w:val="20"/>
          <w:highlight w:val="yellow"/>
          <w:lang w:val="en-GB"/>
        </w:rPr>
        <w:t xml:space="preserve">Encapsulation of </w:t>
      </w:r>
      <w:proofErr w:type="spellStart"/>
      <w:r w:rsidRPr="009A2219">
        <w:rPr>
          <w:b/>
          <w:bCs/>
          <w:i/>
          <w:iCs/>
          <w:sz w:val="20"/>
          <w:szCs w:val="20"/>
          <w:highlight w:val="yellow"/>
          <w:lang w:val="en-GB"/>
        </w:rPr>
        <w:t>Tinospora</w:t>
      </w:r>
      <w:proofErr w:type="spellEnd"/>
      <w:r w:rsidRPr="009A2219">
        <w:rPr>
          <w:b/>
          <w:bCs/>
          <w:i/>
          <w:iCs/>
          <w:sz w:val="20"/>
          <w:szCs w:val="20"/>
          <w:highlight w:val="yellow"/>
          <w:lang w:val="en-GB"/>
        </w:rPr>
        <w:t xml:space="preserve"> </w:t>
      </w:r>
      <w:proofErr w:type="spellStart"/>
      <w:r w:rsidRPr="009A2219">
        <w:rPr>
          <w:b/>
          <w:bCs/>
          <w:i/>
          <w:iCs/>
          <w:sz w:val="20"/>
          <w:szCs w:val="20"/>
          <w:highlight w:val="yellow"/>
          <w:lang w:val="en-GB"/>
        </w:rPr>
        <w:t>cordifolia</w:t>
      </w:r>
      <w:proofErr w:type="spellEnd"/>
      <w:r w:rsidRPr="009A2219">
        <w:rPr>
          <w:b/>
          <w:bCs/>
          <w:sz w:val="20"/>
          <w:szCs w:val="20"/>
          <w:highlight w:val="yellow"/>
          <w:lang w:val="en-GB"/>
        </w:rPr>
        <w:t xml:space="preserve"> for Sustainable Germplasm Conservation and </w:t>
      </w:r>
      <w:r w:rsidRPr="009A2219">
        <w:rPr>
          <w:b/>
          <w:bCs/>
          <w:i/>
          <w:iCs/>
          <w:sz w:val="20"/>
          <w:szCs w:val="20"/>
          <w:highlight w:val="yellow"/>
          <w:lang w:val="en-GB"/>
        </w:rPr>
        <w:t>In Vitro</w:t>
      </w:r>
      <w:r w:rsidRPr="009A2219">
        <w:rPr>
          <w:b/>
          <w:bCs/>
          <w:sz w:val="20"/>
          <w:szCs w:val="20"/>
          <w:highlight w:val="yellow"/>
          <w:lang w:val="en-GB"/>
        </w:rPr>
        <w:t xml:space="preserve"> Propagation</w:t>
      </w:r>
    </w:p>
    <w:p w14:paraId="619EF89B" w14:textId="77777777" w:rsidR="00E210E1" w:rsidRDefault="00E210E1">
      <w:pPr>
        <w:widowControl w:val="0"/>
        <w:pBdr>
          <w:top w:val="nil"/>
          <w:left w:val="nil"/>
          <w:bottom w:val="nil"/>
          <w:right w:val="nil"/>
          <w:between w:val="nil"/>
        </w:pBdr>
        <w:spacing w:line="229" w:lineRule="auto"/>
        <w:ind w:left="9" w:right="21"/>
        <w:rPr>
          <w:rFonts w:ascii="Times New Roman" w:eastAsia="Times New Roman" w:hAnsi="Times New Roman" w:cs="Times New Roman"/>
          <w:b/>
          <w:color w:val="000000"/>
          <w:sz w:val="24"/>
          <w:szCs w:val="24"/>
        </w:rPr>
      </w:pPr>
    </w:p>
    <w:p w14:paraId="3C32E05C" w14:textId="77777777" w:rsidR="00D87F05" w:rsidRDefault="00D87F05">
      <w:pPr>
        <w:widowControl w:val="0"/>
        <w:pBdr>
          <w:top w:val="nil"/>
          <w:left w:val="nil"/>
          <w:bottom w:val="nil"/>
          <w:right w:val="nil"/>
          <w:between w:val="nil"/>
        </w:pBdr>
        <w:spacing w:before="385" w:line="240" w:lineRule="auto"/>
        <w:jc w:val="center"/>
        <w:rPr>
          <w:rFonts w:ascii="Times New Roman" w:eastAsia="Times New Roman" w:hAnsi="Times New Roman" w:cs="Times New Roman"/>
          <w:b/>
          <w:color w:val="000000"/>
          <w:sz w:val="24"/>
          <w:szCs w:val="24"/>
        </w:rPr>
      </w:pPr>
    </w:p>
    <w:p w14:paraId="2BCE5A0C" w14:textId="7D262A54" w:rsidR="00155D4F" w:rsidRDefault="0031254D">
      <w:pPr>
        <w:widowControl w:val="0"/>
        <w:pBdr>
          <w:top w:val="nil"/>
          <w:left w:val="nil"/>
          <w:bottom w:val="nil"/>
          <w:right w:val="nil"/>
          <w:between w:val="nil"/>
        </w:pBdr>
        <w:spacing w:before="38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26613A3B" w14:textId="76EBB902" w:rsidR="00155D4F" w:rsidRPr="00BC5DA4" w:rsidRDefault="0031254D">
      <w:pPr>
        <w:widowControl w:val="0"/>
        <w:pBdr>
          <w:top w:val="nil"/>
          <w:left w:val="nil"/>
          <w:bottom w:val="nil"/>
          <w:right w:val="nil"/>
          <w:between w:val="nil"/>
        </w:pBdr>
        <w:spacing w:line="229" w:lineRule="auto"/>
        <w:ind w:left="2" w:right="20" w:firstLine="14"/>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(commonly known as </w:t>
      </w:r>
      <w:proofErr w:type="spellStart"/>
      <w:r>
        <w:rPr>
          <w:rFonts w:ascii="Times New Roman" w:eastAsia="Times New Roman" w:hAnsi="Times New Roman" w:cs="Times New Roman"/>
          <w:color w:val="000000"/>
          <w:sz w:val="24"/>
          <w:szCs w:val="24"/>
        </w:rPr>
        <w:t>giloy</w:t>
      </w:r>
      <w:proofErr w:type="spellEnd"/>
      <w:r>
        <w:rPr>
          <w:rFonts w:ascii="Times New Roman" w:eastAsia="Times New Roman" w:hAnsi="Times New Roman" w:cs="Times New Roman"/>
          <w:color w:val="000000"/>
          <w:sz w:val="24"/>
          <w:szCs w:val="24"/>
        </w:rPr>
        <w:t xml:space="preserve">) is highly valued in traditional Ayurvedic medicine for their therapeutic properties. </w:t>
      </w:r>
      <w:proofErr w:type="spellStart"/>
      <w:r>
        <w:rPr>
          <w:rFonts w:ascii="Times New Roman" w:eastAsia="Times New Roman" w:hAnsi="Times New Roman" w:cs="Times New Roman"/>
          <w:color w:val="000000"/>
          <w:sz w:val="24"/>
          <w:szCs w:val="24"/>
        </w:rPr>
        <w:t>Giloy</w:t>
      </w:r>
      <w:proofErr w:type="spellEnd"/>
      <w:r>
        <w:rPr>
          <w:rFonts w:ascii="Times New Roman" w:eastAsia="Times New Roman" w:hAnsi="Times New Roman" w:cs="Times New Roman"/>
          <w:color w:val="000000"/>
          <w:sz w:val="24"/>
          <w:szCs w:val="24"/>
        </w:rPr>
        <w:t xml:space="preserve"> is known to enhance immunity, reduce inflammation, and support liver health. However, </w:t>
      </w:r>
      <w:proofErr w:type="spellStart"/>
      <w:r>
        <w:rPr>
          <w:rFonts w:ascii="Times New Roman" w:eastAsia="Times New Roman" w:hAnsi="Times New Roman" w:cs="Times New Roman"/>
          <w:color w:val="000000"/>
          <w:sz w:val="24"/>
          <w:szCs w:val="24"/>
        </w:rPr>
        <w:t>giloy</w:t>
      </w:r>
      <w:proofErr w:type="spellEnd"/>
      <w:r>
        <w:rPr>
          <w:rFonts w:ascii="Times New Roman" w:eastAsia="Times New Roman" w:hAnsi="Times New Roman" w:cs="Times New Roman"/>
          <w:color w:val="000000"/>
          <w:sz w:val="24"/>
          <w:szCs w:val="24"/>
        </w:rPr>
        <w:t xml:space="preserve"> is threatened by overharvesting and environmental factors, making it crucial to explore sustainable cultivation and conservation strategies. This study examined the application of encapsulation techniques for the controlled micropropagation and preservation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germplasm. The effects of different calcium chloride concentrations (50 mM, 75 mM, and 100 mM), sodium alginate concentrations (1%, 2%, 3%, and 4%), and storage </w:t>
      </w:r>
      <w:r w:rsidRPr="00BC5DA4">
        <w:rPr>
          <w:rFonts w:ascii="Times New Roman" w:eastAsia="Times New Roman" w:hAnsi="Times New Roman" w:cs="Times New Roman"/>
          <w:color w:val="000000"/>
          <w:sz w:val="24"/>
          <w:szCs w:val="24"/>
          <w:highlight w:val="yellow"/>
        </w:rPr>
        <w:t xml:space="preserve">temperatures (25°C and 4°C) </w:t>
      </w:r>
      <w:r w:rsidR="00D65EAB" w:rsidRPr="00BC5DA4">
        <w:rPr>
          <w:rFonts w:ascii="Times New Roman" w:eastAsia="Times New Roman" w:hAnsi="Times New Roman" w:cs="Times New Roman"/>
          <w:color w:val="000000"/>
          <w:sz w:val="24"/>
          <w:szCs w:val="24"/>
          <w:highlight w:val="yellow"/>
        </w:rPr>
        <w:t>on viability</w:t>
      </w:r>
      <w:r w:rsidRPr="00BC5DA4">
        <w:rPr>
          <w:rFonts w:ascii="Times New Roman" w:eastAsia="Times New Roman" w:hAnsi="Times New Roman" w:cs="Times New Roman"/>
          <w:color w:val="000000"/>
          <w:sz w:val="24"/>
          <w:szCs w:val="24"/>
          <w:highlight w:val="yellow"/>
        </w:rPr>
        <w:t xml:space="preserve"> of nodes and growth were evaluated over 0, 7, 14, and 21 days. </w:t>
      </w:r>
    </w:p>
    <w:p w14:paraId="7B03A1ED" w14:textId="77777777" w:rsidR="00155D4F" w:rsidRDefault="0031254D">
      <w:pPr>
        <w:widowControl w:val="0"/>
        <w:pBdr>
          <w:top w:val="nil"/>
          <w:left w:val="nil"/>
          <w:bottom w:val="nil"/>
          <w:right w:val="nil"/>
          <w:between w:val="nil"/>
        </w:pBdr>
        <w:spacing w:before="166" w:line="229" w:lineRule="auto"/>
        <w:ind w:left="1" w:firstLine="2"/>
        <w:jc w:val="both"/>
        <w:rPr>
          <w:rFonts w:ascii="Times New Roman" w:eastAsia="Times New Roman" w:hAnsi="Times New Roman" w:cs="Times New Roman"/>
          <w:color w:val="000000"/>
          <w:sz w:val="24"/>
          <w:szCs w:val="24"/>
        </w:rPr>
      </w:pPr>
      <w:r w:rsidRPr="00BC5DA4">
        <w:rPr>
          <w:rFonts w:ascii="Times New Roman" w:eastAsia="Times New Roman" w:hAnsi="Times New Roman" w:cs="Times New Roman"/>
          <w:color w:val="000000"/>
          <w:sz w:val="24"/>
          <w:szCs w:val="24"/>
          <w:highlight w:val="yellow"/>
        </w:rPr>
        <w:t>Preliminary results indicated that a combination</w:t>
      </w:r>
      <w:r>
        <w:rPr>
          <w:rFonts w:ascii="Times New Roman" w:eastAsia="Times New Roman" w:hAnsi="Times New Roman" w:cs="Times New Roman"/>
          <w:color w:val="000000"/>
          <w:sz w:val="24"/>
          <w:szCs w:val="24"/>
        </w:rPr>
        <w:t xml:space="preserve"> of 75 mM calcium chloride, 3% sodium alginate, and storage at 4°C resulted in the best encapsulation and growth outcomes with a regeneration frequency of 90 %. These findings highlight the potential of encapsulation for the genetic preservation, stress resistance, and sustainable cultivation of medicinal plants, addressing broader concerns such as biodiversity loss and climate change. </w:t>
      </w:r>
    </w:p>
    <w:p w14:paraId="5567FFA7" w14:textId="7CB5AED3" w:rsidR="00155D4F" w:rsidRPr="00BC5DA4" w:rsidRDefault="0031254D">
      <w:pPr>
        <w:widowControl w:val="0"/>
        <w:pBdr>
          <w:top w:val="nil"/>
          <w:left w:val="nil"/>
          <w:bottom w:val="nil"/>
          <w:right w:val="nil"/>
          <w:between w:val="nil"/>
        </w:pBdr>
        <w:spacing w:before="166" w:line="229" w:lineRule="auto"/>
        <w:ind w:left="11" w:hanging="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Keywords: </w:t>
      </w:r>
      <w:proofErr w:type="spellStart"/>
      <w:r w:rsidRPr="00BC5DA4">
        <w:rPr>
          <w:rFonts w:ascii="Times New Roman" w:eastAsia="Times New Roman" w:hAnsi="Times New Roman" w:cs="Times New Roman"/>
          <w:i/>
          <w:color w:val="000000"/>
          <w:sz w:val="24"/>
          <w:szCs w:val="24"/>
        </w:rPr>
        <w:t>Tinospora</w:t>
      </w:r>
      <w:proofErr w:type="spellEnd"/>
      <w:r w:rsidRPr="00BC5DA4">
        <w:rPr>
          <w:rFonts w:ascii="Times New Roman" w:eastAsia="Times New Roman" w:hAnsi="Times New Roman" w:cs="Times New Roman"/>
          <w:i/>
          <w:color w:val="000000"/>
          <w:sz w:val="24"/>
          <w:szCs w:val="24"/>
        </w:rPr>
        <w:t xml:space="preserve"> </w:t>
      </w:r>
      <w:proofErr w:type="spellStart"/>
      <w:r w:rsidRPr="00BC5DA4">
        <w:rPr>
          <w:rFonts w:ascii="Times New Roman" w:eastAsia="Times New Roman" w:hAnsi="Times New Roman" w:cs="Times New Roman"/>
          <w:i/>
          <w:color w:val="000000"/>
          <w:sz w:val="24"/>
          <w:szCs w:val="24"/>
        </w:rPr>
        <w:t>cordifolia</w:t>
      </w:r>
      <w:proofErr w:type="spellEnd"/>
      <w:r w:rsidRPr="00BC5DA4">
        <w:rPr>
          <w:rFonts w:ascii="Times New Roman" w:eastAsia="Times New Roman" w:hAnsi="Times New Roman" w:cs="Times New Roman"/>
          <w:color w:val="000000"/>
          <w:sz w:val="24"/>
          <w:szCs w:val="24"/>
        </w:rPr>
        <w:t>, encapsulation, germplasm conservation, sodium alginate, calcium chloride, micropropagation</w:t>
      </w:r>
    </w:p>
    <w:p w14:paraId="0EEBF988" w14:textId="77777777" w:rsidR="00D65EAB" w:rsidRDefault="00D65EAB">
      <w:pPr>
        <w:widowControl w:val="0"/>
        <w:pBdr>
          <w:top w:val="nil"/>
          <w:left w:val="nil"/>
          <w:bottom w:val="nil"/>
          <w:right w:val="nil"/>
          <w:between w:val="nil"/>
        </w:pBdr>
        <w:spacing w:before="417" w:line="240" w:lineRule="auto"/>
        <w:ind w:left="636"/>
        <w:rPr>
          <w:b/>
          <w:color w:val="000000"/>
          <w:sz w:val="24"/>
          <w:szCs w:val="24"/>
        </w:rPr>
      </w:pPr>
    </w:p>
    <w:p w14:paraId="35EBDB38" w14:textId="5E9AE333" w:rsidR="00D65EAB" w:rsidRDefault="0031254D" w:rsidP="00BC5DA4">
      <w:pPr>
        <w:widowControl w:val="0"/>
        <w:pBdr>
          <w:top w:val="nil"/>
          <w:left w:val="nil"/>
          <w:bottom w:val="nil"/>
          <w:right w:val="nil"/>
          <w:between w:val="nil"/>
        </w:pBdr>
        <w:spacing w:before="41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r>
        <w:rPr>
          <w:rFonts w:ascii="Times New Roman" w:eastAsia="Times New Roman" w:hAnsi="Times New Roman" w:cs="Times New Roman"/>
          <w:color w:val="000000"/>
          <w:sz w:val="24"/>
          <w:szCs w:val="24"/>
        </w:rPr>
        <w:t xml:space="preserve"> </w:t>
      </w:r>
    </w:p>
    <w:p w14:paraId="2CDC319C" w14:textId="262192ED" w:rsidR="00155D4F" w:rsidRPr="00D65EAB" w:rsidRDefault="0031254D" w:rsidP="00D65EAB">
      <w:pPr>
        <w:widowControl w:val="0"/>
        <w:pBdr>
          <w:top w:val="nil"/>
          <w:left w:val="nil"/>
          <w:bottom w:val="nil"/>
          <w:right w:val="nil"/>
          <w:between w:val="nil"/>
        </w:pBdr>
        <w:spacing w:line="229" w:lineRule="auto"/>
        <w:ind w:left="1" w:right="24" w:firstLine="15"/>
        <w:jc w:val="both"/>
        <w:rPr>
          <w:rFonts w:ascii="Times New Roman" w:eastAsia="Times New Roman" w:hAnsi="Times New Roman" w:cs="Times New Roman"/>
          <w:color w:val="000000"/>
          <w:sz w:val="24"/>
          <w:szCs w:val="24"/>
        </w:rPr>
      </w:pPr>
      <w:proofErr w:type="spellStart"/>
      <w:r w:rsidRPr="00D65EAB">
        <w:rPr>
          <w:rFonts w:ascii="Times New Roman" w:eastAsia="Times New Roman" w:hAnsi="Times New Roman" w:cs="Times New Roman"/>
          <w:i/>
          <w:color w:val="000000"/>
          <w:sz w:val="24"/>
          <w:szCs w:val="24"/>
        </w:rPr>
        <w:t>Tinospora</w:t>
      </w:r>
      <w:proofErr w:type="spellEnd"/>
      <w:r w:rsidRPr="00D65EAB">
        <w:rPr>
          <w:rFonts w:ascii="Times New Roman" w:eastAsia="Times New Roman" w:hAnsi="Times New Roman" w:cs="Times New Roman"/>
          <w:i/>
          <w:color w:val="000000"/>
          <w:sz w:val="24"/>
          <w:szCs w:val="24"/>
        </w:rPr>
        <w:t xml:space="preserve"> </w:t>
      </w:r>
      <w:proofErr w:type="spellStart"/>
      <w:r w:rsidRPr="00D65EAB">
        <w:rPr>
          <w:rFonts w:ascii="Times New Roman" w:eastAsia="Times New Roman" w:hAnsi="Times New Roman" w:cs="Times New Roman"/>
          <w:i/>
          <w:color w:val="000000"/>
          <w:sz w:val="24"/>
          <w:szCs w:val="24"/>
        </w:rPr>
        <w:t>cordifolia</w:t>
      </w:r>
      <w:proofErr w:type="spellEnd"/>
      <w:r w:rsidRPr="00D65EAB">
        <w:rPr>
          <w:rFonts w:ascii="Times New Roman" w:eastAsia="Times New Roman" w:hAnsi="Times New Roman" w:cs="Times New Roman"/>
          <w:i/>
          <w:color w:val="000000"/>
          <w:sz w:val="24"/>
          <w:szCs w:val="24"/>
        </w:rPr>
        <w:t xml:space="preserve"> </w:t>
      </w:r>
      <w:r w:rsidRPr="00D65EAB">
        <w:rPr>
          <w:rFonts w:ascii="Times New Roman" w:eastAsia="Times New Roman" w:hAnsi="Times New Roman" w:cs="Times New Roman"/>
          <w:color w:val="000000"/>
          <w:sz w:val="24"/>
          <w:szCs w:val="24"/>
        </w:rPr>
        <w:t xml:space="preserve">(commonly known as </w:t>
      </w:r>
      <w:proofErr w:type="spellStart"/>
      <w:r w:rsidRPr="00D65EAB">
        <w:rPr>
          <w:rFonts w:ascii="Times New Roman" w:eastAsia="Times New Roman" w:hAnsi="Times New Roman" w:cs="Times New Roman"/>
          <w:color w:val="000000"/>
          <w:sz w:val="24"/>
          <w:szCs w:val="24"/>
        </w:rPr>
        <w:t>Giloy</w:t>
      </w:r>
      <w:proofErr w:type="spellEnd"/>
      <w:r w:rsidRPr="00D65EAB">
        <w:rPr>
          <w:rFonts w:ascii="Times New Roman" w:eastAsia="Times New Roman" w:hAnsi="Times New Roman" w:cs="Times New Roman"/>
          <w:color w:val="000000"/>
          <w:sz w:val="24"/>
          <w:szCs w:val="24"/>
        </w:rPr>
        <w:t>) hold significant importance in Ayurvedic medicine, being widely recognized for their diverse therapeutic benefits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[1]</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w:t>
      </w:r>
      <w:proofErr w:type="spellStart"/>
      <w:r w:rsidRPr="00D65EAB">
        <w:rPr>
          <w:rFonts w:ascii="Times New Roman" w:eastAsia="Times New Roman" w:hAnsi="Times New Roman" w:cs="Times New Roman"/>
          <w:i/>
          <w:color w:val="000000"/>
          <w:sz w:val="24"/>
          <w:szCs w:val="24"/>
        </w:rPr>
        <w:t>Tinospora</w:t>
      </w:r>
      <w:proofErr w:type="spellEnd"/>
      <w:r w:rsidRPr="00D65EAB">
        <w:rPr>
          <w:rFonts w:ascii="Times New Roman" w:eastAsia="Times New Roman" w:hAnsi="Times New Roman" w:cs="Times New Roman"/>
          <w:i/>
          <w:color w:val="000000"/>
          <w:sz w:val="24"/>
          <w:szCs w:val="24"/>
        </w:rPr>
        <w:t xml:space="preserve"> </w:t>
      </w:r>
      <w:proofErr w:type="spellStart"/>
      <w:r w:rsidRPr="00D65EAB">
        <w:rPr>
          <w:rFonts w:ascii="Times New Roman" w:eastAsia="Times New Roman" w:hAnsi="Times New Roman" w:cs="Times New Roman"/>
          <w:i/>
          <w:color w:val="000000"/>
          <w:sz w:val="24"/>
          <w:szCs w:val="24"/>
        </w:rPr>
        <w:t>cordifolia</w:t>
      </w:r>
      <w:proofErr w:type="spellEnd"/>
      <w:r w:rsidRPr="00D65EAB">
        <w:rPr>
          <w:rFonts w:ascii="Times New Roman" w:eastAsia="Times New Roman" w:hAnsi="Times New Roman" w:cs="Times New Roman"/>
          <w:i/>
          <w:color w:val="000000"/>
          <w:sz w:val="24"/>
          <w:szCs w:val="24"/>
        </w:rPr>
        <w:t xml:space="preserve"> </w:t>
      </w:r>
      <w:r w:rsidRPr="00D65EAB">
        <w:rPr>
          <w:rFonts w:ascii="Times New Roman" w:eastAsia="Times New Roman" w:hAnsi="Times New Roman" w:cs="Times New Roman"/>
          <w:color w:val="000000"/>
          <w:sz w:val="24"/>
          <w:szCs w:val="24"/>
        </w:rPr>
        <w:t>is particularly valued for its role in boosting the immune system, alleviating inflammation, and acting as a potent antioxidant</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[2</w:t>
      </w:r>
      <w:r w:rsidR="00E03263">
        <w:rPr>
          <w:rFonts w:ascii="Times New Roman" w:eastAsia="Times New Roman" w:hAnsi="Times New Roman" w:cs="Times New Roman"/>
          <w:color w:val="000000"/>
          <w:sz w:val="24"/>
          <w:szCs w:val="24"/>
        </w:rPr>
        <w:t xml:space="preserve">, </w:t>
      </w:r>
      <w:r w:rsidR="00303B35" w:rsidRPr="00303B35">
        <w:rPr>
          <w:rFonts w:ascii="Times New Roman" w:eastAsia="Times New Roman" w:hAnsi="Times New Roman" w:cs="Times New Roman"/>
          <w:color w:val="000000"/>
          <w:sz w:val="24"/>
          <w:szCs w:val="24"/>
          <w:highlight w:val="yellow"/>
        </w:rPr>
        <w:t>16</w:t>
      </w:r>
      <w:r w:rsidRPr="00D65EAB">
        <w:rPr>
          <w:rFonts w:ascii="Times New Roman" w:eastAsia="Times New Roman" w:hAnsi="Times New Roman" w:cs="Times New Roman"/>
          <w:color w:val="000000"/>
          <w:sz w:val="24"/>
          <w:szCs w:val="24"/>
        </w:rPr>
        <w:t>]</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These properties make it an effective remedy for managing conditions, such as diabetes, immune disorders, and inflammatory diseases</w:t>
      </w:r>
      <w:r w:rsidR="0074778E">
        <w:rPr>
          <w:rFonts w:ascii="Times New Roman" w:eastAsia="Times New Roman" w:hAnsi="Times New Roman" w:cs="Times New Roman"/>
          <w:color w:val="000000"/>
          <w:sz w:val="24"/>
          <w:szCs w:val="24"/>
        </w:rPr>
        <w:t xml:space="preserve"> </w:t>
      </w:r>
      <w:r w:rsidR="0074778E" w:rsidRPr="0074778E">
        <w:rPr>
          <w:rFonts w:ascii="Times New Roman" w:eastAsia="Times New Roman" w:hAnsi="Times New Roman" w:cs="Times New Roman"/>
          <w:color w:val="000000"/>
          <w:sz w:val="24"/>
          <w:szCs w:val="24"/>
          <w:highlight w:val="yellow"/>
        </w:rPr>
        <w:t>[17]</w:t>
      </w:r>
      <w:r w:rsidRPr="00D65EAB">
        <w:rPr>
          <w:rFonts w:ascii="Times New Roman" w:eastAsia="Times New Roman" w:hAnsi="Times New Roman" w:cs="Times New Roman"/>
          <w:color w:val="000000"/>
          <w:sz w:val="24"/>
          <w:szCs w:val="24"/>
        </w:rPr>
        <w:t>. Its bioactive components, including alkaloids, glycosides, flavonoids, and terpenoids, contribute to its medicinal versatility and are continually being investigated for novel therapeutic applications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[3,4]</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w:t>
      </w:r>
    </w:p>
    <w:p w14:paraId="1667EF89" w14:textId="0D6B0882" w:rsidR="00155D4F" w:rsidRPr="00D65EAB" w:rsidRDefault="0031254D" w:rsidP="00D65EAB">
      <w:pPr>
        <w:widowControl w:val="0"/>
        <w:pBdr>
          <w:top w:val="nil"/>
          <w:left w:val="nil"/>
          <w:bottom w:val="nil"/>
          <w:right w:val="nil"/>
          <w:between w:val="nil"/>
        </w:pBdr>
        <w:spacing w:before="166" w:line="229" w:lineRule="auto"/>
        <w:ind w:left="8" w:right="51" w:hanging="3"/>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rPr>
        <w:t>Despite its therapeutic value, this plant faces threats owing to deforestation, habitat destruction, and overharvesting, leading to the depletion of its natural population</w:t>
      </w:r>
      <w:r w:rsidR="00A7183D">
        <w:rPr>
          <w:rFonts w:ascii="Times New Roman" w:eastAsia="Times New Roman" w:hAnsi="Times New Roman" w:cs="Times New Roman"/>
          <w:color w:val="000000"/>
          <w:sz w:val="24"/>
          <w:szCs w:val="24"/>
        </w:rPr>
        <w:t xml:space="preserve"> </w:t>
      </w:r>
      <w:r w:rsidR="00A7183D" w:rsidRPr="00A7183D">
        <w:rPr>
          <w:rFonts w:ascii="Times New Roman" w:eastAsia="Times New Roman" w:hAnsi="Times New Roman" w:cs="Times New Roman"/>
          <w:color w:val="000000"/>
          <w:sz w:val="24"/>
          <w:szCs w:val="24"/>
          <w:highlight w:val="yellow"/>
        </w:rPr>
        <w:t>[18]</w:t>
      </w:r>
      <w:r w:rsidRPr="00D65EAB">
        <w:rPr>
          <w:rFonts w:ascii="Times New Roman" w:eastAsia="Times New Roman" w:hAnsi="Times New Roman" w:cs="Times New Roman"/>
          <w:color w:val="000000"/>
          <w:sz w:val="24"/>
          <w:szCs w:val="24"/>
        </w:rPr>
        <w:t>. The</w:t>
      </w:r>
    </w:p>
    <w:p w14:paraId="2C5D27A6" w14:textId="7ABE3C6B" w:rsidR="00155D4F" w:rsidRPr="00D65EAB" w:rsidRDefault="0031254D" w:rsidP="00D65EAB">
      <w:pPr>
        <w:widowControl w:val="0"/>
        <w:pBdr>
          <w:top w:val="nil"/>
          <w:left w:val="nil"/>
          <w:bottom w:val="nil"/>
          <w:right w:val="nil"/>
          <w:between w:val="nil"/>
        </w:pBdr>
        <w:spacing w:line="229" w:lineRule="auto"/>
        <w:ind w:right="11" w:firstLine="7"/>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rPr>
        <w:t>increasing demand for this species in the pharmaceutical and wellness industries further exacerbates pressure on its cultivation</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[5]</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To address these challenges, innovative conservation strategies are essential for safeguarding genetic diversity and ensuring sustainable utilization</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lastRenderedPageBreak/>
        <w:t>[6</w:t>
      </w:r>
      <w:r w:rsidR="00D65EAB" w:rsidRPr="00D65EAB">
        <w:rPr>
          <w:rFonts w:ascii="Times New Roman" w:eastAsia="Times New Roman" w:hAnsi="Times New Roman" w:cs="Times New Roman"/>
          <w:color w:val="000000"/>
          <w:sz w:val="24"/>
          <w:szCs w:val="24"/>
        </w:rPr>
        <w:t xml:space="preserve">]. Biotechnological </w:t>
      </w:r>
      <w:r w:rsidRPr="00D65EAB">
        <w:rPr>
          <w:rFonts w:ascii="Times New Roman" w:eastAsia="Times New Roman" w:hAnsi="Times New Roman" w:cs="Times New Roman"/>
          <w:color w:val="000000"/>
          <w:sz w:val="24"/>
          <w:szCs w:val="24"/>
        </w:rPr>
        <w:t>advancements such as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encapsulation offer promising methods for conserving endangered medicinal plants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[7,8]</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Encapsulation involves embedding plant tissues in a biocompatible gel-like material, which not only protects the samples but also facilitates their handling, storage, and regeneration under laboratory conditions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[8,9]</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w:t>
      </w:r>
    </w:p>
    <w:p w14:paraId="0CC6CCB8" w14:textId="67E2800C" w:rsidR="00155D4F" w:rsidRPr="00D65EAB" w:rsidRDefault="0031254D" w:rsidP="00D65EAB">
      <w:pPr>
        <w:widowControl w:val="0"/>
        <w:pBdr>
          <w:top w:val="nil"/>
          <w:left w:val="nil"/>
          <w:bottom w:val="nil"/>
          <w:right w:val="nil"/>
          <w:between w:val="nil"/>
        </w:pBdr>
        <w:spacing w:before="166" w:line="229" w:lineRule="auto"/>
        <w:ind w:right="23" w:firstLine="7"/>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rPr>
        <w:t xml:space="preserve">This study focuses on refining encapsulation protocols for the conservation of </w:t>
      </w:r>
      <w:proofErr w:type="spellStart"/>
      <w:r w:rsidRPr="00D65EAB">
        <w:rPr>
          <w:rFonts w:ascii="Times New Roman" w:eastAsia="Times New Roman" w:hAnsi="Times New Roman" w:cs="Times New Roman"/>
          <w:i/>
          <w:color w:val="000000"/>
          <w:sz w:val="24"/>
          <w:szCs w:val="24"/>
        </w:rPr>
        <w:t>Tinospora</w:t>
      </w:r>
      <w:proofErr w:type="spellEnd"/>
      <w:r w:rsidRPr="00D65EAB">
        <w:rPr>
          <w:rFonts w:ascii="Times New Roman" w:eastAsia="Times New Roman" w:hAnsi="Times New Roman" w:cs="Times New Roman"/>
          <w:i/>
          <w:color w:val="000000"/>
          <w:sz w:val="24"/>
          <w:szCs w:val="24"/>
        </w:rPr>
        <w:t xml:space="preserve"> </w:t>
      </w:r>
      <w:proofErr w:type="spellStart"/>
      <w:r w:rsidRPr="00D65EAB">
        <w:rPr>
          <w:rFonts w:ascii="Times New Roman" w:eastAsia="Times New Roman" w:hAnsi="Times New Roman" w:cs="Times New Roman"/>
          <w:i/>
          <w:color w:val="000000"/>
          <w:sz w:val="24"/>
          <w:szCs w:val="24"/>
        </w:rPr>
        <w:t>cordifolia</w:t>
      </w:r>
      <w:proofErr w:type="spellEnd"/>
      <w:r w:rsidR="00D65EAB" w:rsidRPr="00D65EAB">
        <w:rPr>
          <w:rFonts w:ascii="Times New Roman" w:eastAsia="Times New Roman" w:hAnsi="Times New Roman" w:cs="Times New Roman"/>
          <w:color w:val="000000"/>
          <w:sz w:val="24"/>
          <w:szCs w:val="24"/>
        </w:rPr>
        <w:t xml:space="preserve"> b</w:t>
      </w:r>
      <w:r w:rsidRPr="00D65EAB">
        <w:rPr>
          <w:rFonts w:ascii="Times New Roman" w:eastAsia="Times New Roman" w:hAnsi="Times New Roman" w:cs="Times New Roman"/>
          <w:color w:val="000000"/>
          <w:sz w:val="24"/>
          <w:szCs w:val="24"/>
        </w:rPr>
        <w:t xml:space="preserve">y optimizing these methods, this study aimed to enhance the propagation, genetic preservation, and its sustainable utilization of this plant in traditional medicine, modern pharmacology, and agricultural practices. Additionally, this study underscores the critical need to integrate cutting-edge technologies with conservation efforts to mitigate the impact of environmental degradation and ensure the long-term availability of these valuable medicinal resources. </w:t>
      </w:r>
    </w:p>
    <w:p w14:paraId="41A87846" w14:textId="747D4F23" w:rsidR="00155D4F" w:rsidRPr="00D65EAB" w:rsidRDefault="0031254D" w:rsidP="00BC5DA4">
      <w:pPr>
        <w:widowControl w:val="0"/>
        <w:pBdr>
          <w:top w:val="nil"/>
          <w:left w:val="nil"/>
          <w:bottom w:val="nil"/>
          <w:right w:val="nil"/>
          <w:between w:val="nil"/>
        </w:pBdr>
        <w:spacing w:before="166" w:line="240" w:lineRule="auto"/>
        <w:rPr>
          <w:rFonts w:ascii="Times New Roman" w:eastAsia="Times New Roman" w:hAnsi="Times New Roman" w:cs="Times New Roman"/>
          <w:color w:val="000000"/>
          <w:sz w:val="28"/>
          <w:szCs w:val="28"/>
        </w:rPr>
      </w:pPr>
      <w:r w:rsidRPr="00D65EAB">
        <w:rPr>
          <w:rFonts w:ascii="Times New Roman" w:eastAsia="Times New Roman" w:hAnsi="Times New Roman" w:cs="Times New Roman"/>
          <w:b/>
          <w:color w:val="000000"/>
          <w:sz w:val="28"/>
          <w:szCs w:val="28"/>
        </w:rPr>
        <w:t>Material and Method</w:t>
      </w:r>
      <w:r w:rsidRPr="00D65EAB">
        <w:rPr>
          <w:rFonts w:ascii="Times New Roman" w:eastAsia="Times New Roman" w:hAnsi="Times New Roman" w:cs="Times New Roman"/>
          <w:color w:val="000000"/>
          <w:sz w:val="28"/>
          <w:szCs w:val="28"/>
        </w:rPr>
        <w:t xml:space="preserve"> </w:t>
      </w:r>
    </w:p>
    <w:p w14:paraId="771AEF91" w14:textId="77777777" w:rsidR="00155D4F" w:rsidRDefault="0031254D">
      <w:pPr>
        <w:widowControl w:val="0"/>
        <w:pBdr>
          <w:top w:val="nil"/>
          <w:left w:val="nil"/>
          <w:bottom w:val="nil"/>
          <w:right w:val="nil"/>
          <w:between w:val="nil"/>
        </w:pBdr>
        <w:spacing w:before="155" w:line="229" w:lineRule="auto"/>
        <w:ind w:right="22"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research aimed to investigate the effects of encapsulation on the preservation and germination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To achieve this, a series of steps were carried out to prepare and assess the nodes of the plant under controlled conditions. </w:t>
      </w:r>
    </w:p>
    <w:p w14:paraId="5F657B38" w14:textId="77777777" w:rsidR="00155D4F" w:rsidRDefault="0031254D">
      <w:pPr>
        <w:widowControl w:val="0"/>
        <w:pBdr>
          <w:top w:val="nil"/>
          <w:left w:val="nil"/>
          <w:bottom w:val="nil"/>
          <w:right w:val="nil"/>
          <w:between w:val="nil"/>
        </w:pBdr>
        <w:spacing w:before="166" w:line="240" w:lineRule="auto"/>
        <w:ind w:left="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Plant Material and Sterilization </w:t>
      </w:r>
    </w:p>
    <w:p w14:paraId="533502C3" w14:textId="70CAF863" w:rsidR="00155D4F" w:rsidRDefault="0031254D">
      <w:pPr>
        <w:widowControl w:val="0"/>
        <w:pBdr>
          <w:top w:val="nil"/>
          <w:left w:val="nil"/>
          <w:bottom w:val="nil"/>
          <w:right w:val="nil"/>
          <w:between w:val="nil"/>
        </w:pBdr>
        <w:spacing w:before="155" w:line="229" w:lineRule="auto"/>
        <w:ind w:right="26"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Fresh nodes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were obtained for this study. The nodes were initially sterilized to eliminate any surface </w:t>
      </w:r>
      <w:r w:rsidRPr="00BC5DA4">
        <w:rPr>
          <w:rFonts w:ascii="Times New Roman" w:eastAsia="Times New Roman" w:hAnsi="Times New Roman" w:cs="Times New Roman"/>
          <w:color w:val="000000"/>
          <w:sz w:val="24"/>
          <w:szCs w:val="24"/>
          <w:highlight w:val="yellow"/>
        </w:rPr>
        <w:t xml:space="preserve">contaminants. A 0.1% mercuric chloride solution was used for sterilization, with the nodes being </w:t>
      </w:r>
      <w:r>
        <w:rPr>
          <w:rFonts w:ascii="Times New Roman" w:eastAsia="Times New Roman" w:hAnsi="Times New Roman" w:cs="Times New Roman"/>
          <w:color w:val="000000"/>
          <w:sz w:val="24"/>
          <w:szCs w:val="24"/>
        </w:rPr>
        <w:t>immersed in this solution for 10 minutes.</w:t>
      </w:r>
      <w:r w:rsidR="00ED46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After sterilization, the nodes were thoroughly rinsed in sterile distilled water multiple times to remove any residual sterilizing agent, ensuring that they were clean and suitable for further processing</w:t>
      </w:r>
      <w:r w:rsidR="00D65E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[9,10]</w:t>
      </w:r>
      <w:r w:rsidR="00D65E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33B7D080" w14:textId="77777777" w:rsidR="00155D4F" w:rsidRDefault="0031254D">
      <w:pPr>
        <w:widowControl w:val="0"/>
        <w:pBdr>
          <w:top w:val="nil"/>
          <w:left w:val="nil"/>
          <w:bottom w:val="nil"/>
          <w:right w:val="nil"/>
          <w:between w:val="nil"/>
        </w:pBdr>
        <w:spacing w:before="166"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Encapsulation Process </w:t>
      </w:r>
    </w:p>
    <w:p w14:paraId="2DC69A4A" w14:textId="77777777" w:rsidR="00155D4F" w:rsidRDefault="0031254D" w:rsidP="007451ED">
      <w:pPr>
        <w:widowControl w:val="0"/>
        <w:pBdr>
          <w:top w:val="nil"/>
          <w:left w:val="nil"/>
          <w:bottom w:val="nil"/>
          <w:right w:val="nil"/>
          <w:between w:val="nil"/>
        </w:pBdr>
        <w:spacing w:before="155" w:line="229" w:lineRule="auto"/>
        <w:ind w:right="25"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the encapsulation of nodes, sodium alginate solutions at varying concentrations of 1%, 2%, 3%, and 4% were prepared. To ensure the complete dissolution of sodium alginate, each solution was heated to 50°C. After preparing the alginate solution, the sterilized nodes were carefully mixed with the solution. The resulting node-alginate mixture was then dropped into sterile calcium chloride solutions at concentrations of 50 mM, 75 mM, and 100 </w:t>
      </w:r>
      <w:proofErr w:type="spellStart"/>
      <w:r>
        <w:rPr>
          <w:rFonts w:ascii="Times New Roman" w:eastAsia="Times New Roman" w:hAnsi="Times New Roman" w:cs="Times New Roman"/>
          <w:color w:val="000000"/>
          <w:sz w:val="24"/>
          <w:szCs w:val="24"/>
        </w:rPr>
        <w:t>mM.</w:t>
      </w:r>
      <w:proofErr w:type="spellEnd"/>
      <w:r>
        <w:rPr>
          <w:rFonts w:ascii="Times New Roman" w:eastAsia="Times New Roman" w:hAnsi="Times New Roman" w:cs="Times New Roman"/>
          <w:color w:val="000000"/>
          <w:sz w:val="24"/>
          <w:szCs w:val="24"/>
        </w:rPr>
        <w:t xml:space="preserve"> This process allowed the formation of beads around the nodes through cross-linking with calcium</w:t>
      </w:r>
    </w:p>
    <w:p w14:paraId="3719CFEA" w14:textId="7BDE0E18" w:rsidR="00155D4F" w:rsidRPr="00BC5DA4" w:rsidRDefault="0031254D" w:rsidP="007451ED">
      <w:pPr>
        <w:widowControl w:val="0"/>
        <w:pBdr>
          <w:top w:val="nil"/>
          <w:left w:val="nil"/>
          <w:bottom w:val="nil"/>
          <w:right w:val="nil"/>
          <w:between w:val="nil"/>
        </w:pBdr>
        <w:spacing w:line="229" w:lineRule="auto"/>
        <w:ind w:left="12" w:right="45" w:hanging="4"/>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ions. The beads were then left to </w:t>
      </w:r>
      <w:r w:rsidRPr="00BC5DA4">
        <w:rPr>
          <w:rFonts w:ascii="Times New Roman" w:eastAsia="Times New Roman" w:hAnsi="Times New Roman" w:cs="Times New Roman"/>
          <w:color w:val="000000"/>
          <w:sz w:val="24"/>
          <w:szCs w:val="24"/>
          <w:highlight w:val="yellow"/>
        </w:rPr>
        <w:t xml:space="preserve">set for </w:t>
      </w:r>
      <w:r w:rsidR="007451ED" w:rsidRPr="00BC5DA4">
        <w:rPr>
          <w:rFonts w:ascii="Times New Roman" w:eastAsia="Times New Roman" w:hAnsi="Times New Roman" w:cs="Times New Roman"/>
          <w:color w:val="000000"/>
          <w:sz w:val="24"/>
          <w:szCs w:val="24"/>
          <w:highlight w:val="yellow"/>
        </w:rPr>
        <w:t>20</w:t>
      </w:r>
      <w:r w:rsidRPr="00BC5DA4">
        <w:rPr>
          <w:rFonts w:ascii="Times New Roman" w:eastAsia="Times New Roman" w:hAnsi="Times New Roman" w:cs="Times New Roman"/>
          <w:color w:val="000000"/>
          <w:sz w:val="24"/>
          <w:szCs w:val="24"/>
          <w:highlight w:val="yellow"/>
        </w:rPr>
        <w:t xml:space="preserve"> minutes in the calcium chloride solution. After setting, the beads were rinsed in sterile distilled water and air-dried to prepare them for further storage and testing</w:t>
      </w:r>
      <w:r w:rsidR="007451ED" w:rsidRPr="00BC5DA4">
        <w:rPr>
          <w:rFonts w:ascii="Times New Roman" w:eastAsia="Times New Roman" w:hAnsi="Times New Roman" w:cs="Times New Roman"/>
          <w:color w:val="000000"/>
          <w:sz w:val="24"/>
          <w:szCs w:val="24"/>
          <w:highlight w:val="yellow"/>
        </w:rPr>
        <w:t xml:space="preserve"> </w:t>
      </w:r>
      <w:r w:rsidRPr="00BC5DA4">
        <w:rPr>
          <w:rFonts w:ascii="Times New Roman" w:eastAsia="Times New Roman" w:hAnsi="Times New Roman" w:cs="Times New Roman"/>
          <w:color w:val="000000"/>
          <w:sz w:val="24"/>
          <w:szCs w:val="24"/>
          <w:highlight w:val="yellow"/>
        </w:rPr>
        <w:t>[11,12]</w:t>
      </w:r>
      <w:r w:rsidR="007451ED" w:rsidRPr="00BC5DA4">
        <w:rPr>
          <w:rFonts w:ascii="Times New Roman" w:eastAsia="Times New Roman" w:hAnsi="Times New Roman" w:cs="Times New Roman"/>
          <w:color w:val="000000"/>
          <w:sz w:val="24"/>
          <w:szCs w:val="24"/>
          <w:highlight w:val="yellow"/>
        </w:rPr>
        <w:t>.</w:t>
      </w:r>
    </w:p>
    <w:p w14:paraId="71778E77" w14:textId="77777777" w:rsidR="00155D4F" w:rsidRDefault="0031254D">
      <w:pPr>
        <w:widowControl w:val="0"/>
        <w:pBdr>
          <w:top w:val="nil"/>
          <w:left w:val="nil"/>
          <w:bottom w:val="nil"/>
          <w:right w:val="nil"/>
          <w:between w:val="nil"/>
        </w:pBdr>
        <w:spacing w:before="16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Storage and Viability Assessment </w:t>
      </w:r>
    </w:p>
    <w:p w14:paraId="12A16CDC" w14:textId="77777777" w:rsidR="00155D4F" w:rsidRDefault="0031254D">
      <w:pPr>
        <w:widowControl w:val="0"/>
        <w:pBdr>
          <w:top w:val="nil"/>
          <w:left w:val="nil"/>
          <w:bottom w:val="nil"/>
          <w:right w:val="nil"/>
          <w:between w:val="nil"/>
        </w:pBdr>
        <w:spacing w:before="155" w:line="229" w:lineRule="auto"/>
        <w:ind w:left="8" w:right="26"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Post-treatment, the encapsulated nodes were stored under two different temperature conditions: 25°C (ambient room temperature) and 4°C (refrigerated conditions) to simulate different storage environments. The viability of the nodes was monitored at four intervals: 0, 7, 14, and 21 </w:t>
      </w:r>
      <w:proofErr w:type="gramStart"/>
      <w:r>
        <w:rPr>
          <w:rFonts w:ascii="Times New Roman" w:eastAsia="Times New Roman" w:hAnsi="Times New Roman" w:cs="Times New Roman"/>
          <w:color w:val="000000"/>
          <w:sz w:val="24"/>
          <w:szCs w:val="24"/>
        </w:rPr>
        <w:t>days.[</w:t>
      </w:r>
      <w:proofErr w:type="gramEnd"/>
      <w:r>
        <w:rPr>
          <w:rFonts w:ascii="Times New Roman" w:eastAsia="Times New Roman" w:hAnsi="Times New Roman" w:cs="Times New Roman"/>
          <w:color w:val="000000"/>
          <w:sz w:val="24"/>
          <w:szCs w:val="24"/>
        </w:rPr>
        <w:t xml:space="preserve">13] Parameters such as node germination rate, root and shoot growth, and overall seedling health were observed and recorded to evaluate the effectiveness of the encapsulation. </w:t>
      </w:r>
    </w:p>
    <w:p w14:paraId="55D9F0B0" w14:textId="77777777" w:rsidR="00155D4F" w:rsidRDefault="0031254D">
      <w:pPr>
        <w:widowControl w:val="0"/>
        <w:pBdr>
          <w:top w:val="nil"/>
          <w:left w:val="nil"/>
          <w:bottom w:val="nil"/>
          <w:right w:val="nil"/>
          <w:between w:val="nil"/>
        </w:pBdr>
        <w:spacing w:before="166"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Data Analysis </w:t>
      </w:r>
    </w:p>
    <w:p w14:paraId="24F375B1" w14:textId="5A9C5BCC" w:rsidR="00155D4F" w:rsidRDefault="0031254D">
      <w:pPr>
        <w:widowControl w:val="0"/>
        <w:pBdr>
          <w:top w:val="nil"/>
          <w:left w:val="nil"/>
          <w:bottom w:val="nil"/>
          <w:right w:val="nil"/>
          <w:between w:val="nil"/>
        </w:pBdr>
        <w:spacing w:before="155" w:line="229" w:lineRule="auto"/>
        <w:ind w:left="1" w:right="7"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data collected from the node viability and growth measurements were subjected to statistical analysis using one-way analysis of variance (ANOVA). This analysis was conducted to assess the effects of various treatments (sodium alginate concentration, calcium chloride concentration, and storage temperature) on the germination rates and growth of the nodes. A significance level of p &lt; 0.05 was used to determine statistically significant differences between treatments. </w:t>
      </w:r>
    </w:p>
    <w:p w14:paraId="2AF6D467" w14:textId="0C736778" w:rsidR="00155D4F" w:rsidRDefault="0031254D" w:rsidP="00BC5DA4">
      <w:pPr>
        <w:widowControl w:val="0"/>
        <w:pBdr>
          <w:top w:val="nil"/>
          <w:left w:val="nil"/>
          <w:bottom w:val="nil"/>
          <w:right w:val="nil"/>
          <w:between w:val="nil"/>
        </w:pBdr>
        <w:spacing w:before="19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RESULTS</w:t>
      </w:r>
      <w:r>
        <w:rPr>
          <w:rFonts w:ascii="Times New Roman" w:eastAsia="Times New Roman" w:hAnsi="Times New Roman" w:cs="Times New Roman"/>
          <w:color w:val="000000"/>
          <w:sz w:val="24"/>
          <w:szCs w:val="24"/>
        </w:rPr>
        <w:t xml:space="preserve"> </w:t>
      </w:r>
    </w:p>
    <w:p w14:paraId="5A3F49BC" w14:textId="77777777" w:rsidR="00155D4F" w:rsidRDefault="0031254D">
      <w:pPr>
        <w:widowControl w:val="0"/>
        <w:pBdr>
          <w:top w:val="nil"/>
          <w:left w:val="nil"/>
          <w:bottom w:val="nil"/>
          <w:right w:val="nil"/>
          <w:between w:val="nil"/>
        </w:pBdr>
        <w:spacing w:line="248" w:lineRule="auto"/>
        <w:ind w:left="1" w:right="11"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encapsulation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was effectively accomplished using a 3% sodium alginate solution, leading to the formation of stable, well-structured beads. These beads remained intact and viable during the entire storage period, indicating that the encapsulation technique is suitable for the long-term preservation and propagation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w:t>
      </w:r>
    </w:p>
    <w:p w14:paraId="48FC94BA" w14:textId="77777777" w:rsidR="00155D4F" w:rsidRDefault="0031254D">
      <w:pPr>
        <w:widowControl w:val="0"/>
        <w:pBdr>
          <w:top w:val="nil"/>
          <w:left w:val="nil"/>
          <w:bottom w:val="nil"/>
          <w:right w:val="nil"/>
          <w:between w:val="nil"/>
        </w:pBdr>
        <w:spacing w:before="209" w:line="248" w:lineRule="auto"/>
        <w:ind w:left="1" w:right="29"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the encapsulated material was cultured on MS medium,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showed rapid growth and effective regeneration. The plant exhibited robust development, demonstrating the success of the encapsulation method in promoting healthy growth. This suggests that the encapsulated beads are not only viable but also capable of supporting rapid regeneration under in vitro conditions.</w:t>
      </w:r>
    </w:p>
    <w:p w14:paraId="1CE27ED6" w14:textId="77777777" w:rsidR="00155D4F" w:rsidRDefault="0031254D">
      <w:pPr>
        <w:widowControl w:val="0"/>
        <w:pBdr>
          <w:top w:val="nil"/>
          <w:left w:val="nil"/>
          <w:bottom w:val="nil"/>
          <w:right w:val="nil"/>
          <w:between w:val="nil"/>
        </w:pBdr>
        <w:spacing w:line="248" w:lineRule="auto"/>
        <w:ind w:left="1"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consistency of the beads' stability throughout storage, combined with the positive regeneration response, confirms the efficiency of encapsulation as a propagation technique for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These results suggest that encapsulation could serve as a reliable method for both short- and long-term storage, as well as mass propagation of this species. </w:t>
      </w:r>
    </w:p>
    <w:p w14:paraId="2B91A915" w14:textId="77777777" w:rsidR="008775A9" w:rsidRDefault="008775A9" w:rsidP="008775A9">
      <w:pPr>
        <w:widowControl w:val="0"/>
        <w:pBdr>
          <w:top w:val="nil"/>
          <w:left w:val="nil"/>
          <w:bottom w:val="nil"/>
          <w:right w:val="nil"/>
          <w:between w:val="nil"/>
        </w:pBdr>
        <w:spacing w:before="212" w:line="240" w:lineRule="auto"/>
        <w:ind w:left="457"/>
        <w:rPr>
          <w:rFonts w:ascii="Times New Roman" w:eastAsia="Times New Roman" w:hAnsi="Times New Roman" w:cs="Times New Roman"/>
          <w:b/>
          <w:color w:val="000009"/>
          <w:sz w:val="20"/>
          <w:szCs w:val="20"/>
        </w:rPr>
      </w:pPr>
    </w:p>
    <w:p w14:paraId="5AB5E2BD"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bCs/>
          <w:color w:val="000009"/>
          <w:sz w:val="20"/>
          <w:szCs w:val="20"/>
        </w:rPr>
      </w:pPr>
      <w:r w:rsidRPr="00E24B6F">
        <w:rPr>
          <w:rFonts w:ascii="Times New Roman" w:eastAsia="Times New Roman" w:hAnsi="Times New Roman" w:cs="Times New Roman"/>
          <w:b/>
          <w:bCs/>
          <w:color w:val="000009"/>
          <w:sz w:val="20"/>
          <w:szCs w:val="20"/>
        </w:rPr>
        <w:t>Table 1. Effect of sodium alginate concentrations on morphology of encapsulated shoot tip</w:t>
      </w:r>
    </w:p>
    <w:p w14:paraId="0EC857A9"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tbl>
      <w:tblPr>
        <w:tblW w:w="8574" w:type="dxa"/>
        <w:tblCellMar>
          <w:top w:w="15" w:type="dxa"/>
          <w:left w:w="15" w:type="dxa"/>
          <w:bottom w:w="15" w:type="dxa"/>
          <w:right w:w="15" w:type="dxa"/>
        </w:tblCellMar>
        <w:tblLook w:val="04A0" w:firstRow="1" w:lastRow="0" w:firstColumn="1" w:lastColumn="0" w:noHBand="0" w:noVBand="1"/>
      </w:tblPr>
      <w:tblGrid>
        <w:gridCol w:w="4221"/>
        <w:gridCol w:w="1089"/>
        <w:gridCol w:w="3264"/>
      </w:tblGrid>
      <w:tr w:rsidR="00E24B6F" w:rsidRPr="00E24B6F" w14:paraId="4F051314" w14:textId="77777777" w:rsidTr="00E24B6F">
        <w:trPr>
          <w:trHeight w:val="147"/>
        </w:trPr>
        <w:tc>
          <w:tcPr>
            <w:tcW w:w="0" w:type="auto"/>
            <w:tcBorders>
              <w:top w:val="single" w:sz="4" w:space="0" w:color="000000"/>
              <w:bottom w:val="single" w:sz="4" w:space="0" w:color="000000"/>
            </w:tcBorders>
            <w:hideMark/>
          </w:tcPr>
          <w:p w14:paraId="36D7B08F" w14:textId="425524C9"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Different concentrations of</w:t>
            </w:r>
            <w:r>
              <w:rPr>
                <w:rFonts w:ascii="Times New Roman" w:eastAsia="Times New Roman" w:hAnsi="Times New Roman" w:cs="Times New Roman"/>
                <w:b/>
                <w:bCs/>
                <w:color w:val="000009"/>
                <w:sz w:val="20"/>
                <w:szCs w:val="20"/>
              </w:rPr>
              <w:t xml:space="preserve"> </w:t>
            </w:r>
            <w:r w:rsidRPr="00E24B6F">
              <w:rPr>
                <w:rFonts w:ascii="Times New Roman" w:eastAsia="Times New Roman" w:hAnsi="Times New Roman" w:cs="Times New Roman"/>
                <w:b/>
                <w:bCs/>
                <w:color w:val="000009"/>
                <w:sz w:val="20"/>
                <w:szCs w:val="20"/>
              </w:rPr>
              <w:t>sodium-</w:t>
            </w:r>
          </w:p>
          <w:p w14:paraId="0B9D2057"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 xml:space="preserve">alginate (%) </w:t>
            </w:r>
            <w:proofErr w:type="spellStart"/>
            <w:r w:rsidRPr="00E24B6F">
              <w:rPr>
                <w:rFonts w:ascii="Times New Roman" w:eastAsia="Times New Roman" w:hAnsi="Times New Roman" w:cs="Times New Roman"/>
                <w:b/>
                <w:bCs/>
                <w:color w:val="000009"/>
                <w:sz w:val="20"/>
                <w:szCs w:val="20"/>
              </w:rPr>
              <w:t>alongwith</w:t>
            </w:r>
            <w:proofErr w:type="spellEnd"/>
            <w:r w:rsidRPr="00E24B6F">
              <w:rPr>
                <w:rFonts w:ascii="Times New Roman" w:eastAsia="Times New Roman" w:hAnsi="Times New Roman" w:cs="Times New Roman"/>
                <w:b/>
                <w:bCs/>
                <w:color w:val="000009"/>
                <w:sz w:val="20"/>
                <w:szCs w:val="20"/>
              </w:rPr>
              <w:t xml:space="preserve"> 100mM calcium chloride</w:t>
            </w:r>
          </w:p>
        </w:tc>
        <w:tc>
          <w:tcPr>
            <w:tcW w:w="0" w:type="auto"/>
            <w:tcBorders>
              <w:top w:val="single" w:sz="4" w:space="0" w:color="000000"/>
              <w:bottom w:val="single" w:sz="4" w:space="0" w:color="000000"/>
            </w:tcBorders>
            <w:hideMark/>
          </w:tcPr>
          <w:p w14:paraId="25EE5A89"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Texture</w:t>
            </w:r>
          </w:p>
        </w:tc>
        <w:tc>
          <w:tcPr>
            <w:tcW w:w="0" w:type="auto"/>
            <w:tcBorders>
              <w:top w:val="single" w:sz="4" w:space="0" w:color="000000"/>
              <w:bottom w:val="single" w:sz="4" w:space="0" w:color="000000"/>
            </w:tcBorders>
            <w:hideMark/>
          </w:tcPr>
          <w:p w14:paraId="441404B3" w14:textId="70BCF901"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 xml:space="preserve">Morphology of encapsulated </w:t>
            </w:r>
            <w:r w:rsidR="00EE56FC">
              <w:rPr>
                <w:rFonts w:ascii="Times New Roman" w:eastAsia="Times New Roman" w:hAnsi="Times New Roman" w:cs="Times New Roman"/>
                <w:b/>
                <w:bCs/>
                <w:color w:val="000009"/>
                <w:sz w:val="20"/>
                <w:szCs w:val="20"/>
              </w:rPr>
              <w:t>nodes</w:t>
            </w:r>
          </w:p>
        </w:tc>
      </w:tr>
      <w:tr w:rsidR="00E24B6F" w:rsidRPr="00E24B6F" w14:paraId="4AE2AA0B" w14:textId="77777777" w:rsidTr="00E24B6F">
        <w:trPr>
          <w:trHeight w:val="48"/>
        </w:trPr>
        <w:tc>
          <w:tcPr>
            <w:tcW w:w="0" w:type="auto"/>
            <w:tcBorders>
              <w:top w:val="single" w:sz="4" w:space="0" w:color="000000"/>
            </w:tcBorders>
            <w:hideMark/>
          </w:tcPr>
          <w:p w14:paraId="10B9CE1F"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1</w:t>
            </w:r>
          </w:p>
        </w:tc>
        <w:tc>
          <w:tcPr>
            <w:tcW w:w="0" w:type="auto"/>
            <w:tcBorders>
              <w:top w:val="single" w:sz="4" w:space="0" w:color="000000"/>
            </w:tcBorders>
            <w:hideMark/>
          </w:tcPr>
          <w:p w14:paraId="4325254C"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w:t>
            </w:r>
          </w:p>
        </w:tc>
        <w:tc>
          <w:tcPr>
            <w:tcW w:w="0" w:type="auto"/>
            <w:tcBorders>
              <w:top w:val="single" w:sz="4" w:space="0" w:color="000000"/>
            </w:tcBorders>
            <w:hideMark/>
          </w:tcPr>
          <w:p w14:paraId="0314AAA2"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Inefficient encapsulation</w:t>
            </w:r>
          </w:p>
        </w:tc>
      </w:tr>
      <w:tr w:rsidR="00E24B6F" w:rsidRPr="00E24B6F" w14:paraId="7ED991AC" w14:textId="77777777" w:rsidTr="00E24B6F">
        <w:trPr>
          <w:trHeight w:val="48"/>
        </w:trPr>
        <w:tc>
          <w:tcPr>
            <w:tcW w:w="0" w:type="auto"/>
            <w:hideMark/>
          </w:tcPr>
          <w:p w14:paraId="74A253BE"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2</w:t>
            </w:r>
          </w:p>
        </w:tc>
        <w:tc>
          <w:tcPr>
            <w:tcW w:w="0" w:type="auto"/>
            <w:hideMark/>
          </w:tcPr>
          <w:p w14:paraId="12739883"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w:t>
            </w:r>
          </w:p>
        </w:tc>
        <w:tc>
          <w:tcPr>
            <w:tcW w:w="0" w:type="auto"/>
            <w:hideMark/>
          </w:tcPr>
          <w:p w14:paraId="77AE900F"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Cluster formation, soft for handling</w:t>
            </w:r>
          </w:p>
        </w:tc>
      </w:tr>
      <w:tr w:rsidR="00E24B6F" w:rsidRPr="00E24B6F" w14:paraId="50F7682B" w14:textId="77777777" w:rsidTr="00E24B6F">
        <w:trPr>
          <w:trHeight w:val="48"/>
        </w:trPr>
        <w:tc>
          <w:tcPr>
            <w:tcW w:w="0" w:type="auto"/>
            <w:hideMark/>
          </w:tcPr>
          <w:p w14:paraId="7BB667FF"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3</w:t>
            </w:r>
          </w:p>
        </w:tc>
        <w:tc>
          <w:tcPr>
            <w:tcW w:w="0" w:type="auto"/>
            <w:hideMark/>
          </w:tcPr>
          <w:p w14:paraId="1FC08CDD"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w:t>
            </w:r>
          </w:p>
        </w:tc>
        <w:tc>
          <w:tcPr>
            <w:tcW w:w="0" w:type="auto"/>
            <w:hideMark/>
          </w:tcPr>
          <w:p w14:paraId="38E8AB10"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Uniform size encapsulation</w:t>
            </w:r>
          </w:p>
        </w:tc>
      </w:tr>
      <w:tr w:rsidR="00E24B6F" w:rsidRPr="00E24B6F" w14:paraId="5B889DE6" w14:textId="77777777" w:rsidTr="00E24B6F">
        <w:trPr>
          <w:trHeight w:val="48"/>
        </w:trPr>
        <w:tc>
          <w:tcPr>
            <w:tcW w:w="0" w:type="auto"/>
            <w:tcBorders>
              <w:bottom w:val="single" w:sz="4" w:space="0" w:color="000000"/>
            </w:tcBorders>
            <w:hideMark/>
          </w:tcPr>
          <w:p w14:paraId="3E640DEA"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4</w:t>
            </w:r>
          </w:p>
        </w:tc>
        <w:tc>
          <w:tcPr>
            <w:tcW w:w="0" w:type="auto"/>
            <w:tcBorders>
              <w:bottom w:val="single" w:sz="4" w:space="0" w:color="000000"/>
            </w:tcBorders>
            <w:hideMark/>
          </w:tcPr>
          <w:p w14:paraId="1F76B11D"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w:t>
            </w:r>
          </w:p>
        </w:tc>
        <w:tc>
          <w:tcPr>
            <w:tcW w:w="0" w:type="auto"/>
            <w:tcBorders>
              <w:bottom w:val="single" w:sz="4" w:space="0" w:color="000000"/>
            </w:tcBorders>
            <w:hideMark/>
          </w:tcPr>
          <w:p w14:paraId="2775569D"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Firm and rigid encapsulation</w:t>
            </w:r>
          </w:p>
        </w:tc>
      </w:tr>
    </w:tbl>
    <w:p w14:paraId="231E6ABB"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Poor quality; ++++, Best quality; +++, Good but very hard</w:t>
      </w:r>
    </w:p>
    <w:p w14:paraId="4A9EA189" w14:textId="77777777" w:rsidR="008775A9" w:rsidRDefault="008775A9">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p w14:paraId="3DF6EE21" w14:textId="07A6DC1B" w:rsidR="008775A9" w:rsidRDefault="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noProof/>
          <w:color w:val="000009"/>
          <w:sz w:val="20"/>
          <w:szCs w:val="20"/>
          <w:lang w:val="en-US" w:eastAsia="en-US"/>
        </w:rPr>
        <w:drawing>
          <wp:inline distT="0" distB="0" distL="0" distR="0" wp14:anchorId="2756A72A" wp14:editId="3DE889C1">
            <wp:extent cx="3536950" cy="3105150"/>
            <wp:effectExtent l="0" t="0" r="6350" b="0"/>
            <wp:docPr id="2079125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25595" name=""/>
                    <pic:cNvPicPr/>
                  </pic:nvPicPr>
                  <pic:blipFill>
                    <a:blip r:embed="rId7"/>
                    <a:stretch>
                      <a:fillRect/>
                    </a:stretch>
                  </pic:blipFill>
                  <pic:spPr>
                    <a:xfrm>
                      <a:off x="0" y="0"/>
                      <a:ext cx="3537132" cy="3105310"/>
                    </a:xfrm>
                    <a:prstGeom prst="rect">
                      <a:avLst/>
                    </a:prstGeom>
                  </pic:spPr>
                </pic:pic>
              </a:graphicData>
            </a:graphic>
          </wp:inline>
        </w:drawing>
      </w:r>
    </w:p>
    <w:p w14:paraId="0603D540"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Fig. 1. Effect of sodium alginate concentrations on morphology of encapsulated shoot tip.</w:t>
      </w:r>
    </w:p>
    <w:p w14:paraId="5C18ACD9"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p w14:paraId="39ABEE4E" w14:textId="0CDE479C" w:rsidR="00E24B6F" w:rsidRPr="00E24B6F" w:rsidRDefault="00E24B6F" w:rsidP="00E24B6F">
      <w:pPr>
        <w:pStyle w:val="ListParagraph"/>
        <w:widowControl w:val="0"/>
        <w:numPr>
          <w:ilvl w:val="0"/>
          <w:numId w:val="5"/>
        </w:numPr>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xml:space="preserve">Encapsulated </w:t>
      </w:r>
      <w:r w:rsidR="000652C7">
        <w:rPr>
          <w:rFonts w:ascii="Times New Roman" w:eastAsia="Times New Roman" w:hAnsi="Times New Roman" w:cs="Times New Roman"/>
          <w:b/>
          <w:color w:val="000009"/>
          <w:sz w:val="20"/>
          <w:szCs w:val="20"/>
        </w:rPr>
        <w:t>nodes</w:t>
      </w:r>
      <w:r w:rsidRPr="00E24B6F">
        <w:rPr>
          <w:rFonts w:ascii="Times New Roman" w:eastAsia="Times New Roman" w:hAnsi="Times New Roman" w:cs="Times New Roman"/>
          <w:b/>
          <w:color w:val="000009"/>
          <w:sz w:val="20"/>
          <w:szCs w:val="20"/>
        </w:rPr>
        <w:t xml:space="preserve"> using 1% </w:t>
      </w:r>
      <w:r w:rsidR="000652C7">
        <w:rPr>
          <w:rFonts w:ascii="Times New Roman" w:eastAsia="Times New Roman" w:hAnsi="Times New Roman" w:cs="Times New Roman"/>
          <w:b/>
          <w:color w:val="000009"/>
          <w:sz w:val="20"/>
          <w:szCs w:val="20"/>
        </w:rPr>
        <w:t xml:space="preserve">concentration </w:t>
      </w:r>
      <w:r w:rsidRPr="00E24B6F">
        <w:rPr>
          <w:rFonts w:ascii="Times New Roman" w:eastAsia="Times New Roman" w:hAnsi="Times New Roman" w:cs="Times New Roman"/>
          <w:b/>
          <w:color w:val="000009"/>
          <w:sz w:val="20"/>
          <w:szCs w:val="20"/>
        </w:rPr>
        <w:t>of sodium alginate</w:t>
      </w:r>
      <w:r w:rsidR="000652C7">
        <w:rPr>
          <w:rFonts w:ascii="Times New Roman" w:eastAsia="Times New Roman" w:hAnsi="Times New Roman" w:cs="Times New Roman"/>
          <w:b/>
          <w:color w:val="000009"/>
          <w:sz w:val="20"/>
          <w:szCs w:val="20"/>
        </w:rPr>
        <w:t>.</w:t>
      </w:r>
    </w:p>
    <w:p w14:paraId="13E1E847" w14:textId="7BBFA639" w:rsidR="00E24B6F" w:rsidRPr="00E24B6F" w:rsidRDefault="00E24B6F" w:rsidP="00E24B6F">
      <w:pPr>
        <w:pStyle w:val="ListParagraph"/>
        <w:widowControl w:val="0"/>
        <w:numPr>
          <w:ilvl w:val="0"/>
          <w:numId w:val="5"/>
        </w:numPr>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xml:space="preserve">Encapsulated </w:t>
      </w:r>
      <w:r w:rsidR="000652C7">
        <w:rPr>
          <w:rFonts w:ascii="Times New Roman" w:eastAsia="Times New Roman" w:hAnsi="Times New Roman" w:cs="Times New Roman"/>
          <w:b/>
          <w:color w:val="000009"/>
          <w:sz w:val="20"/>
          <w:szCs w:val="20"/>
        </w:rPr>
        <w:t>nodes</w:t>
      </w:r>
      <w:r w:rsidRPr="00E24B6F">
        <w:rPr>
          <w:rFonts w:ascii="Times New Roman" w:eastAsia="Times New Roman" w:hAnsi="Times New Roman" w:cs="Times New Roman"/>
          <w:b/>
          <w:color w:val="000009"/>
          <w:sz w:val="20"/>
          <w:szCs w:val="20"/>
        </w:rPr>
        <w:t xml:space="preserve"> using 2% </w:t>
      </w:r>
      <w:r w:rsidR="000652C7">
        <w:rPr>
          <w:rFonts w:ascii="Times New Roman" w:eastAsia="Times New Roman" w:hAnsi="Times New Roman" w:cs="Times New Roman"/>
          <w:b/>
          <w:color w:val="000009"/>
          <w:sz w:val="20"/>
          <w:szCs w:val="20"/>
        </w:rPr>
        <w:t xml:space="preserve">concentration of sodium </w:t>
      </w:r>
      <w:r w:rsidRPr="00E24B6F">
        <w:rPr>
          <w:rFonts w:ascii="Times New Roman" w:eastAsia="Times New Roman" w:hAnsi="Times New Roman" w:cs="Times New Roman"/>
          <w:b/>
          <w:color w:val="000009"/>
          <w:sz w:val="20"/>
          <w:szCs w:val="20"/>
        </w:rPr>
        <w:t>alginate</w:t>
      </w:r>
      <w:r w:rsidR="000652C7">
        <w:rPr>
          <w:rFonts w:ascii="Times New Roman" w:eastAsia="Times New Roman" w:hAnsi="Times New Roman" w:cs="Times New Roman"/>
          <w:b/>
          <w:color w:val="000009"/>
          <w:sz w:val="20"/>
          <w:szCs w:val="20"/>
        </w:rPr>
        <w:t>.</w:t>
      </w:r>
    </w:p>
    <w:p w14:paraId="5C989946" w14:textId="60D65927" w:rsidR="00E24B6F" w:rsidRPr="00E24B6F" w:rsidRDefault="00E24B6F" w:rsidP="00E24B6F">
      <w:pPr>
        <w:pStyle w:val="ListParagraph"/>
        <w:widowControl w:val="0"/>
        <w:numPr>
          <w:ilvl w:val="0"/>
          <w:numId w:val="5"/>
        </w:numPr>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xml:space="preserve">Encapsulated </w:t>
      </w:r>
      <w:r w:rsidR="000652C7">
        <w:rPr>
          <w:rFonts w:ascii="Times New Roman" w:eastAsia="Times New Roman" w:hAnsi="Times New Roman" w:cs="Times New Roman"/>
          <w:b/>
          <w:color w:val="000009"/>
          <w:sz w:val="20"/>
          <w:szCs w:val="20"/>
        </w:rPr>
        <w:t>nodes</w:t>
      </w:r>
      <w:r w:rsidRPr="00E24B6F">
        <w:rPr>
          <w:rFonts w:ascii="Times New Roman" w:eastAsia="Times New Roman" w:hAnsi="Times New Roman" w:cs="Times New Roman"/>
          <w:b/>
          <w:color w:val="000009"/>
          <w:sz w:val="20"/>
          <w:szCs w:val="20"/>
        </w:rPr>
        <w:t xml:space="preserve"> using 3% </w:t>
      </w:r>
      <w:r w:rsidR="000652C7">
        <w:rPr>
          <w:rFonts w:ascii="Times New Roman" w:eastAsia="Times New Roman" w:hAnsi="Times New Roman" w:cs="Times New Roman"/>
          <w:b/>
          <w:color w:val="000009"/>
          <w:sz w:val="20"/>
          <w:szCs w:val="20"/>
        </w:rPr>
        <w:t>concentration of sodium alginate.</w:t>
      </w:r>
    </w:p>
    <w:p w14:paraId="187F34AB" w14:textId="290997EA" w:rsidR="008775A9" w:rsidRPr="00E24B6F" w:rsidRDefault="00E24B6F" w:rsidP="00E24B6F">
      <w:pPr>
        <w:pStyle w:val="ListParagraph"/>
        <w:widowControl w:val="0"/>
        <w:numPr>
          <w:ilvl w:val="0"/>
          <w:numId w:val="5"/>
        </w:numPr>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xml:space="preserve">Encapsulated </w:t>
      </w:r>
      <w:r w:rsidR="000652C7">
        <w:rPr>
          <w:rFonts w:ascii="Times New Roman" w:eastAsia="Times New Roman" w:hAnsi="Times New Roman" w:cs="Times New Roman"/>
          <w:b/>
          <w:color w:val="000009"/>
          <w:sz w:val="20"/>
          <w:szCs w:val="20"/>
        </w:rPr>
        <w:t>nodes</w:t>
      </w:r>
      <w:r w:rsidRPr="00E24B6F">
        <w:rPr>
          <w:rFonts w:ascii="Times New Roman" w:eastAsia="Times New Roman" w:hAnsi="Times New Roman" w:cs="Times New Roman"/>
          <w:b/>
          <w:color w:val="000009"/>
          <w:sz w:val="20"/>
          <w:szCs w:val="20"/>
        </w:rPr>
        <w:t xml:space="preserve"> using 4% </w:t>
      </w:r>
      <w:r w:rsidR="000652C7">
        <w:rPr>
          <w:rFonts w:ascii="Times New Roman" w:eastAsia="Times New Roman" w:hAnsi="Times New Roman" w:cs="Times New Roman"/>
          <w:b/>
          <w:color w:val="000009"/>
          <w:sz w:val="20"/>
          <w:szCs w:val="20"/>
        </w:rPr>
        <w:t>concentration of sodium alginate.</w:t>
      </w:r>
    </w:p>
    <w:p w14:paraId="1BD6410A" w14:textId="1E97E1F4" w:rsidR="008775A9" w:rsidRDefault="008775A9">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p w14:paraId="268B9983" w14:textId="290300D6" w:rsidR="008E0587" w:rsidRPr="008E0587" w:rsidRDefault="00E24B6F"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bCs/>
          <w:color w:val="000009"/>
          <w:sz w:val="20"/>
          <w:szCs w:val="20"/>
        </w:rPr>
      </w:pPr>
      <w:r w:rsidRPr="00E24B6F">
        <w:rPr>
          <w:rFonts w:ascii="Times New Roman" w:eastAsia="Times New Roman" w:hAnsi="Times New Roman" w:cs="Times New Roman"/>
          <w:b/>
          <w:color w:val="000009"/>
          <w:sz w:val="20"/>
          <w:szCs w:val="20"/>
        </w:rPr>
        <w:tab/>
      </w:r>
      <w:r w:rsidR="008E0587" w:rsidRPr="008E0587">
        <w:rPr>
          <w:rFonts w:ascii="Times New Roman" w:eastAsia="Times New Roman" w:hAnsi="Times New Roman" w:cs="Times New Roman"/>
          <w:b/>
          <w:bCs/>
          <w:color w:val="000009"/>
          <w:sz w:val="20"/>
          <w:szCs w:val="20"/>
        </w:rPr>
        <w:t>Ta</w:t>
      </w:r>
      <w:r w:rsidR="008E0587">
        <w:rPr>
          <w:rFonts w:ascii="Times New Roman" w:eastAsia="Times New Roman" w:hAnsi="Times New Roman" w:cs="Times New Roman"/>
          <w:b/>
          <w:bCs/>
          <w:color w:val="000009"/>
          <w:sz w:val="20"/>
          <w:szCs w:val="20"/>
        </w:rPr>
        <w:t>b</w:t>
      </w:r>
      <w:r w:rsidR="008E0587" w:rsidRPr="008E0587">
        <w:rPr>
          <w:rFonts w:ascii="Times New Roman" w:eastAsia="Times New Roman" w:hAnsi="Times New Roman" w:cs="Times New Roman"/>
          <w:b/>
          <w:bCs/>
          <w:color w:val="000009"/>
          <w:sz w:val="20"/>
          <w:szCs w:val="20"/>
        </w:rPr>
        <w:t xml:space="preserve">le 2. Effect of different concentrations (1-4%) of sodium alginate on percent multiplication frequency of encapsulated </w:t>
      </w:r>
      <w:r w:rsidR="00EE56FC">
        <w:rPr>
          <w:rFonts w:ascii="Times New Roman" w:eastAsia="Times New Roman" w:hAnsi="Times New Roman" w:cs="Times New Roman"/>
          <w:b/>
          <w:bCs/>
          <w:color w:val="000009"/>
          <w:sz w:val="20"/>
          <w:szCs w:val="20"/>
        </w:rPr>
        <w:t>nodes</w:t>
      </w:r>
      <w:r w:rsidR="008E0587" w:rsidRPr="008E0587">
        <w:rPr>
          <w:rFonts w:ascii="Times New Roman" w:eastAsia="Times New Roman" w:hAnsi="Times New Roman" w:cs="Times New Roman"/>
          <w:b/>
          <w:bCs/>
          <w:color w:val="000009"/>
          <w:sz w:val="20"/>
          <w:szCs w:val="20"/>
        </w:rPr>
        <w:t>, stored at two different temperatures (4°C and 25°C) for the period of 15 days</w:t>
      </w:r>
    </w:p>
    <w:p w14:paraId="548D0C15"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115"/>
        <w:gridCol w:w="2997"/>
        <w:gridCol w:w="3018"/>
      </w:tblGrid>
      <w:tr w:rsidR="008E0587" w:rsidRPr="008E0587" w14:paraId="25074AF7" w14:textId="77777777" w:rsidTr="008E0587">
        <w:trPr>
          <w:trHeight w:val="552"/>
        </w:trPr>
        <w:tc>
          <w:tcPr>
            <w:tcW w:w="0" w:type="auto"/>
            <w:tcBorders>
              <w:top w:val="single" w:sz="4" w:space="0" w:color="000000"/>
              <w:bottom w:val="single" w:sz="4" w:space="0" w:color="000000"/>
            </w:tcBorders>
            <w:hideMark/>
          </w:tcPr>
          <w:p w14:paraId="42156522"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Combinations of different concentrations of</w:t>
            </w:r>
          </w:p>
          <w:p w14:paraId="49D5AB95"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sodium alginate (%) (w/v) with 100mM calcium chloride</w:t>
            </w:r>
          </w:p>
        </w:tc>
        <w:tc>
          <w:tcPr>
            <w:tcW w:w="0" w:type="auto"/>
            <w:tcBorders>
              <w:top w:val="single" w:sz="4" w:space="0" w:color="000000"/>
              <w:bottom w:val="single" w:sz="4" w:space="0" w:color="000000"/>
            </w:tcBorders>
            <w:hideMark/>
          </w:tcPr>
          <w:p w14:paraId="252451FD"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Mean % frequency of</w:t>
            </w:r>
          </w:p>
          <w:p w14:paraId="7D6A2F19"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multiplication of artificial seeds stored at 4°C, 15 days</w:t>
            </w:r>
          </w:p>
        </w:tc>
        <w:tc>
          <w:tcPr>
            <w:tcW w:w="0" w:type="auto"/>
            <w:tcBorders>
              <w:top w:val="single" w:sz="4" w:space="0" w:color="000000"/>
              <w:bottom w:val="single" w:sz="4" w:space="0" w:color="000000"/>
            </w:tcBorders>
            <w:hideMark/>
          </w:tcPr>
          <w:p w14:paraId="6D9DCA44"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Mean % frequency of</w:t>
            </w:r>
          </w:p>
          <w:p w14:paraId="59657A07"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 xml:space="preserve">multiplication of </w:t>
            </w:r>
            <w:proofErr w:type="spellStart"/>
            <w:r w:rsidRPr="008E0587">
              <w:rPr>
                <w:rFonts w:ascii="Times New Roman" w:eastAsia="Times New Roman" w:hAnsi="Times New Roman" w:cs="Times New Roman"/>
                <w:b/>
                <w:bCs/>
                <w:color w:val="000009"/>
                <w:sz w:val="20"/>
                <w:szCs w:val="20"/>
              </w:rPr>
              <w:t>artificialseeds</w:t>
            </w:r>
            <w:proofErr w:type="spellEnd"/>
            <w:r w:rsidRPr="008E0587">
              <w:rPr>
                <w:rFonts w:ascii="Times New Roman" w:eastAsia="Times New Roman" w:hAnsi="Times New Roman" w:cs="Times New Roman"/>
                <w:b/>
                <w:bCs/>
                <w:color w:val="000009"/>
                <w:sz w:val="20"/>
                <w:szCs w:val="20"/>
              </w:rPr>
              <w:t xml:space="preserve"> stored at 25°C, 15 days</w:t>
            </w:r>
          </w:p>
        </w:tc>
      </w:tr>
      <w:tr w:rsidR="008E0587" w:rsidRPr="008E0587" w14:paraId="1BF96838" w14:textId="77777777" w:rsidTr="008E0587">
        <w:trPr>
          <w:trHeight w:val="183"/>
        </w:trPr>
        <w:tc>
          <w:tcPr>
            <w:tcW w:w="0" w:type="auto"/>
            <w:tcBorders>
              <w:top w:val="single" w:sz="4" w:space="0" w:color="000000"/>
            </w:tcBorders>
            <w:hideMark/>
          </w:tcPr>
          <w:p w14:paraId="23D3B934"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1</w:t>
            </w:r>
          </w:p>
        </w:tc>
        <w:tc>
          <w:tcPr>
            <w:tcW w:w="0" w:type="auto"/>
            <w:tcBorders>
              <w:top w:val="single" w:sz="4" w:space="0" w:color="000000"/>
            </w:tcBorders>
            <w:hideMark/>
          </w:tcPr>
          <w:p w14:paraId="0C74C0B5" w14:textId="2DF4CEB0"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45</w:t>
            </w:r>
            <w:r w:rsidRPr="008E0587">
              <w:rPr>
                <w:rFonts w:ascii="Times New Roman" w:eastAsia="Times New Roman" w:hAnsi="Times New Roman" w:cs="Times New Roman"/>
                <w:b/>
                <w:color w:val="000009"/>
                <w:sz w:val="20"/>
                <w:szCs w:val="20"/>
              </w:rPr>
              <w:t xml:space="preserve">.33 </w:t>
            </w:r>
            <w:proofErr w:type="spellStart"/>
            <w:r w:rsidRPr="008E0587">
              <w:rPr>
                <w:rFonts w:ascii="Times New Roman" w:eastAsia="Times New Roman" w:hAnsi="Times New Roman" w:cs="Times New Roman"/>
                <w:b/>
                <w:color w:val="000009"/>
                <w:sz w:val="20"/>
                <w:szCs w:val="20"/>
              </w:rPr>
              <w:t>bc</w:t>
            </w:r>
            <w:proofErr w:type="spellEnd"/>
          </w:p>
        </w:tc>
        <w:tc>
          <w:tcPr>
            <w:tcW w:w="0" w:type="auto"/>
            <w:tcBorders>
              <w:top w:val="single" w:sz="4" w:space="0" w:color="000000"/>
            </w:tcBorders>
            <w:hideMark/>
          </w:tcPr>
          <w:p w14:paraId="761197CC" w14:textId="65FC49E8"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38</w:t>
            </w:r>
            <w:r w:rsidRPr="008E0587">
              <w:rPr>
                <w:rFonts w:ascii="Times New Roman" w:eastAsia="Times New Roman" w:hAnsi="Times New Roman" w:cs="Times New Roman"/>
                <w:b/>
                <w:color w:val="000009"/>
                <w:sz w:val="20"/>
                <w:szCs w:val="20"/>
              </w:rPr>
              <w:t>.</w:t>
            </w:r>
            <w:r>
              <w:rPr>
                <w:rFonts w:ascii="Times New Roman" w:eastAsia="Times New Roman" w:hAnsi="Times New Roman" w:cs="Times New Roman"/>
                <w:b/>
                <w:color w:val="000009"/>
                <w:sz w:val="20"/>
                <w:szCs w:val="20"/>
              </w:rPr>
              <w:t>50</w:t>
            </w:r>
            <w:r w:rsidRPr="008E0587">
              <w:rPr>
                <w:rFonts w:ascii="Times New Roman" w:eastAsia="Times New Roman" w:hAnsi="Times New Roman" w:cs="Times New Roman"/>
                <w:b/>
                <w:color w:val="000009"/>
                <w:sz w:val="20"/>
                <w:szCs w:val="20"/>
              </w:rPr>
              <w:t xml:space="preserve"> ab</w:t>
            </w:r>
          </w:p>
        </w:tc>
      </w:tr>
      <w:tr w:rsidR="008E0587" w:rsidRPr="008E0587" w14:paraId="6484D81F" w14:textId="77777777" w:rsidTr="008E0587">
        <w:trPr>
          <w:trHeight w:val="184"/>
        </w:trPr>
        <w:tc>
          <w:tcPr>
            <w:tcW w:w="0" w:type="auto"/>
            <w:hideMark/>
          </w:tcPr>
          <w:p w14:paraId="4A1FF09A"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2</w:t>
            </w:r>
          </w:p>
        </w:tc>
        <w:tc>
          <w:tcPr>
            <w:tcW w:w="0" w:type="auto"/>
            <w:hideMark/>
          </w:tcPr>
          <w:p w14:paraId="465E2FFE" w14:textId="04EE9165"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58</w:t>
            </w:r>
            <w:r w:rsidRPr="008E0587">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0</w:t>
            </w:r>
            <w:r w:rsidRPr="008E0587">
              <w:rPr>
                <w:rFonts w:ascii="Times New Roman" w:eastAsia="Times New Roman" w:hAnsi="Times New Roman" w:cs="Times New Roman"/>
                <w:b/>
                <w:color w:val="000009"/>
                <w:sz w:val="20"/>
                <w:szCs w:val="20"/>
              </w:rPr>
              <w:t xml:space="preserve"> b</w:t>
            </w:r>
          </w:p>
        </w:tc>
        <w:tc>
          <w:tcPr>
            <w:tcW w:w="0" w:type="auto"/>
            <w:hideMark/>
          </w:tcPr>
          <w:p w14:paraId="2663FA44" w14:textId="0CAEA813"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48</w:t>
            </w:r>
            <w:r w:rsidRPr="008E0587">
              <w:rPr>
                <w:rFonts w:ascii="Times New Roman" w:eastAsia="Times New Roman" w:hAnsi="Times New Roman" w:cs="Times New Roman"/>
                <w:b/>
                <w:color w:val="000009"/>
                <w:sz w:val="20"/>
                <w:szCs w:val="20"/>
              </w:rPr>
              <w:t>.33 a</w:t>
            </w:r>
          </w:p>
        </w:tc>
      </w:tr>
      <w:tr w:rsidR="008E0587" w:rsidRPr="008E0587" w14:paraId="7D56A667" w14:textId="77777777" w:rsidTr="008E0587">
        <w:trPr>
          <w:trHeight w:val="183"/>
        </w:trPr>
        <w:tc>
          <w:tcPr>
            <w:tcW w:w="0" w:type="auto"/>
            <w:hideMark/>
          </w:tcPr>
          <w:p w14:paraId="5763F9CC"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lastRenderedPageBreak/>
              <w:t>3</w:t>
            </w:r>
          </w:p>
        </w:tc>
        <w:tc>
          <w:tcPr>
            <w:tcW w:w="0" w:type="auto"/>
            <w:hideMark/>
          </w:tcPr>
          <w:p w14:paraId="3172ED76" w14:textId="3C248941"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color w:val="000009"/>
                <w:sz w:val="20"/>
                <w:szCs w:val="20"/>
              </w:rPr>
              <w:t>9</w:t>
            </w:r>
            <w:r>
              <w:rPr>
                <w:rFonts w:ascii="Times New Roman" w:eastAsia="Times New Roman" w:hAnsi="Times New Roman" w:cs="Times New Roman"/>
                <w:b/>
                <w:color w:val="000009"/>
                <w:sz w:val="20"/>
                <w:szCs w:val="20"/>
              </w:rPr>
              <w:t>0</w:t>
            </w:r>
            <w:r w:rsidRPr="008E0587">
              <w:rPr>
                <w:rFonts w:ascii="Times New Roman" w:eastAsia="Times New Roman" w:hAnsi="Times New Roman" w:cs="Times New Roman"/>
                <w:b/>
                <w:color w:val="000009"/>
                <w:sz w:val="20"/>
                <w:szCs w:val="20"/>
              </w:rPr>
              <w:t>.</w:t>
            </w:r>
            <w:r>
              <w:rPr>
                <w:rFonts w:ascii="Times New Roman" w:eastAsia="Times New Roman" w:hAnsi="Times New Roman" w:cs="Times New Roman"/>
                <w:b/>
                <w:color w:val="000009"/>
                <w:sz w:val="20"/>
                <w:szCs w:val="20"/>
              </w:rPr>
              <w:t>00</w:t>
            </w:r>
            <w:r w:rsidRPr="008E0587">
              <w:rPr>
                <w:rFonts w:ascii="Times New Roman" w:eastAsia="Times New Roman" w:hAnsi="Times New Roman" w:cs="Times New Roman"/>
                <w:b/>
                <w:color w:val="000009"/>
                <w:sz w:val="20"/>
                <w:szCs w:val="20"/>
              </w:rPr>
              <w:t xml:space="preserve"> a</w:t>
            </w:r>
          </w:p>
        </w:tc>
        <w:tc>
          <w:tcPr>
            <w:tcW w:w="0" w:type="auto"/>
            <w:hideMark/>
          </w:tcPr>
          <w:p w14:paraId="210CA65B" w14:textId="6AD5AAD0"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58</w:t>
            </w:r>
            <w:r w:rsidRPr="008E0587">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5</w:t>
            </w:r>
            <w:r w:rsidRPr="008E0587">
              <w:rPr>
                <w:rFonts w:ascii="Times New Roman" w:eastAsia="Times New Roman" w:hAnsi="Times New Roman" w:cs="Times New Roman"/>
                <w:b/>
                <w:color w:val="000009"/>
                <w:sz w:val="20"/>
                <w:szCs w:val="20"/>
              </w:rPr>
              <w:t xml:space="preserve"> a</w:t>
            </w:r>
          </w:p>
        </w:tc>
      </w:tr>
      <w:tr w:rsidR="008E0587" w:rsidRPr="008E0587" w14:paraId="11DF420D" w14:textId="77777777" w:rsidTr="008E0587">
        <w:trPr>
          <w:trHeight w:val="184"/>
        </w:trPr>
        <w:tc>
          <w:tcPr>
            <w:tcW w:w="0" w:type="auto"/>
            <w:tcBorders>
              <w:bottom w:val="single" w:sz="4" w:space="0" w:color="000000"/>
            </w:tcBorders>
            <w:hideMark/>
          </w:tcPr>
          <w:p w14:paraId="003ACA36"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4</w:t>
            </w:r>
          </w:p>
        </w:tc>
        <w:tc>
          <w:tcPr>
            <w:tcW w:w="0" w:type="auto"/>
            <w:tcBorders>
              <w:bottom w:val="single" w:sz="4" w:space="0" w:color="000000"/>
            </w:tcBorders>
            <w:hideMark/>
          </w:tcPr>
          <w:p w14:paraId="6A6C38C8" w14:textId="328F4279"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color w:val="000009"/>
                <w:sz w:val="20"/>
                <w:szCs w:val="20"/>
              </w:rPr>
              <w:t>3</w:t>
            </w:r>
            <w:r>
              <w:rPr>
                <w:rFonts w:ascii="Times New Roman" w:eastAsia="Times New Roman" w:hAnsi="Times New Roman" w:cs="Times New Roman"/>
                <w:b/>
                <w:color w:val="000009"/>
                <w:sz w:val="20"/>
                <w:szCs w:val="20"/>
              </w:rPr>
              <w:t>6</w:t>
            </w:r>
            <w:r w:rsidRPr="008E0587">
              <w:rPr>
                <w:rFonts w:ascii="Times New Roman" w:eastAsia="Times New Roman" w:hAnsi="Times New Roman" w:cs="Times New Roman"/>
                <w:b/>
                <w:color w:val="000009"/>
                <w:sz w:val="20"/>
                <w:szCs w:val="20"/>
              </w:rPr>
              <w:t xml:space="preserve"> c</w:t>
            </w:r>
          </w:p>
        </w:tc>
        <w:tc>
          <w:tcPr>
            <w:tcW w:w="0" w:type="auto"/>
            <w:tcBorders>
              <w:bottom w:val="single" w:sz="4" w:space="0" w:color="000000"/>
            </w:tcBorders>
            <w:hideMark/>
          </w:tcPr>
          <w:p w14:paraId="54CB2F37" w14:textId="5544D1F3"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15</w:t>
            </w:r>
            <w:r w:rsidRPr="008E0587">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0</w:t>
            </w:r>
            <w:r w:rsidRPr="008E0587">
              <w:rPr>
                <w:rFonts w:ascii="Times New Roman" w:eastAsia="Times New Roman" w:hAnsi="Times New Roman" w:cs="Times New Roman"/>
                <w:b/>
                <w:color w:val="000009"/>
                <w:sz w:val="20"/>
                <w:szCs w:val="20"/>
              </w:rPr>
              <w:t xml:space="preserve"> b</w:t>
            </w:r>
          </w:p>
        </w:tc>
      </w:tr>
    </w:tbl>
    <w:p w14:paraId="3CF5A3DF" w14:textId="77777777" w:rsid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color w:val="000009"/>
          <w:sz w:val="20"/>
          <w:szCs w:val="20"/>
        </w:rPr>
        <w:t xml:space="preserve">Data were </w:t>
      </w:r>
      <w:proofErr w:type="spellStart"/>
      <w:r w:rsidRPr="008E0587">
        <w:rPr>
          <w:rFonts w:ascii="Times New Roman" w:eastAsia="Times New Roman" w:hAnsi="Times New Roman" w:cs="Times New Roman"/>
          <w:b/>
          <w:color w:val="000009"/>
          <w:sz w:val="20"/>
          <w:szCs w:val="20"/>
        </w:rPr>
        <w:t>analyzed</w:t>
      </w:r>
      <w:proofErr w:type="spellEnd"/>
      <w:r w:rsidRPr="008E0587">
        <w:rPr>
          <w:rFonts w:ascii="Times New Roman" w:eastAsia="Times New Roman" w:hAnsi="Times New Roman" w:cs="Times New Roman"/>
          <w:b/>
          <w:color w:val="000009"/>
          <w:sz w:val="20"/>
          <w:szCs w:val="20"/>
        </w:rPr>
        <w:t xml:space="preserve"> by ANOVA and means were compared with DMRT (Duncan's Multiple Range test). Values followed by the same lower-case letter are non-significant at P&lt;0.05</w:t>
      </w:r>
    </w:p>
    <w:p w14:paraId="7F62832B" w14:textId="67107B55" w:rsidR="006325F4" w:rsidRPr="006325F4" w:rsidRDefault="006325F4" w:rsidP="006325F4">
      <w:pPr>
        <w:widowControl w:val="0"/>
        <w:pBdr>
          <w:top w:val="nil"/>
          <w:left w:val="nil"/>
          <w:bottom w:val="nil"/>
          <w:right w:val="nil"/>
          <w:between w:val="nil"/>
        </w:pBdr>
        <w:spacing w:before="254" w:line="240" w:lineRule="auto"/>
        <w:rPr>
          <w:rFonts w:ascii="Times New Roman" w:eastAsia="Times New Roman" w:hAnsi="Times New Roman" w:cs="Times New Roman"/>
          <w:b/>
          <w:bCs/>
          <w:color w:val="000009"/>
          <w:sz w:val="20"/>
          <w:szCs w:val="20"/>
        </w:rPr>
      </w:pPr>
      <w:r>
        <w:rPr>
          <w:rFonts w:ascii="Times New Roman" w:eastAsia="Times New Roman" w:hAnsi="Times New Roman" w:cs="Times New Roman"/>
          <w:b/>
          <w:bCs/>
          <w:color w:val="000009"/>
          <w:sz w:val="20"/>
          <w:szCs w:val="20"/>
        </w:rPr>
        <w:t>Ta</w:t>
      </w:r>
      <w:r w:rsidRPr="006325F4">
        <w:rPr>
          <w:rFonts w:ascii="Times New Roman" w:eastAsia="Times New Roman" w:hAnsi="Times New Roman" w:cs="Times New Roman"/>
          <w:b/>
          <w:bCs/>
          <w:color w:val="000009"/>
          <w:sz w:val="20"/>
          <w:szCs w:val="20"/>
        </w:rPr>
        <w:t xml:space="preserve">ble 3. Effect of various concentrations of calcium chloride on percentage multiplication frequency of encapsulated </w:t>
      </w:r>
      <w:r w:rsidR="00EE56FC">
        <w:rPr>
          <w:rFonts w:ascii="Times New Roman" w:eastAsia="Times New Roman" w:hAnsi="Times New Roman" w:cs="Times New Roman"/>
          <w:b/>
          <w:bCs/>
          <w:color w:val="000009"/>
          <w:sz w:val="20"/>
          <w:szCs w:val="20"/>
        </w:rPr>
        <w:t>nodes</w:t>
      </w:r>
      <w:r w:rsidRPr="006325F4">
        <w:rPr>
          <w:rFonts w:ascii="Times New Roman" w:eastAsia="Times New Roman" w:hAnsi="Times New Roman" w:cs="Times New Roman"/>
          <w:b/>
          <w:bCs/>
          <w:color w:val="000009"/>
          <w:sz w:val="20"/>
          <w:szCs w:val="20"/>
        </w:rPr>
        <w:t xml:space="preserve"> stored at two different temperatures (4°C and 25°C) for a period of 15 days</w:t>
      </w:r>
      <w:r w:rsidR="00D056DB">
        <w:rPr>
          <w:rFonts w:ascii="Times New Roman" w:eastAsia="Times New Roman" w:hAnsi="Times New Roman" w:cs="Times New Roman"/>
          <w:b/>
          <w:bCs/>
          <w:color w:val="000009"/>
          <w:sz w:val="20"/>
          <w:szCs w:val="20"/>
        </w:rPr>
        <w:tab/>
      </w:r>
    </w:p>
    <w:tbl>
      <w:tblPr>
        <w:tblW w:w="5000" w:type="pct"/>
        <w:jc w:val="center"/>
        <w:tblCellMar>
          <w:top w:w="15" w:type="dxa"/>
          <w:left w:w="15" w:type="dxa"/>
          <w:bottom w:w="15" w:type="dxa"/>
          <w:right w:w="15" w:type="dxa"/>
        </w:tblCellMar>
        <w:tblLook w:val="04A0" w:firstRow="1" w:lastRow="0" w:firstColumn="1" w:lastColumn="0" w:noHBand="0" w:noVBand="1"/>
      </w:tblPr>
      <w:tblGrid>
        <w:gridCol w:w="3421"/>
        <w:gridCol w:w="2840"/>
        <w:gridCol w:w="2869"/>
      </w:tblGrid>
      <w:tr w:rsidR="006325F4" w:rsidRPr="006325F4" w14:paraId="388264CD" w14:textId="77777777" w:rsidTr="00C97A12">
        <w:trPr>
          <w:trHeight w:val="799"/>
          <w:jc w:val="center"/>
        </w:trPr>
        <w:tc>
          <w:tcPr>
            <w:tcW w:w="1873" w:type="pct"/>
            <w:tcBorders>
              <w:top w:val="single" w:sz="4" w:space="0" w:color="000000"/>
              <w:bottom w:val="single" w:sz="4" w:space="0" w:color="000000"/>
            </w:tcBorders>
            <w:hideMark/>
          </w:tcPr>
          <w:p w14:paraId="4D99F4DA" w14:textId="58A88375" w:rsidR="006325F4" w:rsidRPr="006325F4" w:rsidRDefault="006325F4" w:rsidP="006325F4">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Combinations of different concentrations of calcium</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chloride (mM)</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with 3% (w/v) sodium alginate</w:t>
            </w:r>
          </w:p>
        </w:tc>
        <w:tc>
          <w:tcPr>
            <w:tcW w:w="1555" w:type="pct"/>
            <w:tcBorders>
              <w:top w:val="single" w:sz="4" w:space="0" w:color="000000"/>
              <w:bottom w:val="single" w:sz="4" w:space="0" w:color="000000"/>
            </w:tcBorders>
            <w:hideMark/>
          </w:tcPr>
          <w:p w14:paraId="5E37C877" w14:textId="3CF9F102" w:rsidR="006325F4" w:rsidRPr="006325F4" w:rsidRDefault="006325F4" w:rsidP="006325F4">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Mean % frequency of multiplication of artificial seeds</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stored at 4°C, 15 days</w:t>
            </w:r>
          </w:p>
        </w:tc>
        <w:tc>
          <w:tcPr>
            <w:tcW w:w="1571" w:type="pct"/>
            <w:tcBorders>
              <w:top w:val="single" w:sz="4" w:space="0" w:color="000000"/>
              <w:bottom w:val="single" w:sz="4" w:space="0" w:color="000000"/>
            </w:tcBorders>
            <w:hideMark/>
          </w:tcPr>
          <w:p w14:paraId="6740B591" w14:textId="1BBE17EC" w:rsidR="006325F4" w:rsidRPr="006325F4" w:rsidRDefault="006325F4" w:rsidP="006325F4">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Mean % frequency of multiplication of artificial</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seeds stored at 25°C, 15</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days</w:t>
            </w:r>
          </w:p>
        </w:tc>
      </w:tr>
      <w:tr w:rsidR="006325F4" w:rsidRPr="006325F4" w14:paraId="4DD2BA9C" w14:textId="77777777" w:rsidTr="00C97A12">
        <w:trPr>
          <w:trHeight w:val="259"/>
          <w:jc w:val="center"/>
        </w:trPr>
        <w:tc>
          <w:tcPr>
            <w:tcW w:w="1873" w:type="pct"/>
            <w:tcBorders>
              <w:top w:val="single" w:sz="4" w:space="0" w:color="000000"/>
            </w:tcBorders>
            <w:hideMark/>
          </w:tcPr>
          <w:p w14:paraId="7D61E03D" w14:textId="77777777"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50</w:t>
            </w:r>
          </w:p>
        </w:tc>
        <w:tc>
          <w:tcPr>
            <w:tcW w:w="1555" w:type="pct"/>
            <w:tcBorders>
              <w:top w:val="single" w:sz="4" w:space="0" w:color="000000"/>
            </w:tcBorders>
            <w:hideMark/>
          </w:tcPr>
          <w:p w14:paraId="2EE48736" w14:textId="62620BEF"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38</w:t>
            </w:r>
            <w:r w:rsidRPr="006325F4">
              <w:rPr>
                <w:rFonts w:ascii="Times New Roman" w:eastAsia="Times New Roman" w:hAnsi="Times New Roman" w:cs="Times New Roman"/>
                <w:b/>
                <w:color w:val="000009"/>
                <w:sz w:val="20"/>
                <w:szCs w:val="20"/>
              </w:rPr>
              <w:t xml:space="preserve"> </w:t>
            </w:r>
            <w:proofErr w:type="spellStart"/>
            <w:r w:rsidRPr="006325F4">
              <w:rPr>
                <w:rFonts w:ascii="Times New Roman" w:eastAsia="Times New Roman" w:hAnsi="Times New Roman" w:cs="Times New Roman"/>
                <w:b/>
                <w:color w:val="000009"/>
                <w:sz w:val="20"/>
                <w:szCs w:val="20"/>
              </w:rPr>
              <w:t>bc</w:t>
            </w:r>
            <w:proofErr w:type="spellEnd"/>
          </w:p>
        </w:tc>
        <w:tc>
          <w:tcPr>
            <w:tcW w:w="1571" w:type="pct"/>
            <w:tcBorders>
              <w:top w:val="single" w:sz="4" w:space="0" w:color="000000"/>
            </w:tcBorders>
            <w:hideMark/>
          </w:tcPr>
          <w:p w14:paraId="1023F09F" w14:textId="0EF544B9"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3</w:t>
            </w:r>
            <w:r>
              <w:rPr>
                <w:rFonts w:ascii="Times New Roman" w:eastAsia="Times New Roman" w:hAnsi="Times New Roman" w:cs="Times New Roman"/>
                <w:b/>
                <w:color w:val="000009"/>
                <w:sz w:val="20"/>
                <w:szCs w:val="20"/>
              </w:rPr>
              <w:t>0</w:t>
            </w:r>
            <w:r w:rsidRPr="006325F4">
              <w:rPr>
                <w:rFonts w:ascii="Times New Roman" w:eastAsia="Times New Roman" w:hAnsi="Times New Roman" w:cs="Times New Roman"/>
                <w:b/>
                <w:color w:val="000009"/>
                <w:sz w:val="20"/>
                <w:szCs w:val="20"/>
              </w:rPr>
              <w:t xml:space="preserve">.33 </w:t>
            </w:r>
            <w:proofErr w:type="spellStart"/>
            <w:r w:rsidRPr="006325F4">
              <w:rPr>
                <w:rFonts w:ascii="Times New Roman" w:eastAsia="Times New Roman" w:hAnsi="Times New Roman" w:cs="Times New Roman"/>
                <w:b/>
                <w:color w:val="000009"/>
                <w:sz w:val="20"/>
                <w:szCs w:val="20"/>
              </w:rPr>
              <w:t>bc</w:t>
            </w:r>
            <w:proofErr w:type="spellEnd"/>
          </w:p>
        </w:tc>
      </w:tr>
      <w:tr w:rsidR="006325F4" w:rsidRPr="006325F4" w14:paraId="597B4E1A" w14:textId="77777777" w:rsidTr="00C97A12">
        <w:trPr>
          <w:trHeight w:val="264"/>
          <w:jc w:val="center"/>
        </w:trPr>
        <w:tc>
          <w:tcPr>
            <w:tcW w:w="1873" w:type="pct"/>
            <w:hideMark/>
          </w:tcPr>
          <w:p w14:paraId="284DCB04" w14:textId="77777777"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75</w:t>
            </w:r>
          </w:p>
        </w:tc>
        <w:tc>
          <w:tcPr>
            <w:tcW w:w="1555" w:type="pct"/>
            <w:hideMark/>
          </w:tcPr>
          <w:p w14:paraId="4B7211D9" w14:textId="35D47EC5"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5</w:t>
            </w:r>
            <w:r>
              <w:rPr>
                <w:rFonts w:ascii="Times New Roman" w:eastAsia="Times New Roman" w:hAnsi="Times New Roman" w:cs="Times New Roman"/>
                <w:b/>
                <w:color w:val="000009"/>
                <w:sz w:val="20"/>
                <w:szCs w:val="20"/>
              </w:rPr>
              <w:t>0.</w:t>
            </w:r>
            <w:r w:rsidRPr="006325F4">
              <w:rPr>
                <w:rFonts w:ascii="Times New Roman" w:eastAsia="Times New Roman" w:hAnsi="Times New Roman" w:cs="Times New Roman"/>
                <w:b/>
                <w:color w:val="000009"/>
                <w:sz w:val="20"/>
                <w:szCs w:val="20"/>
              </w:rPr>
              <w:t>33 b</w:t>
            </w:r>
          </w:p>
        </w:tc>
        <w:tc>
          <w:tcPr>
            <w:tcW w:w="1571" w:type="pct"/>
            <w:hideMark/>
          </w:tcPr>
          <w:p w14:paraId="722390EA" w14:textId="681F137B"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4</w:t>
            </w:r>
            <w:r>
              <w:rPr>
                <w:rFonts w:ascii="Times New Roman" w:eastAsia="Times New Roman" w:hAnsi="Times New Roman" w:cs="Times New Roman"/>
                <w:b/>
                <w:color w:val="000009"/>
                <w:sz w:val="20"/>
                <w:szCs w:val="20"/>
              </w:rPr>
              <w:t>0</w:t>
            </w:r>
            <w:r w:rsidRPr="006325F4">
              <w:rPr>
                <w:rFonts w:ascii="Times New Roman" w:eastAsia="Times New Roman" w:hAnsi="Times New Roman" w:cs="Times New Roman"/>
                <w:b/>
                <w:color w:val="000009"/>
                <w:sz w:val="20"/>
                <w:szCs w:val="20"/>
              </w:rPr>
              <w:t>.66 b</w:t>
            </w:r>
          </w:p>
        </w:tc>
      </w:tr>
      <w:tr w:rsidR="006325F4" w:rsidRPr="006325F4" w14:paraId="09B4DEC5" w14:textId="77777777" w:rsidTr="00C97A12">
        <w:trPr>
          <w:trHeight w:val="264"/>
          <w:jc w:val="center"/>
        </w:trPr>
        <w:tc>
          <w:tcPr>
            <w:tcW w:w="1873" w:type="pct"/>
            <w:hideMark/>
          </w:tcPr>
          <w:p w14:paraId="6A702744" w14:textId="77777777"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100</w:t>
            </w:r>
          </w:p>
        </w:tc>
        <w:tc>
          <w:tcPr>
            <w:tcW w:w="1555" w:type="pct"/>
            <w:hideMark/>
          </w:tcPr>
          <w:p w14:paraId="6B9F4427" w14:textId="7B21BC40"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9</w:t>
            </w:r>
            <w:r>
              <w:rPr>
                <w:rFonts w:ascii="Times New Roman" w:eastAsia="Times New Roman" w:hAnsi="Times New Roman" w:cs="Times New Roman"/>
                <w:b/>
                <w:color w:val="000009"/>
                <w:sz w:val="20"/>
                <w:szCs w:val="20"/>
              </w:rPr>
              <w:t>0</w:t>
            </w:r>
            <w:r w:rsidRPr="006325F4">
              <w:rPr>
                <w:rFonts w:ascii="Times New Roman" w:eastAsia="Times New Roman" w:hAnsi="Times New Roman" w:cs="Times New Roman"/>
                <w:b/>
                <w:color w:val="000009"/>
                <w:sz w:val="20"/>
                <w:szCs w:val="20"/>
              </w:rPr>
              <w:t>.33 a</w:t>
            </w:r>
          </w:p>
        </w:tc>
        <w:tc>
          <w:tcPr>
            <w:tcW w:w="1571" w:type="pct"/>
            <w:hideMark/>
          </w:tcPr>
          <w:p w14:paraId="58066DF3" w14:textId="24FA56FE"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5</w:t>
            </w:r>
            <w:r w:rsidRPr="006325F4">
              <w:rPr>
                <w:rFonts w:ascii="Times New Roman" w:eastAsia="Times New Roman" w:hAnsi="Times New Roman" w:cs="Times New Roman"/>
                <w:b/>
                <w:color w:val="000009"/>
                <w:sz w:val="20"/>
                <w:szCs w:val="20"/>
              </w:rPr>
              <w:t>.66 a</w:t>
            </w:r>
          </w:p>
        </w:tc>
      </w:tr>
      <w:tr w:rsidR="006325F4" w:rsidRPr="006325F4" w14:paraId="6689482D" w14:textId="77777777" w:rsidTr="00C97A12">
        <w:trPr>
          <w:trHeight w:val="266"/>
          <w:jc w:val="center"/>
        </w:trPr>
        <w:tc>
          <w:tcPr>
            <w:tcW w:w="1873" w:type="pct"/>
            <w:tcBorders>
              <w:bottom w:val="single" w:sz="4" w:space="0" w:color="000000"/>
            </w:tcBorders>
            <w:hideMark/>
          </w:tcPr>
          <w:p w14:paraId="7AD2D6B9" w14:textId="77777777"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125</w:t>
            </w:r>
          </w:p>
        </w:tc>
        <w:tc>
          <w:tcPr>
            <w:tcW w:w="1555" w:type="pct"/>
            <w:tcBorders>
              <w:bottom w:val="single" w:sz="4" w:space="0" w:color="000000"/>
            </w:tcBorders>
            <w:hideMark/>
          </w:tcPr>
          <w:p w14:paraId="05846907" w14:textId="0B8EFDCB"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2</w:t>
            </w:r>
            <w:r>
              <w:rPr>
                <w:rFonts w:ascii="Times New Roman" w:eastAsia="Times New Roman" w:hAnsi="Times New Roman" w:cs="Times New Roman"/>
                <w:b/>
                <w:color w:val="000009"/>
                <w:sz w:val="20"/>
                <w:szCs w:val="20"/>
              </w:rPr>
              <w:t>3</w:t>
            </w:r>
            <w:r w:rsidRPr="006325F4">
              <w:rPr>
                <w:rFonts w:ascii="Times New Roman" w:eastAsia="Times New Roman" w:hAnsi="Times New Roman" w:cs="Times New Roman"/>
                <w:b/>
                <w:color w:val="000009"/>
                <w:sz w:val="20"/>
                <w:szCs w:val="20"/>
              </w:rPr>
              <w:t>.66 c</w:t>
            </w:r>
          </w:p>
        </w:tc>
        <w:tc>
          <w:tcPr>
            <w:tcW w:w="1571" w:type="pct"/>
            <w:tcBorders>
              <w:bottom w:val="single" w:sz="4" w:space="0" w:color="000000"/>
            </w:tcBorders>
            <w:hideMark/>
          </w:tcPr>
          <w:p w14:paraId="43BDE1B9" w14:textId="4DD65062"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15</w:t>
            </w:r>
            <w:r w:rsidRPr="006325F4">
              <w:rPr>
                <w:rFonts w:ascii="Times New Roman" w:eastAsia="Times New Roman" w:hAnsi="Times New Roman" w:cs="Times New Roman"/>
                <w:b/>
                <w:color w:val="000009"/>
                <w:sz w:val="20"/>
                <w:szCs w:val="20"/>
              </w:rPr>
              <w:t xml:space="preserve"> c</w:t>
            </w:r>
          </w:p>
        </w:tc>
      </w:tr>
    </w:tbl>
    <w:p w14:paraId="5A872FDF" w14:textId="47768871" w:rsidR="00D056DB" w:rsidRPr="00D056DB" w:rsidRDefault="006325F4" w:rsidP="00EE56FC">
      <w:pPr>
        <w:widowControl w:val="0"/>
        <w:pBdr>
          <w:top w:val="nil"/>
          <w:left w:val="nil"/>
          <w:bottom w:val="nil"/>
          <w:right w:val="nil"/>
          <w:between w:val="nil"/>
        </w:pBdr>
        <w:spacing w:before="254" w:line="240" w:lineRule="auto"/>
        <w:jc w:val="both"/>
        <w:rPr>
          <w:rFonts w:ascii="Times New Roman" w:eastAsia="Times New Roman" w:hAnsi="Times New Roman" w:cs="Times New Roman"/>
          <w:b/>
          <w:bCs/>
          <w:color w:val="000009"/>
          <w:sz w:val="20"/>
          <w:szCs w:val="20"/>
        </w:rPr>
      </w:pPr>
      <w:r w:rsidRPr="006325F4">
        <w:rPr>
          <w:rFonts w:ascii="Times New Roman" w:eastAsia="Times New Roman" w:hAnsi="Times New Roman" w:cs="Times New Roman"/>
          <w:b/>
          <w:color w:val="000009"/>
          <w:sz w:val="20"/>
          <w:szCs w:val="20"/>
        </w:rPr>
        <w:t xml:space="preserve">Data were </w:t>
      </w:r>
      <w:proofErr w:type="spellStart"/>
      <w:r w:rsidRPr="006325F4">
        <w:rPr>
          <w:rFonts w:ascii="Times New Roman" w:eastAsia="Times New Roman" w:hAnsi="Times New Roman" w:cs="Times New Roman"/>
          <w:b/>
          <w:color w:val="000009"/>
          <w:sz w:val="20"/>
          <w:szCs w:val="20"/>
        </w:rPr>
        <w:t>analyzed</w:t>
      </w:r>
      <w:proofErr w:type="spellEnd"/>
      <w:r w:rsidRPr="006325F4">
        <w:rPr>
          <w:rFonts w:ascii="Times New Roman" w:eastAsia="Times New Roman" w:hAnsi="Times New Roman" w:cs="Times New Roman"/>
          <w:b/>
          <w:color w:val="000009"/>
          <w:sz w:val="20"/>
          <w:szCs w:val="20"/>
        </w:rPr>
        <w:t xml:space="preserve"> by ANOVA and means were compared with DMRT. Values followed by the same lower-case letter are non- significant at P&lt;0.05</w:t>
      </w:r>
      <w:r w:rsidR="00D056DB" w:rsidRPr="00D056DB">
        <w:rPr>
          <w:rFonts w:ascii="Times New Roman" w:eastAsia="Times New Roman" w:hAnsi="Times New Roman" w:cs="Times New Roman"/>
          <w:b/>
          <w:bCs/>
          <w:color w:val="000009"/>
          <w:sz w:val="20"/>
          <w:szCs w:val="20"/>
        </w:rPr>
        <w:t xml:space="preserve">Table 5. Influence of storage days and storage temperature on percentage multiplication frequency of encapsulated </w:t>
      </w:r>
      <w:r w:rsidR="00EE56FC">
        <w:rPr>
          <w:rFonts w:ascii="Times New Roman" w:eastAsia="Times New Roman" w:hAnsi="Times New Roman" w:cs="Times New Roman"/>
          <w:b/>
          <w:bCs/>
          <w:color w:val="000009"/>
          <w:sz w:val="20"/>
          <w:szCs w:val="20"/>
        </w:rPr>
        <w:t>nodes.</w:t>
      </w:r>
    </w:p>
    <w:p w14:paraId="0F4468CA"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p>
    <w:p w14:paraId="5FF4EDEE" w14:textId="77777777" w:rsid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Data were analysed by ANOVA and means were compared with DMRT. Values followed by same lower-case</w:t>
      </w:r>
      <w:r>
        <w:rPr>
          <w:rFonts w:ascii="Times New Roman" w:eastAsia="Times New Roman" w:hAnsi="Times New Roman" w:cs="Times New Roman"/>
          <w:b/>
          <w:color w:val="000009"/>
          <w:sz w:val="20"/>
          <w:szCs w:val="20"/>
        </w:rPr>
        <w:t>.</w:t>
      </w:r>
    </w:p>
    <w:p w14:paraId="09A5F7BB" w14:textId="77777777" w:rsid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p>
    <w:tbl>
      <w:tblPr>
        <w:tblpPr w:leftFromText="180" w:rightFromText="180" w:vertAnchor="page" w:horzAnchor="margin" w:tblpY="3771"/>
        <w:tblW w:w="0" w:type="auto"/>
        <w:tblCellMar>
          <w:top w:w="15" w:type="dxa"/>
          <w:left w:w="15" w:type="dxa"/>
          <w:bottom w:w="15" w:type="dxa"/>
          <w:right w:w="15" w:type="dxa"/>
        </w:tblCellMar>
        <w:tblLook w:val="04A0" w:firstRow="1" w:lastRow="0" w:firstColumn="1" w:lastColumn="0" w:noHBand="0" w:noVBand="1"/>
      </w:tblPr>
      <w:tblGrid>
        <w:gridCol w:w="2199"/>
        <w:gridCol w:w="3419"/>
        <w:gridCol w:w="3512"/>
      </w:tblGrid>
      <w:tr w:rsidR="00D056DB" w:rsidRPr="00D056DB" w14:paraId="25674F1B" w14:textId="77777777" w:rsidTr="00D056DB">
        <w:trPr>
          <w:trHeight w:val="551"/>
        </w:trPr>
        <w:tc>
          <w:tcPr>
            <w:tcW w:w="0" w:type="auto"/>
            <w:tcBorders>
              <w:top w:val="single" w:sz="4" w:space="0" w:color="000000"/>
              <w:bottom w:val="single" w:sz="4" w:space="0" w:color="000000"/>
            </w:tcBorders>
            <w:hideMark/>
          </w:tcPr>
          <w:p w14:paraId="51628F69"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lastRenderedPageBreak/>
              <w:t>Storage duration</w:t>
            </w:r>
            <w:r>
              <w:rPr>
                <w:rFonts w:ascii="Times New Roman" w:eastAsia="Times New Roman" w:hAnsi="Times New Roman" w:cs="Times New Roman"/>
                <w:b/>
                <w:bCs/>
                <w:color w:val="000009"/>
                <w:sz w:val="20"/>
                <w:szCs w:val="20"/>
              </w:rPr>
              <w:t xml:space="preserve"> </w:t>
            </w:r>
            <w:r w:rsidRPr="00D056DB">
              <w:rPr>
                <w:rFonts w:ascii="Times New Roman" w:eastAsia="Times New Roman" w:hAnsi="Times New Roman" w:cs="Times New Roman"/>
                <w:b/>
                <w:bCs/>
                <w:color w:val="000009"/>
                <w:sz w:val="20"/>
                <w:szCs w:val="20"/>
              </w:rPr>
              <w:t>(in Days)</w:t>
            </w:r>
          </w:p>
        </w:tc>
        <w:tc>
          <w:tcPr>
            <w:tcW w:w="0" w:type="auto"/>
            <w:tcBorders>
              <w:top w:val="single" w:sz="4" w:space="0" w:color="000000"/>
              <w:bottom w:val="single" w:sz="4" w:space="0" w:color="000000"/>
            </w:tcBorders>
            <w:hideMark/>
          </w:tcPr>
          <w:p w14:paraId="4D248097"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Multiplication frequency of</w:t>
            </w:r>
          </w:p>
          <w:p w14:paraId="0C660BB5"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 xml:space="preserve">encapsulated </w:t>
            </w:r>
            <w:r>
              <w:rPr>
                <w:rFonts w:ascii="Times New Roman" w:eastAsia="Times New Roman" w:hAnsi="Times New Roman" w:cs="Times New Roman"/>
                <w:b/>
                <w:bCs/>
                <w:color w:val="000009"/>
                <w:sz w:val="20"/>
                <w:szCs w:val="20"/>
              </w:rPr>
              <w:t>nodes</w:t>
            </w:r>
            <w:r w:rsidRPr="00D056DB">
              <w:rPr>
                <w:rFonts w:ascii="Times New Roman" w:eastAsia="Times New Roman" w:hAnsi="Times New Roman" w:cs="Times New Roman"/>
                <w:b/>
                <w:bCs/>
                <w:color w:val="000009"/>
                <w:sz w:val="20"/>
                <w:szCs w:val="20"/>
              </w:rPr>
              <w:t xml:space="preserve"> stored at 4°C storage.</w:t>
            </w:r>
          </w:p>
        </w:tc>
        <w:tc>
          <w:tcPr>
            <w:tcW w:w="0" w:type="auto"/>
            <w:tcBorders>
              <w:top w:val="single" w:sz="4" w:space="0" w:color="000000"/>
              <w:bottom w:val="single" w:sz="4" w:space="0" w:color="000000"/>
            </w:tcBorders>
            <w:hideMark/>
          </w:tcPr>
          <w:p w14:paraId="41DBD2FB"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Multiplication frequency of</w:t>
            </w:r>
          </w:p>
          <w:p w14:paraId="2939B1D0"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 xml:space="preserve">encapsulated </w:t>
            </w:r>
            <w:r>
              <w:rPr>
                <w:rFonts w:ascii="Times New Roman" w:eastAsia="Times New Roman" w:hAnsi="Times New Roman" w:cs="Times New Roman"/>
                <w:b/>
                <w:bCs/>
                <w:color w:val="000009"/>
                <w:sz w:val="20"/>
                <w:szCs w:val="20"/>
              </w:rPr>
              <w:t>nodes</w:t>
            </w:r>
            <w:r w:rsidRPr="00D056DB">
              <w:rPr>
                <w:rFonts w:ascii="Times New Roman" w:eastAsia="Times New Roman" w:hAnsi="Times New Roman" w:cs="Times New Roman"/>
                <w:b/>
                <w:bCs/>
                <w:color w:val="000009"/>
                <w:sz w:val="20"/>
                <w:szCs w:val="20"/>
              </w:rPr>
              <w:t xml:space="preserve"> stored at 25°C storage.</w:t>
            </w:r>
          </w:p>
        </w:tc>
      </w:tr>
      <w:tr w:rsidR="00D056DB" w:rsidRPr="00D056DB" w14:paraId="4091018D" w14:textId="77777777" w:rsidTr="00D056DB">
        <w:trPr>
          <w:trHeight w:val="183"/>
        </w:trPr>
        <w:tc>
          <w:tcPr>
            <w:tcW w:w="0" w:type="auto"/>
            <w:tcBorders>
              <w:top w:val="single" w:sz="4" w:space="0" w:color="000000"/>
            </w:tcBorders>
            <w:hideMark/>
          </w:tcPr>
          <w:p w14:paraId="075290C9"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15</w:t>
            </w:r>
          </w:p>
        </w:tc>
        <w:tc>
          <w:tcPr>
            <w:tcW w:w="0" w:type="auto"/>
            <w:tcBorders>
              <w:top w:val="single" w:sz="4" w:space="0" w:color="000000"/>
            </w:tcBorders>
            <w:hideMark/>
          </w:tcPr>
          <w:p w14:paraId="0589178F"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9</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.33 a</w:t>
            </w:r>
          </w:p>
        </w:tc>
        <w:tc>
          <w:tcPr>
            <w:tcW w:w="0" w:type="auto"/>
            <w:tcBorders>
              <w:top w:val="single" w:sz="4" w:space="0" w:color="000000"/>
            </w:tcBorders>
            <w:hideMark/>
          </w:tcPr>
          <w:p w14:paraId="775986B0"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86.66 a</w:t>
            </w:r>
          </w:p>
        </w:tc>
      </w:tr>
      <w:tr w:rsidR="00D056DB" w:rsidRPr="00D056DB" w14:paraId="13B0504E" w14:textId="77777777" w:rsidTr="00D056DB">
        <w:trPr>
          <w:trHeight w:val="183"/>
        </w:trPr>
        <w:tc>
          <w:tcPr>
            <w:tcW w:w="0" w:type="auto"/>
            <w:hideMark/>
          </w:tcPr>
          <w:p w14:paraId="15F5628E"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30</w:t>
            </w:r>
          </w:p>
        </w:tc>
        <w:tc>
          <w:tcPr>
            <w:tcW w:w="0" w:type="auto"/>
            <w:hideMark/>
          </w:tcPr>
          <w:p w14:paraId="01D29D62"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2</w:t>
            </w:r>
            <w:r w:rsidRPr="00D056DB">
              <w:rPr>
                <w:rFonts w:ascii="Times New Roman" w:eastAsia="Times New Roman" w:hAnsi="Times New Roman" w:cs="Times New Roman"/>
                <w:b/>
                <w:color w:val="000009"/>
                <w:sz w:val="20"/>
                <w:szCs w:val="20"/>
              </w:rPr>
              <w:t>.66 b</w:t>
            </w:r>
          </w:p>
        </w:tc>
        <w:tc>
          <w:tcPr>
            <w:tcW w:w="0" w:type="auto"/>
            <w:hideMark/>
          </w:tcPr>
          <w:p w14:paraId="07EC6A22"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 xml:space="preserve">60 </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b</w:t>
            </w:r>
          </w:p>
        </w:tc>
      </w:tr>
      <w:tr w:rsidR="00D056DB" w:rsidRPr="00D056DB" w14:paraId="33B4C959" w14:textId="77777777" w:rsidTr="00D056DB">
        <w:trPr>
          <w:trHeight w:val="183"/>
        </w:trPr>
        <w:tc>
          <w:tcPr>
            <w:tcW w:w="0" w:type="auto"/>
            <w:hideMark/>
          </w:tcPr>
          <w:p w14:paraId="6E058269"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45</w:t>
            </w:r>
          </w:p>
        </w:tc>
        <w:tc>
          <w:tcPr>
            <w:tcW w:w="0" w:type="auto"/>
            <w:hideMark/>
          </w:tcPr>
          <w:p w14:paraId="6468EF0A"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5</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 xml:space="preserve">.33 </w:t>
            </w:r>
            <w:proofErr w:type="spellStart"/>
            <w:r w:rsidRPr="00D056DB">
              <w:rPr>
                <w:rFonts w:ascii="Times New Roman" w:eastAsia="Times New Roman" w:hAnsi="Times New Roman" w:cs="Times New Roman"/>
                <w:b/>
                <w:color w:val="000009"/>
                <w:sz w:val="20"/>
                <w:szCs w:val="20"/>
              </w:rPr>
              <w:t>bc</w:t>
            </w:r>
            <w:proofErr w:type="spellEnd"/>
          </w:p>
        </w:tc>
        <w:tc>
          <w:tcPr>
            <w:tcW w:w="0" w:type="auto"/>
            <w:hideMark/>
          </w:tcPr>
          <w:p w14:paraId="28A742A7"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4</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 xml:space="preserve">.66 </w:t>
            </w:r>
            <w:proofErr w:type="spellStart"/>
            <w:r w:rsidRPr="00D056DB">
              <w:rPr>
                <w:rFonts w:ascii="Times New Roman" w:eastAsia="Times New Roman" w:hAnsi="Times New Roman" w:cs="Times New Roman"/>
                <w:b/>
                <w:color w:val="000009"/>
                <w:sz w:val="20"/>
                <w:szCs w:val="20"/>
              </w:rPr>
              <w:t>bc</w:t>
            </w:r>
            <w:proofErr w:type="spellEnd"/>
          </w:p>
        </w:tc>
      </w:tr>
      <w:tr w:rsidR="00D056DB" w:rsidRPr="00D056DB" w14:paraId="6E445954" w14:textId="77777777" w:rsidTr="00D056DB">
        <w:trPr>
          <w:trHeight w:val="184"/>
        </w:trPr>
        <w:tc>
          <w:tcPr>
            <w:tcW w:w="0" w:type="auto"/>
            <w:hideMark/>
          </w:tcPr>
          <w:p w14:paraId="399D3C84"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60</w:t>
            </w:r>
          </w:p>
        </w:tc>
        <w:tc>
          <w:tcPr>
            <w:tcW w:w="0" w:type="auto"/>
            <w:hideMark/>
          </w:tcPr>
          <w:p w14:paraId="60275DFB"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40 cd</w:t>
            </w:r>
          </w:p>
        </w:tc>
        <w:tc>
          <w:tcPr>
            <w:tcW w:w="0" w:type="auto"/>
            <w:hideMark/>
          </w:tcPr>
          <w:p w14:paraId="614D51B4"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3</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.33 cd</w:t>
            </w:r>
          </w:p>
        </w:tc>
      </w:tr>
      <w:tr w:rsidR="00D056DB" w:rsidRPr="00D056DB" w14:paraId="6384BA5E" w14:textId="77777777" w:rsidTr="00D056DB">
        <w:trPr>
          <w:trHeight w:val="186"/>
        </w:trPr>
        <w:tc>
          <w:tcPr>
            <w:tcW w:w="0" w:type="auto"/>
            <w:tcBorders>
              <w:bottom w:val="single" w:sz="4" w:space="0" w:color="000000"/>
            </w:tcBorders>
            <w:hideMark/>
          </w:tcPr>
          <w:p w14:paraId="4F23DDC8"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75</w:t>
            </w:r>
          </w:p>
        </w:tc>
        <w:tc>
          <w:tcPr>
            <w:tcW w:w="0" w:type="auto"/>
            <w:tcBorders>
              <w:bottom w:val="single" w:sz="4" w:space="0" w:color="000000"/>
            </w:tcBorders>
            <w:hideMark/>
          </w:tcPr>
          <w:p w14:paraId="2E001BA6"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2</w:t>
            </w:r>
            <w:r>
              <w:rPr>
                <w:rFonts w:ascii="Times New Roman" w:eastAsia="Times New Roman" w:hAnsi="Times New Roman" w:cs="Times New Roman"/>
                <w:b/>
                <w:color w:val="000009"/>
                <w:sz w:val="20"/>
                <w:szCs w:val="20"/>
              </w:rPr>
              <w:t>2</w:t>
            </w:r>
            <w:r w:rsidRPr="00D056DB">
              <w:rPr>
                <w:rFonts w:ascii="Times New Roman" w:eastAsia="Times New Roman" w:hAnsi="Times New Roman" w:cs="Times New Roman"/>
                <w:b/>
                <w:color w:val="000009"/>
                <w:sz w:val="20"/>
                <w:szCs w:val="20"/>
              </w:rPr>
              <w:t>.66 de</w:t>
            </w:r>
          </w:p>
        </w:tc>
        <w:tc>
          <w:tcPr>
            <w:tcW w:w="0" w:type="auto"/>
            <w:tcBorders>
              <w:bottom w:val="single" w:sz="4" w:space="0" w:color="000000"/>
            </w:tcBorders>
            <w:hideMark/>
          </w:tcPr>
          <w:p w14:paraId="5531688D"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20 de</w:t>
            </w:r>
          </w:p>
        </w:tc>
      </w:tr>
    </w:tbl>
    <w:p w14:paraId="14FCD18A" w14:textId="1648781A" w:rsid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bCs/>
          <w:color w:val="000009"/>
          <w:sz w:val="20"/>
          <w:szCs w:val="20"/>
        </w:rPr>
      </w:pPr>
      <w:r w:rsidRPr="00D056DB">
        <w:rPr>
          <w:rFonts w:ascii="Times New Roman" w:eastAsia="Times New Roman" w:hAnsi="Times New Roman" w:cs="Times New Roman"/>
          <w:b/>
          <w:bCs/>
          <w:color w:val="000009"/>
          <w:sz w:val="20"/>
          <w:szCs w:val="20"/>
        </w:rPr>
        <w:t xml:space="preserve">Table </w:t>
      </w:r>
      <w:r>
        <w:rPr>
          <w:rFonts w:ascii="Times New Roman" w:eastAsia="Times New Roman" w:hAnsi="Times New Roman" w:cs="Times New Roman"/>
          <w:b/>
          <w:bCs/>
          <w:color w:val="000009"/>
          <w:sz w:val="20"/>
          <w:szCs w:val="20"/>
        </w:rPr>
        <w:t>4</w:t>
      </w:r>
      <w:r w:rsidRPr="00D056DB">
        <w:rPr>
          <w:rFonts w:ascii="Times New Roman" w:eastAsia="Times New Roman" w:hAnsi="Times New Roman" w:cs="Times New Roman"/>
          <w:b/>
          <w:bCs/>
          <w:color w:val="000009"/>
          <w:sz w:val="20"/>
          <w:szCs w:val="20"/>
        </w:rPr>
        <w:t>. Influence of storage days and storage temperature on percentage multiplication frequency of enc</w:t>
      </w:r>
      <w:r>
        <w:rPr>
          <w:rFonts w:ascii="Times New Roman" w:eastAsia="Times New Roman" w:hAnsi="Times New Roman" w:cs="Times New Roman"/>
          <w:b/>
          <w:bCs/>
          <w:color w:val="000009"/>
          <w:sz w:val="20"/>
          <w:szCs w:val="20"/>
        </w:rPr>
        <w:t>a</w:t>
      </w:r>
      <w:r w:rsidRPr="00D056DB">
        <w:rPr>
          <w:rFonts w:ascii="Times New Roman" w:eastAsia="Times New Roman" w:hAnsi="Times New Roman" w:cs="Times New Roman"/>
          <w:b/>
          <w:bCs/>
          <w:color w:val="000009"/>
          <w:sz w:val="20"/>
          <w:szCs w:val="20"/>
        </w:rPr>
        <w:t xml:space="preserve">psulated </w:t>
      </w:r>
      <w:r>
        <w:rPr>
          <w:rFonts w:ascii="Times New Roman" w:eastAsia="Times New Roman" w:hAnsi="Times New Roman" w:cs="Times New Roman"/>
          <w:b/>
          <w:bCs/>
          <w:color w:val="000009"/>
          <w:sz w:val="20"/>
          <w:szCs w:val="20"/>
        </w:rPr>
        <w:t>nodes.</w:t>
      </w:r>
    </w:p>
    <w:p w14:paraId="2C028902" w14:textId="50F18367" w:rsidR="00EE56FC" w:rsidRDefault="00D056DB" w:rsidP="00BC5DA4">
      <w:pPr>
        <w:widowControl w:val="0"/>
        <w:pBdr>
          <w:top w:val="nil"/>
          <w:left w:val="nil"/>
          <w:bottom w:val="nil"/>
          <w:right w:val="nil"/>
          <w:between w:val="nil"/>
        </w:pBdr>
        <w:spacing w:before="254" w:line="240" w:lineRule="auto"/>
        <w:rPr>
          <w:rFonts w:ascii="Times New Roman" w:eastAsia="Times New Roman" w:hAnsi="Times New Roman" w:cs="Times New Roman"/>
          <w:color w:val="000009"/>
          <w:sz w:val="24"/>
          <w:szCs w:val="24"/>
        </w:rPr>
      </w:pPr>
      <w:r>
        <w:rPr>
          <w:rFonts w:ascii="Times New Roman" w:eastAsia="Times New Roman" w:hAnsi="Times New Roman" w:cs="Times New Roman"/>
          <w:b/>
          <w:bCs/>
          <w:noProof/>
          <w:color w:val="000009"/>
          <w:sz w:val="20"/>
          <w:szCs w:val="20"/>
          <w:lang w:val="en-US" w:eastAsia="en-US"/>
        </w:rPr>
        <mc:AlternateContent>
          <mc:Choice Requires="wps">
            <w:drawing>
              <wp:anchor distT="0" distB="0" distL="114300" distR="114300" simplePos="0" relativeHeight="251659264" behindDoc="0" locked="0" layoutInCell="1" allowOverlap="1" wp14:anchorId="6F4B4EE8" wp14:editId="79175D49">
                <wp:simplePos x="0" y="0"/>
                <wp:positionH relativeFrom="column">
                  <wp:posOffset>222885</wp:posOffset>
                </wp:positionH>
                <wp:positionV relativeFrom="paragraph">
                  <wp:posOffset>2955290</wp:posOffset>
                </wp:positionV>
                <wp:extent cx="5365750" cy="654050"/>
                <wp:effectExtent l="0" t="0" r="25400" b="12700"/>
                <wp:wrapNone/>
                <wp:docPr id="1721772243" name="Text Box 7"/>
                <wp:cNvGraphicFramePr/>
                <a:graphic xmlns:a="http://schemas.openxmlformats.org/drawingml/2006/main">
                  <a:graphicData uri="http://schemas.microsoft.com/office/word/2010/wordprocessingShape">
                    <wps:wsp>
                      <wps:cNvSpPr txBox="1"/>
                      <wps:spPr>
                        <a:xfrm>
                          <a:off x="0" y="0"/>
                          <a:ext cx="5365750" cy="654050"/>
                        </a:xfrm>
                        <a:prstGeom prst="rect">
                          <a:avLst/>
                        </a:prstGeom>
                        <a:solidFill>
                          <a:schemeClr val="lt1"/>
                        </a:solidFill>
                        <a:ln w="6350">
                          <a:solidFill>
                            <a:prstClr val="black"/>
                          </a:solidFill>
                        </a:ln>
                      </wps:spPr>
                      <wps:txbx>
                        <w:txbxContent>
                          <w:p w14:paraId="23B10AD7" w14:textId="77777777" w:rsidR="00D056DB" w:rsidRPr="00D056DB" w:rsidRDefault="00D056DB" w:rsidP="00D056DB">
                            <w:r w:rsidRPr="00D056DB">
                              <w:t>Data were analysed by ANOVA and means were compared with DMRT. Values followed by same lower-case letter are non- significant at P&lt;0.05</w:t>
                            </w:r>
                          </w:p>
                          <w:p w14:paraId="3A8ACF5F" w14:textId="77777777" w:rsidR="00D056DB" w:rsidRPr="00D056DB" w:rsidRDefault="00D05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4B4EE8" id="_x0000_t202" coordsize="21600,21600" o:spt="202" path="m,l,21600r21600,l21600,xe">
                <v:stroke joinstyle="miter"/>
                <v:path gradientshapeok="t" o:connecttype="rect"/>
              </v:shapetype>
              <v:shape id="Text Box 7" o:spid="_x0000_s1026" type="#_x0000_t202" style="position:absolute;margin-left:17.55pt;margin-top:232.7pt;width:422.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" fillcolor="white [3201]" strokeweight=".5pt">
                <v:textbox>
                  <w:txbxContent>
                    <w:p w14:paraId="23B10AD7" w14:textId="77777777" w:rsidR="00D056DB" w:rsidRPr="00D056DB" w:rsidRDefault="00D056DB" w:rsidP="00D056DB">
                      <w:r w:rsidRPr="00D056DB">
                        <w:t>Data were analysed by ANOVA and means were compared with DMRT. Values followed by same lower-case letter are non- significant at P&lt;0.05</w:t>
                      </w:r>
                    </w:p>
                    <w:p w14:paraId="3A8ACF5F" w14:textId="77777777" w:rsidR="00D056DB" w:rsidRPr="00D056DB" w:rsidRDefault="00D056DB"/>
                  </w:txbxContent>
                </v:textbox>
              </v:shape>
            </w:pict>
          </mc:Fallback>
        </mc:AlternateContent>
      </w:r>
    </w:p>
    <w:p w14:paraId="5C4AE726" w14:textId="50BB68A2" w:rsidR="00BC5DA4" w:rsidRDefault="00BC5DA4" w:rsidP="00BC5DA4">
      <w:pPr>
        <w:widowControl w:val="0"/>
        <w:pBdr>
          <w:top w:val="nil"/>
          <w:left w:val="nil"/>
          <w:bottom w:val="nil"/>
          <w:right w:val="nil"/>
          <w:between w:val="nil"/>
        </w:pBdr>
        <w:spacing w:before="254" w:line="240" w:lineRule="auto"/>
        <w:rPr>
          <w:rFonts w:ascii="Times New Roman" w:eastAsia="Times New Roman" w:hAnsi="Times New Roman" w:cs="Times New Roman"/>
          <w:color w:val="000009"/>
          <w:sz w:val="24"/>
          <w:szCs w:val="24"/>
        </w:rPr>
      </w:pPr>
    </w:p>
    <w:p w14:paraId="40A9FF8B" w14:textId="77777777" w:rsidR="00BC5DA4" w:rsidRDefault="00BC5DA4" w:rsidP="00BC5DA4">
      <w:pPr>
        <w:widowControl w:val="0"/>
        <w:pBdr>
          <w:top w:val="nil"/>
          <w:left w:val="nil"/>
          <w:bottom w:val="nil"/>
          <w:right w:val="nil"/>
          <w:between w:val="nil"/>
        </w:pBdr>
        <w:spacing w:before="254" w:line="240" w:lineRule="auto"/>
        <w:rPr>
          <w:rFonts w:ascii="Times New Roman" w:eastAsia="Times New Roman" w:hAnsi="Times New Roman" w:cs="Times New Roman"/>
          <w:color w:val="000009"/>
          <w:sz w:val="24"/>
          <w:szCs w:val="24"/>
        </w:rPr>
      </w:pPr>
    </w:p>
    <w:p w14:paraId="297E911A" w14:textId="77777777" w:rsidR="00EE56FC" w:rsidRDefault="00EE56FC">
      <w:pPr>
        <w:widowControl w:val="0"/>
        <w:pBdr>
          <w:top w:val="nil"/>
          <w:left w:val="nil"/>
          <w:bottom w:val="nil"/>
          <w:right w:val="nil"/>
          <w:between w:val="nil"/>
        </w:pBdr>
        <w:spacing w:before="257" w:line="248" w:lineRule="auto"/>
        <w:ind w:right="25" w:firstLine="7"/>
        <w:jc w:val="both"/>
        <w:rPr>
          <w:rFonts w:ascii="Times New Roman" w:eastAsia="Times New Roman" w:hAnsi="Times New Roman" w:cs="Times New Roman"/>
          <w:color w:val="000009"/>
          <w:sz w:val="24"/>
          <w:szCs w:val="24"/>
        </w:rPr>
      </w:pPr>
    </w:p>
    <w:p w14:paraId="1C7BF1AA" w14:textId="66B876E3" w:rsidR="00EE56FC" w:rsidRPr="00BC5DA4" w:rsidRDefault="00EE56FC" w:rsidP="00BC5DA4">
      <w:pPr>
        <w:widowControl w:val="0"/>
        <w:pBdr>
          <w:top w:val="nil"/>
          <w:left w:val="nil"/>
          <w:bottom w:val="nil"/>
          <w:right w:val="nil"/>
          <w:between w:val="nil"/>
        </w:pBdr>
        <w:spacing w:before="257" w:line="248" w:lineRule="auto"/>
        <w:ind w:right="25"/>
        <w:jc w:val="both"/>
        <w:rPr>
          <w:rFonts w:ascii="Times New Roman" w:eastAsia="Times New Roman" w:hAnsi="Times New Roman" w:cs="Times New Roman"/>
          <w:b/>
          <w:bCs/>
          <w:color w:val="000009"/>
          <w:sz w:val="28"/>
          <w:szCs w:val="28"/>
        </w:rPr>
      </w:pPr>
      <w:r w:rsidRPr="00BC5DA4">
        <w:rPr>
          <w:rFonts w:ascii="Times New Roman" w:eastAsia="Times New Roman" w:hAnsi="Times New Roman" w:cs="Times New Roman"/>
          <w:b/>
          <w:bCs/>
          <w:color w:val="000009"/>
          <w:sz w:val="28"/>
          <w:szCs w:val="28"/>
        </w:rPr>
        <w:t>Conclusion</w:t>
      </w:r>
    </w:p>
    <w:p w14:paraId="0D868157" w14:textId="77914E76" w:rsidR="00155D4F" w:rsidRDefault="0031254D">
      <w:pPr>
        <w:widowControl w:val="0"/>
        <w:pBdr>
          <w:top w:val="nil"/>
          <w:left w:val="nil"/>
          <w:bottom w:val="nil"/>
          <w:right w:val="nil"/>
          <w:between w:val="nil"/>
        </w:pBdr>
        <w:spacing w:before="257" w:line="248" w:lineRule="auto"/>
        <w:ind w:right="25" w:firstLine="7"/>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The encapsulation technique has shown significant promise for short-term storage and the conservation of germplasm in medicinal plants. The successful preservation of plant material in encapsulated form supports its potential for maintaining plant viability and regeneration over extended periods. Further optimization of this method could improve its effectiveness across a wider variety of species, making it a valuable tool in both plant conservation and biotechnological applications. </w:t>
      </w:r>
    </w:p>
    <w:p w14:paraId="7C1CACE3" w14:textId="77777777" w:rsidR="00155D4F" w:rsidRDefault="0031254D">
      <w:pPr>
        <w:widowControl w:val="0"/>
        <w:pBdr>
          <w:top w:val="nil"/>
          <w:left w:val="nil"/>
          <w:bottom w:val="nil"/>
          <w:right w:val="nil"/>
          <w:between w:val="nil"/>
        </w:pBdr>
        <w:spacing w:before="249" w:line="248" w:lineRule="auto"/>
        <w:ind w:left="2" w:right="39" w:firstLine="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In vitro culture remains an essential approach for producing high-quality planting materials, enhancing the production of secondary metabolites, and preserving the genetic diversity of medicinal plants, especially those that are rare or endangered. Despite its broad application, there is still a need for the development of standardized protocols for different medicinal species, requiring ongoing research to improve techniques. </w:t>
      </w:r>
    </w:p>
    <w:p w14:paraId="732168D6" w14:textId="3F07154B" w:rsidR="00155D4F" w:rsidRDefault="0031254D">
      <w:pPr>
        <w:widowControl w:val="0"/>
        <w:pBdr>
          <w:top w:val="nil"/>
          <w:left w:val="nil"/>
          <w:bottom w:val="nil"/>
          <w:right w:val="nil"/>
          <w:between w:val="nil"/>
        </w:pBdr>
        <w:spacing w:before="249" w:line="248" w:lineRule="auto"/>
        <w:ind w:left="2" w:right="20" w:firstLine="3"/>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Encapsulation provides an efficient means for storing plant genetic material, particularly in the short term, and offers a reliable method for conserving germplasm. By maintaining the integrity and viability of plant material, encapsulation contributes to the sustainability of medicinal plant </w:t>
      </w:r>
      <w:r>
        <w:rPr>
          <w:rFonts w:ascii="Times New Roman" w:eastAsia="Times New Roman" w:hAnsi="Times New Roman" w:cs="Times New Roman"/>
          <w:color w:val="000009"/>
          <w:sz w:val="24"/>
          <w:szCs w:val="24"/>
        </w:rPr>
        <w:lastRenderedPageBreak/>
        <w:t>resources for future cultivation and study.</w:t>
      </w:r>
    </w:p>
    <w:p w14:paraId="0DC8A163" w14:textId="64E3FCD9" w:rsidR="00991116" w:rsidRDefault="00991116">
      <w:pPr>
        <w:widowControl w:val="0"/>
        <w:pBdr>
          <w:top w:val="nil"/>
          <w:left w:val="nil"/>
          <w:bottom w:val="nil"/>
          <w:right w:val="nil"/>
          <w:between w:val="nil"/>
        </w:pBdr>
        <w:spacing w:before="249" w:line="248" w:lineRule="auto"/>
        <w:ind w:left="2" w:right="20" w:firstLine="3"/>
        <w:jc w:val="both"/>
        <w:rPr>
          <w:rFonts w:ascii="Times New Roman" w:eastAsia="Times New Roman" w:hAnsi="Times New Roman" w:cs="Times New Roman"/>
          <w:color w:val="000009"/>
          <w:sz w:val="24"/>
          <w:szCs w:val="24"/>
        </w:rPr>
      </w:pPr>
    </w:p>
    <w:p w14:paraId="540A4011" w14:textId="77777777" w:rsidR="00991116" w:rsidRPr="00991116" w:rsidRDefault="00991116" w:rsidP="00991116">
      <w:pPr>
        <w:spacing w:after="200"/>
        <w:ind w:left="720"/>
        <w:rPr>
          <w:rFonts w:ascii="Calibri" w:eastAsia="Calibri" w:hAnsi="Calibri" w:cs="Times New Roman"/>
          <w:b/>
          <w:kern w:val="2"/>
          <w:highlight w:val="yellow"/>
          <w:lang w:val="en-US" w:eastAsia="en-US"/>
          <w14:ligatures w14:val="standardContextual"/>
        </w:rPr>
      </w:pPr>
      <w:r w:rsidRPr="00991116">
        <w:rPr>
          <w:rFonts w:ascii="Calibri" w:eastAsia="Calibri" w:hAnsi="Calibri" w:cs="Times New Roman"/>
          <w:b/>
          <w:kern w:val="2"/>
          <w:highlight w:val="yellow"/>
          <w:lang w:val="en-US" w:eastAsia="en-US"/>
          <w14:ligatures w14:val="standardContextual"/>
        </w:rPr>
        <w:t>Disclaimer (Artificial intelligence)</w:t>
      </w:r>
    </w:p>
    <w:p w14:paraId="2848AFD5" w14:textId="77777777" w:rsidR="00991116" w:rsidRPr="00991116" w:rsidRDefault="00991116" w:rsidP="00991116">
      <w:pPr>
        <w:spacing w:after="200"/>
        <w:ind w:left="720"/>
        <w:rPr>
          <w:rFonts w:ascii="Calibri" w:eastAsia="Calibri" w:hAnsi="Calibri" w:cs="Times New Roman"/>
          <w:kern w:val="2"/>
          <w:highlight w:val="yellow"/>
          <w:lang w:val="en-US" w:eastAsia="en-US"/>
          <w14:ligatures w14:val="standardContextual"/>
        </w:rPr>
      </w:pPr>
      <w:r w:rsidRPr="00991116">
        <w:rPr>
          <w:rFonts w:ascii="Calibri" w:eastAsia="Calibri" w:hAnsi="Calibri" w:cs="Times New Roman"/>
          <w:kern w:val="2"/>
          <w:highlight w:val="yellow"/>
          <w:lang w:val="en-US" w:eastAsia="en-US"/>
          <w14:ligatures w14:val="standardContextual"/>
        </w:rPr>
        <w:t xml:space="preserve">Option 1: </w:t>
      </w:r>
    </w:p>
    <w:p w14:paraId="078E4830" w14:textId="77777777" w:rsidR="00991116" w:rsidRPr="00991116" w:rsidRDefault="00991116" w:rsidP="00991116">
      <w:pPr>
        <w:spacing w:after="200"/>
        <w:ind w:left="720"/>
        <w:rPr>
          <w:rFonts w:ascii="Calibri" w:eastAsia="Calibri" w:hAnsi="Calibri" w:cs="Times New Roman"/>
          <w:kern w:val="2"/>
          <w:highlight w:val="yellow"/>
          <w:lang w:val="en-US" w:eastAsia="en-US"/>
          <w14:ligatures w14:val="standardContextual"/>
        </w:rPr>
      </w:pPr>
      <w:r w:rsidRPr="00991116">
        <w:rPr>
          <w:rFonts w:ascii="Calibri" w:eastAsia="Calibri" w:hAnsi="Calibri" w:cs="Times New Roman"/>
          <w:kern w:val="2"/>
          <w:highlight w:val="yellow"/>
          <w:lang w:val="en-US" w:eastAsia="en-US"/>
          <w14:ligatures w14:val="standardContextual"/>
        </w:rPr>
        <w:t>Author(s) hereby declare that NO generative AI technologies such as Large Language Models (</w:t>
      </w:r>
      <w:proofErr w:type="spellStart"/>
      <w:r w:rsidRPr="00991116">
        <w:rPr>
          <w:rFonts w:ascii="Calibri" w:eastAsia="Calibri" w:hAnsi="Calibri" w:cs="Times New Roman"/>
          <w:kern w:val="2"/>
          <w:highlight w:val="yellow"/>
          <w:lang w:val="en-US" w:eastAsia="en-US"/>
          <w14:ligatures w14:val="standardContextual"/>
        </w:rPr>
        <w:t>ChatGPT</w:t>
      </w:r>
      <w:proofErr w:type="spellEnd"/>
      <w:r w:rsidRPr="00991116">
        <w:rPr>
          <w:rFonts w:ascii="Calibri" w:eastAsia="Calibri" w:hAnsi="Calibri" w:cs="Times New Roman"/>
          <w:kern w:val="2"/>
          <w:highlight w:val="yellow"/>
          <w:lang w:val="en-US" w:eastAsia="en-US"/>
          <w14:ligatures w14:val="standardContextual"/>
        </w:rPr>
        <w:t xml:space="preserve">, COPILOT, etc.) and text-to-image generators have been used during the writing or editing of this manuscript. </w:t>
      </w:r>
    </w:p>
    <w:p w14:paraId="787409B0" w14:textId="77777777" w:rsidR="00991116" w:rsidRPr="00991116" w:rsidRDefault="00991116" w:rsidP="00991116">
      <w:pPr>
        <w:spacing w:after="200"/>
        <w:ind w:left="720"/>
        <w:rPr>
          <w:rFonts w:ascii="Calibri" w:eastAsia="Calibri" w:hAnsi="Calibri" w:cs="Times New Roman"/>
          <w:kern w:val="2"/>
          <w:highlight w:val="yellow"/>
          <w:lang w:val="en-US" w:eastAsia="en-US"/>
          <w14:ligatures w14:val="standardContextual"/>
        </w:rPr>
      </w:pPr>
      <w:r w:rsidRPr="00991116">
        <w:rPr>
          <w:rFonts w:ascii="Calibri" w:eastAsia="Calibri" w:hAnsi="Calibri" w:cs="Times New Roman"/>
          <w:kern w:val="2"/>
          <w:highlight w:val="yellow"/>
          <w:lang w:val="en-US" w:eastAsia="en-US"/>
          <w14:ligatures w14:val="standardContextual"/>
        </w:rPr>
        <w:t xml:space="preserve">Option 2: </w:t>
      </w:r>
    </w:p>
    <w:p w14:paraId="16A4A43E" w14:textId="77777777" w:rsidR="00991116" w:rsidRPr="00991116" w:rsidRDefault="00991116" w:rsidP="00991116">
      <w:pPr>
        <w:spacing w:after="200"/>
        <w:ind w:left="720"/>
        <w:rPr>
          <w:rFonts w:ascii="Calibri" w:eastAsia="Calibri" w:hAnsi="Calibri" w:cs="Times New Roman"/>
          <w:kern w:val="2"/>
          <w:highlight w:val="yellow"/>
          <w:lang w:val="en-US" w:eastAsia="en-US"/>
          <w14:ligatures w14:val="standardContextual"/>
        </w:rPr>
      </w:pPr>
      <w:r w:rsidRPr="00991116">
        <w:rPr>
          <w:rFonts w:ascii="Calibri" w:eastAsia="Calibri" w:hAnsi="Calibri" w:cs="Times New Roman"/>
          <w:kern w:val="2"/>
          <w:highlight w:val="yellow"/>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3DA960" w14:textId="77777777" w:rsidR="00991116" w:rsidRPr="00991116" w:rsidRDefault="00991116" w:rsidP="00991116">
      <w:pPr>
        <w:spacing w:after="200"/>
        <w:ind w:left="720"/>
        <w:rPr>
          <w:rFonts w:ascii="Calibri" w:eastAsia="Calibri" w:hAnsi="Calibri" w:cs="Times New Roman"/>
          <w:kern w:val="2"/>
          <w:highlight w:val="yellow"/>
          <w:lang w:val="en-US" w:eastAsia="en-US"/>
          <w14:ligatures w14:val="standardContextual"/>
        </w:rPr>
      </w:pPr>
      <w:r w:rsidRPr="00991116">
        <w:rPr>
          <w:rFonts w:ascii="Calibri" w:eastAsia="Calibri" w:hAnsi="Calibri" w:cs="Times New Roman"/>
          <w:kern w:val="2"/>
          <w:highlight w:val="yellow"/>
          <w:lang w:val="en-US" w:eastAsia="en-US"/>
          <w14:ligatures w14:val="standardContextual"/>
        </w:rPr>
        <w:t>Details of the AI usage are given below:</w:t>
      </w:r>
    </w:p>
    <w:p w14:paraId="6997B352" w14:textId="77777777" w:rsidR="00991116" w:rsidRPr="00991116" w:rsidRDefault="00991116" w:rsidP="00991116">
      <w:pPr>
        <w:spacing w:after="200"/>
        <w:ind w:left="720"/>
        <w:rPr>
          <w:rFonts w:ascii="Calibri" w:eastAsia="Calibri" w:hAnsi="Calibri" w:cs="Times New Roman"/>
          <w:kern w:val="2"/>
          <w:highlight w:val="yellow"/>
          <w:lang w:val="en-US" w:eastAsia="en-US"/>
          <w14:ligatures w14:val="standardContextual"/>
        </w:rPr>
      </w:pPr>
      <w:r w:rsidRPr="00991116">
        <w:rPr>
          <w:rFonts w:ascii="Calibri" w:eastAsia="Calibri" w:hAnsi="Calibri" w:cs="Times New Roman"/>
          <w:kern w:val="2"/>
          <w:highlight w:val="yellow"/>
          <w:lang w:val="en-US" w:eastAsia="en-US"/>
          <w14:ligatures w14:val="standardContextual"/>
        </w:rPr>
        <w:t>1.</w:t>
      </w:r>
      <w:r w:rsidRPr="00991116">
        <w:rPr>
          <w:rFonts w:ascii="Calibri" w:eastAsia="Calibri" w:hAnsi="Calibri" w:cs="Times New Roman"/>
          <w:kern w:val="2"/>
          <w:lang w:val="en-US" w:eastAsia="en-US"/>
          <w14:ligatures w14:val="standardContextual"/>
        </w:rPr>
        <w:t xml:space="preserve"> </w:t>
      </w:r>
    </w:p>
    <w:p w14:paraId="7BC73CC2" w14:textId="77777777" w:rsidR="00991116" w:rsidRPr="00991116" w:rsidRDefault="00991116" w:rsidP="00991116">
      <w:pPr>
        <w:spacing w:after="200"/>
        <w:ind w:left="720"/>
        <w:rPr>
          <w:rFonts w:ascii="Calibri" w:eastAsia="Calibri" w:hAnsi="Calibri" w:cs="Times New Roman"/>
          <w:kern w:val="2"/>
          <w:highlight w:val="yellow"/>
          <w:lang w:val="en-US" w:eastAsia="en-US"/>
          <w14:ligatures w14:val="standardContextual"/>
        </w:rPr>
      </w:pPr>
      <w:r w:rsidRPr="00991116">
        <w:rPr>
          <w:rFonts w:ascii="Calibri" w:eastAsia="Calibri" w:hAnsi="Calibri" w:cs="Times New Roman"/>
          <w:kern w:val="2"/>
          <w:highlight w:val="yellow"/>
          <w:lang w:val="en-US" w:eastAsia="en-US"/>
          <w14:ligatures w14:val="standardContextual"/>
        </w:rPr>
        <w:t>2.</w:t>
      </w:r>
    </w:p>
    <w:p w14:paraId="2572D4DD" w14:textId="77777777" w:rsidR="00991116" w:rsidRPr="00991116" w:rsidRDefault="00991116" w:rsidP="00991116">
      <w:pPr>
        <w:spacing w:after="200"/>
        <w:ind w:left="720"/>
        <w:rPr>
          <w:rFonts w:ascii="Calibri" w:eastAsia="Calibri" w:hAnsi="Calibri" w:cs="Times New Roman"/>
          <w:kern w:val="2"/>
          <w:highlight w:val="yellow"/>
          <w:lang w:val="en-US" w:eastAsia="en-US"/>
          <w14:ligatures w14:val="standardContextual"/>
        </w:rPr>
      </w:pPr>
      <w:r w:rsidRPr="00991116">
        <w:rPr>
          <w:rFonts w:ascii="Calibri" w:eastAsia="Calibri" w:hAnsi="Calibri" w:cs="Times New Roman"/>
          <w:kern w:val="2"/>
          <w:highlight w:val="yellow"/>
          <w:lang w:val="en-US" w:eastAsia="en-US"/>
          <w14:ligatures w14:val="standardContextual"/>
        </w:rPr>
        <w:t>3.</w:t>
      </w:r>
    </w:p>
    <w:p w14:paraId="1967FF47" w14:textId="77777777" w:rsidR="00991116" w:rsidRDefault="00991116">
      <w:pPr>
        <w:widowControl w:val="0"/>
        <w:pBdr>
          <w:top w:val="nil"/>
          <w:left w:val="nil"/>
          <w:bottom w:val="nil"/>
          <w:right w:val="nil"/>
          <w:between w:val="nil"/>
        </w:pBdr>
        <w:spacing w:before="249" w:line="248" w:lineRule="auto"/>
        <w:ind w:left="2" w:right="20" w:firstLine="3"/>
        <w:jc w:val="both"/>
        <w:rPr>
          <w:rFonts w:ascii="Times New Roman" w:eastAsia="Times New Roman" w:hAnsi="Times New Roman" w:cs="Times New Roman"/>
          <w:color w:val="000009"/>
          <w:sz w:val="24"/>
          <w:szCs w:val="24"/>
        </w:rPr>
      </w:pPr>
    </w:p>
    <w:p w14:paraId="7BAC6652"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2D223CC8"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4D2175AA"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36D999D0"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1F5C3F43"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63BFDAFE" w14:textId="7EFA157F" w:rsidR="00155D4F" w:rsidRDefault="0031254D" w:rsidP="00BC5DA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REFERENCES</w:t>
      </w:r>
      <w:r>
        <w:rPr>
          <w:rFonts w:ascii="Times New Roman" w:eastAsia="Times New Roman" w:hAnsi="Times New Roman" w:cs="Times New Roman"/>
          <w:color w:val="000000"/>
          <w:sz w:val="24"/>
          <w:szCs w:val="24"/>
        </w:rPr>
        <w:t xml:space="preserve">- </w:t>
      </w:r>
    </w:p>
    <w:p w14:paraId="524128D9" w14:textId="77777777" w:rsidR="00155D4F" w:rsidRDefault="0031254D">
      <w:pPr>
        <w:widowControl w:val="0"/>
        <w:pBdr>
          <w:top w:val="nil"/>
          <w:left w:val="nil"/>
          <w:bottom w:val="nil"/>
          <w:right w:val="nil"/>
          <w:between w:val="nil"/>
        </w:pBdr>
        <w:spacing w:line="229" w:lineRule="auto"/>
        <w:ind w:left="548" w:right="906" w:firstLine="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 Krishna, B. Jigar, and P. </w:t>
      </w:r>
      <w:proofErr w:type="spellStart"/>
      <w:r>
        <w:rPr>
          <w:rFonts w:ascii="Times New Roman" w:eastAsia="Times New Roman" w:hAnsi="Times New Roman" w:cs="Times New Roman"/>
          <w:color w:val="000000"/>
          <w:sz w:val="24"/>
          <w:szCs w:val="24"/>
        </w:rPr>
        <w:t>Jagruti</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Guduchi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Biological and medicinal properties, a review," </w:t>
      </w:r>
      <w:r>
        <w:rPr>
          <w:rFonts w:ascii="Times New Roman" w:eastAsia="Times New Roman" w:hAnsi="Times New Roman" w:cs="Times New Roman"/>
          <w:i/>
          <w:color w:val="000000"/>
          <w:sz w:val="24"/>
          <w:szCs w:val="24"/>
        </w:rPr>
        <w:t>The Internet Journal of Alternative Medicine</w:t>
      </w:r>
      <w:r>
        <w:rPr>
          <w:rFonts w:ascii="Times New Roman" w:eastAsia="Times New Roman" w:hAnsi="Times New Roman" w:cs="Times New Roman"/>
          <w:color w:val="000000"/>
          <w:sz w:val="24"/>
          <w:szCs w:val="24"/>
        </w:rPr>
        <w:t xml:space="preserve">, vol. 6, no. 2, 2008, pp. 1-8. </w:t>
      </w:r>
    </w:p>
    <w:p w14:paraId="28C90039" w14:textId="77777777" w:rsidR="00155D4F" w:rsidRDefault="0031254D">
      <w:pPr>
        <w:widowControl w:val="0"/>
        <w:pBdr>
          <w:top w:val="nil"/>
          <w:left w:val="nil"/>
          <w:bottom w:val="nil"/>
          <w:right w:val="nil"/>
          <w:between w:val="nil"/>
        </w:pBdr>
        <w:spacing w:before="246" w:line="229" w:lineRule="auto"/>
        <w:ind w:left="564" w:right="875"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 Arunachalam, X. Yang, and T. T. San, "</w:t>
      </w:r>
      <w:proofErr w:type="spellStart"/>
      <w:r>
        <w:rPr>
          <w:rFonts w:ascii="Times New Roman" w:eastAsia="Times New Roman" w:hAnsi="Times New Roman" w:cs="Times New Roman"/>
          <w:color w:val="000000"/>
          <w:sz w:val="24"/>
          <w:szCs w:val="24"/>
        </w:rPr>
        <w:t>Tinospora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cordifolia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Miers</w:t>
      </w:r>
      <w:proofErr w:type="spellEnd"/>
      <w:r>
        <w:rPr>
          <w:rFonts w:ascii="Times New Roman" w:eastAsia="Times New Roman" w:hAnsi="Times New Roman" w:cs="Times New Roman"/>
          <w:color w:val="000000"/>
          <w:sz w:val="24"/>
          <w:szCs w:val="24"/>
        </w:rPr>
        <w:t xml:space="preserve">: Protection mechanisms and strategies against oxidative stress-related diseases," </w:t>
      </w:r>
      <w:r>
        <w:rPr>
          <w:rFonts w:ascii="Times New Roman" w:eastAsia="Times New Roman" w:hAnsi="Times New Roman" w:cs="Times New Roman"/>
          <w:i/>
          <w:color w:val="000000"/>
          <w:sz w:val="24"/>
          <w:szCs w:val="24"/>
        </w:rPr>
        <w:t>Journal of Ethnopharmacology</w:t>
      </w:r>
      <w:r>
        <w:rPr>
          <w:rFonts w:ascii="Times New Roman" w:eastAsia="Times New Roman" w:hAnsi="Times New Roman" w:cs="Times New Roman"/>
          <w:color w:val="000000"/>
          <w:sz w:val="24"/>
          <w:szCs w:val="24"/>
        </w:rPr>
        <w:t xml:space="preserve">, vol. 283, 30 January 2022, 114540. </w:t>
      </w:r>
    </w:p>
    <w:p w14:paraId="421A5A0E" w14:textId="77777777" w:rsidR="00155D4F" w:rsidRDefault="0031254D">
      <w:pPr>
        <w:widowControl w:val="0"/>
        <w:pBdr>
          <w:top w:val="nil"/>
          <w:left w:val="nil"/>
          <w:bottom w:val="nil"/>
          <w:right w:val="nil"/>
          <w:between w:val="nil"/>
        </w:pBdr>
        <w:spacing w:before="246" w:line="229" w:lineRule="auto"/>
        <w:ind w:left="566" w:right="905"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 Sharma, B. P. </w:t>
      </w:r>
      <w:proofErr w:type="spellStart"/>
      <w:r>
        <w:rPr>
          <w:rFonts w:ascii="Times New Roman" w:eastAsia="Times New Roman" w:hAnsi="Times New Roman" w:cs="Times New Roman"/>
          <w:color w:val="000000"/>
          <w:sz w:val="24"/>
          <w:szCs w:val="24"/>
        </w:rPr>
        <w:t>Dwivedee</w:t>
      </w:r>
      <w:proofErr w:type="spellEnd"/>
      <w:r>
        <w:rPr>
          <w:rFonts w:ascii="Times New Roman" w:eastAsia="Times New Roman" w:hAnsi="Times New Roman" w:cs="Times New Roman"/>
          <w:color w:val="000000"/>
          <w:sz w:val="24"/>
          <w:szCs w:val="24"/>
        </w:rPr>
        <w:t xml:space="preserve">, D. Bisht, A. K. Dash, and D. Kumar, "The chemical constituents and diverse pharmacological importance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Journal Name</w:t>
      </w:r>
      <w:r>
        <w:rPr>
          <w:rFonts w:ascii="Times New Roman" w:eastAsia="Times New Roman" w:hAnsi="Times New Roman" w:cs="Times New Roman"/>
          <w:color w:val="000000"/>
          <w:sz w:val="24"/>
          <w:szCs w:val="24"/>
        </w:rPr>
        <w:t xml:space="preserve">, vol. 5, art. e02437, 2019. </w:t>
      </w:r>
    </w:p>
    <w:p w14:paraId="07FDB2A4" w14:textId="77777777" w:rsidR="00155D4F" w:rsidRDefault="0031254D">
      <w:pPr>
        <w:widowControl w:val="0"/>
        <w:pBdr>
          <w:top w:val="nil"/>
          <w:left w:val="nil"/>
          <w:bottom w:val="nil"/>
          <w:right w:val="nil"/>
          <w:between w:val="nil"/>
        </w:pBdr>
        <w:spacing w:before="281" w:line="229" w:lineRule="auto"/>
        <w:ind w:left="567" w:right="906" w:firstLine="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R. Verma and A. B. Khan, "Antioxidant, immunomodulatory and anticancer potential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 A review," </w:t>
      </w:r>
      <w:r>
        <w:rPr>
          <w:rFonts w:ascii="Times New Roman" w:eastAsia="Times New Roman" w:hAnsi="Times New Roman" w:cs="Times New Roman"/>
          <w:i/>
          <w:color w:val="000000"/>
          <w:sz w:val="24"/>
          <w:szCs w:val="24"/>
        </w:rPr>
        <w:t>International Journal of Pharmacy and Biological Sciences</w:t>
      </w:r>
      <w:r>
        <w:rPr>
          <w:rFonts w:ascii="Times New Roman" w:eastAsia="Times New Roman" w:hAnsi="Times New Roman" w:cs="Times New Roman"/>
          <w:color w:val="000000"/>
          <w:sz w:val="24"/>
          <w:szCs w:val="24"/>
        </w:rPr>
        <w:t xml:space="preserve">, vol. 8, no. 3, pp. 54-69, Jul.-Sept. 2018. </w:t>
      </w:r>
    </w:p>
    <w:p w14:paraId="2ABAF21B" w14:textId="77777777" w:rsidR="00155D4F" w:rsidRDefault="0031254D">
      <w:pPr>
        <w:widowControl w:val="0"/>
        <w:pBdr>
          <w:top w:val="nil"/>
          <w:left w:val="nil"/>
          <w:bottom w:val="nil"/>
          <w:right w:val="nil"/>
          <w:between w:val="nil"/>
        </w:pBdr>
        <w:spacing w:before="281" w:line="229" w:lineRule="auto"/>
        <w:ind w:left="562" w:right="915" w:firstLine="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Author(s), "Conservation of medicinal plants by tissue culture techniques," in </w:t>
      </w:r>
      <w:r>
        <w:rPr>
          <w:rFonts w:ascii="Times New Roman" w:eastAsia="Times New Roman" w:hAnsi="Times New Roman" w:cs="Times New Roman"/>
          <w:i/>
          <w:color w:val="000000"/>
          <w:sz w:val="24"/>
          <w:szCs w:val="24"/>
        </w:rPr>
        <w:t>Medicinal Plants: Biodiversity, Biotechnology and Conservation, Sustainable Development and Biodiversity</w:t>
      </w:r>
      <w:r>
        <w:rPr>
          <w:rFonts w:ascii="Times New Roman" w:eastAsia="Times New Roman" w:hAnsi="Times New Roman" w:cs="Times New Roman"/>
          <w:color w:val="000000"/>
          <w:sz w:val="24"/>
          <w:szCs w:val="24"/>
        </w:rPr>
        <w:t xml:space="preserve">, Springer, March 2023, pp. 1-24, doi:10.1007/978-981-19-9936-9_27. </w:t>
      </w:r>
    </w:p>
    <w:p w14:paraId="60E6B5F2" w14:textId="77777777" w:rsidR="00155D4F" w:rsidRDefault="0031254D">
      <w:pPr>
        <w:widowControl w:val="0"/>
        <w:pBdr>
          <w:top w:val="nil"/>
          <w:left w:val="nil"/>
          <w:bottom w:val="nil"/>
          <w:right w:val="nil"/>
          <w:between w:val="nil"/>
        </w:pBdr>
        <w:spacing w:before="281" w:line="229" w:lineRule="auto"/>
        <w:ind w:left="560" w:right="912" w:firstLin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A. Prasad, P. Patel, M. Kumari, G. Saxena, D. Chakrabarty, and S. S. Singh, "A literature update on strategies for harnessing and conserving the bioactive phytochemicals from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Current status, challenges, and future prospects," in </w:t>
      </w:r>
      <w:r>
        <w:rPr>
          <w:rFonts w:ascii="Times New Roman" w:eastAsia="Times New Roman" w:hAnsi="Times New Roman" w:cs="Times New Roman"/>
          <w:i/>
          <w:color w:val="000000"/>
          <w:sz w:val="24"/>
          <w:szCs w:val="24"/>
        </w:rPr>
        <w:t>Plants for Immunity and Conservation Strategies</w:t>
      </w:r>
      <w:r>
        <w:rPr>
          <w:rFonts w:ascii="Times New Roman" w:eastAsia="Times New Roman" w:hAnsi="Times New Roman" w:cs="Times New Roman"/>
          <w:color w:val="000000"/>
          <w:sz w:val="24"/>
          <w:szCs w:val="24"/>
        </w:rPr>
        <w:t xml:space="preserve">, pp. 1–20, First Online: 26 July 2023. </w:t>
      </w:r>
    </w:p>
    <w:p w14:paraId="0DDEF157" w14:textId="77777777" w:rsidR="00155D4F" w:rsidRDefault="0031254D">
      <w:pPr>
        <w:widowControl w:val="0"/>
        <w:pBdr>
          <w:top w:val="nil"/>
          <w:left w:val="nil"/>
          <w:bottom w:val="nil"/>
          <w:right w:val="nil"/>
          <w:between w:val="nil"/>
        </w:pBdr>
        <w:spacing w:before="281" w:line="229" w:lineRule="auto"/>
        <w:ind w:left="518" w:right="808" w:firstLine="61"/>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lang w:val="it-IT"/>
        </w:rPr>
        <w:t xml:space="preserve">[7] Fathi, F., Ebrahimi, S. N., Rocha, F., &amp; Estevinho, B. N. (2021). </w:t>
      </w:r>
      <w:r>
        <w:rPr>
          <w:rFonts w:ascii="Times New Roman" w:eastAsia="Times New Roman" w:hAnsi="Times New Roman" w:cs="Times New Roman"/>
          <w:color w:val="000000"/>
          <w:sz w:val="24"/>
          <w:szCs w:val="24"/>
        </w:rPr>
        <w:t xml:space="preserve">Encapsulation of extracts from Middle East medicinal plants and its advantages – A review article. </w:t>
      </w:r>
      <w:r>
        <w:rPr>
          <w:rFonts w:ascii="Times New Roman" w:eastAsia="Times New Roman" w:hAnsi="Times New Roman" w:cs="Times New Roman"/>
          <w:i/>
          <w:color w:val="000000"/>
          <w:sz w:val="24"/>
          <w:szCs w:val="24"/>
        </w:rPr>
        <w:t>Department of Phytochemistry, Medicinal Plants and Drugs Research Institute, Shahid Beheshti University, Iran, and LEPABE – Laboratory for Process Engineering, Environment, Biotechnology and Energy, Faculty of Engineering, University of Porto, Portugal</w:t>
      </w:r>
      <w:r>
        <w:rPr>
          <w:rFonts w:ascii="Times New Roman" w:eastAsia="Times New Roman" w:hAnsi="Times New Roman" w:cs="Times New Roman"/>
          <w:color w:val="000000"/>
          <w:sz w:val="24"/>
          <w:szCs w:val="24"/>
        </w:rPr>
        <w:t xml:space="preserve">. Received January 22, 2021. </w:t>
      </w:r>
    </w:p>
    <w:p w14:paraId="3CDD43B6" w14:textId="77777777" w:rsidR="00155D4F" w:rsidRDefault="0031254D">
      <w:pPr>
        <w:widowControl w:val="0"/>
        <w:pBdr>
          <w:top w:val="nil"/>
          <w:left w:val="nil"/>
          <w:bottom w:val="nil"/>
          <w:right w:val="nil"/>
          <w:between w:val="nil"/>
        </w:pBdr>
        <w:spacing w:before="166" w:line="229" w:lineRule="auto"/>
        <w:ind w:left="568" w:right="819"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M. B. </w:t>
      </w:r>
      <w:proofErr w:type="spellStart"/>
      <w:r>
        <w:rPr>
          <w:rFonts w:ascii="Times New Roman" w:eastAsia="Times New Roman" w:hAnsi="Times New Roman" w:cs="Times New Roman"/>
          <w:color w:val="000000"/>
          <w:sz w:val="24"/>
          <w:szCs w:val="24"/>
        </w:rPr>
        <w:t>Pithiya</w:t>
      </w:r>
      <w:proofErr w:type="spellEnd"/>
      <w:r>
        <w:rPr>
          <w:rFonts w:ascii="Times New Roman" w:eastAsia="Times New Roman" w:hAnsi="Times New Roman" w:cs="Times New Roman"/>
          <w:color w:val="000000"/>
          <w:sz w:val="24"/>
          <w:szCs w:val="24"/>
        </w:rPr>
        <w:t xml:space="preserve">, S. K. Sharma, M. Sharma, M. Sharma, and N. Kotwal, "Advancements and challenges in plant tissue culture: A comprehensive overview,". </w:t>
      </w:r>
    </w:p>
    <w:p w14:paraId="0F7B844C" w14:textId="77777777" w:rsidR="00155D4F" w:rsidRDefault="0031254D">
      <w:pPr>
        <w:widowControl w:val="0"/>
        <w:pBdr>
          <w:top w:val="nil"/>
          <w:left w:val="nil"/>
          <w:bottom w:val="nil"/>
          <w:right w:val="nil"/>
          <w:between w:val="nil"/>
        </w:pBdr>
        <w:spacing w:before="166" w:line="229" w:lineRule="auto"/>
        <w:ind w:left="562" w:right="809" w:firstLine="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S. </w:t>
      </w:r>
      <w:proofErr w:type="spellStart"/>
      <w:r>
        <w:rPr>
          <w:rFonts w:ascii="Times New Roman" w:eastAsia="Times New Roman" w:hAnsi="Times New Roman" w:cs="Times New Roman"/>
          <w:color w:val="000000"/>
          <w:sz w:val="24"/>
          <w:szCs w:val="24"/>
        </w:rPr>
        <w:t>Gantait</w:t>
      </w:r>
      <w:proofErr w:type="spellEnd"/>
      <w:r>
        <w:rPr>
          <w:rFonts w:ascii="Times New Roman" w:eastAsia="Times New Roman" w:hAnsi="Times New Roman" w:cs="Times New Roman"/>
          <w:color w:val="000000"/>
          <w:sz w:val="24"/>
          <w:szCs w:val="24"/>
        </w:rPr>
        <w:t xml:space="preserve">, S. Kundu, N. Ali, and N. C. </w:t>
      </w:r>
      <w:proofErr w:type="spellStart"/>
      <w:r>
        <w:rPr>
          <w:rFonts w:ascii="Times New Roman" w:eastAsia="Times New Roman" w:hAnsi="Times New Roman" w:cs="Times New Roman"/>
          <w:color w:val="000000"/>
          <w:sz w:val="24"/>
          <w:szCs w:val="24"/>
        </w:rPr>
        <w:t>Sahu</w:t>
      </w:r>
      <w:proofErr w:type="spellEnd"/>
      <w:r>
        <w:rPr>
          <w:rFonts w:ascii="Times New Roman" w:eastAsia="Times New Roman" w:hAnsi="Times New Roman" w:cs="Times New Roman"/>
          <w:color w:val="000000"/>
          <w:sz w:val="24"/>
          <w:szCs w:val="24"/>
        </w:rPr>
        <w:t xml:space="preserve">, "Synthetic seed production of medicinal plants: A review on influence of explants, encapsulation agent and matrix," </w:t>
      </w:r>
      <w:r>
        <w:rPr>
          <w:rFonts w:ascii="Times New Roman" w:eastAsia="Times New Roman" w:hAnsi="Times New Roman" w:cs="Times New Roman"/>
          <w:i/>
          <w:color w:val="000000"/>
          <w:sz w:val="24"/>
          <w:szCs w:val="24"/>
        </w:rPr>
        <w:t xml:space="preserve">Acta </w:t>
      </w:r>
      <w:proofErr w:type="spellStart"/>
      <w:r>
        <w:rPr>
          <w:rFonts w:ascii="Times New Roman" w:eastAsia="Times New Roman" w:hAnsi="Times New Roman" w:cs="Times New Roman"/>
          <w:i/>
          <w:color w:val="000000"/>
          <w:sz w:val="24"/>
          <w:szCs w:val="24"/>
        </w:rPr>
        <w:t>Physiologiae</w:t>
      </w:r>
      <w:proofErr w:type="spellEnd"/>
      <w:r>
        <w:rPr>
          <w:rFonts w:ascii="Times New Roman" w:eastAsia="Times New Roman" w:hAnsi="Times New Roman" w:cs="Times New Roman"/>
          <w:i/>
          <w:color w:val="000000"/>
          <w:sz w:val="24"/>
          <w:szCs w:val="24"/>
        </w:rPr>
        <w:t xml:space="preserve"> Plantarum</w:t>
      </w:r>
      <w:r>
        <w:rPr>
          <w:rFonts w:ascii="Times New Roman" w:eastAsia="Times New Roman" w:hAnsi="Times New Roman" w:cs="Times New Roman"/>
          <w:color w:val="000000"/>
          <w:sz w:val="24"/>
          <w:szCs w:val="24"/>
        </w:rPr>
        <w:t>, vol. 37, art. 98, 2015.</w:t>
      </w:r>
    </w:p>
    <w:p w14:paraId="108F0FA9" w14:textId="77777777" w:rsidR="00155D4F" w:rsidRDefault="0031254D">
      <w:pPr>
        <w:widowControl w:val="0"/>
        <w:pBdr>
          <w:top w:val="nil"/>
          <w:left w:val="nil"/>
          <w:bottom w:val="nil"/>
          <w:right w:val="nil"/>
          <w:between w:val="nil"/>
        </w:pBdr>
        <w:spacing w:line="229" w:lineRule="auto"/>
        <w:ind w:left="568" w:right="805"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S. Singh, M. K. Tripathi, S. Tiwari, N. Tripathi, G. </w:t>
      </w:r>
      <w:proofErr w:type="spellStart"/>
      <w:r>
        <w:rPr>
          <w:rFonts w:ascii="Times New Roman" w:eastAsia="Times New Roman" w:hAnsi="Times New Roman" w:cs="Times New Roman"/>
          <w:color w:val="000000"/>
          <w:sz w:val="24"/>
          <w:szCs w:val="24"/>
        </w:rPr>
        <w:t>Tejovathi</w:t>
      </w:r>
      <w:proofErr w:type="spellEnd"/>
      <w:r>
        <w:rPr>
          <w:rFonts w:ascii="Times New Roman" w:eastAsia="Times New Roman" w:hAnsi="Times New Roman" w:cs="Times New Roman"/>
          <w:color w:val="000000"/>
          <w:sz w:val="24"/>
          <w:szCs w:val="24"/>
        </w:rPr>
        <w:t xml:space="preserve">, A. Ahuja, and S. Tiwari, "Production of synthetic seed from encapsulated nodal segments of </w:t>
      </w:r>
      <w:proofErr w:type="spellStart"/>
      <w:r>
        <w:rPr>
          <w:rFonts w:ascii="Times New Roman" w:eastAsia="Times New Roman" w:hAnsi="Times New Roman" w:cs="Times New Roman"/>
          <w:color w:val="000000"/>
          <w:sz w:val="24"/>
          <w:szCs w:val="24"/>
        </w:rPr>
        <w:t>Giloe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Willd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Research Directions in Sustainable Technology</w:t>
      </w:r>
      <w:r>
        <w:rPr>
          <w:rFonts w:ascii="Times New Roman" w:eastAsia="Times New Roman" w:hAnsi="Times New Roman" w:cs="Times New Roman"/>
          <w:color w:val="000000"/>
          <w:sz w:val="24"/>
          <w:szCs w:val="24"/>
        </w:rPr>
        <w:t xml:space="preserve">, vol. 2, article 2400B, </w:t>
      </w:r>
    </w:p>
    <w:p w14:paraId="5B5874C6" w14:textId="77777777" w:rsidR="00155D4F" w:rsidRDefault="0031254D">
      <w:pPr>
        <w:widowControl w:val="0"/>
        <w:pBdr>
          <w:top w:val="nil"/>
          <w:left w:val="nil"/>
          <w:bottom w:val="nil"/>
          <w:right w:val="nil"/>
          <w:between w:val="nil"/>
        </w:pBdr>
        <w:spacing w:before="166" w:line="229" w:lineRule="auto"/>
        <w:ind w:left="554" w:right="804"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V. Singh, A. Tyagi, P. K. Chauhan, P. Kumari, and S. Kaushal, "Identification and prevention of bacterial contamination on explant used in plant tissue culture labs," </w:t>
      </w:r>
      <w:r>
        <w:rPr>
          <w:rFonts w:ascii="Times New Roman" w:eastAsia="Times New Roman" w:hAnsi="Times New Roman" w:cs="Times New Roman"/>
          <w:i/>
          <w:color w:val="000000"/>
          <w:sz w:val="24"/>
          <w:szCs w:val="24"/>
        </w:rPr>
        <w:t>International Journal of Pharmacy and Pharmaceutical Sciences</w:t>
      </w:r>
      <w:r>
        <w:rPr>
          <w:rFonts w:ascii="Times New Roman" w:eastAsia="Times New Roman" w:hAnsi="Times New Roman" w:cs="Times New Roman"/>
          <w:color w:val="000000"/>
          <w:sz w:val="24"/>
          <w:szCs w:val="24"/>
        </w:rPr>
        <w:t xml:space="preserve">, vol. 3, no. 4, 2011, pp. </w:t>
      </w:r>
    </w:p>
    <w:p w14:paraId="6B84BA7A" w14:textId="77777777" w:rsidR="00155D4F" w:rsidRDefault="0031254D">
      <w:pPr>
        <w:widowControl w:val="0"/>
        <w:pBdr>
          <w:top w:val="nil"/>
          <w:left w:val="nil"/>
          <w:bottom w:val="nil"/>
          <w:right w:val="nil"/>
          <w:between w:val="nil"/>
        </w:pBdr>
        <w:spacing w:before="166" w:line="229" w:lineRule="auto"/>
        <w:ind w:left="568" w:right="821"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Singh, P. R., &amp; Singh, L. J. (2021). In vitro propagation for improvement of medicinal plants: A review. </w:t>
      </w:r>
      <w:r>
        <w:rPr>
          <w:rFonts w:ascii="Times New Roman" w:eastAsia="Times New Roman" w:hAnsi="Times New Roman" w:cs="Times New Roman"/>
          <w:i/>
          <w:color w:val="000000"/>
          <w:sz w:val="24"/>
          <w:szCs w:val="24"/>
        </w:rPr>
        <w:t>Journal of Pharmacognosy and Phytochemistry</w:t>
      </w:r>
      <w:r>
        <w:rPr>
          <w:rFonts w:ascii="Times New Roman" w:eastAsia="Times New Roman" w:hAnsi="Times New Roman" w:cs="Times New Roman"/>
          <w:color w:val="000000"/>
          <w:sz w:val="24"/>
          <w:szCs w:val="24"/>
        </w:rPr>
        <w:t xml:space="preserve">, 10(1). </w:t>
      </w:r>
    </w:p>
    <w:p w14:paraId="5DF2BF66" w14:textId="77777777" w:rsidR="00155D4F" w:rsidRDefault="0031254D">
      <w:pPr>
        <w:widowControl w:val="0"/>
        <w:pBdr>
          <w:top w:val="nil"/>
          <w:left w:val="nil"/>
          <w:bottom w:val="nil"/>
          <w:right w:val="nil"/>
          <w:between w:val="nil"/>
        </w:pBdr>
        <w:spacing w:before="166" w:line="229" w:lineRule="auto"/>
        <w:ind w:left="554" w:right="803"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S. Saha, C. Sengupta, and P. Ghosh, "Encapsulation, short-term storage, conservation and molecular analysis to assess genetic stability in alginate-encapsulated </w:t>
      </w:r>
      <w:proofErr w:type="spellStart"/>
      <w:r>
        <w:rPr>
          <w:rFonts w:ascii="Times New Roman" w:eastAsia="Times New Roman" w:hAnsi="Times New Roman" w:cs="Times New Roman"/>
          <w:color w:val="000000"/>
          <w:sz w:val="24"/>
          <w:szCs w:val="24"/>
        </w:rPr>
        <w:t>microshoots</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i/>
          <w:color w:val="000000"/>
          <w:sz w:val="24"/>
          <w:szCs w:val="24"/>
        </w:rPr>
        <w:t>Ocimum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kilimandscharicum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Guerke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Plant Cell, Tissue and Organ Culture (PCTOC)</w:t>
      </w:r>
      <w:r>
        <w:rPr>
          <w:rFonts w:ascii="Times New Roman" w:eastAsia="Times New Roman" w:hAnsi="Times New Roman" w:cs="Times New Roman"/>
          <w:color w:val="000000"/>
          <w:sz w:val="24"/>
          <w:szCs w:val="24"/>
        </w:rPr>
        <w:t xml:space="preserve">, vol. 120, pp. 519-530, 2015, published 14 </w:t>
      </w:r>
      <w:r>
        <w:rPr>
          <w:rFonts w:ascii="Times New Roman" w:eastAsia="Times New Roman" w:hAnsi="Times New Roman" w:cs="Times New Roman"/>
          <w:color w:val="000000"/>
          <w:sz w:val="24"/>
          <w:szCs w:val="24"/>
        </w:rPr>
        <w:lastRenderedPageBreak/>
        <w:t xml:space="preserve">September 2014. </w:t>
      </w:r>
    </w:p>
    <w:p w14:paraId="44A5873E" w14:textId="77777777" w:rsidR="00155D4F" w:rsidRDefault="0031254D">
      <w:pPr>
        <w:widowControl w:val="0"/>
        <w:pBdr>
          <w:top w:val="nil"/>
          <w:left w:val="nil"/>
          <w:bottom w:val="nil"/>
          <w:right w:val="nil"/>
          <w:between w:val="nil"/>
        </w:pBdr>
        <w:spacing w:before="166" w:line="229" w:lineRule="auto"/>
        <w:ind w:left="562" w:right="814" w:firstLine="17"/>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lang w:val="it-IT"/>
        </w:rPr>
        <w:t xml:space="preserve">[14] Maruyama, E., Ishii, K., &amp; Kinoshita, I. (1998). </w:t>
      </w:r>
      <w:r>
        <w:rPr>
          <w:rFonts w:ascii="Times New Roman" w:eastAsia="Times New Roman" w:hAnsi="Times New Roman" w:cs="Times New Roman"/>
          <w:color w:val="000000"/>
          <w:sz w:val="24"/>
          <w:szCs w:val="24"/>
        </w:rPr>
        <w:t xml:space="preserve">Alginate encapsulation technique and cryogenic procedures for long-term storage of the tropical forest tree </w:t>
      </w:r>
      <w:proofErr w:type="spellStart"/>
      <w:r>
        <w:rPr>
          <w:rFonts w:ascii="Times New Roman" w:eastAsia="Times New Roman" w:hAnsi="Times New Roman" w:cs="Times New Roman"/>
          <w:i/>
          <w:color w:val="000000"/>
          <w:sz w:val="24"/>
          <w:szCs w:val="24"/>
        </w:rPr>
        <w:t>Guazuma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crinita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Mart. in vitro cultures. </w:t>
      </w:r>
      <w:r>
        <w:rPr>
          <w:rFonts w:ascii="Times New Roman" w:eastAsia="Times New Roman" w:hAnsi="Times New Roman" w:cs="Times New Roman"/>
          <w:i/>
          <w:color w:val="000000"/>
          <w:sz w:val="24"/>
          <w:szCs w:val="24"/>
        </w:rPr>
        <w:t>JARQ</w:t>
      </w:r>
      <w:r>
        <w:rPr>
          <w:rFonts w:ascii="Times New Roman" w:eastAsia="Times New Roman" w:hAnsi="Times New Roman" w:cs="Times New Roman"/>
          <w:color w:val="000000"/>
          <w:sz w:val="24"/>
          <w:szCs w:val="24"/>
        </w:rPr>
        <w:t xml:space="preserve">, 32, 301-309. </w:t>
      </w:r>
    </w:p>
    <w:p w14:paraId="1D42318A" w14:textId="77777777" w:rsidR="00155D4F" w:rsidRDefault="0031254D">
      <w:pPr>
        <w:widowControl w:val="0"/>
        <w:pBdr>
          <w:top w:val="nil"/>
          <w:left w:val="nil"/>
          <w:bottom w:val="nil"/>
          <w:right w:val="nil"/>
          <w:between w:val="nil"/>
        </w:pBdr>
        <w:spacing w:before="166" w:line="229" w:lineRule="auto"/>
        <w:ind w:left="562" w:right="805" w:firstLine="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M. </w:t>
      </w:r>
      <w:proofErr w:type="spellStart"/>
      <w:r>
        <w:rPr>
          <w:rFonts w:ascii="Times New Roman" w:eastAsia="Times New Roman" w:hAnsi="Times New Roman" w:cs="Times New Roman"/>
          <w:color w:val="000000"/>
          <w:sz w:val="24"/>
          <w:szCs w:val="24"/>
        </w:rPr>
        <w:t>Micheli</w:t>
      </w:r>
      <w:proofErr w:type="spellEnd"/>
      <w:r>
        <w:rPr>
          <w:rFonts w:ascii="Times New Roman" w:eastAsia="Times New Roman" w:hAnsi="Times New Roman" w:cs="Times New Roman"/>
          <w:color w:val="000000"/>
          <w:sz w:val="24"/>
          <w:szCs w:val="24"/>
        </w:rPr>
        <w:t xml:space="preserve">, I. A. Hafiz, and A. </w:t>
      </w:r>
      <w:proofErr w:type="spellStart"/>
      <w:r>
        <w:rPr>
          <w:rFonts w:ascii="Times New Roman" w:eastAsia="Times New Roman" w:hAnsi="Times New Roman" w:cs="Times New Roman"/>
          <w:color w:val="000000"/>
          <w:sz w:val="24"/>
          <w:szCs w:val="24"/>
        </w:rPr>
        <w:t>Standardi</w:t>
      </w:r>
      <w:proofErr w:type="spellEnd"/>
      <w:r>
        <w:rPr>
          <w:rFonts w:ascii="Times New Roman" w:eastAsia="Times New Roman" w:hAnsi="Times New Roman" w:cs="Times New Roman"/>
          <w:color w:val="000000"/>
          <w:sz w:val="24"/>
          <w:szCs w:val="24"/>
        </w:rPr>
        <w:t>, "Encapsulation of in vitro-derived explants of olive (</w:t>
      </w:r>
      <w:r>
        <w:rPr>
          <w:rFonts w:ascii="Times New Roman" w:eastAsia="Times New Roman" w:hAnsi="Times New Roman" w:cs="Times New Roman"/>
          <w:i/>
          <w:color w:val="000000"/>
          <w:sz w:val="24"/>
          <w:szCs w:val="24"/>
        </w:rPr>
        <w:t xml:space="preserve">Olea </w:t>
      </w:r>
      <w:proofErr w:type="spellStart"/>
      <w:r>
        <w:rPr>
          <w:rFonts w:ascii="Times New Roman" w:eastAsia="Times New Roman" w:hAnsi="Times New Roman" w:cs="Times New Roman"/>
          <w:i/>
          <w:color w:val="000000"/>
          <w:sz w:val="24"/>
          <w:szCs w:val="24"/>
        </w:rPr>
        <w:t>europaea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L. cv. </w:t>
      </w:r>
      <w:proofErr w:type="spellStart"/>
      <w:r>
        <w:rPr>
          <w:rFonts w:ascii="Times New Roman" w:eastAsia="Times New Roman" w:hAnsi="Times New Roman" w:cs="Times New Roman"/>
          <w:color w:val="000000"/>
          <w:sz w:val="24"/>
          <w:szCs w:val="24"/>
        </w:rPr>
        <w:t>Moraiolo</w:t>
      </w:r>
      <w:proofErr w:type="spellEnd"/>
      <w:r>
        <w:rPr>
          <w:rFonts w:ascii="Times New Roman" w:eastAsia="Times New Roman" w:hAnsi="Times New Roman" w:cs="Times New Roman"/>
          <w:color w:val="000000"/>
          <w:sz w:val="24"/>
          <w:szCs w:val="24"/>
        </w:rPr>
        <w:t xml:space="preserve">): II. Effects of storage on capsule and derived shoots performance," </w:t>
      </w:r>
      <w:r>
        <w:rPr>
          <w:rFonts w:ascii="Times New Roman" w:eastAsia="Times New Roman" w:hAnsi="Times New Roman" w:cs="Times New Roman"/>
          <w:i/>
          <w:color w:val="000000"/>
          <w:sz w:val="24"/>
          <w:szCs w:val="24"/>
        </w:rPr>
        <w:t xml:space="preserve">Scientia </w:t>
      </w:r>
      <w:proofErr w:type="spellStart"/>
      <w:r>
        <w:rPr>
          <w:rFonts w:ascii="Times New Roman" w:eastAsia="Times New Roman" w:hAnsi="Times New Roman" w:cs="Times New Roman"/>
          <w:i/>
          <w:color w:val="000000"/>
          <w:sz w:val="24"/>
          <w:szCs w:val="24"/>
        </w:rPr>
        <w:t>Horticulturae</w:t>
      </w:r>
      <w:proofErr w:type="spellEnd"/>
      <w:r>
        <w:rPr>
          <w:rFonts w:ascii="Times New Roman" w:eastAsia="Times New Roman" w:hAnsi="Times New Roman" w:cs="Times New Roman"/>
          <w:color w:val="000000"/>
          <w:sz w:val="24"/>
          <w:szCs w:val="24"/>
        </w:rPr>
        <w:t>, vol. 113, no. 3, pp. 286-292, 20 July 2007</w:t>
      </w:r>
    </w:p>
    <w:p w14:paraId="167CD8FE" w14:textId="69DEED23" w:rsidR="00303B35" w:rsidRDefault="00303B35">
      <w:pPr>
        <w:widowControl w:val="0"/>
        <w:pBdr>
          <w:top w:val="nil"/>
          <w:left w:val="nil"/>
          <w:bottom w:val="nil"/>
          <w:right w:val="nil"/>
          <w:between w:val="nil"/>
        </w:pBdr>
        <w:spacing w:before="166" w:line="229" w:lineRule="auto"/>
        <w:ind w:left="562" w:right="805" w:firstLine="17"/>
        <w:jc w:val="both"/>
        <w:rPr>
          <w:rFonts w:ascii="Times New Roman" w:eastAsia="Times New Roman" w:hAnsi="Times New Roman" w:cs="Times New Roman"/>
          <w:color w:val="000000"/>
          <w:sz w:val="24"/>
          <w:szCs w:val="24"/>
        </w:rPr>
      </w:pPr>
      <w:r w:rsidRPr="00303B35">
        <w:rPr>
          <w:rFonts w:ascii="Times New Roman" w:eastAsia="Times New Roman" w:hAnsi="Times New Roman" w:cs="Times New Roman"/>
          <w:color w:val="000000"/>
          <w:sz w:val="24"/>
          <w:szCs w:val="24"/>
          <w:highlight w:val="yellow"/>
        </w:rPr>
        <w:t xml:space="preserve">[16] Devi P. A review on </w:t>
      </w:r>
      <w:proofErr w:type="spellStart"/>
      <w:r w:rsidRPr="00303B35">
        <w:rPr>
          <w:rFonts w:ascii="Times New Roman" w:eastAsia="Times New Roman" w:hAnsi="Times New Roman" w:cs="Times New Roman"/>
          <w:color w:val="000000"/>
          <w:sz w:val="24"/>
          <w:szCs w:val="24"/>
          <w:highlight w:val="yellow"/>
        </w:rPr>
        <w:t>Tinospora</w:t>
      </w:r>
      <w:proofErr w:type="spellEnd"/>
      <w:r w:rsidRPr="00303B35">
        <w:rPr>
          <w:rFonts w:ascii="Times New Roman" w:eastAsia="Times New Roman" w:hAnsi="Times New Roman" w:cs="Times New Roman"/>
          <w:color w:val="000000"/>
          <w:sz w:val="24"/>
          <w:szCs w:val="24"/>
          <w:highlight w:val="yellow"/>
        </w:rPr>
        <w:t xml:space="preserve"> </w:t>
      </w:r>
      <w:proofErr w:type="spellStart"/>
      <w:r w:rsidRPr="00303B35">
        <w:rPr>
          <w:rFonts w:ascii="Times New Roman" w:eastAsia="Times New Roman" w:hAnsi="Times New Roman" w:cs="Times New Roman"/>
          <w:color w:val="000000"/>
          <w:sz w:val="24"/>
          <w:szCs w:val="24"/>
          <w:highlight w:val="yellow"/>
        </w:rPr>
        <w:t>cordifolia</w:t>
      </w:r>
      <w:proofErr w:type="spellEnd"/>
      <w:r w:rsidRPr="00303B35">
        <w:rPr>
          <w:rFonts w:ascii="Times New Roman" w:eastAsia="Times New Roman" w:hAnsi="Times New Roman" w:cs="Times New Roman"/>
          <w:color w:val="000000"/>
          <w:sz w:val="24"/>
          <w:szCs w:val="24"/>
          <w:highlight w:val="yellow"/>
        </w:rPr>
        <w:t>: as an Immunomodulating agent. Himalayan Journal of Health Sciences. 2021 Mar 15:6-14.</w:t>
      </w:r>
    </w:p>
    <w:p w14:paraId="740B61EA" w14:textId="77777777" w:rsidR="0074778E" w:rsidRDefault="0074778E">
      <w:pPr>
        <w:widowControl w:val="0"/>
        <w:pBdr>
          <w:top w:val="nil"/>
          <w:left w:val="nil"/>
          <w:bottom w:val="nil"/>
          <w:right w:val="nil"/>
          <w:between w:val="nil"/>
        </w:pBdr>
        <w:spacing w:before="166" w:line="229" w:lineRule="auto"/>
        <w:ind w:left="562" w:right="805" w:firstLine="17"/>
        <w:jc w:val="both"/>
        <w:rPr>
          <w:rFonts w:ascii="Times New Roman" w:eastAsia="Times New Roman" w:hAnsi="Times New Roman" w:cs="Times New Roman"/>
          <w:color w:val="000000"/>
          <w:sz w:val="24"/>
          <w:szCs w:val="24"/>
        </w:rPr>
      </w:pPr>
      <w:r w:rsidRPr="0074778E">
        <w:rPr>
          <w:rFonts w:ascii="Times New Roman" w:eastAsia="Times New Roman" w:hAnsi="Times New Roman" w:cs="Times New Roman"/>
          <w:color w:val="000000"/>
          <w:sz w:val="24"/>
          <w:szCs w:val="24"/>
          <w:highlight w:val="yellow"/>
        </w:rPr>
        <w:t xml:space="preserve">[17] </w:t>
      </w:r>
      <w:proofErr w:type="gramStart"/>
      <w:r w:rsidRPr="0074778E">
        <w:rPr>
          <w:rFonts w:ascii="Times New Roman" w:eastAsia="Times New Roman" w:hAnsi="Times New Roman" w:cs="Times New Roman"/>
          <w:color w:val="000000"/>
          <w:sz w:val="24"/>
          <w:szCs w:val="24"/>
          <w:highlight w:val="yellow"/>
        </w:rPr>
        <w:t>Sushma .</w:t>
      </w:r>
      <w:proofErr w:type="gramEnd"/>
      <w:r w:rsidRPr="0074778E">
        <w:rPr>
          <w:rFonts w:ascii="Times New Roman" w:eastAsia="Times New Roman" w:hAnsi="Times New Roman" w:cs="Times New Roman"/>
          <w:color w:val="000000"/>
          <w:sz w:val="24"/>
          <w:szCs w:val="24"/>
          <w:highlight w:val="yellow"/>
        </w:rPr>
        <w:t xml:space="preserve">, Reena ., </w:t>
      </w:r>
      <w:proofErr w:type="spellStart"/>
      <w:r w:rsidRPr="0074778E">
        <w:rPr>
          <w:rFonts w:ascii="Times New Roman" w:eastAsia="Times New Roman" w:hAnsi="Times New Roman" w:cs="Times New Roman"/>
          <w:color w:val="000000"/>
          <w:sz w:val="24"/>
          <w:szCs w:val="24"/>
          <w:highlight w:val="yellow"/>
        </w:rPr>
        <w:t>Shivali</w:t>
      </w:r>
      <w:proofErr w:type="spellEnd"/>
      <w:r w:rsidRPr="0074778E">
        <w:rPr>
          <w:rFonts w:ascii="Times New Roman" w:eastAsia="Times New Roman" w:hAnsi="Times New Roman" w:cs="Times New Roman"/>
          <w:color w:val="000000"/>
          <w:sz w:val="24"/>
          <w:szCs w:val="24"/>
          <w:highlight w:val="yellow"/>
        </w:rPr>
        <w:t xml:space="preserve"> . A Review on Medicinal Properties of </w:t>
      </w:r>
      <w:proofErr w:type="spellStart"/>
      <w:r w:rsidRPr="0074778E">
        <w:rPr>
          <w:rFonts w:ascii="Times New Roman" w:eastAsia="Times New Roman" w:hAnsi="Times New Roman" w:cs="Times New Roman"/>
          <w:color w:val="000000"/>
          <w:sz w:val="24"/>
          <w:szCs w:val="24"/>
          <w:highlight w:val="yellow"/>
        </w:rPr>
        <w:t>Tinospora</w:t>
      </w:r>
      <w:proofErr w:type="spellEnd"/>
      <w:r w:rsidRPr="0074778E">
        <w:rPr>
          <w:rFonts w:ascii="Times New Roman" w:eastAsia="Times New Roman" w:hAnsi="Times New Roman" w:cs="Times New Roman"/>
          <w:color w:val="000000"/>
          <w:sz w:val="24"/>
          <w:szCs w:val="24"/>
          <w:highlight w:val="yellow"/>
        </w:rPr>
        <w:t xml:space="preserve"> </w:t>
      </w:r>
      <w:proofErr w:type="spellStart"/>
      <w:r w:rsidRPr="0074778E">
        <w:rPr>
          <w:rFonts w:ascii="Times New Roman" w:eastAsia="Times New Roman" w:hAnsi="Times New Roman" w:cs="Times New Roman"/>
          <w:color w:val="000000"/>
          <w:sz w:val="24"/>
          <w:szCs w:val="24"/>
          <w:highlight w:val="yellow"/>
        </w:rPr>
        <w:t>cordifolia</w:t>
      </w:r>
      <w:proofErr w:type="spellEnd"/>
      <w:r w:rsidRPr="0074778E">
        <w:rPr>
          <w:rFonts w:ascii="Times New Roman" w:eastAsia="Times New Roman" w:hAnsi="Times New Roman" w:cs="Times New Roman"/>
          <w:color w:val="000000"/>
          <w:sz w:val="24"/>
          <w:szCs w:val="24"/>
          <w:highlight w:val="yellow"/>
        </w:rPr>
        <w:t xml:space="preserve"> (</w:t>
      </w:r>
      <w:proofErr w:type="spellStart"/>
      <w:r w:rsidRPr="0074778E">
        <w:rPr>
          <w:rFonts w:ascii="Times New Roman" w:eastAsia="Times New Roman" w:hAnsi="Times New Roman" w:cs="Times New Roman"/>
          <w:color w:val="000000"/>
          <w:sz w:val="24"/>
          <w:szCs w:val="24"/>
          <w:highlight w:val="yellow"/>
        </w:rPr>
        <w:t>Giloy</w:t>
      </w:r>
      <w:proofErr w:type="spellEnd"/>
      <w:r w:rsidRPr="0074778E">
        <w:rPr>
          <w:rFonts w:ascii="Times New Roman" w:eastAsia="Times New Roman" w:hAnsi="Times New Roman" w:cs="Times New Roman"/>
          <w:color w:val="000000"/>
          <w:sz w:val="24"/>
          <w:szCs w:val="24"/>
          <w:highlight w:val="yellow"/>
        </w:rPr>
        <w:t>)-The Magic Herb. J. Pharm. Res. Int. [Internet]. 2021 Dec. 29 [cited 2025 Feb. 6];33(63B):65-72.</w:t>
      </w:r>
    </w:p>
    <w:p w14:paraId="5754ED89" w14:textId="4B0B5EC1" w:rsidR="0074778E" w:rsidRDefault="0074778E">
      <w:pPr>
        <w:widowControl w:val="0"/>
        <w:pBdr>
          <w:top w:val="nil"/>
          <w:left w:val="nil"/>
          <w:bottom w:val="nil"/>
          <w:right w:val="nil"/>
          <w:between w:val="nil"/>
        </w:pBdr>
        <w:spacing w:before="166" w:line="229" w:lineRule="auto"/>
        <w:ind w:left="562" w:right="805" w:firstLine="17"/>
        <w:jc w:val="both"/>
        <w:rPr>
          <w:rFonts w:ascii="Times New Roman" w:eastAsia="Times New Roman" w:hAnsi="Times New Roman" w:cs="Times New Roman"/>
          <w:color w:val="000000"/>
          <w:sz w:val="24"/>
          <w:szCs w:val="24"/>
        </w:rPr>
      </w:pPr>
      <w:r w:rsidRPr="009F17FD">
        <w:rPr>
          <w:rFonts w:ascii="Times New Roman" w:eastAsia="Times New Roman" w:hAnsi="Times New Roman" w:cs="Times New Roman"/>
          <w:color w:val="000000"/>
          <w:sz w:val="24"/>
          <w:szCs w:val="24"/>
          <w:highlight w:val="yellow"/>
        </w:rPr>
        <w:t>[18] </w:t>
      </w:r>
      <w:proofErr w:type="spellStart"/>
      <w:r w:rsidR="009F17FD" w:rsidRPr="009F17FD">
        <w:rPr>
          <w:rFonts w:ascii="Times New Roman" w:eastAsia="Times New Roman" w:hAnsi="Times New Roman" w:cs="Times New Roman"/>
          <w:color w:val="000000"/>
          <w:sz w:val="24"/>
          <w:szCs w:val="24"/>
          <w:highlight w:val="yellow"/>
        </w:rPr>
        <w:t>Antul</w:t>
      </w:r>
      <w:proofErr w:type="spellEnd"/>
      <w:r w:rsidR="009F17FD" w:rsidRPr="009F17FD">
        <w:rPr>
          <w:rFonts w:ascii="Times New Roman" w:eastAsia="Times New Roman" w:hAnsi="Times New Roman" w:cs="Times New Roman"/>
          <w:color w:val="000000"/>
          <w:sz w:val="24"/>
          <w:szCs w:val="24"/>
          <w:highlight w:val="yellow"/>
        </w:rPr>
        <w:t xml:space="preserve"> K, Amandeep P, </w:t>
      </w:r>
      <w:proofErr w:type="spellStart"/>
      <w:r w:rsidR="009F17FD" w:rsidRPr="009F17FD">
        <w:rPr>
          <w:rFonts w:ascii="Times New Roman" w:eastAsia="Times New Roman" w:hAnsi="Times New Roman" w:cs="Times New Roman"/>
          <w:color w:val="000000"/>
          <w:sz w:val="24"/>
          <w:szCs w:val="24"/>
          <w:highlight w:val="yellow"/>
        </w:rPr>
        <w:t>Gurwinder</w:t>
      </w:r>
      <w:proofErr w:type="spellEnd"/>
      <w:r w:rsidR="009F17FD" w:rsidRPr="009F17FD">
        <w:rPr>
          <w:rFonts w:ascii="Times New Roman" w:eastAsia="Times New Roman" w:hAnsi="Times New Roman" w:cs="Times New Roman"/>
          <w:color w:val="000000"/>
          <w:sz w:val="24"/>
          <w:szCs w:val="24"/>
          <w:highlight w:val="yellow"/>
        </w:rPr>
        <w:t xml:space="preserve"> S, Anuj C. Review on Pharmacological Profile of Medicinal Vine: </w:t>
      </w:r>
      <w:proofErr w:type="spellStart"/>
      <w:r w:rsidR="009F17FD" w:rsidRPr="009F17FD">
        <w:rPr>
          <w:rFonts w:ascii="Times New Roman" w:eastAsia="Times New Roman" w:hAnsi="Times New Roman" w:cs="Times New Roman"/>
          <w:color w:val="000000"/>
          <w:sz w:val="24"/>
          <w:szCs w:val="24"/>
          <w:highlight w:val="yellow"/>
        </w:rPr>
        <w:t>Tinospora</w:t>
      </w:r>
      <w:proofErr w:type="spellEnd"/>
      <w:r w:rsidR="009F17FD" w:rsidRPr="009F17FD">
        <w:rPr>
          <w:rFonts w:ascii="Times New Roman" w:eastAsia="Times New Roman" w:hAnsi="Times New Roman" w:cs="Times New Roman"/>
          <w:color w:val="000000"/>
          <w:sz w:val="24"/>
          <w:szCs w:val="24"/>
          <w:highlight w:val="yellow"/>
        </w:rPr>
        <w:t xml:space="preserve"> </w:t>
      </w:r>
      <w:proofErr w:type="spellStart"/>
      <w:r w:rsidR="009F17FD" w:rsidRPr="009F17FD">
        <w:rPr>
          <w:rFonts w:ascii="Times New Roman" w:eastAsia="Times New Roman" w:hAnsi="Times New Roman" w:cs="Times New Roman"/>
          <w:color w:val="000000"/>
          <w:sz w:val="24"/>
          <w:szCs w:val="24"/>
          <w:highlight w:val="yellow"/>
        </w:rPr>
        <w:t>cordifolia</w:t>
      </w:r>
      <w:proofErr w:type="spellEnd"/>
      <w:r w:rsidR="009F17FD" w:rsidRPr="009F17FD">
        <w:rPr>
          <w:rFonts w:ascii="Times New Roman" w:eastAsia="Times New Roman" w:hAnsi="Times New Roman" w:cs="Times New Roman"/>
          <w:color w:val="000000"/>
          <w:sz w:val="24"/>
          <w:szCs w:val="24"/>
          <w:highlight w:val="yellow"/>
        </w:rPr>
        <w:t xml:space="preserve">. </w:t>
      </w:r>
      <w:proofErr w:type="spellStart"/>
      <w:r w:rsidR="009F17FD" w:rsidRPr="009F17FD">
        <w:rPr>
          <w:rFonts w:ascii="Times New Roman" w:eastAsia="Times New Roman" w:hAnsi="Times New Roman" w:cs="Times New Roman"/>
          <w:color w:val="000000"/>
          <w:sz w:val="24"/>
          <w:szCs w:val="24"/>
          <w:highlight w:val="yellow"/>
        </w:rPr>
        <w:t>Curr</w:t>
      </w:r>
      <w:proofErr w:type="spellEnd"/>
      <w:r w:rsidR="009F17FD" w:rsidRPr="009F17FD">
        <w:rPr>
          <w:rFonts w:ascii="Times New Roman" w:eastAsia="Times New Roman" w:hAnsi="Times New Roman" w:cs="Times New Roman"/>
          <w:color w:val="000000"/>
          <w:sz w:val="24"/>
          <w:szCs w:val="24"/>
          <w:highlight w:val="yellow"/>
        </w:rPr>
        <w:t>. J. Appl. Sci. Technol. 2019 Jun. 3;35(5):1-11.</w:t>
      </w:r>
    </w:p>
    <w:sectPr w:rsidR="0074778E">
      <w:headerReference w:type="even" r:id="rId8"/>
      <w:headerReference w:type="default" r:id="rId9"/>
      <w:footerReference w:type="even" r:id="rId10"/>
      <w:footerReference w:type="default" r:id="rId11"/>
      <w:headerReference w:type="first" r:id="rId12"/>
      <w:footerReference w:type="first" r:id="rId13"/>
      <w:type w:val="continuous"/>
      <w:pgSz w:w="10540" w:h="14180"/>
      <w:pgMar w:top="1104" w:right="530" w:bottom="1107" w:left="879" w:header="0" w:footer="720" w:gutter="0"/>
      <w:cols w:space="720" w:equalWidth="0">
        <w:col w:w="913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69FA" w14:textId="77777777" w:rsidR="00275712" w:rsidRDefault="00275712" w:rsidP="00D87F05">
      <w:pPr>
        <w:spacing w:line="240" w:lineRule="auto"/>
      </w:pPr>
      <w:r>
        <w:separator/>
      </w:r>
    </w:p>
  </w:endnote>
  <w:endnote w:type="continuationSeparator" w:id="0">
    <w:p w14:paraId="71CAAF60" w14:textId="77777777" w:rsidR="00275712" w:rsidRDefault="00275712" w:rsidP="00D87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021A" w14:textId="77777777" w:rsidR="00D87F05" w:rsidRDefault="00D8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980A" w14:textId="77777777" w:rsidR="00D87F05" w:rsidRDefault="00D87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775A" w14:textId="77777777" w:rsidR="00D87F05" w:rsidRDefault="00D8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DEB03" w14:textId="77777777" w:rsidR="00275712" w:rsidRDefault="00275712" w:rsidP="00D87F05">
      <w:pPr>
        <w:spacing w:line="240" w:lineRule="auto"/>
      </w:pPr>
      <w:r>
        <w:separator/>
      </w:r>
    </w:p>
  </w:footnote>
  <w:footnote w:type="continuationSeparator" w:id="0">
    <w:p w14:paraId="15DF56A0" w14:textId="77777777" w:rsidR="00275712" w:rsidRDefault="00275712" w:rsidP="00D87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58BA" w14:textId="3CDBD678" w:rsidR="00D87F05" w:rsidRDefault="00275712">
    <w:pPr>
      <w:pStyle w:val="Header"/>
    </w:pPr>
    <w:r>
      <w:rPr>
        <w:noProof/>
      </w:rPr>
      <w:pict w14:anchorId="5C90D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0876" o:spid="_x0000_s2050" type="#_x0000_t136" style="position:absolute;margin-left:0;margin-top:0;width:579.25pt;height:64.3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AD4A" w14:textId="67781D52" w:rsidR="00D87F05" w:rsidRDefault="00275712">
    <w:pPr>
      <w:pStyle w:val="Header"/>
    </w:pPr>
    <w:r>
      <w:rPr>
        <w:noProof/>
      </w:rPr>
      <w:pict w14:anchorId="6F9FF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0877" o:spid="_x0000_s2051" type="#_x0000_t136" style="position:absolute;margin-left:0;margin-top:0;width:579.25pt;height:64.3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0E86" w14:textId="1A2CBD56" w:rsidR="00D87F05" w:rsidRDefault="00275712">
    <w:pPr>
      <w:pStyle w:val="Header"/>
    </w:pPr>
    <w:r>
      <w:rPr>
        <w:noProof/>
      </w:rPr>
      <w:pict w14:anchorId="28387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0875" o:spid="_x0000_s2049" type="#_x0000_t136" style="position:absolute;margin-left:0;margin-top:0;width:579.25pt;height:64.3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E71B9"/>
    <w:multiLevelType w:val="hybridMultilevel"/>
    <w:tmpl w:val="17603BD2"/>
    <w:lvl w:ilvl="0" w:tplc="3CBEC494">
      <w:start w:val="1"/>
      <w:numFmt w:val="upperLetter"/>
      <w:lvlText w:val="%1."/>
      <w:lvlJc w:val="left"/>
      <w:pPr>
        <w:ind w:left="741" w:hanging="360"/>
      </w:pPr>
      <w:rPr>
        <w:rFonts w:hint="default"/>
      </w:rPr>
    </w:lvl>
    <w:lvl w:ilvl="1" w:tplc="40090019" w:tentative="1">
      <w:start w:val="1"/>
      <w:numFmt w:val="lowerLetter"/>
      <w:lvlText w:val="%2."/>
      <w:lvlJc w:val="left"/>
      <w:pPr>
        <w:ind w:left="1461" w:hanging="360"/>
      </w:pPr>
    </w:lvl>
    <w:lvl w:ilvl="2" w:tplc="4009001B" w:tentative="1">
      <w:start w:val="1"/>
      <w:numFmt w:val="lowerRoman"/>
      <w:lvlText w:val="%3."/>
      <w:lvlJc w:val="right"/>
      <w:pPr>
        <w:ind w:left="2181" w:hanging="180"/>
      </w:pPr>
    </w:lvl>
    <w:lvl w:ilvl="3" w:tplc="4009000F" w:tentative="1">
      <w:start w:val="1"/>
      <w:numFmt w:val="decimal"/>
      <w:lvlText w:val="%4."/>
      <w:lvlJc w:val="left"/>
      <w:pPr>
        <w:ind w:left="2901" w:hanging="360"/>
      </w:pPr>
    </w:lvl>
    <w:lvl w:ilvl="4" w:tplc="40090019" w:tentative="1">
      <w:start w:val="1"/>
      <w:numFmt w:val="lowerLetter"/>
      <w:lvlText w:val="%5."/>
      <w:lvlJc w:val="left"/>
      <w:pPr>
        <w:ind w:left="3621" w:hanging="360"/>
      </w:pPr>
    </w:lvl>
    <w:lvl w:ilvl="5" w:tplc="4009001B" w:tentative="1">
      <w:start w:val="1"/>
      <w:numFmt w:val="lowerRoman"/>
      <w:lvlText w:val="%6."/>
      <w:lvlJc w:val="right"/>
      <w:pPr>
        <w:ind w:left="4341" w:hanging="180"/>
      </w:pPr>
    </w:lvl>
    <w:lvl w:ilvl="6" w:tplc="4009000F" w:tentative="1">
      <w:start w:val="1"/>
      <w:numFmt w:val="decimal"/>
      <w:lvlText w:val="%7."/>
      <w:lvlJc w:val="left"/>
      <w:pPr>
        <w:ind w:left="5061" w:hanging="360"/>
      </w:pPr>
    </w:lvl>
    <w:lvl w:ilvl="7" w:tplc="40090019" w:tentative="1">
      <w:start w:val="1"/>
      <w:numFmt w:val="lowerLetter"/>
      <w:lvlText w:val="%8."/>
      <w:lvlJc w:val="left"/>
      <w:pPr>
        <w:ind w:left="5781" w:hanging="360"/>
      </w:pPr>
    </w:lvl>
    <w:lvl w:ilvl="8" w:tplc="4009001B" w:tentative="1">
      <w:start w:val="1"/>
      <w:numFmt w:val="lowerRoman"/>
      <w:lvlText w:val="%9."/>
      <w:lvlJc w:val="right"/>
      <w:pPr>
        <w:ind w:left="6501" w:hanging="180"/>
      </w:pPr>
    </w:lvl>
  </w:abstractNum>
  <w:abstractNum w:abstractNumId="1" w15:restartNumberingAfterBreak="0">
    <w:nsid w:val="754E05F9"/>
    <w:multiLevelType w:val="hybridMultilevel"/>
    <w:tmpl w:val="8E98FD24"/>
    <w:lvl w:ilvl="0" w:tplc="40090001">
      <w:start w:val="1"/>
      <w:numFmt w:val="bullet"/>
      <w:lvlText w:val=""/>
      <w:lvlJc w:val="left"/>
      <w:pPr>
        <w:ind w:left="727" w:hanging="360"/>
      </w:pPr>
      <w:rPr>
        <w:rFonts w:ascii="Symbol" w:hAnsi="Symbol" w:hint="default"/>
      </w:rPr>
    </w:lvl>
    <w:lvl w:ilvl="1" w:tplc="40090003" w:tentative="1">
      <w:start w:val="1"/>
      <w:numFmt w:val="bullet"/>
      <w:lvlText w:val="o"/>
      <w:lvlJc w:val="left"/>
      <w:pPr>
        <w:ind w:left="1447" w:hanging="360"/>
      </w:pPr>
      <w:rPr>
        <w:rFonts w:ascii="Courier New" w:hAnsi="Courier New" w:cs="Courier New" w:hint="default"/>
      </w:rPr>
    </w:lvl>
    <w:lvl w:ilvl="2" w:tplc="40090005" w:tentative="1">
      <w:start w:val="1"/>
      <w:numFmt w:val="bullet"/>
      <w:lvlText w:val=""/>
      <w:lvlJc w:val="left"/>
      <w:pPr>
        <w:ind w:left="2167" w:hanging="360"/>
      </w:pPr>
      <w:rPr>
        <w:rFonts w:ascii="Wingdings" w:hAnsi="Wingdings" w:hint="default"/>
      </w:rPr>
    </w:lvl>
    <w:lvl w:ilvl="3" w:tplc="40090001" w:tentative="1">
      <w:start w:val="1"/>
      <w:numFmt w:val="bullet"/>
      <w:lvlText w:val=""/>
      <w:lvlJc w:val="left"/>
      <w:pPr>
        <w:ind w:left="2887" w:hanging="360"/>
      </w:pPr>
      <w:rPr>
        <w:rFonts w:ascii="Symbol" w:hAnsi="Symbol" w:hint="default"/>
      </w:rPr>
    </w:lvl>
    <w:lvl w:ilvl="4" w:tplc="40090003" w:tentative="1">
      <w:start w:val="1"/>
      <w:numFmt w:val="bullet"/>
      <w:lvlText w:val="o"/>
      <w:lvlJc w:val="left"/>
      <w:pPr>
        <w:ind w:left="3607" w:hanging="360"/>
      </w:pPr>
      <w:rPr>
        <w:rFonts w:ascii="Courier New" w:hAnsi="Courier New" w:cs="Courier New" w:hint="default"/>
      </w:rPr>
    </w:lvl>
    <w:lvl w:ilvl="5" w:tplc="40090005" w:tentative="1">
      <w:start w:val="1"/>
      <w:numFmt w:val="bullet"/>
      <w:lvlText w:val=""/>
      <w:lvlJc w:val="left"/>
      <w:pPr>
        <w:ind w:left="4327" w:hanging="360"/>
      </w:pPr>
      <w:rPr>
        <w:rFonts w:ascii="Wingdings" w:hAnsi="Wingdings" w:hint="default"/>
      </w:rPr>
    </w:lvl>
    <w:lvl w:ilvl="6" w:tplc="40090001" w:tentative="1">
      <w:start w:val="1"/>
      <w:numFmt w:val="bullet"/>
      <w:lvlText w:val=""/>
      <w:lvlJc w:val="left"/>
      <w:pPr>
        <w:ind w:left="5047" w:hanging="360"/>
      </w:pPr>
      <w:rPr>
        <w:rFonts w:ascii="Symbol" w:hAnsi="Symbol" w:hint="default"/>
      </w:rPr>
    </w:lvl>
    <w:lvl w:ilvl="7" w:tplc="40090003" w:tentative="1">
      <w:start w:val="1"/>
      <w:numFmt w:val="bullet"/>
      <w:lvlText w:val="o"/>
      <w:lvlJc w:val="left"/>
      <w:pPr>
        <w:ind w:left="5767" w:hanging="360"/>
      </w:pPr>
      <w:rPr>
        <w:rFonts w:ascii="Courier New" w:hAnsi="Courier New" w:cs="Courier New" w:hint="default"/>
      </w:rPr>
    </w:lvl>
    <w:lvl w:ilvl="8" w:tplc="40090005" w:tentative="1">
      <w:start w:val="1"/>
      <w:numFmt w:val="bullet"/>
      <w:lvlText w:val=""/>
      <w:lvlJc w:val="left"/>
      <w:pPr>
        <w:ind w:left="6487" w:hanging="360"/>
      </w:pPr>
      <w:rPr>
        <w:rFonts w:ascii="Wingdings" w:hAnsi="Wingdings" w:hint="default"/>
      </w:rPr>
    </w:lvl>
  </w:abstractNum>
  <w:abstractNum w:abstractNumId="2" w15:restartNumberingAfterBreak="0">
    <w:nsid w:val="7D5E4649"/>
    <w:multiLevelType w:val="multilevel"/>
    <w:tmpl w:val="3912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2"/>
    <w:lvlOverride w:ilvl="0">
      <w:lvl w:ilvl="0">
        <w:numFmt w:val="upperLetter"/>
        <w:lvlText w:val="%1."/>
        <w:lvlJc w:val="left"/>
      </w:lvl>
    </w:lvlOverride>
  </w:num>
  <w:num w:numId="3">
    <w:abstractNumId w:val="2"/>
    <w:lvlOverride w:ilvl="0">
      <w:lvl w:ilvl="0">
        <w:numFmt w:val="upperLetter"/>
        <w:lvlText w:val="%1."/>
        <w:lvlJc w:val="left"/>
      </w:lvl>
    </w:lvlOverride>
  </w:num>
  <w:num w:numId="4">
    <w:abstractNumId w:val="2"/>
    <w:lvlOverride w:ilvl="0">
      <w:lvl w:ilvl="0">
        <w:numFmt w:val="upperLetter"/>
        <w:lvlText w:val="%1."/>
        <w:lvlJc w:val="left"/>
      </w:lvl>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2MDWxMAECcwtjEyUdpeDU4uLM/DyQAsNaAImoNPMsAAAA"/>
  </w:docVars>
  <w:rsids>
    <w:rsidRoot w:val="00155D4F"/>
    <w:rsid w:val="000652C7"/>
    <w:rsid w:val="00155D4F"/>
    <w:rsid w:val="002415BD"/>
    <w:rsid w:val="00275712"/>
    <w:rsid w:val="002A05BF"/>
    <w:rsid w:val="00303B35"/>
    <w:rsid w:val="0031254D"/>
    <w:rsid w:val="0045765B"/>
    <w:rsid w:val="006325F4"/>
    <w:rsid w:val="007451ED"/>
    <w:rsid w:val="0074778E"/>
    <w:rsid w:val="008775A9"/>
    <w:rsid w:val="00885E24"/>
    <w:rsid w:val="00892E25"/>
    <w:rsid w:val="008E0587"/>
    <w:rsid w:val="00940DDB"/>
    <w:rsid w:val="00991116"/>
    <w:rsid w:val="009A003F"/>
    <w:rsid w:val="009A2219"/>
    <w:rsid w:val="009F17FD"/>
    <w:rsid w:val="00A7183D"/>
    <w:rsid w:val="00BC5DA4"/>
    <w:rsid w:val="00C97A12"/>
    <w:rsid w:val="00D056DB"/>
    <w:rsid w:val="00D65EAB"/>
    <w:rsid w:val="00D87F05"/>
    <w:rsid w:val="00E03263"/>
    <w:rsid w:val="00E210E1"/>
    <w:rsid w:val="00E24B6F"/>
    <w:rsid w:val="00ED46C4"/>
    <w:rsid w:val="00EE56FC"/>
    <w:rsid w:val="00F653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A98933"/>
  <w15:docId w15:val="{E796665E-522D-4ED2-B0C3-575D4B37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4B6F"/>
    <w:pPr>
      <w:ind w:left="720"/>
      <w:contextualSpacing/>
    </w:pPr>
  </w:style>
  <w:style w:type="paragraph" w:styleId="Header">
    <w:name w:val="header"/>
    <w:basedOn w:val="Normal"/>
    <w:link w:val="HeaderChar"/>
    <w:uiPriority w:val="99"/>
    <w:unhideWhenUsed/>
    <w:rsid w:val="00D87F05"/>
    <w:pPr>
      <w:tabs>
        <w:tab w:val="center" w:pos="4680"/>
        <w:tab w:val="right" w:pos="9360"/>
      </w:tabs>
      <w:spacing w:line="240" w:lineRule="auto"/>
    </w:pPr>
  </w:style>
  <w:style w:type="character" w:customStyle="1" w:styleId="HeaderChar">
    <w:name w:val="Header Char"/>
    <w:basedOn w:val="DefaultParagraphFont"/>
    <w:link w:val="Header"/>
    <w:uiPriority w:val="99"/>
    <w:rsid w:val="00D87F05"/>
  </w:style>
  <w:style w:type="paragraph" w:styleId="Footer">
    <w:name w:val="footer"/>
    <w:basedOn w:val="Normal"/>
    <w:link w:val="FooterChar"/>
    <w:uiPriority w:val="99"/>
    <w:unhideWhenUsed/>
    <w:rsid w:val="00D87F05"/>
    <w:pPr>
      <w:tabs>
        <w:tab w:val="center" w:pos="4680"/>
        <w:tab w:val="right" w:pos="9360"/>
      </w:tabs>
      <w:spacing w:line="240" w:lineRule="auto"/>
    </w:pPr>
  </w:style>
  <w:style w:type="character" w:customStyle="1" w:styleId="FooterChar">
    <w:name w:val="Footer Char"/>
    <w:basedOn w:val="DefaultParagraphFont"/>
    <w:link w:val="Footer"/>
    <w:uiPriority w:val="99"/>
    <w:rsid w:val="00D87F05"/>
  </w:style>
  <w:style w:type="paragraph" w:styleId="Revision">
    <w:name w:val="Revision"/>
    <w:hidden/>
    <w:uiPriority w:val="99"/>
    <w:semiHidden/>
    <w:rsid w:val="00E210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7624">
      <w:bodyDiv w:val="1"/>
      <w:marLeft w:val="0"/>
      <w:marRight w:val="0"/>
      <w:marTop w:val="0"/>
      <w:marBottom w:val="0"/>
      <w:divBdr>
        <w:top w:val="none" w:sz="0" w:space="0" w:color="auto"/>
        <w:left w:val="none" w:sz="0" w:space="0" w:color="auto"/>
        <w:bottom w:val="none" w:sz="0" w:space="0" w:color="auto"/>
        <w:right w:val="none" w:sz="0" w:space="0" w:color="auto"/>
      </w:divBdr>
    </w:div>
    <w:div w:id="89400518">
      <w:bodyDiv w:val="1"/>
      <w:marLeft w:val="0"/>
      <w:marRight w:val="0"/>
      <w:marTop w:val="0"/>
      <w:marBottom w:val="0"/>
      <w:divBdr>
        <w:top w:val="none" w:sz="0" w:space="0" w:color="auto"/>
        <w:left w:val="none" w:sz="0" w:space="0" w:color="auto"/>
        <w:bottom w:val="none" w:sz="0" w:space="0" w:color="auto"/>
        <w:right w:val="none" w:sz="0" w:space="0" w:color="auto"/>
      </w:divBdr>
      <w:divsChild>
        <w:div w:id="1848783302">
          <w:marLeft w:val="150"/>
          <w:marRight w:val="0"/>
          <w:marTop w:val="0"/>
          <w:marBottom w:val="0"/>
          <w:divBdr>
            <w:top w:val="none" w:sz="0" w:space="0" w:color="auto"/>
            <w:left w:val="none" w:sz="0" w:space="0" w:color="auto"/>
            <w:bottom w:val="none" w:sz="0" w:space="0" w:color="auto"/>
            <w:right w:val="none" w:sz="0" w:space="0" w:color="auto"/>
          </w:divBdr>
        </w:div>
      </w:divsChild>
    </w:div>
    <w:div w:id="330454075">
      <w:bodyDiv w:val="1"/>
      <w:marLeft w:val="0"/>
      <w:marRight w:val="0"/>
      <w:marTop w:val="0"/>
      <w:marBottom w:val="0"/>
      <w:divBdr>
        <w:top w:val="none" w:sz="0" w:space="0" w:color="auto"/>
        <w:left w:val="none" w:sz="0" w:space="0" w:color="auto"/>
        <w:bottom w:val="none" w:sz="0" w:space="0" w:color="auto"/>
        <w:right w:val="none" w:sz="0" w:space="0" w:color="auto"/>
      </w:divBdr>
    </w:div>
    <w:div w:id="512229390">
      <w:bodyDiv w:val="1"/>
      <w:marLeft w:val="0"/>
      <w:marRight w:val="0"/>
      <w:marTop w:val="0"/>
      <w:marBottom w:val="0"/>
      <w:divBdr>
        <w:top w:val="none" w:sz="0" w:space="0" w:color="auto"/>
        <w:left w:val="none" w:sz="0" w:space="0" w:color="auto"/>
        <w:bottom w:val="none" w:sz="0" w:space="0" w:color="auto"/>
        <w:right w:val="none" w:sz="0" w:space="0" w:color="auto"/>
      </w:divBdr>
      <w:divsChild>
        <w:div w:id="85924520">
          <w:marLeft w:val="150"/>
          <w:marRight w:val="0"/>
          <w:marTop w:val="0"/>
          <w:marBottom w:val="0"/>
          <w:divBdr>
            <w:top w:val="none" w:sz="0" w:space="0" w:color="auto"/>
            <w:left w:val="none" w:sz="0" w:space="0" w:color="auto"/>
            <w:bottom w:val="none" w:sz="0" w:space="0" w:color="auto"/>
            <w:right w:val="none" w:sz="0" w:space="0" w:color="auto"/>
          </w:divBdr>
        </w:div>
      </w:divsChild>
    </w:div>
    <w:div w:id="581186469">
      <w:bodyDiv w:val="1"/>
      <w:marLeft w:val="0"/>
      <w:marRight w:val="0"/>
      <w:marTop w:val="0"/>
      <w:marBottom w:val="0"/>
      <w:divBdr>
        <w:top w:val="none" w:sz="0" w:space="0" w:color="auto"/>
        <w:left w:val="none" w:sz="0" w:space="0" w:color="auto"/>
        <w:bottom w:val="none" w:sz="0" w:space="0" w:color="auto"/>
        <w:right w:val="none" w:sz="0" w:space="0" w:color="auto"/>
      </w:divBdr>
    </w:div>
    <w:div w:id="648830205">
      <w:bodyDiv w:val="1"/>
      <w:marLeft w:val="0"/>
      <w:marRight w:val="0"/>
      <w:marTop w:val="0"/>
      <w:marBottom w:val="0"/>
      <w:divBdr>
        <w:top w:val="none" w:sz="0" w:space="0" w:color="auto"/>
        <w:left w:val="none" w:sz="0" w:space="0" w:color="auto"/>
        <w:bottom w:val="none" w:sz="0" w:space="0" w:color="auto"/>
        <w:right w:val="none" w:sz="0" w:space="0" w:color="auto"/>
      </w:divBdr>
      <w:divsChild>
        <w:div w:id="829637894">
          <w:marLeft w:val="150"/>
          <w:marRight w:val="0"/>
          <w:marTop w:val="0"/>
          <w:marBottom w:val="0"/>
          <w:divBdr>
            <w:top w:val="none" w:sz="0" w:space="0" w:color="auto"/>
            <w:left w:val="none" w:sz="0" w:space="0" w:color="auto"/>
            <w:bottom w:val="none" w:sz="0" w:space="0" w:color="auto"/>
            <w:right w:val="none" w:sz="0" w:space="0" w:color="auto"/>
          </w:divBdr>
        </w:div>
      </w:divsChild>
    </w:div>
    <w:div w:id="846286295">
      <w:bodyDiv w:val="1"/>
      <w:marLeft w:val="0"/>
      <w:marRight w:val="0"/>
      <w:marTop w:val="0"/>
      <w:marBottom w:val="0"/>
      <w:divBdr>
        <w:top w:val="none" w:sz="0" w:space="0" w:color="auto"/>
        <w:left w:val="none" w:sz="0" w:space="0" w:color="auto"/>
        <w:bottom w:val="none" w:sz="0" w:space="0" w:color="auto"/>
        <w:right w:val="none" w:sz="0" w:space="0" w:color="auto"/>
      </w:divBdr>
      <w:divsChild>
        <w:div w:id="54083987">
          <w:marLeft w:val="118"/>
          <w:marRight w:val="0"/>
          <w:marTop w:val="0"/>
          <w:marBottom w:val="0"/>
          <w:divBdr>
            <w:top w:val="none" w:sz="0" w:space="0" w:color="auto"/>
            <w:left w:val="none" w:sz="0" w:space="0" w:color="auto"/>
            <w:bottom w:val="none" w:sz="0" w:space="0" w:color="auto"/>
            <w:right w:val="none" w:sz="0" w:space="0" w:color="auto"/>
          </w:divBdr>
        </w:div>
      </w:divsChild>
    </w:div>
    <w:div w:id="901057969">
      <w:bodyDiv w:val="1"/>
      <w:marLeft w:val="0"/>
      <w:marRight w:val="0"/>
      <w:marTop w:val="0"/>
      <w:marBottom w:val="0"/>
      <w:divBdr>
        <w:top w:val="none" w:sz="0" w:space="0" w:color="auto"/>
        <w:left w:val="none" w:sz="0" w:space="0" w:color="auto"/>
        <w:bottom w:val="none" w:sz="0" w:space="0" w:color="auto"/>
        <w:right w:val="none" w:sz="0" w:space="0" w:color="auto"/>
      </w:divBdr>
      <w:divsChild>
        <w:div w:id="412049129">
          <w:marLeft w:val="143"/>
          <w:marRight w:val="0"/>
          <w:marTop w:val="0"/>
          <w:marBottom w:val="0"/>
          <w:divBdr>
            <w:top w:val="none" w:sz="0" w:space="0" w:color="auto"/>
            <w:left w:val="none" w:sz="0" w:space="0" w:color="auto"/>
            <w:bottom w:val="none" w:sz="0" w:space="0" w:color="auto"/>
            <w:right w:val="none" w:sz="0" w:space="0" w:color="auto"/>
          </w:divBdr>
        </w:div>
      </w:divsChild>
    </w:div>
    <w:div w:id="937253127">
      <w:bodyDiv w:val="1"/>
      <w:marLeft w:val="0"/>
      <w:marRight w:val="0"/>
      <w:marTop w:val="0"/>
      <w:marBottom w:val="0"/>
      <w:divBdr>
        <w:top w:val="none" w:sz="0" w:space="0" w:color="auto"/>
        <w:left w:val="none" w:sz="0" w:space="0" w:color="auto"/>
        <w:bottom w:val="none" w:sz="0" w:space="0" w:color="auto"/>
        <w:right w:val="none" w:sz="0" w:space="0" w:color="auto"/>
      </w:divBdr>
    </w:div>
    <w:div w:id="1068303757">
      <w:bodyDiv w:val="1"/>
      <w:marLeft w:val="0"/>
      <w:marRight w:val="0"/>
      <w:marTop w:val="0"/>
      <w:marBottom w:val="0"/>
      <w:divBdr>
        <w:top w:val="none" w:sz="0" w:space="0" w:color="auto"/>
        <w:left w:val="none" w:sz="0" w:space="0" w:color="auto"/>
        <w:bottom w:val="none" w:sz="0" w:space="0" w:color="auto"/>
        <w:right w:val="none" w:sz="0" w:space="0" w:color="auto"/>
      </w:divBdr>
    </w:div>
    <w:div w:id="1133600810">
      <w:bodyDiv w:val="1"/>
      <w:marLeft w:val="0"/>
      <w:marRight w:val="0"/>
      <w:marTop w:val="0"/>
      <w:marBottom w:val="0"/>
      <w:divBdr>
        <w:top w:val="none" w:sz="0" w:space="0" w:color="auto"/>
        <w:left w:val="none" w:sz="0" w:space="0" w:color="auto"/>
        <w:bottom w:val="none" w:sz="0" w:space="0" w:color="auto"/>
        <w:right w:val="none" w:sz="0" w:space="0" w:color="auto"/>
      </w:divBdr>
      <w:divsChild>
        <w:div w:id="222061813">
          <w:marLeft w:val="150"/>
          <w:marRight w:val="0"/>
          <w:marTop w:val="0"/>
          <w:marBottom w:val="0"/>
          <w:divBdr>
            <w:top w:val="none" w:sz="0" w:space="0" w:color="auto"/>
            <w:left w:val="none" w:sz="0" w:space="0" w:color="auto"/>
            <w:bottom w:val="none" w:sz="0" w:space="0" w:color="auto"/>
            <w:right w:val="none" w:sz="0" w:space="0" w:color="auto"/>
          </w:divBdr>
        </w:div>
      </w:divsChild>
    </w:div>
    <w:div w:id="1273123612">
      <w:bodyDiv w:val="1"/>
      <w:marLeft w:val="0"/>
      <w:marRight w:val="0"/>
      <w:marTop w:val="0"/>
      <w:marBottom w:val="0"/>
      <w:divBdr>
        <w:top w:val="none" w:sz="0" w:space="0" w:color="auto"/>
        <w:left w:val="none" w:sz="0" w:space="0" w:color="auto"/>
        <w:bottom w:val="none" w:sz="0" w:space="0" w:color="auto"/>
        <w:right w:val="none" w:sz="0" w:space="0" w:color="auto"/>
      </w:divBdr>
    </w:div>
    <w:div w:id="1283918307">
      <w:bodyDiv w:val="1"/>
      <w:marLeft w:val="0"/>
      <w:marRight w:val="0"/>
      <w:marTop w:val="0"/>
      <w:marBottom w:val="0"/>
      <w:divBdr>
        <w:top w:val="none" w:sz="0" w:space="0" w:color="auto"/>
        <w:left w:val="none" w:sz="0" w:space="0" w:color="auto"/>
        <w:bottom w:val="none" w:sz="0" w:space="0" w:color="auto"/>
        <w:right w:val="none" w:sz="0" w:space="0" w:color="auto"/>
      </w:divBdr>
    </w:div>
    <w:div w:id="1399330100">
      <w:bodyDiv w:val="1"/>
      <w:marLeft w:val="0"/>
      <w:marRight w:val="0"/>
      <w:marTop w:val="0"/>
      <w:marBottom w:val="0"/>
      <w:divBdr>
        <w:top w:val="none" w:sz="0" w:space="0" w:color="auto"/>
        <w:left w:val="none" w:sz="0" w:space="0" w:color="auto"/>
        <w:bottom w:val="none" w:sz="0" w:space="0" w:color="auto"/>
        <w:right w:val="none" w:sz="0" w:space="0" w:color="auto"/>
      </w:divBdr>
      <w:divsChild>
        <w:div w:id="1773695967">
          <w:marLeft w:val="143"/>
          <w:marRight w:val="0"/>
          <w:marTop w:val="0"/>
          <w:marBottom w:val="0"/>
          <w:divBdr>
            <w:top w:val="none" w:sz="0" w:space="0" w:color="auto"/>
            <w:left w:val="none" w:sz="0" w:space="0" w:color="auto"/>
            <w:bottom w:val="none" w:sz="0" w:space="0" w:color="auto"/>
            <w:right w:val="none" w:sz="0" w:space="0" w:color="auto"/>
          </w:divBdr>
        </w:div>
      </w:divsChild>
    </w:div>
    <w:div w:id="1429354653">
      <w:bodyDiv w:val="1"/>
      <w:marLeft w:val="0"/>
      <w:marRight w:val="0"/>
      <w:marTop w:val="0"/>
      <w:marBottom w:val="0"/>
      <w:divBdr>
        <w:top w:val="none" w:sz="0" w:space="0" w:color="auto"/>
        <w:left w:val="none" w:sz="0" w:space="0" w:color="auto"/>
        <w:bottom w:val="none" w:sz="0" w:space="0" w:color="auto"/>
        <w:right w:val="none" w:sz="0" w:space="0" w:color="auto"/>
      </w:divBdr>
    </w:div>
    <w:div w:id="1702704492">
      <w:bodyDiv w:val="1"/>
      <w:marLeft w:val="0"/>
      <w:marRight w:val="0"/>
      <w:marTop w:val="0"/>
      <w:marBottom w:val="0"/>
      <w:divBdr>
        <w:top w:val="none" w:sz="0" w:space="0" w:color="auto"/>
        <w:left w:val="none" w:sz="0" w:space="0" w:color="auto"/>
        <w:bottom w:val="none" w:sz="0" w:space="0" w:color="auto"/>
        <w:right w:val="none" w:sz="0" w:space="0" w:color="auto"/>
      </w:divBdr>
      <w:divsChild>
        <w:div w:id="1600795811">
          <w:marLeft w:val="150"/>
          <w:marRight w:val="0"/>
          <w:marTop w:val="0"/>
          <w:marBottom w:val="0"/>
          <w:divBdr>
            <w:top w:val="none" w:sz="0" w:space="0" w:color="auto"/>
            <w:left w:val="none" w:sz="0" w:space="0" w:color="auto"/>
            <w:bottom w:val="none" w:sz="0" w:space="0" w:color="auto"/>
            <w:right w:val="none" w:sz="0" w:space="0" w:color="auto"/>
          </w:divBdr>
        </w:div>
      </w:divsChild>
    </w:div>
    <w:div w:id="1766462768">
      <w:bodyDiv w:val="1"/>
      <w:marLeft w:val="0"/>
      <w:marRight w:val="0"/>
      <w:marTop w:val="0"/>
      <w:marBottom w:val="0"/>
      <w:divBdr>
        <w:top w:val="none" w:sz="0" w:space="0" w:color="auto"/>
        <w:left w:val="none" w:sz="0" w:space="0" w:color="auto"/>
        <w:bottom w:val="none" w:sz="0" w:space="0" w:color="auto"/>
        <w:right w:val="none" w:sz="0" w:space="0" w:color="auto"/>
      </w:divBdr>
      <w:divsChild>
        <w:div w:id="1533687197">
          <w:marLeft w:val="118"/>
          <w:marRight w:val="0"/>
          <w:marTop w:val="0"/>
          <w:marBottom w:val="0"/>
          <w:divBdr>
            <w:top w:val="none" w:sz="0" w:space="0" w:color="auto"/>
            <w:left w:val="none" w:sz="0" w:space="0" w:color="auto"/>
            <w:bottom w:val="none" w:sz="0" w:space="0" w:color="auto"/>
            <w:right w:val="none" w:sz="0" w:space="0" w:color="auto"/>
          </w:divBdr>
        </w:div>
      </w:divsChild>
    </w:div>
    <w:div w:id="1786734307">
      <w:bodyDiv w:val="1"/>
      <w:marLeft w:val="0"/>
      <w:marRight w:val="0"/>
      <w:marTop w:val="0"/>
      <w:marBottom w:val="0"/>
      <w:divBdr>
        <w:top w:val="none" w:sz="0" w:space="0" w:color="auto"/>
        <w:left w:val="none" w:sz="0" w:space="0" w:color="auto"/>
        <w:bottom w:val="none" w:sz="0" w:space="0" w:color="auto"/>
        <w:right w:val="none" w:sz="0" w:space="0" w:color="auto"/>
      </w:divBdr>
      <w:divsChild>
        <w:div w:id="1372149582">
          <w:marLeft w:val="150"/>
          <w:marRight w:val="0"/>
          <w:marTop w:val="0"/>
          <w:marBottom w:val="0"/>
          <w:divBdr>
            <w:top w:val="none" w:sz="0" w:space="0" w:color="auto"/>
            <w:left w:val="none" w:sz="0" w:space="0" w:color="auto"/>
            <w:bottom w:val="none" w:sz="0" w:space="0" w:color="auto"/>
            <w:right w:val="none" w:sz="0" w:space="0" w:color="auto"/>
          </w:divBdr>
        </w:div>
      </w:divsChild>
    </w:div>
    <w:div w:id="1905942112">
      <w:bodyDiv w:val="1"/>
      <w:marLeft w:val="0"/>
      <w:marRight w:val="0"/>
      <w:marTop w:val="0"/>
      <w:marBottom w:val="0"/>
      <w:divBdr>
        <w:top w:val="none" w:sz="0" w:space="0" w:color="auto"/>
        <w:left w:val="none" w:sz="0" w:space="0" w:color="auto"/>
        <w:bottom w:val="none" w:sz="0" w:space="0" w:color="auto"/>
        <w:right w:val="none" w:sz="0" w:space="0" w:color="auto"/>
      </w:divBdr>
    </w:div>
    <w:div w:id="1946695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2418</Words>
  <Characters>13786</Characters>
  <Application>Microsoft Office Word</Application>
  <DocSecurity>0</DocSecurity>
  <Lines>114</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Nitika Vats</dc:creator>
  <cp:lastModifiedBy>SDI PC New 16</cp:lastModifiedBy>
  <cp:revision>13</cp:revision>
  <dcterms:created xsi:type="dcterms:W3CDTF">2025-01-29T05:28:00Z</dcterms:created>
  <dcterms:modified xsi:type="dcterms:W3CDTF">2025-02-06T09:41:00Z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08d1c4741c499c3b951c9570426acddb9296cefe52e250ee3f416f11b465dd6b</vt:lpwstr>
  </property>
</Properties>
</file>