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b/>
          <w:sz w:val="24"/>
        </w:rPr>
      </w:pPr>
      <w:r>
        <w:rPr>
          <w:rFonts w:ascii="Times New Roman" w:cs="Times New Roman" w:hAnsi="Times New Roman"/>
          <w:b/>
          <w:sz w:val="24"/>
          <w:lang w:val="en-US"/>
        </w:rPr>
        <w:t xml:space="preserve"> ORIGINAL RESEARCH ARTICLE</w:t>
      </w:r>
    </w:p>
    <w:p>
      <w:pPr>
        <w:pStyle w:val="style0"/>
        <w:jc w:val="both"/>
        <w:rPr>
          <w:rFonts w:ascii="Times New Roman" w:cs="Times New Roman" w:hAnsi="Times New Roman"/>
          <w:b/>
          <w:sz w:val="24"/>
        </w:rPr>
      </w:pPr>
      <w:r>
        <w:rPr>
          <w:rFonts w:ascii="Times New Roman" w:cs="Times New Roman" w:hAnsi="Times New Roman"/>
          <w:b/>
          <w:sz w:val="24"/>
        </w:rPr>
        <w:t>EVALUATION OF LIPID AND CARDIOVASCULAR PARAMETERS IN ALBINO RATS EXPOSED TO POLYETHELENE TERAPHTHALATE</w:t>
      </w:r>
    </w:p>
    <w:p>
      <w:pPr>
        <w:pStyle w:val="style0"/>
        <w:jc w:val="both"/>
        <w:rPr>
          <w:rFonts w:ascii="Times New Roman" w:cs="Times New Roman" w:hAnsi="Times New Roman"/>
          <w:sz w:val="24"/>
        </w:rPr>
      </w:pPr>
    </w:p>
    <w:p>
      <w:pPr>
        <w:pStyle w:val="style0"/>
        <w:jc w:val="both"/>
        <w:rPr>
          <w:rFonts w:ascii="Times New Roman" w:cs="Times New Roman" w:hAnsi="Times New Roman"/>
          <w:b/>
          <w:sz w:val="24"/>
        </w:rPr>
      </w:pPr>
      <w:r>
        <w:rPr>
          <w:rFonts w:ascii="Times New Roman" w:cs="Times New Roman" w:hAnsi="Times New Roman"/>
          <w:b/>
          <w:sz w:val="24"/>
        </w:rPr>
        <w:t>ABSTRACT</w:t>
      </w:r>
    </w:p>
    <w:p>
      <w:pPr>
        <w:pStyle w:val="style0"/>
        <w:tabs>
          <w:tab w:val="left" w:leader="none" w:pos="720"/>
        </w:tabs>
        <w:spacing w:lineRule="auto" w:line="240"/>
        <w:jc w:val="both"/>
        <w:rPr>
          <w:rFonts w:ascii="Times New Roman" w:cs="Times New Roman" w:hAnsi="Times New Roman"/>
          <w:sz w:val="20"/>
          <w:szCs w:val="20"/>
        </w:rPr>
      </w:pPr>
      <w:r>
        <w:rPr>
          <w:rFonts w:ascii="Times New Roman" w:cs="Times New Roman" w:hAnsi="Times New Roman"/>
          <w:sz w:val="20"/>
          <w:szCs w:val="20"/>
        </w:rPr>
        <w:t xml:space="preserve">Cardiovascular disease (CVD is the leading non-communicable cause of death accounting for approximately 30% of all deaths worldwide. Recently, different natural and chemical substances including microplastics which are plastic particles with a diameter less than 5 mm have been implicated in causing damage to organs of the body including cardiovascular health and diabetes. </w:t>
      </w:r>
    </w:p>
    <w:p>
      <w:pPr>
        <w:pStyle w:val="style0"/>
        <w:tabs>
          <w:tab w:val="left" w:leader="none" w:pos="720"/>
        </w:tabs>
        <w:spacing w:lineRule="auto" w:line="240"/>
        <w:jc w:val="both"/>
        <w:rPr>
          <w:rFonts w:ascii="Times New Roman" w:cs="Times New Roman" w:hAnsi="Times New Roman"/>
          <w:sz w:val="20"/>
          <w:szCs w:val="20"/>
        </w:rPr>
      </w:pPr>
      <w:r>
        <w:rPr>
          <w:rFonts w:ascii="Times New Roman" w:cs="Times New Roman" w:hAnsi="Times New Roman"/>
          <w:b/>
          <w:sz w:val="20"/>
          <w:szCs w:val="20"/>
        </w:rPr>
        <w:t>Aim</w:t>
      </w:r>
      <w:r>
        <w:rPr>
          <w:rFonts w:ascii="Times New Roman" w:cs="Times New Roman" w:hAnsi="Times New Roman"/>
          <w:sz w:val="20"/>
          <w:szCs w:val="20"/>
        </w:rPr>
        <w:t xml:space="preserve">: This study was conducted to evaluate the effects of chronic exposure to microplastics in drinking water on some biochemical parameters in albino rats. </w:t>
      </w:r>
    </w:p>
    <w:p>
      <w:pPr>
        <w:pStyle w:val="style0"/>
        <w:tabs>
          <w:tab w:val="left" w:leader="none" w:pos="720"/>
        </w:tabs>
        <w:spacing w:lineRule="auto" w:line="240"/>
        <w:jc w:val="both"/>
        <w:rPr>
          <w:rFonts w:ascii="Times New Roman" w:cs="Times New Roman" w:hAnsi="Times New Roman"/>
          <w:sz w:val="20"/>
          <w:szCs w:val="20"/>
        </w:rPr>
      </w:pPr>
      <w:r>
        <w:rPr>
          <w:rFonts w:ascii="Times New Roman" w:cs="Times New Roman" w:hAnsi="Times New Roman"/>
          <w:b/>
          <w:sz w:val="20"/>
          <w:szCs w:val="20"/>
        </w:rPr>
        <w:t>Methodology:</w:t>
      </w:r>
      <w:r>
        <w:rPr>
          <w:rFonts w:ascii="Times New Roman" w:cs="Times New Roman" w:hAnsi="Times New Roman"/>
          <w:sz w:val="20"/>
          <w:szCs w:val="20"/>
        </w:rPr>
        <w:t xml:space="preserve"> A total of Thirty-seven (37) albino rats weighing 130-150g were used for this study. Polyethylene terephthalate (PET) microplastics pellets were obtained, crushed, dissolved in water and filtered before use. Pilot study was carried out to determine the LD50 of PET microplastic administered orally using the </w:t>
      </w:r>
      <w:r>
        <w:rPr>
          <w:rFonts w:ascii="Times New Roman" w:cs="Times New Roman" w:hAnsi="Times New Roman"/>
          <w:sz w:val="20"/>
          <w:szCs w:val="20"/>
        </w:rPr>
        <w:t>Lorke’s</w:t>
      </w:r>
      <w:r>
        <w:rPr>
          <w:rFonts w:ascii="Times New Roman" w:cs="Times New Roman" w:hAnsi="Times New Roman"/>
          <w:sz w:val="20"/>
          <w:szCs w:val="20"/>
        </w:rPr>
        <w:t xml:space="preserve"> method of pilot toxicity testing. After allowing fourteen (14) days for acclimatization, the rats were randomly assigned into 5 groups with 5 rats in each group. The PET treatment was administered orally for 3 months. 40mg/kg, 80mg/kg and 120mg/kg PET microplastic were given to animals in groups 2, 3, and 4 respectively.  Group 5 received water exposed to sunlight between 8am to 4pm daily for 30 days in PET containers while group 1 was normal control receiving food and water only. After the duration of treatments, blood samples were collected for analysis of total cholesterol (TC), triglycerides (TG), high density lipoprotein cholesterol (HDL) and glycated </w:t>
      </w:r>
      <w:r>
        <w:rPr>
          <w:rFonts w:ascii="Times New Roman" w:cs="Times New Roman" w:hAnsi="Times New Roman"/>
          <w:sz w:val="20"/>
          <w:szCs w:val="20"/>
        </w:rPr>
        <w:t>haemoglobin</w:t>
      </w:r>
      <w:r>
        <w:rPr>
          <w:rFonts w:ascii="Times New Roman" w:cs="Times New Roman" w:hAnsi="Times New Roman"/>
          <w:sz w:val="20"/>
          <w:szCs w:val="20"/>
        </w:rPr>
        <w:t xml:space="preserve"> (HBA1c) using colorimetric methods while the LDL cholesterol levels were calculated using the </w:t>
      </w:r>
      <w:r>
        <w:rPr>
          <w:rFonts w:ascii="Times New Roman" w:cs="Times New Roman" w:hAnsi="Times New Roman"/>
          <w:sz w:val="20"/>
          <w:szCs w:val="20"/>
        </w:rPr>
        <w:t>Friedwald’s</w:t>
      </w:r>
      <w:r>
        <w:rPr>
          <w:rFonts w:ascii="Times New Roman" w:cs="Times New Roman" w:hAnsi="Times New Roman"/>
          <w:sz w:val="20"/>
          <w:szCs w:val="20"/>
        </w:rPr>
        <w:t xml:space="preserve"> equation. Atherogenic indices such as Castelli Risk Index I (CRI-I), Castelli Risk Index II (CRI-II) and Atherogenic Coefficient (AC) were also calculated from the lipid profile values. Fasting blood glucose (FBG) were </w:t>
      </w:r>
      <w:r>
        <w:rPr>
          <w:rFonts w:ascii="Times New Roman" w:cs="Times New Roman" w:hAnsi="Times New Roman"/>
          <w:sz w:val="20"/>
          <w:szCs w:val="20"/>
        </w:rPr>
        <w:t>analysed</w:t>
      </w:r>
      <w:r>
        <w:rPr>
          <w:rFonts w:ascii="Times New Roman" w:cs="Times New Roman" w:hAnsi="Times New Roman"/>
          <w:sz w:val="20"/>
          <w:szCs w:val="20"/>
        </w:rPr>
        <w:t xml:space="preserve"> using glucose oxidase method while Cardiac troponin I (</w:t>
      </w:r>
      <w:r>
        <w:rPr>
          <w:rFonts w:ascii="Times New Roman" w:cs="Times New Roman" w:hAnsi="Times New Roman"/>
          <w:sz w:val="20"/>
          <w:szCs w:val="20"/>
        </w:rPr>
        <w:t>cTn</w:t>
      </w:r>
      <w:r>
        <w:rPr>
          <w:rFonts w:ascii="Times New Roman" w:cs="Times New Roman" w:hAnsi="Times New Roman"/>
          <w:sz w:val="20"/>
          <w:szCs w:val="20"/>
        </w:rPr>
        <w:t>-I) and TNF a were evaluated using ELISA method.</w:t>
      </w:r>
      <w:r>
        <w:rPr>
          <w:rFonts w:ascii="Times New Roman" w:cs="Times New Roman" w:hAnsi="Times New Roman"/>
          <w:bCs/>
          <w:sz w:val="20"/>
          <w:szCs w:val="20"/>
        </w:rPr>
        <w:t xml:space="preserve"> </w:t>
      </w:r>
      <w:r>
        <w:rPr>
          <w:rFonts w:ascii="Times New Roman" w:cs="Times New Roman" w:hAnsi="Times New Roman"/>
          <w:sz w:val="20"/>
          <w:szCs w:val="20"/>
        </w:rPr>
        <w:t xml:space="preserve">Statistical analysis was computed using GraphPad Prism Software Version 9.0.0 (121), San Diego, CA. Data obtained from this study were presented as mean ± SD. Statistical comparison between groups were done using one-way ANOVA, while </w:t>
      </w:r>
      <w:r>
        <w:rPr>
          <w:rFonts w:ascii="Times New Roman" w:cs="Times New Roman" w:hAnsi="Times New Roman"/>
          <w:sz w:val="20"/>
          <w:szCs w:val="20"/>
        </w:rPr>
        <w:t>Tukeys</w:t>
      </w:r>
      <w:r>
        <w:rPr>
          <w:rFonts w:ascii="Times New Roman" w:cs="Times New Roman" w:hAnsi="Times New Roman"/>
          <w:sz w:val="20"/>
          <w:szCs w:val="20"/>
        </w:rPr>
        <w:t xml:space="preserve"> multiple comparison were used to obtain specific significant differences among the various groups. Differences were considered significant at P&lt;0.05. </w:t>
      </w:r>
    </w:p>
    <w:p>
      <w:pPr>
        <w:pStyle w:val="style0"/>
        <w:tabs>
          <w:tab w:val="left" w:leader="none" w:pos="720"/>
        </w:tabs>
        <w:spacing w:lineRule="auto" w:line="240"/>
        <w:jc w:val="both"/>
        <w:rPr>
          <w:rFonts w:ascii="Times New Roman" w:cs="Times New Roman" w:hAnsi="Times New Roman"/>
          <w:sz w:val="20"/>
          <w:szCs w:val="20"/>
        </w:rPr>
      </w:pPr>
      <w:r>
        <w:rPr>
          <w:rFonts w:ascii="Times New Roman" w:cs="Times New Roman" w:hAnsi="Times New Roman"/>
          <w:b/>
          <w:sz w:val="20"/>
          <w:szCs w:val="20"/>
        </w:rPr>
        <w:t>Results</w:t>
      </w:r>
      <w:r>
        <w:rPr>
          <w:rFonts w:ascii="Times New Roman" w:cs="Times New Roman" w:hAnsi="Times New Roman"/>
          <w:sz w:val="20"/>
          <w:szCs w:val="20"/>
        </w:rPr>
        <w:t xml:space="preserve">: Results obtained revealed the LD50 of PET administered orally to be 122.27mg/kg. There was a significant increase in levels of cardiac troponin I, Tumor Necrosis Factor Alpha, total cholesterol, LDL cholesterol, CRI-I, CRI-II, AC, fasting blood glucose and glycated </w:t>
      </w:r>
      <w:r>
        <w:rPr>
          <w:rFonts w:ascii="Times New Roman" w:cs="Times New Roman" w:hAnsi="Times New Roman"/>
          <w:sz w:val="20"/>
          <w:szCs w:val="20"/>
        </w:rPr>
        <w:t>haemoglobin</w:t>
      </w:r>
      <w:r>
        <w:rPr>
          <w:rFonts w:ascii="Times New Roman" w:cs="Times New Roman" w:hAnsi="Times New Roman"/>
          <w:sz w:val="20"/>
          <w:szCs w:val="20"/>
        </w:rPr>
        <w:t xml:space="preserve"> in the PET treated groups compared to the control at (p&lt;0.05). Similarly, the mean cardiac troponin I and TNF a, levels in the group treated with bottled water exposed to sunlight were significantly higher than in the control group but significantly lower than in the PET-treated groups at p&lt;0.05. </w:t>
      </w:r>
    </w:p>
    <w:p>
      <w:pPr>
        <w:pStyle w:val="style0"/>
        <w:tabs>
          <w:tab w:val="left" w:leader="none" w:pos="720"/>
        </w:tabs>
        <w:spacing w:lineRule="auto" w:line="240"/>
        <w:jc w:val="both"/>
        <w:rPr>
          <w:rFonts w:ascii="Times New Roman" w:cs="Times New Roman" w:hAnsi="Times New Roman"/>
          <w:sz w:val="20"/>
          <w:szCs w:val="20"/>
        </w:rPr>
      </w:pPr>
      <w:r>
        <w:rPr>
          <w:rFonts w:ascii="Times New Roman" w:cs="Times New Roman" w:hAnsi="Times New Roman"/>
          <w:b/>
          <w:sz w:val="20"/>
          <w:szCs w:val="20"/>
        </w:rPr>
        <w:t>Conclusions</w:t>
      </w:r>
      <w:r>
        <w:rPr>
          <w:rFonts w:ascii="Times New Roman" w:cs="Times New Roman" w:hAnsi="Times New Roman"/>
          <w:sz w:val="20"/>
          <w:szCs w:val="20"/>
        </w:rPr>
        <w:t>: The findings from this study demonstrate that chronic exposure to PET microplastics induces significant alterations in these biochemical biomarkers in albino rats suggesting that PET microplastics may contribute to inflammation, cardiovascular disorders, and impaired glucose metabolism, which may increase the risk of insulin resistance and diabetes, thus, emphasizing the potential health risks associated with PET microplastic ingestion.</w:t>
      </w:r>
    </w:p>
    <w:p>
      <w:pPr>
        <w:pStyle w:val="style0"/>
        <w:jc w:val="both"/>
        <w:rPr>
          <w:rFonts w:ascii="Times New Roman" w:cs="Times New Roman" w:hAnsi="Times New Roman"/>
          <w:b/>
          <w:sz w:val="24"/>
        </w:rPr>
      </w:pPr>
      <w:r>
        <w:rPr>
          <w:rFonts w:ascii="Times New Roman" w:cs="Times New Roman" w:hAnsi="Times New Roman"/>
          <w:b/>
          <w:sz w:val="24"/>
        </w:rPr>
        <w:t xml:space="preserve">Keywords: Lipids, Cardiovascular Parameters, </w:t>
      </w:r>
      <w:r>
        <w:rPr>
          <w:rFonts w:ascii="Times New Roman" w:cs="Times New Roman" w:hAnsi="Times New Roman"/>
          <w:b/>
          <w:sz w:val="24"/>
        </w:rPr>
        <w:t>Polyethelene</w:t>
      </w:r>
      <w:r>
        <w:rPr>
          <w:rFonts w:ascii="Times New Roman" w:cs="Times New Roman" w:hAnsi="Times New Roman"/>
          <w:b/>
          <w:sz w:val="24"/>
        </w:rPr>
        <w:t xml:space="preserve"> </w:t>
      </w:r>
      <w:r>
        <w:rPr>
          <w:rFonts w:ascii="Times New Roman" w:cs="Times New Roman" w:hAnsi="Times New Roman"/>
          <w:b/>
          <w:sz w:val="24"/>
        </w:rPr>
        <w:t>Teraphthalate</w:t>
      </w:r>
      <w:r>
        <w:rPr>
          <w:rFonts w:ascii="Times New Roman" w:cs="Times New Roman" w:hAnsi="Times New Roman"/>
          <w:b/>
          <w:sz w:val="24"/>
        </w:rPr>
        <w:t xml:space="preserve"> </w:t>
      </w:r>
    </w:p>
    <w:p>
      <w:pPr>
        <w:pStyle w:val="style0"/>
        <w:jc w:val="both"/>
        <w:rPr>
          <w:rFonts w:ascii="Times New Roman" w:cs="Times New Roman" w:hAnsi="Times New Roman"/>
          <w:sz w:val="24"/>
        </w:rPr>
      </w:pPr>
    </w:p>
    <w:p>
      <w:pPr>
        <w:pStyle w:val="style0"/>
        <w:jc w:val="both"/>
        <w:rPr>
          <w:rFonts w:ascii="Times New Roman" w:cs="Times New Roman" w:hAnsi="Times New Roman"/>
          <w:b/>
          <w:bCs/>
          <w:sz w:val="24"/>
        </w:rPr>
      </w:pPr>
      <w:r>
        <w:rPr>
          <w:rFonts w:ascii="Times New Roman" w:cs="Times New Roman" w:hAnsi="Times New Roman"/>
          <w:b/>
          <w:bCs/>
          <w:sz w:val="24"/>
        </w:rPr>
        <w:t>1.0 Introduction</w:t>
      </w:r>
    </w:p>
    <w:p>
      <w:pPr>
        <w:pStyle w:val="style0"/>
        <w:spacing w:lineRule="auto" w:line="480"/>
        <w:jc w:val="both"/>
        <w:rPr>
          <w:rFonts w:ascii="Times New Roman" w:cs="Times New Roman" w:hAnsi="Times New Roman"/>
          <w:sz w:val="24"/>
        </w:rPr>
      </w:pPr>
      <w:r>
        <w:rPr>
          <w:rFonts w:ascii="Times New Roman" w:cs="Times New Roman" w:hAnsi="Times New Roman"/>
          <w:sz w:val="24"/>
        </w:rPr>
        <w:t>Polyethylene terephthalate (PET) is a widely used plastic polymer, particularly favored for its robustness, clarity, and food safety, making it a popular choice for beverage bottles, food packaging, and synthetic fibers (</w:t>
      </w:r>
      <w:r>
        <w:rPr>
          <w:rFonts w:ascii="Times New Roman" w:cs="Times New Roman" w:hAnsi="Times New Roman"/>
          <w:sz w:val="24"/>
        </w:rPr>
        <w:t>Nisticò</w:t>
      </w:r>
      <w:r>
        <w:rPr>
          <w:rFonts w:ascii="Times New Roman" w:cs="Times New Roman" w:hAnsi="Times New Roman"/>
          <w:sz w:val="24"/>
        </w:rPr>
        <w:t>, 2020). Over time, and through physical wear, exposure to UV light, and other environmental stressors, PET products can degrade and fragment into smaller pieces, known as microplastics which can persist in the environment, contributing significantly to pollution (De Vos et al., 2021). Microplastics generally contain two types of chemicals, namely (</w:t>
      </w:r>
      <w:r>
        <w:rPr>
          <w:rFonts w:ascii="Times New Roman" w:cs="Times New Roman" w:hAnsi="Times New Roman"/>
          <w:sz w:val="24"/>
        </w:rPr>
        <w:t>i</w:t>
      </w:r>
      <w:r>
        <w:rPr>
          <w:rFonts w:ascii="Times New Roman" w:cs="Times New Roman" w:hAnsi="Times New Roman"/>
          <w:sz w:val="24"/>
        </w:rPr>
        <w:t>) additives and polymeric raw materials (e.g., monomers or oligomers) originating from the plastics, and (ii) chemicals absorbed from the surrounding ambience (</w:t>
      </w:r>
      <w:r>
        <w:rPr>
          <w:rFonts w:ascii="Times New Roman" w:cs="Times New Roman" w:hAnsi="Times New Roman"/>
          <w:sz w:val="24"/>
        </w:rPr>
        <w:t>Campanale</w:t>
      </w:r>
      <w:r>
        <w:rPr>
          <w:rFonts w:ascii="Times New Roman" w:cs="Times New Roman" w:hAnsi="Times New Roman"/>
          <w:sz w:val="24"/>
        </w:rPr>
        <w:t xml:space="preserve"> et al., 2020). These additives and microplastic forms have been reported to leach into the air, water, food, and potentially human body tissues during use or disposal, exposing us to multiple chemicals that may predispose to</w:t>
      </w:r>
      <w:r>
        <w:t xml:space="preserve"> </w:t>
      </w:r>
      <w:r>
        <w:rPr>
          <w:rFonts w:ascii="Times New Roman" w:cs="Times New Roman" w:hAnsi="Times New Roman"/>
          <w:sz w:val="24"/>
        </w:rPr>
        <w:t xml:space="preserve">cardiovascular disease (CVD), a broad term for a group of disorders that affect the circulatory system, including the heart and blood vessels, which work together to pump and transport blood throughout the body (Olvera-Lopez et al., 2024). Medically, CVD is known to encompass atherosclerosis with its subtypes (coronary, cerebral, and peripheral artery disease) and two major complications (myocardial infarction and ischemic stroke), heart failure (HF), cardiac </w:t>
      </w:r>
      <w:r>
        <w:rPr>
          <w:rFonts w:ascii="Times New Roman" w:cs="Times New Roman" w:hAnsi="Times New Roman"/>
          <w:sz w:val="24"/>
        </w:rPr>
        <w:t>valvulopathies</w:t>
      </w:r>
      <w:r>
        <w:rPr>
          <w:rFonts w:ascii="Times New Roman" w:cs="Times New Roman" w:hAnsi="Times New Roman"/>
          <w:sz w:val="24"/>
        </w:rPr>
        <w:t xml:space="preserve"> and arrhythmias, rheumatic heart disease, congenital heart disease, and deep vein thrombosis with its own complication (pulmonary embolism) (</w:t>
      </w:r>
      <w:r>
        <w:rPr>
          <w:rFonts w:ascii="Times New Roman" w:cs="Times New Roman" w:hAnsi="Times New Roman"/>
          <w:sz w:val="24"/>
        </w:rPr>
        <w:t>Naghavi</w:t>
      </w:r>
      <w:r>
        <w:rPr>
          <w:rFonts w:ascii="Times New Roman" w:cs="Times New Roman" w:hAnsi="Times New Roman"/>
          <w:sz w:val="24"/>
        </w:rPr>
        <w:t xml:space="preserve"> et al., 2015; Olvera-Lopez et al., 2024).</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Cardiovascular disease (CVD) is the leading noncommunicable cause of death, accounting for approximately 30% of all deaths worldwide (Nichols et al., 2014). Cardiovascular disease (CVD) may directly arise from different etiologies, including emboli in individuals that have atrial fibrillation, resulting in ischemic stroke, rheumatic fever causing valvular heart disease, among others [Olvera-Lopez et al.,2024]. The underlying mechanisms vary depending on the disease </w:t>
      </w:r>
      <w:r>
        <w:rPr>
          <w:rFonts w:ascii="Times New Roman" w:cs="Times New Roman" w:hAnsi="Times New Roman"/>
          <w:sz w:val="24"/>
        </w:rPr>
        <w:t>(Olvera-Lopez et al., 2024). It is estimated that dietary risk factors are associated with 53% of CVD deaths (Petersen and Kris-</w:t>
      </w:r>
      <w:r>
        <w:rPr>
          <w:rFonts w:ascii="Times New Roman" w:cs="Times New Roman" w:hAnsi="Times New Roman"/>
          <w:sz w:val="24"/>
        </w:rPr>
        <w:t>Etherton</w:t>
      </w:r>
      <w:r>
        <w:rPr>
          <w:rFonts w:ascii="Times New Roman" w:cs="Times New Roman" w:hAnsi="Times New Roman"/>
          <w:sz w:val="24"/>
        </w:rPr>
        <w:t>, 2021). Coronary artery disease, stroke, and peripheral artery disease involve atherosclerosis, resulting from high blood pressure, smoking, diabetes mellitus, lack of exercise, obesity, high blood cholesterol, poor diet, excessive alcohol consumption, and poor sleep, among other things (Jackson et al., 2015; Olvera-Lopez et al., 2024).</w:t>
      </w:r>
    </w:p>
    <w:p>
      <w:pPr>
        <w:pStyle w:val="style0"/>
        <w:spacing w:lineRule="auto" w:line="480"/>
        <w:jc w:val="both"/>
        <w:rPr>
          <w:rFonts w:ascii="Times New Roman" w:cs="Times New Roman" w:hAnsi="Times New Roman"/>
          <w:sz w:val="24"/>
        </w:rPr>
      </w:pPr>
      <w:r>
        <w:rPr>
          <w:rFonts w:ascii="Times New Roman" w:cs="Times New Roman" w:hAnsi="Times New Roman"/>
          <w:sz w:val="24"/>
        </w:rPr>
        <w:t>Atherosclerosis is the leading cause of mortality worldwide among various cardiovascular diseases, primarily by contributing to ischemic heart disease (IHD). It is linked to endothelial dysfunction, monocyte accumulation, endothelial cell apoptosis, and thrombus formation, all of which impair cardiovascular function. The condition is partially associated with altered serum lipid levels and cholesterol buildup in the arterial walls, which is a major risk factor for coronary artery disease (CAD). In atherosclerosis, low-density lipoprotein (LDL) serves as a key biomarker, whereas high-density lipoproteins (HDL) are connected to atherosclerotic kidney disease (Rye et al., 2014).</w:t>
      </w:r>
    </w:p>
    <w:p>
      <w:pPr>
        <w:pStyle w:val="style0"/>
        <w:spacing w:lineRule="auto" w:line="480"/>
        <w:jc w:val="both"/>
        <w:rPr>
          <w:rFonts w:ascii="Times New Roman" w:cs="Times New Roman" w:hAnsi="Times New Roman"/>
          <w:sz w:val="24"/>
        </w:rPr>
      </w:pPr>
      <w:r>
        <w:rPr>
          <w:rFonts w:ascii="Times New Roman" w:cs="Times New Roman" w:hAnsi="Times New Roman"/>
          <w:sz w:val="24"/>
        </w:rPr>
        <w:t>The triglyceride-to-high-density lipoprotein cholesterol (TG/HDL-C) ratio, total cholesterol-to-high-density lipoprotein cholesterol (TC/HDL-C) ratio, and a low ankle-brachial index (ABI) are valuable predictors of cardiovascular disease (CVD) risk in elderly populations (Zhan et al., 2014). These biomarkers, particularly the TG/HDL-C and TC/HDL-C ratios, along with a reduced ABI, play a significant role in assessing CVD risk (Zhan et al., 2014). Although triglyceride levels are commonly included in standard lipid panels, their utility in predicting CVD risk can be enhanced by considering other lipid profile markers.</w:t>
      </w:r>
    </w:p>
    <w:p>
      <w:pPr>
        <w:pStyle w:val="style0"/>
        <w:spacing w:lineRule="auto" w:line="480"/>
        <w:jc w:val="both"/>
        <w:rPr>
          <w:rFonts w:ascii="Times New Roman" w:cs="Times New Roman" w:hAnsi="Times New Roman"/>
          <w:sz w:val="24"/>
        </w:rPr>
      </w:pPr>
      <w:r>
        <w:rPr>
          <w:rFonts w:ascii="Times New Roman" w:cs="Times New Roman" w:hAnsi="Times New Roman"/>
          <w:sz w:val="24"/>
        </w:rPr>
        <w:t>The lipid-lipoprotein ratio serves as a valuable predictor of severe cardiovascular risks in both younger and older individuals. Additionally, population studies have shown that elevated levels of oxidized low-density lipoprotein (</w:t>
      </w:r>
      <w:r>
        <w:rPr>
          <w:rFonts w:ascii="Times New Roman" w:cs="Times New Roman" w:hAnsi="Times New Roman"/>
          <w:sz w:val="24"/>
        </w:rPr>
        <w:t>oxLDL</w:t>
      </w:r>
      <w:r>
        <w:rPr>
          <w:rFonts w:ascii="Times New Roman" w:cs="Times New Roman" w:hAnsi="Times New Roman"/>
          <w:sz w:val="24"/>
        </w:rPr>
        <w:t>) are linked to an increased risk of cardiovascular disease.</w:t>
      </w:r>
    </w:p>
    <w:p>
      <w:pPr>
        <w:pStyle w:val="style0"/>
        <w:spacing w:lineRule="auto" w:line="480"/>
        <w:jc w:val="both"/>
        <w:rPr>
          <w:rFonts w:ascii="Times New Roman" w:cs="Times New Roman" w:hAnsi="Times New Roman"/>
          <w:sz w:val="24"/>
        </w:rPr>
      </w:pPr>
      <w:r>
        <w:rPr>
          <w:rFonts w:ascii="Times New Roman" w:cs="Times New Roman" w:hAnsi="Times New Roman"/>
          <w:sz w:val="24"/>
        </w:rPr>
        <w:t>Elevated plasma concentrations of low-density lipoprotein cholesterol (LDL-C) represent a significant risk factor for atherosclerotic cardiovascular disease (ASCVD). A sharp increase in LDL-C levels signals a heightened cardiovascular risk and necessitates early clinical intervention (Merino et al., 2014).</w:t>
      </w:r>
    </w:p>
    <w:p>
      <w:pPr>
        <w:pStyle w:val="style0"/>
        <w:spacing w:lineRule="auto" w:line="480"/>
        <w:jc w:val="both"/>
        <w:rPr>
          <w:rFonts w:ascii="Times New Roman" w:cs="Times New Roman" w:hAnsi="Times New Roman"/>
          <w:sz w:val="24"/>
        </w:rPr>
      </w:pPr>
      <w:r>
        <w:rPr>
          <w:rFonts w:ascii="Times New Roman" w:cs="Times New Roman" w:hAnsi="Times New Roman"/>
          <w:sz w:val="24"/>
        </w:rPr>
        <w:t>High-density lipoprotein particles (HDL-P) and their components serve as emerging indicators of cardiovascular risk, particularly in relation to apolipoprotein levels. Measurements of apolipoproteins B (</w:t>
      </w:r>
      <w:r>
        <w:rPr>
          <w:rFonts w:ascii="Times New Roman" w:cs="Times New Roman" w:hAnsi="Times New Roman"/>
          <w:sz w:val="24"/>
        </w:rPr>
        <w:t>ApoB</w:t>
      </w:r>
      <w:r>
        <w:rPr>
          <w:rFonts w:ascii="Times New Roman" w:cs="Times New Roman" w:hAnsi="Times New Roman"/>
          <w:sz w:val="24"/>
        </w:rPr>
        <w:t>), apolipoproteins A-I (</w:t>
      </w:r>
      <w:r>
        <w:rPr>
          <w:rFonts w:ascii="Times New Roman" w:cs="Times New Roman" w:hAnsi="Times New Roman"/>
          <w:sz w:val="24"/>
        </w:rPr>
        <w:t>ApoA</w:t>
      </w:r>
      <w:r>
        <w:rPr>
          <w:rFonts w:ascii="Times New Roman" w:cs="Times New Roman" w:hAnsi="Times New Roman"/>
          <w:sz w:val="24"/>
        </w:rPr>
        <w:t>-I), and lipid particle size provide cumulative insights into cardiovascular risks.</w:t>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b/>
          <w:bCs/>
          <w:sz w:val="24"/>
        </w:rPr>
      </w:pPr>
      <w:r>
        <w:rPr>
          <w:rFonts w:ascii="Times New Roman" w:cs="Times New Roman" w:hAnsi="Times New Roman"/>
          <w:b/>
          <w:bCs/>
          <w:sz w:val="24"/>
        </w:rPr>
        <w:t>2.0 Materials and Methods</w:t>
      </w:r>
    </w:p>
    <w:p>
      <w:pPr>
        <w:pStyle w:val="style0"/>
        <w:spacing w:lineRule="auto" w:line="480"/>
        <w:jc w:val="both"/>
        <w:rPr>
          <w:rFonts w:ascii="Times New Roman" w:cs="Times New Roman" w:hAnsi="Times New Roman"/>
          <w:b/>
          <w:bCs/>
          <w:sz w:val="24"/>
        </w:rPr>
      </w:pPr>
      <w:r>
        <w:rPr>
          <w:rFonts w:ascii="Times New Roman" w:cs="Times New Roman" w:hAnsi="Times New Roman"/>
          <w:b/>
          <w:bCs/>
          <w:sz w:val="24"/>
        </w:rPr>
        <w:t>2.1 Experimental Animals</w:t>
      </w:r>
    </w:p>
    <w:p>
      <w:pPr>
        <w:pStyle w:val="style0"/>
        <w:spacing w:lineRule="auto" w:line="480"/>
        <w:jc w:val="both"/>
        <w:rPr>
          <w:rFonts w:ascii="Times New Roman" w:cs="Times New Roman" w:hAnsi="Times New Roman"/>
          <w:sz w:val="24"/>
        </w:rPr>
      </w:pPr>
      <w:r>
        <w:rPr>
          <w:rFonts w:ascii="Times New Roman" w:cs="Times New Roman" w:hAnsi="Times New Roman"/>
          <w:sz w:val="24"/>
        </w:rPr>
        <w:t>Thirty-seven (37) albino rats weighing 130-150g were used for this study. The animals were obtained from University of Port Harcourt College of Health Sciences. They were transported in well-ventilated wired cage to the animal house at the Department of Animal and Environmental Biology, Rivers State University, Port Harcourt. During this study, the rats were maintained with a 12-hour light/dark cycle and were allowed adequate access to feed and water.</w:t>
      </w:r>
    </w:p>
    <w:p>
      <w:pPr>
        <w:pStyle w:val="style0"/>
        <w:spacing w:lineRule="auto" w:line="480"/>
        <w:jc w:val="both"/>
        <w:rPr>
          <w:rFonts w:ascii="Times New Roman" w:cs="Times New Roman" w:hAnsi="Times New Roman"/>
          <w:b/>
          <w:bCs/>
          <w:sz w:val="24"/>
        </w:rPr>
      </w:pPr>
    </w:p>
    <w:p>
      <w:pPr>
        <w:pStyle w:val="style0"/>
        <w:spacing w:lineRule="auto" w:line="480"/>
        <w:jc w:val="both"/>
        <w:rPr>
          <w:rFonts w:ascii="Times New Roman" w:cs="Times New Roman" w:hAnsi="Times New Roman"/>
          <w:b/>
          <w:bCs/>
          <w:sz w:val="24"/>
        </w:rPr>
      </w:pPr>
    </w:p>
    <w:p>
      <w:pPr>
        <w:pStyle w:val="style0"/>
        <w:spacing w:lineRule="auto" w:line="480"/>
        <w:jc w:val="both"/>
        <w:rPr>
          <w:rFonts w:ascii="Times New Roman" w:cs="Times New Roman" w:hAnsi="Times New Roman"/>
          <w:b/>
          <w:bCs/>
          <w:sz w:val="24"/>
        </w:rPr>
      </w:pPr>
      <w:r>
        <w:rPr>
          <w:rFonts w:ascii="Times New Roman" w:cs="Times New Roman" w:hAnsi="Times New Roman"/>
          <w:b/>
          <w:bCs/>
          <w:sz w:val="24"/>
        </w:rPr>
        <w:t>2.2 Microplastic polymer</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Polyethylene terephthalate (PET) microplastic pellets were obtained from Indorama Petrochemicals, </w:t>
      </w:r>
      <w:r>
        <w:rPr>
          <w:rFonts w:ascii="Times New Roman" w:cs="Times New Roman" w:hAnsi="Times New Roman"/>
          <w:sz w:val="24"/>
        </w:rPr>
        <w:t>Onne</w:t>
      </w:r>
      <w:r>
        <w:rPr>
          <w:rFonts w:ascii="Times New Roman" w:cs="Times New Roman" w:hAnsi="Times New Roman"/>
          <w:sz w:val="24"/>
        </w:rPr>
        <w:t>, Port Harcourt. It was stored at room temperature at the Chemical Pathology laboratory, Faculty of Medical Laboratory Science, Rivers State University, Port Harcourt. For use in this study, the pellets were weighed, ground and dissolved in water and filtered before use.</w:t>
      </w:r>
    </w:p>
    <w:p>
      <w:pPr>
        <w:pStyle w:val="style0"/>
        <w:spacing w:lineRule="auto" w:line="480"/>
        <w:jc w:val="both"/>
        <w:rPr>
          <w:rFonts w:ascii="Times New Roman" w:cs="Times New Roman" w:hAnsi="Times New Roman"/>
          <w:b/>
          <w:bCs/>
          <w:sz w:val="24"/>
        </w:rPr>
      </w:pPr>
      <w:r>
        <w:rPr>
          <w:rFonts w:ascii="Times New Roman" w:cs="Times New Roman" w:hAnsi="Times New Roman"/>
          <w:b/>
          <w:bCs/>
          <w:sz w:val="24"/>
        </w:rPr>
        <w:t>2.3 Dose Determination and Pilot Study</w:t>
      </w:r>
    </w:p>
    <w:p>
      <w:pPr>
        <w:pStyle w:val="style0"/>
        <w:spacing w:lineRule="auto" w:line="480"/>
        <w:jc w:val="both"/>
        <w:rPr>
          <w:rFonts w:ascii="Times New Roman" w:cs="Times New Roman" w:hAnsi="Times New Roman"/>
          <w:sz w:val="24"/>
        </w:rPr>
      </w:pPr>
      <w:r>
        <w:rPr>
          <w:rFonts w:ascii="Times New Roman" w:cs="Times New Roman" w:hAnsi="Times New Roman"/>
          <w:sz w:val="24"/>
        </w:rPr>
        <w:t>Pilot study was carried out to determine the LD</w:t>
      </w:r>
      <w:r>
        <w:rPr>
          <w:rFonts w:ascii="Times New Roman" w:cs="Times New Roman" w:hAnsi="Times New Roman"/>
          <w:sz w:val="24"/>
          <w:vertAlign w:val="subscript"/>
        </w:rPr>
        <w:t>50</w:t>
      </w:r>
      <w:r>
        <w:rPr>
          <w:rFonts w:ascii="Times New Roman" w:cs="Times New Roman" w:hAnsi="Times New Roman"/>
          <w:sz w:val="24"/>
        </w:rPr>
        <w:t xml:space="preserve"> of polyethylene terephthalate (PET) microplastic administered orally after allowing 14 days of acclimatization.  Using the </w:t>
      </w:r>
      <w:r>
        <w:rPr>
          <w:rFonts w:ascii="Times New Roman" w:cs="Times New Roman" w:hAnsi="Times New Roman"/>
          <w:sz w:val="24"/>
        </w:rPr>
        <w:t>Lorke’s</w:t>
      </w:r>
      <w:r>
        <w:rPr>
          <w:rFonts w:ascii="Times New Roman" w:cs="Times New Roman" w:hAnsi="Times New Roman"/>
          <w:sz w:val="24"/>
        </w:rPr>
        <w:t xml:space="preserve"> method of pilot toxicity testing, a two-phase approach involving initial dose-ranging (Phase 1) and refined dosing (Phase 2) in small groups of animals as described by Chinedu et al., (2013). A total of 12 rats weighing 130 - 50g were used for the determination of LD50 of PET microplastic administered orally. The rats were classified into 6 groups labelled 1, 2, 3, 4, 5, and 6, with groups 1 – 3 consisting of 3 rats each and groups 4 – 6 having 1 rat each. and were treated with 20mg/kg, 50mg/kg, 80mg/kg, 100mg/kg, 115mg/kg and 130mg/kg PET microplastic respectively PET microplastic respectively. After 24 hours, the rats were observed for signs of PET toxicity such as change in feeding </w:t>
      </w:r>
      <w:r>
        <w:rPr>
          <w:rFonts w:ascii="Times New Roman" w:cs="Times New Roman" w:hAnsi="Times New Roman"/>
          <w:sz w:val="24"/>
        </w:rPr>
        <w:t>behaviour</w:t>
      </w:r>
      <w:r>
        <w:rPr>
          <w:rFonts w:ascii="Times New Roman" w:cs="Times New Roman" w:hAnsi="Times New Roman"/>
          <w:sz w:val="24"/>
        </w:rPr>
        <w:t xml:space="preserve">, micturition, restlessness, pupil constriction, and convulsion. The LD50 of the PET administered orally was obtained using </w:t>
      </w:r>
      <w:r>
        <w:rPr>
          <w:rFonts w:ascii="Times New Roman" w:cs="Times New Roman" w:hAnsi="Times New Roman"/>
          <w:sz w:val="24"/>
        </w:rPr>
        <w:t>Lorke’s</w:t>
      </w:r>
      <w:r>
        <w:rPr>
          <w:rFonts w:ascii="Times New Roman" w:cs="Times New Roman" w:hAnsi="Times New Roman"/>
          <w:sz w:val="24"/>
        </w:rPr>
        <w:t xml:space="preserve"> formula: </w:t>
      </w:r>
      <w:r>
        <w:rPr>
          <w:rFonts w:ascii="Times New Roman" w:cs="Times New Roman" w:hAnsi="Times New Roman"/>
          <w:sz w:val="24"/>
        </w:rPr>
        <w:cr/>
      </w:r>
      <w:r>
        <w:rPr>
          <w:rFonts w:ascii="Times New Roman" w:cs="Times New Roman" w:hAnsi="Times New Roman"/>
          <w:sz w:val="24"/>
        </w:rPr>
        <w:t>LD50 = √ (D</w:t>
      </w:r>
      <w:r>
        <w:rPr>
          <w:rFonts w:ascii="Times New Roman" w:cs="Times New Roman" w:hAnsi="Times New Roman"/>
          <w:sz w:val="24"/>
          <w:vertAlign w:val="subscript"/>
        </w:rPr>
        <w:t>0</w:t>
      </w:r>
      <w:r>
        <w:rPr>
          <w:rFonts w:ascii="Times New Roman" w:cs="Times New Roman" w:hAnsi="Times New Roman"/>
          <w:sz w:val="24"/>
        </w:rPr>
        <w:t xml:space="preserve"> × D</w:t>
      </w:r>
      <w:r>
        <w:rPr>
          <w:rFonts w:ascii="Times New Roman" w:cs="Times New Roman" w:hAnsi="Times New Roman"/>
          <w:sz w:val="24"/>
          <w:vertAlign w:val="subscript"/>
        </w:rPr>
        <w:t>100</w:t>
      </w:r>
      <w:r>
        <w:rPr>
          <w:rFonts w:ascii="Times New Roman" w:cs="Times New Roman" w:hAnsi="Times New Roman"/>
          <w:sz w:val="24"/>
        </w:rPr>
        <w:t>)</w:t>
      </w:r>
    </w:p>
    <w:p>
      <w:pPr>
        <w:pStyle w:val="style0"/>
        <w:spacing w:lineRule="auto" w:line="48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xml:space="preserve">Where: </w:t>
      </w:r>
    </w:p>
    <w:p>
      <w:pPr>
        <w:pStyle w:val="style0"/>
        <w:spacing w:lineRule="auto" w:line="480"/>
        <w:jc w:val="both"/>
        <w:rPr>
          <w:rFonts w:ascii="Times New Roman" w:cs="Times New Roman" w:hAnsi="Times New Roman"/>
          <w:sz w:val="24"/>
        </w:rPr>
      </w:pPr>
      <w:r>
        <w:rPr>
          <w:rFonts w:ascii="Times New Roman" w:cs="Times New Roman" w:hAnsi="Times New Roman"/>
          <w:sz w:val="24"/>
        </w:rPr>
        <w:t>D</w:t>
      </w:r>
      <w:r>
        <w:rPr>
          <w:rFonts w:ascii="Times New Roman" w:cs="Times New Roman" w:hAnsi="Times New Roman"/>
          <w:sz w:val="24"/>
          <w:vertAlign w:val="subscript"/>
        </w:rPr>
        <w:t>0</w:t>
      </w:r>
      <w:r>
        <w:rPr>
          <w:rFonts w:ascii="Times New Roman" w:cs="Times New Roman" w:hAnsi="Times New Roman"/>
          <w:sz w:val="24"/>
        </w:rPr>
        <w:t xml:space="preserve"> = Highest dose that gave no mortality</w:t>
      </w:r>
    </w:p>
    <w:p>
      <w:pPr>
        <w:pStyle w:val="style0"/>
        <w:spacing w:lineRule="auto" w:line="480"/>
        <w:jc w:val="both"/>
        <w:rPr>
          <w:rFonts w:ascii="Times New Roman" w:cs="Times New Roman" w:hAnsi="Times New Roman"/>
          <w:sz w:val="24"/>
        </w:rPr>
      </w:pPr>
      <w:r>
        <w:rPr>
          <w:rFonts w:ascii="Times New Roman" w:cs="Times New Roman" w:hAnsi="Times New Roman"/>
          <w:sz w:val="24"/>
        </w:rPr>
        <w:t>D</w:t>
      </w:r>
      <w:r>
        <w:rPr>
          <w:rFonts w:ascii="Times New Roman" w:cs="Times New Roman" w:hAnsi="Times New Roman"/>
          <w:sz w:val="24"/>
          <w:vertAlign w:val="subscript"/>
        </w:rPr>
        <w:t>100</w:t>
      </w:r>
      <w:r>
        <w:rPr>
          <w:rFonts w:ascii="Times New Roman" w:cs="Times New Roman" w:hAnsi="Times New Roman"/>
          <w:sz w:val="24"/>
        </w:rPr>
        <w:t xml:space="preserve"> = Lowest dose that produced mortality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LD50 of PET administered orally was 122.27mg/kg</w:t>
      </w:r>
    </w:p>
    <w:p>
      <w:pPr>
        <w:pStyle w:val="style0"/>
        <w:spacing w:lineRule="auto" w:line="480"/>
        <w:jc w:val="both"/>
        <w:rPr>
          <w:rFonts w:ascii="Times New Roman" w:cs="Times New Roman" w:hAnsi="Times New Roman"/>
          <w:b/>
          <w:bCs/>
          <w:sz w:val="24"/>
        </w:rPr>
      </w:pPr>
      <w:r>
        <w:rPr>
          <w:rFonts w:ascii="Times New Roman" w:cs="Times New Roman" w:hAnsi="Times New Roman"/>
          <w:b/>
          <w:bCs/>
          <w:sz w:val="24"/>
        </w:rPr>
        <w:t>2.4 Experimental Design</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After allowing fourteen (14) days for adaptation to the new environment (acclimatization), the rats used for this study were randomly assigned into five (5) groups with seven (7) rats in each group as presented on table1. Group 1 was termed negative control and receive only food and water. Group 2, 3 and 4 were treated with 40mg/kg, 80mg/kg and 120mg/kg PET microplastic respectively while group 5 received water in PET bottle exposed to sunlight for 30 days.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2.4.1  Experimental</w:t>
      </w:r>
      <w:r>
        <w:rPr>
          <w:rFonts w:ascii="Times New Roman" w:cs="Times New Roman" w:hAnsi="Times New Roman"/>
          <w:b/>
          <w:bCs/>
          <w:sz w:val="24"/>
          <w:szCs w:val="24"/>
        </w:rPr>
        <w:t xml:space="preserve"> Design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1 :</w:t>
      </w:r>
      <w:r>
        <w:rPr>
          <w:rFonts w:ascii="Times New Roman" w:cs="Times New Roman" w:hAnsi="Times New Roman"/>
          <w:b/>
          <w:bCs/>
          <w:sz w:val="24"/>
          <w:szCs w:val="24"/>
        </w:rPr>
        <w:t xml:space="preserve"> </w:t>
      </w:r>
      <w:r>
        <w:rPr>
          <w:rFonts w:ascii="Times New Roman" w:cs="Times New Roman" w:hAnsi="Times New Roman"/>
          <w:b/>
          <w:bCs/>
          <w:sz w:val="24"/>
          <w:szCs w:val="24"/>
        </w:rPr>
        <w:t>Experimental Groups Formed Based on Treatment</w:t>
      </w:r>
      <w:r>
        <w:rPr>
          <w:rFonts w:ascii="Times New Roman" w:cs="Times New Roman" w:hAnsi="Times New Roman"/>
          <w:b/>
          <w:bCs/>
          <w:sz w:val="24"/>
          <w:szCs w:val="24"/>
        </w:rPr>
        <w:t xml:space="preserve"> Provided</w:t>
      </w:r>
    </w:p>
    <w:tbl>
      <w:tblPr>
        <w:tblStyle w:val="style154"/>
        <w:tblW w:w="87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130"/>
      </w:tblGrid>
      <w:tr>
        <w:trPr>
          <w:trHeight w:val="548" w:hRule="atLeast"/>
        </w:trPr>
        <w:tc>
          <w:tcPr>
            <w:tcW w:w="3618" w:type="dxa"/>
            <w:tcBorders>
              <w:top w:val="single" w:sz="4" w:space="0" w:color="auto"/>
              <w:bottom w:val="single" w:sz="4" w:space="0" w:color="auto"/>
            </w:tcBorders>
          </w:tcPr>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Rat Groups</w:t>
            </w:r>
          </w:p>
        </w:tc>
        <w:tc>
          <w:tcPr>
            <w:tcW w:w="5130" w:type="dxa"/>
            <w:tcBorders>
              <w:top w:val="single" w:sz="4" w:space="0" w:color="auto"/>
              <w:bottom w:val="single" w:sz="4" w:space="0" w:color="auto"/>
            </w:tcBorders>
          </w:tcPr>
          <w:p>
            <w:pPr>
              <w:pStyle w:val="style0"/>
              <w:spacing w:after="0" w:lineRule="auto" w:line="360"/>
              <w:jc w:val="both"/>
              <w:rPr>
                <w:rFonts w:ascii="Times New Roman" w:cs="Times New Roman" w:hAnsi="Times New Roman"/>
                <w:b/>
                <w:sz w:val="24"/>
                <w:szCs w:val="24"/>
                <w:lang w:val="en-GB"/>
              </w:rPr>
            </w:pPr>
            <w:r>
              <w:rPr>
                <w:rFonts w:ascii="Times New Roman" w:cs="Times New Roman" w:hAnsi="Times New Roman"/>
                <w:b/>
                <w:sz w:val="24"/>
                <w:szCs w:val="24"/>
                <w:lang w:val="en-GB"/>
              </w:rPr>
              <w:t xml:space="preserve">  Treatment</w:t>
            </w:r>
          </w:p>
        </w:tc>
      </w:tr>
      <w:tr>
        <w:tblPrEx/>
        <w:trPr>
          <w:trHeight w:val="710" w:hRule="atLeast"/>
        </w:trPr>
        <w:tc>
          <w:tcPr>
            <w:tcW w:w="3618" w:type="dxa"/>
            <w:tcBorders>
              <w:top w:val="single" w:sz="4" w:space="0" w:color="auto"/>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Group 1</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(Negative control)</w:t>
            </w:r>
          </w:p>
          <w:p>
            <w:pPr>
              <w:pStyle w:val="style0"/>
              <w:spacing w:after="0" w:lineRule="auto" w:line="360"/>
              <w:jc w:val="both"/>
              <w:rPr>
                <w:rFonts w:ascii="Times New Roman" w:cs="Times New Roman" w:hAnsi="Times New Roman"/>
                <w:sz w:val="24"/>
                <w:szCs w:val="24"/>
                <w:lang w:val="en-GB"/>
              </w:rPr>
            </w:pPr>
          </w:p>
        </w:tc>
        <w:tc>
          <w:tcPr>
            <w:tcW w:w="5130" w:type="dxa"/>
            <w:tcBorders>
              <w:top w:val="single" w:sz="4" w:space="0" w:color="auto"/>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Only food and water</w:t>
            </w:r>
          </w:p>
        </w:tc>
      </w:tr>
      <w:tr>
        <w:tblPrEx/>
        <w:trPr>
          <w:trHeight w:val="630" w:hRule="atLeast"/>
        </w:trPr>
        <w:tc>
          <w:tcPr>
            <w:tcW w:w="3618"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Group 2</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(Low dose group)</w:t>
            </w:r>
          </w:p>
        </w:tc>
        <w:tc>
          <w:tcPr>
            <w:tcW w:w="5130"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40mg/kg PET microplastics + Food and Water </w:t>
            </w:r>
          </w:p>
          <w:p>
            <w:pPr>
              <w:pStyle w:val="style0"/>
              <w:spacing w:after="0" w:lineRule="auto" w:line="360"/>
              <w:jc w:val="both"/>
              <w:rPr>
                <w:rFonts w:ascii="Times New Roman" w:cs="Times New Roman" w:hAnsi="Times New Roman"/>
                <w:sz w:val="24"/>
                <w:szCs w:val="24"/>
                <w:lang w:val="en-GB"/>
              </w:rPr>
            </w:pPr>
          </w:p>
          <w:p>
            <w:pPr>
              <w:pStyle w:val="style0"/>
              <w:spacing w:after="0" w:lineRule="auto" w:line="360"/>
              <w:jc w:val="both"/>
              <w:rPr>
                <w:rFonts w:ascii="Times New Roman" w:cs="Times New Roman" w:hAnsi="Times New Roman"/>
                <w:sz w:val="24"/>
                <w:szCs w:val="24"/>
                <w:lang w:val="en-GB"/>
              </w:rPr>
            </w:pPr>
          </w:p>
        </w:tc>
      </w:tr>
      <w:tr>
        <w:tblPrEx/>
        <w:trPr>
          <w:trHeight w:val="720" w:hRule="atLeast"/>
        </w:trPr>
        <w:tc>
          <w:tcPr>
            <w:tcW w:w="3618"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Group 3</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(Medium dose group)</w:t>
            </w:r>
          </w:p>
        </w:tc>
        <w:tc>
          <w:tcPr>
            <w:tcW w:w="5130"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80mg/kg PET microplastics + Food and Water </w:t>
            </w:r>
          </w:p>
          <w:p>
            <w:pPr>
              <w:pStyle w:val="style0"/>
              <w:spacing w:after="0" w:lineRule="auto" w:line="360"/>
              <w:jc w:val="both"/>
              <w:rPr>
                <w:rFonts w:ascii="Times New Roman" w:cs="Times New Roman" w:hAnsi="Times New Roman"/>
                <w:sz w:val="24"/>
                <w:szCs w:val="24"/>
                <w:lang w:val="en-GB"/>
              </w:rPr>
            </w:pPr>
          </w:p>
          <w:p>
            <w:pPr>
              <w:pStyle w:val="style0"/>
              <w:spacing w:after="0" w:lineRule="auto" w:line="360"/>
              <w:jc w:val="both"/>
              <w:rPr>
                <w:rFonts w:ascii="Times New Roman" w:cs="Times New Roman" w:hAnsi="Times New Roman"/>
                <w:sz w:val="24"/>
                <w:szCs w:val="24"/>
                <w:lang w:val="en-GB"/>
              </w:rPr>
            </w:pPr>
          </w:p>
        </w:tc>
      </w:tr>
      <w:tr>
        <w:tblPrEx/>
        <w:trPr>
          <w:trHeight w:val="720" w:hRule="atLeast"/>
        </w:trPr>
        <w:tc>
          <w:tcPr>
            <w:tcW w:w="3618"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Group 4</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(High dose group)</w:t>
            </w:r>
          </w:p>
        </w:tc>
        <w:tc>
          <w:tcPr>
            <w:tcW w:w="5130"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120mg/kg PET microplastics + Food and Water </w:t>
            </w:r>
          </w:p>
        </w:tc>
      </w:tr>
      <w:tr>
        <w:tblPrEx/>
        <w:trPr>
          <w:trHeight w:val="720" w:hRule="atLeast"/>
        </w:trPr>
        <w:tc>
          <w:tcPr>
            <w:tcW w:w="3618"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Group 5</w:t>
            </w:r>
          </w:p>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(Sunlight group)</w:t>
            </w:r>
          </w:p>
        </w:tc>
        <w:tc>
          <w:tcPr>
            <w:tcW w:w="5130" w:type="dxa"/>
            <w:tcBorders/>
          </w:tcPr>
          <w:p>
            <w:pPr>
              <w:pStyle w:val="style0"/>
              <w:spacing w:after="0" w:lineRule="auto" w:line="36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Food and </w:t>
            </w:r>
            <w:bookmarkStart w:id="0" w:name="_Hlk185077805"/>
            <w:r>
              <w:rPr>
                <w:rFonts w:ascii="Times New Roman" w:cs="Times New Roman" w:hAnsi="Times New Roman"/>
                <w:sz w:val="24"/>
                <w:szCs w:val="24"/>
                <w:lang w:val="en-GB"/>
              </w:rPr>
              <w:t>water exposed to sunlight in PET containers</w:t>
            </w:r>
            <w:bookmarkEnd w:id="0"/>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2.4.2 </w:t>
      </w:r>
      <w:r>
        <w:rPr>
          <w:rFonts w:ascii="Times New Roman" w:cs="Times New Roman" w:hAnsi="Times New Roman"/>
          <w:b/>
          <w:bCs/>
          <w:sz w:val="24"/>
          <w:szCs w:val="24"/>
        </w:rPr>
        <w:t>Treatment of Animals</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The PET microplastic treatment was administered orally for 3 months. Dose of 40mg/kg, 80mg/kg and 120mg/kg PET microplastic were given to animals in groups 2, 3, and 4 respectively.  Group 5 received water exposed to sunlight in PET containers from 8am to 4pm daily for 30 days while group 1 was normal control receiving only normal food and water only. After the duration of treatments, blood samples were collected for analysis.</w:t>
      </w:r>
    </w:p>
    <w:p>
      <w:pPr>
        <w:pStyle w:val="style0"/>
        <w:spacing w:lineRule="auto" w:line="480"/>
        <w:jc w:val="both"/>
        <w:rPr>
          <w:rFonts w:ascii="Times New Roman" w:cs="Times New Roman" w:hAnsi="Times New Roman"/>
          <w:bCs/>
          <w:sz w:val="24"/>
          <w:szCs w:val="24"/>
        </w:rPr>
      </w:pPr>
    </w:p>
    <w:p>
      <w:pPr>
        <w:pStyle w:val="style0"/>
        <w:spacing w:lineRule="auto" w:line="480"/>
        <w:jc w:val="both"/>
        <w:rPr>
          <w:rFonts w:ascii="Times New Roman" w:cs="Times New Roman" w:hAnsi="Times New Roman"/>
          <w:b/>
          <w:sz w:val="24"/>
        </w:rPr>
      </w:pPr>
      <w:r>
        <w:rPr>
          <w:rFonts w:ascii="Times New Roman" w:cs="Times New Roman" w:hAnsi="Times New Roman"/>
          <w:b/>
          <w:sz w:val="24"/>
        </w:rPr>
        <w:t>2.5 Blood Collection and Preparation</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At the end of the 90 </w:t>
      </w:r>
      <w:r>
        <w:rPr>
          <w:rFonts w:ascii="Times New Roman" w:cs="Times New Roman" w:hAnsi="Times New Roman"/>
          <w:sz w:val="24"/>
        </w:rPr>
        <w:t>days  treatment</w:t>
      </w:r>
      <w:r>
        <w:rPr>
          <w:rFonts w:ascii="Times New Roman" w:cs="Times New Roman" w:hAnsi="Times New Roman"/>
          <w:sz w:val="24"/>
        </w:rPr>
        <w:t xml:space="preserve"> for the respective groups, the animals in all groups were anaesthetized using chloroform after which a cardiac puncture were performed. Five (5) ml of Blood were collected aseptically into Plain bottle for the analysis of Cardiac Troponin I and </w:t>
      </w:r>
      <w:r>
        <w:rPr>
          <w:rFonts w:ascii="Times New Roman" w:cs="Times New Roman" w:hAnsi="Times New Roman"/>
          <w:sz w:val="24"/>
        </w:rPr>
        <w:t>Tumour</w:t>
      </w:r>
      <w:r>
        <w:rPr>
          <w:rFonts w:ascii="Times New Roman" w:cs="Times New Roman" w:hAnsi="Times New Roman"/>
          <w:sz w:val="24"/>
        </w:rPr>
        <w:t xml:space="preserve"> Necrosis Factor Alpha, </w:t>
      </w:r>
      <w:r>
        <w:rPr>
          <w:rFonts w:ascii="Times New Roman" w:cs="Times New Roman" w:hAnsi="Times New Roman"/>
          <w:sz w:val="24"/>
        </w:rPr>
        <w:t>and  lithium</w:t>
      </w:r>
      <w:r>
        <w:rPr>
          <w:rFonts w:ascii="Times New Roman" w:cs="Times New Roman" w:hAnsi="Times New Roman"/>
          <w:sz w:val="24"/>
        </w:rPr>
        <w:t xml:space="preserve"> heparin ,For the Analysis of Lipid Profiles .The whole blood was spun using a centrifuge at 3000RPM for 5minutes. The plasma was collected into a </w:t>
      </w:r>
      <w:r>
        <w:rPr>
          <w:rFonts w:ascii="Times New Roman" w:cs="Times New Roman" w:hAnsi="Times New Roman"/>
          <w:sz w:val="24"/>
        </w:rPr>
        <w:t>plain bottles</w:t>
      </w:r>
      <w:r>
        <w:rPr>
          <w:rFonts w:ascii="Times New Roman" w:cs="Times New Roman" w:hAnsi="Times New Roman"/>
          <w:sz w:val="24"/>
        </w:rPr>
        <w:t xml:space="preserve"> for analysis of lipid profiles, cardiac troponin I and </w:t>
      </w:r>
      <w:r>
        <w:rPr>
          <w:rFonts w:ascii="Times New Roman" w:cs="Times New Roman" w:hAnsi="Times New Roman"/>
          <w:sz w:val="24"/>
        </w:rPr>
        <w:t>Tumour</w:t>
      </w:r>
      <w:r>
        <w:rPr>
          <w:rFonts w:ascii="Times New Roman" w:cs="Times New Roman" w:hAnsi="Times New Roman"/>
          <w:sz w:val="24"/>
        </w:rPr>
        <w:t xml:space="preserve"> Necrosis Factor Alpha.</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2.6 Sample Analysis/Methodologies</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 Total cholesterol, triglycerides, high density lipoprotein cholesterol were </w:t>
      </w:r>
      <w:r>
        <w:rPr>
          <w:rFonts w:ascii="Times New Roman" w:cs="Times New Roman" w:hAnsi="Times New Roman"/>
          <w:sz w:val="24"/>
        </w:rPr>
        <w:t>analysed</w:t>
      </w:r>
      <w:r>
        <w:rPr>
          <w:rFonts w:ascii="Times New Roman" w:cs="Times New Roman" w:hAnsi="Times New Roman"/>
          <w:sz w:val="24"/>
        </w:rPr>
        <w:t xml:space="preserve"> using colorimetric methods while the LDL cholesterol levels were calculated using the </w:t>
      </w:r>
      <w:r>
        <w:rPr>
          <w:rFonts w:ascii="Times New Roman" w:cs="Times New Roman" w:hAnsi="Times New Roman"/>
          <w:sz w:val="24"/>
        </w:rPr>
        <w:t>Friedwald’s</w:t>
      </w:r>
      <w:r>
        <w:rPr>
          <w:rFonts w:ascii="Times New Roman" w:cs="Times New Roman" w:hAnsi="Times New Roman"/>
          <w:sz w:val="24"/>
        </w:rPr>
        <w:t xml:space="preserve"> equation While Cardiac troponin I and TNF α were evaluated using ELISA method </w:t>
      </w:r>
      <w:r>
        <w:rPr>
          <w:rFonts w:ascii="Times New Roman" w:cs="Times New Roman" w:hAnsi="Times New Roman"/>
          <w:sz w:val="24"/>
        </w:rPr>
        <w:t>Enfrall</w:t>
      </w:r>
      <w:r>
        <w:rPr>
          <w:rFonts w:ascii="Times New Roman" w:cs="Times New Roman" w:hAnsi="Times New Roman"/>
          <w:sz w:val="24"/>
        </w:rPr>
        <w:t xml:space="preserve"> &amp; </w:t>
      </w:r>
      <w:r>
        <w:rPr>
          <w:rFonts w:ascii="Times New Roman" w:cs="Times New Roman" w:hAnsi="Times New Roman"/>
          <w:sz w:val="24"/>
        </w:rPr>
        <w:t>Perlmann</w:t>
      </w:r>
      <w:r>
        <w:rPr>
          <w:rFonts w:ascii="Times New Roman" w:cs="Times New Roman" w:hAnsi="Times New Roman"/>
          <w:sz w:val="24"/>
        </w:rPr>
        <w:t>. (1972).</w:t>
      </w:r>
    </w:p>
    <w:p>
      <w:pPr>
        <w:pStyle w:val="style0"/>
        <w:spacing w:lineRule="auto" w:line="480"/>
        <w:jc w:val="both"/>
        <w:rPr>
          <w:rFonts w:ascii="Times New Roman" w:cs="Times New Roman" w:hAnsi="Times New Roman"/>
          <w:b/>
          <w:sz w:val="24"/>
        </w:rPr>
      </w:pPr>
      <w:r>
        <w:rPr>
          <w:rFonts w:ascii="Times New Roman" w:cs="Times New Roman" w:hAnsi="Times New Roman"/>
          <w:b/>
          <w:sz w:val="24"/>
        </w:rPr>
        <w:t>2.7 Sample analysis</w:t>
      </w:r>
    </w:p>
    <w:p>
      <w:pPr>
        <w:pStyle w:val="style0"/>
        <w:spacing w:lineRule="auto" w:line="480"/>
        <w:jc w:val="both"/>
        <w:rPr>
          <w:rFonts w:ascii="Times New Roman" w:cs="Times New Roman" w:hAnsi="Times New Roman"/>
          <w:sz w:val="24"/>
        </w:rPr>
      </w:pPr>
      <w:r>
        <w:rPr>
          <w:rFonts w:ascii="Times New Roman" w:cs="Times New Roman" w:hAnsi="Times New Roman"/>
          <w:b/>
          <w:sz w:val="24"/>
        </w:rPr>
        <w:t xml:space="preserve"> 2.7.1 Estimation of Lipid Profiles </w:t>
      </w:r>
      <w:r>
        <w:rPr>
          <w:rFonts w:ascii="Times New Roman" w:cs="Times New Roman" w:hAnsi="Times New Roman"/>
          <w:sz w:val="24"/>
        </w:rPr>
        <w:t xml:space="preserve">lipid parameters were estimated using Colorimetric Method </w:t>
      </w:r>
      <w:r>
        <w:rPr>
          <w:rFonts w:ascii="Times New Roman" w:cs="Times New Roman" w:hAnsi="Times New Roman"/>
          <w:sz w:val="24"/>
        </w:rPr>
        <w:t>Spectum</w:t>
      </w:r>
      <w:r>
        <w:rPr>
          <w:rFonts w:ascii="Times New Roman" w:cs="Times New Roman" w:hAnsi="Times New Roman"/>
          <w:sz w:val="24"/>
        </w:rPr>
        <w:t xml:space="preserve"> Reagent.</w:t>
      </w:r>
    </w:p>
    <w:p>
      <w:pPr>
        <w:pStyle w:val="style0"/>
        <w:spacing w:lineRule="auto" w:line="360"/>
        <w:jc w:val="both"/>
        <w:rPr>
          <w:rFonts w:ascii="Times New Roman" w:cs="Times New Roman" w:hAnsi="Times New Roman"/>
          <w:b/>
          <w:bCs/>
          <w:color w:val="ee0000"/>
          <w:sz w:val="24"/>
          <w:szCs w:val="24"/>
        </w:rPr>
      </w:pPr>
      <w:r>
        <w:t>2</w:t>
      </w:r>
      <w:r>
        <w:rPr>
          <w:rFonts w:ascii="Times New Roman" w:cs="Times New Roman" w:hAnsi="Times New Roman"/>
          <w:b/>
          <w:bCs/>
          <w:sz w:val="24"/>
          <w:szCs w:val="24"/>
        </w:rPr>
        <w:t>.7.2 Calculation of Low-Density Lipoprotein (LDL)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Low –Density Lipoprotein (</w:t>
      </w:r>
      <w:r>
        <w:rPr>
          <w:rFonts w:ascii="Times New Roman" w:cs="Times New Roman" w:hAnsi="Times New Roman"/>
          <w:sz w:val="24"/>
          <w:szCs w:val="24"/>
        </w:rPr>
        <w:t>LdL</w:t>
      </w:r>
      <w:r>
        <w:rPr>
          <w:rFonts w:ascii="Times New Roman" w:cs="Times New Roman" w:hAnsi="Times New Roman"/>
          <w:sz w:val="24"/>
          <w:szCs w:val="24"/>
        </w:rPr>
        <w:t xml:space="preserve">)was calculated using </w:t>
      </w:r>
      <w:r>
        <w:rPr>
          <w:rFonts w:ascii="Times New Roman" w:cs="Times New Roman" w:hAnsi="Times New Roman"/>
          <w:sz w:val="24"/>
          <w:szCs w:val="24"/>
        </w:rPr>
        <w:t>Friedewald’s</w:t>
      </w:r>
      <w:r>
        <w:rPr>
          <w:rFonts w:ascii="Times New Roman" w:cs="Times New Roman" w:hAnsi="Times New Roman"/>
          <w:sz w:val="24"/>
          <w:szCs w:val="24"/>
        </w:rPr>
        <w:t xml:space="preserve"> equation [</w:t>
      </w:r>
      <w:r>
        <w:rPr>
          <w:rFonts w:ascii="Times New Roman" w:cs="Times New Roman" w:hAnsi="Times New Roman"/>
          <w:sz w:val="24"/>
          <w:szCs w:val="24"/>
        </w:rPr>
        <w:t>Friedewald</w:t>
      </w:r>
      <w:r>
        <w:rPr>
          <w:rFonts w:ascii="Times New Roman" w:cs="Times New Roman" w:hAnsi="Times New Roman"/>
          <w:sz w:val="24"/>
          <w:szCs w:val="24"/>
        </w:rPr>
        <w:t xml:space="preserve"> et al.,1972]</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2.7.</w:t>
      </w:r>
      <w:r>
        <w:rPr>
          <w:rFonts w:ascii="Times New Roman" w:cs="Times New Roman" w:hAnsi="Times New Roman"/>
          <w:b/>
          <w:bCs/>
          <w:color w:val="000000"/>
          <w:sz w:val="24"/>
          <w:szCs w:val="24"/>
        </w:rPr>
        <w:t>3</w:t>
      </w:r>
      <w:r>
        <w:rPr>
          <w:rFonts w:ascii="Times New Roman" w:cs="Times New Roman" w:hAnsi="Times New Roman"/>
          <w:color w:val="000000"/>
          <w:sz w:val="24"/>
          <w:szCs w:val="24"/>
        </w:rPr>
        <w:t>.Estimation</w:t>
      </w:r>
      <w:r>
        <w:rPr>
          <w:rFonts w:ascii="Times New Roman" w:cs="Times New Roman" w:hAnsi="Times New Roman"/>
          <w:color w:val="000000"/>
          <w:sz w:val="24"/>
          <w:szCs w:val="24"/>
        </w:rPr>
        <w:t xml:space="preserve"> of Cardiac Troponin I and </w:t>
      </w:r>
      <w:r>
        <w:rPr>
          <w:rFonts w:ascii="Times New Roman" w:cs="Times New Roman" w:hAnsi="Times New Roman"/>
          <w:color w:val="000000"/>
          <w:sz w:val="24"/>
          <w:szCs w:val="24"/>
        </w:rPr>
        <w:t>Tumour</w:t>
      </w:r>
      <w:r>
        <w:rPr>
          <w:rFonts w:ascii="Times New Roman" w:cs="Times New Roman" w:hAnsi="Times New Roman"/>
          <w:color w:val="000000"/>
          <w:sz w:val="24"/>
          <w:szCs w:val="24"/>
        </w:rPr>
        <w:t xml:space="preserve"> Necrosis Factor Alpha were estimated using Sandwich-ELISA Method.</w:t>
      </w:r>
    </w:p>
    <w:p>
      <w:pPr>
        <w:pStyle w:val="style0"/>
        <w:spacing w:lineRule="auto" w:line="480"/>
        <w:jc w:val="both"/>
        <w:rPr>
          <w:rFonts w:ascii="Times New Roman" w:cs="Times New Roman" w:hAnsi="Times New Roman"/>
          <w:color w:val="ee0000"/>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3.7 Statistical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Analysis was computed using GraphPad Prism Software Version 9.0.0 (121), San Diego, CA. Results obtained were presented as mean ± SD, with p-values less than or equal to 0.05 being considered statistically significant. Statistical comparison between groups were done using one-way ANOVA, while </w:t>
      </w:r>
      <w:r>
        <w:rPr>
          <w:rFonts w:ascii="Times New Roman" w:cs="Times New Roman" w:hAnsi="Times New Roman"/>
          <w:sz w:val="24"/>
          <w:szCs w:val="24"/>
        </w:rPr>
        <w:t>Tukeys</w:t>
      </w:r>
      <w:r>
        <w:rPr>
          <w:rFonts w:ascii="Times New Roman" w:cs="Times New Roman" w:hAnsi="Times New Roman"/>
          <w:sz w:val="24"/>
          <w:szCs w:val="24"/>
        </w:rPr>
        <w:t xml:space="preserve"> multiple comparison (post hoc tests) were used to obtain specific significant differences among the various groups. </w:t>
      </w:r>
    </w:p>
    <w:p>
      <w:pPr>
        <w:pStyle w:val="style0"/>
        <w:jc w:val="both"/>
        <w:rPr>
          <w:rFonts w:ascii="Times New Roman" w:cs="Times New Roman" w:hAnsi="Times New Roman"/>
          <w:b/>
          <w:sz w:val="24"/>
        </w:rPr>
      </w:pPr>
    </w:p>
    <w:p>
      <w:pPr>
        <w:pStyle w:val="style0"/>
        <w:jc w:val="both"/>
        <w:rPr>
          <w:rFonts w:ascii="Times New Roman" w:cs="Times New Roman" w:hAnsi="Times New Roman"/>
          <w:b/>
          <w:sz w:val="24"/>
        </w:rPr>
      </w:pPr>
      <w:r>
        <w:rPr>
          <w:rFonts w:ascii="Times New Roman" w:cs="Times New Roman" w:hAnsi="Times New Roman"/>
          <w:b/>
          <w:sz w:val="24"/>
        </w:rPr>
        <w:t>3.0 RESULTS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2</w:t>
      </w:r>
      <w:r>
        <w:rPr>
          <w:rFonts w:ascii="Times New Roman" w:cs="Times New Roman" w:hAnsi="Times New Roman"/>
          <w:b/>
          <w:bCs/>
          <w:sz w:val="24"/>
          <w:szCs w:val="24"/>
        </w:rPr>
        <w:t xml:space="preserve"> Levels of Cardiac Troponin-1 and Tumor Necrosis Factor </w:t>
      </w:r>
      <w:r>
        <w:rPr>
          <w:rFonts w:ascii="Times New Roman" w:cs="Times New Roman" w:hAnsi="Times New Roman"/>
          <w:b/>
          <w:bCs/>
          <w:sz w:val="24"/>
          <w:szCs w:val="24"/>
          <w:lang w:val="en-GB"/>
        </w:rPr>
        <w:t>α</w:t>
      </w:r>
      <w:r>
        <w:rPr>
          <w:rFonts w:ascii="Times New Roman" w:cs="Times New Roman" w:hAnsi="Times New Roman"/>
          <w:b/>
          <w:bCs/>
          <w:sz w:val="24"/>
          <w:szCs w:val="24"/>
        </w:rPr>
        <w:t xml:space="preserve"> in Albino Rats after Exposure to Polyethylene Terephthalate (PET) </w:t>
      </w:r>
    </w:p>
    <w:p>
      <w:pPr>
        <w:pStyle w:val="style0"/>
        <w:rPr>
          <w:rFonts w:ascii="Times New Roman" w:cs="Times New Roman" w:hAnsi="Times New Roman"/>
          <w:sz w:val="24"/>
          <w:szCs w:val="24"/>
        </w:rPr>
      </w:pPr>
      <w:r>
        <w:rPr>
          <w:rFonts w:ascii="Times New Roman" w:cs="Times New Roman" w:hAnsi="Times New Roman"/>
          <w:sz w:val="24"/>
          <w:szCs w:val="24"/>
        </w:rPr>
        <w:t xml:space="preserve">As presented on table </w:t>
      </w:r>
      <w:r>
        <w:rPr>
          <w:rFonts w:ascii="Times New Roman" w:cs="Times New Roman" w:hAnsi="Times New Roman"/>
          <w:sz w:val="24"/>
          <w:szCs w:val="24"/>
        </w:rPr>
        <w:t>2</w:t>
      </w:r>
      <w:r>
        <w:rPr>
          <w:rFonts w:ascii="Times New Roman" w:cs="Times New Roman" w:hAnsi="Times New Roman"/>
          <w:sz w:val="24"/>
          <w:szCs w:val="24"/>
        </w:rPr>
        <w:t>, there was a significant increase in levels of cardiac troponin I (</w:t>
      </w:r>
      <w:r>
        <w:rPr>
          <w:rFonts w:ascii="Times New Roman" w:cs="Times New Roman" w:hAnsi="Times New Roman"/>
          <w:sz w:val="24"/>
          <w:szCs w:val="24"/>
        </w:rPr>
        <w:t>cTn</w:t>
      </w:r>
      <w:r>
        <w:rPr>
          <w:rFonts w:ascii="Times New Roman" w:cs="Times New Roman" w:hAnsi="Times New Roman"/>
          <w:sz w:val="24"/>
          <w:szCs w:val="24"/>
        </w:rPr>
        <w:t>-I) and Tumor Necrosis Factor Alpha across study groups at (p&lt;0.001) after exposure to polyethylene terephthalate (PET) microplastics in albino rats.</w:t>
      </w:r>
    </w:p>
    <w:p>
      <w:pPr>
        <w:pStyle w:val="style0"/>
        <w:spacing w:lineRule="auto" w:line="240"/>
        <w:jc w:val="both"/>
        <w:rPr>
          <w:rFonts w:ascii="Times New Roman" w:cs="Times New Roman" w:hAnsi="Times New Roman"/>
          <w:b/>
          <w:bCs/>
          <w:sz w:val="24"/>
          <w:szCs w:val="24"/>
        </w:rPr>
      </w:pPr>
    </w:p>
    <w:tbl>
      <w:tblPr>
        <w:tblStyle w:val="style154"/>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5"/>
        <w:gridCol w:w="3026"/>
      </w:tblGrid>
      <w:tr>
        <w:trPr>
          <w:jc w:val="center"/>
        </w:trPr>
        <w:tc>
          <w:tcPr>
            <w:tcW w:w="3025" w:type="dxa"/>
            <w:tcBorders>
              <w:top w:val="single" w:sz="4" w:space="0" w:color="auto"/>
              <w:bottom w:val="single" w:sz="4" w:space="0" w:color="auto"/>
            </w:tcBorders>
          </w:tcPr>
          <w:p>
            <w:pPr>
              <w:pStyle w:val="style0"/>
              <w:spacing w:after="0" w:lineRule="auto" w:line="48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Groups </w:t>
            </w:r>
          </w:p>
        </w:tc>
        <w:tc>
          <w:tcPr>
            <w:tcW w:w="3025" w:type="dxa"/>
            <w:tcBorders>
              <w:top w:val="single" w:sz="4" w:space="0" w:color="auto"/>
              <w:bottom w:val="single" w:sz="4" w:space="0" w:color="auto"/>
            </w:tcBorders>
          </w:tcPr>
          <w:p>
            <w:pPr>
              <w:pStyle w:val="style0"/>
              <w:spacing w:after="0" w:lineRule="auto" w:line="480"/>
              <w:jc w:val="both"/>
              <w:rPr>
                <w:rFonts w:ascii="Times New Roman" w:cs="Times New Roman" w:hAnsi="Times New Roman"/>
                <w:b/>
                <w:bCs/>
                <w:sz w:val="24"/>
                <w:szCs w:val="24"/>
                <w:lang w:val="en-GB"/>
              </w:rPr>
            </w:pPr>
            <w:r>
              <w:rPr>
                <w:rFonts w:ascii="Times New Roman" w:cs="Times New Roman" w:hAnsi="Times New Roman"/>
                <w:b/>
                <w:sz w:val="24"/>
                <w:szCs w:val="24"/>
                <w:lang w:val="en-GB"/>
              </w:rPr>
              <w:t>cTn-1</w:t>
            </w:r>
            <w:r>
              <w:rPr>
                <w:rFonts w:ascii="Times New Roman" w:cs="Times New Roman" w:hAnsi="Times New Roman"/>
                <w:b/>
                <w:bCs/>
                <w:sz w:val="24"/>
                <w:szCs w:val="24"/>
                <w:lang w:val="en-GB"/>
              </w:rPr>
              <w:t xml:space="preserve"> (</w:t>
            </w:r>
            <w:r>
              <w:rPr>
                <w:rFonts w:ascii="Times New Roman" w:cs="Times New Roman" w:hAnsi="Times New Roman"/>
                <w:b/>
                <w:bCs/>
                <w:sz w:val="24"/>
                <w:szCs w:val="24"/>
                <w:lang w:val="en-GB"/>
              </w:rPr>
              <w:t>pg</w:t>
            </w:r>
            <w:r>
              <w:rPr>
                <w:rFonts w:ascii="Times New Roman" w:cs="Times New Roman" w:hAnsi="Times New Roman"/>
                <w:b/>
                <w:bCs/>
                <w:sz w:val="24"/>
                <w:szCs w:val="24"/>
                <w:lang w:val="en-GB"/>
              </w:rPr>
              <w:t>/ml)</w:t>
            </w:r>
          </w:p>
        </w:tc>
        <w:tc>
          <w:tcPr>
            <w:tcW w:w="3026" w:type="dxa"/>
            <w:tcBorders>
              <w:top w:val="single" w:sz="4" w:space="0" w:color="auto"/>
              <w:bottom w:val="single" w:sz="4" w:space="0" w:color="auto"/>
            </w:tcBorders>
          </w:tcPr>
          <w:p>
            <w:pPr>
              <w:pStyle w:val="style0"/>
              <w:spacing w:after="0" w:lineRule="auto" w:line="48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TNF-α(</w:t>
            </w:r>
            <w:r>
              <w:rPr>
                <w:rFonts w:ascii="Times New Roman" w:cs="Times New Roman" w:hAnsi="Times New Roman"/>
                <w:b/>
                <w:bCs/>
                <w:sz w:val="24"/>
                <w:szCs w:val="24"/>
                <w:lang w:val="en-GB"/>
              </w:rPr>
              <w:t>pg</w:t>
            </w:r>
            <w:r>
              <w:rPr>
                <w:rFonts w:ascii="Times New Roman" w:cs="Times New Roman" w:hAnsi="Times New Roman"/>
                <w:b/>
                <w:bCs/>
                <w:sz w:val="24"/>
                <w:szCs w:val="24"/>
                <w:lang w:val="en-GB"/>
              </w:rPr>
              <w:t>/ml)</w:t>
            </w:r>
          </w:p>
        </w:tc>
      </w:tr>
      <w:tr>
        <w:tblPrEx/>
        <w:trPr>
          <w:jc w:val="center"/>
        </w:trPr>
        <w:tc>
          <w:tcPr>
            <w:tcW w:w="3025" w:type="dxa"/>
            <w:tcBorders>
              <w:top w:val="single" w:sz="4" w:space="0" w:color="auto"/>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1</w:t>
            </w:r>
          </w:p>
        </w:tc>
        <w:tc>
          <w:tcPr>
            <w:tcW w:w="3025" w:type="dxa"/>
            <w:tcBorders>
              <w:top w:val="single" w:sz="4" w:space="0" w:color="auto"/>
            </w:tcBorders>
          </w:tcPr>
          <w:p>
            <w:pPr>
              <w:pStyle w:val="style0"/>
              <w:spacing w:after="0" w:lineRule="auto" w:line="480"/>
              <w:jc w:val="both"/>
              <w:rPr>
                <w:rFonts w:ascii="Times New Roman" w:cs="Times New Roman" w:hAnsi="Times New Roman"/>
                <w:bCs/>
                <w:sz w:val="24"/>
                <w:szCs w:val="24"/>
                <w:vertAlign w:val="superscript"/>
                <w:lang w:val="en-GB"/>
              </w:rPr>
            </w:pPr>
            <w:r>
              <w:rPr>
                <w:rFonts w:ascii="Times New Roman" w:cs="Times New Roman" w:hAnsi="Times New Roman"/>
                <w:bCs/>
                <w:sz w:val="24"/>
                <w:szCs w:val="24"/>
                <w:lang w:val="en-GB"/>
              </w:rPr>
              <w:t>139.12 ± 38.29</w:t>
            </w:r>
            <w:r>
              <w:rPr>
                <w:rFonts w:ascii="Times New Roman" w:cs="Times New Roman" w:hAnsi="Times New Roman"/>
                <w:bCs/>
                <w:sz w:val="24"/>
                <w:szCs w:val="24"/>
                <w:vertAlign w:val="superscript"/>
                <w:lang w:val="en-GB"/>
              </w:rPr>
              <w:t>a</w:t>
            </w:r>
          </w:p>
        </w:tc>
        <w:tc>
          <w:tcPr>
            <w:tcW w:w="3026" w:type="dxa"/>
            <w:tcBorders>
              <w:top w:val="single" w:sz="4" w:space="0" w:color="auto"/>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31.98 ± 4.09</w:t>
            </w:r>
            <w:r>
              <w:rPr>
                <w:rFonts w:ascii="Times New Roman" w:cs="Times New Roman" w:hAnsi="Times New Roman"/>
                <w:bCs/>
                <w:sz w:val="24"/>
                <w:szCs w:val="24"/>
                <w:vertAlign w:val="superscript"/>
                <w:lang w:val="en-GB"/>
              </w:rPr>
              <w:t>a</w:t>
            </w:r>
          </w:p>
        </w:tc>
      </w:tr>
      <w:tr>
        <w:tblPrEx/>
        <w:trPr>
          <w:jc w:val="center"/>
        </w:trPr>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2</w:t>
            </w:r>
          </w:p>
        </w:tc>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168.16 ± 18.37</w:t>
            </w:r>
            <w:r>
              <w:rPr>
                <w:rFonts w:ascii="Times New Roman" w:cs="Times New Roman" w:hAnsi="Times New Roman"/>
                <w:bCs/>
                <w:sz w:val="24"/>
                <w:szCs w:val="24"/>
                <w:vertAlign w:val="superscript"/>
                <w:lang w:val="en-GB"/>
              </w:rPr>
              <w:t xml:space="preserve"> a</w:t>
            </w:r>
          </w:p>
        </w:tc>
        <w:tc>
          <w:tcPr>
            <w:tcW w:w="3026"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42.39 ± 9.66</w:t>
            </w:r>
            <w:r>
              <w:rPr>
                <w:rFonts w:ascii="Times New Roman" w:cs="Times New Roman" w:hAnsi="Times New Roman"/>
                <w:bCs/>
                <w:sz w:val="24"/>
                <w:szCs w:val="24"/>
                <w:vertAlign w:val="superscript"/>
                <w:lang w:val="en-GB"/>
              </w:rPr>
              <w:t>b</w:t>
            </w:r>
          </w:p>
        </w:tc>
      </w:tr>
      <w:tr>
        <w:tblPrEx/>
        <w:trPr>
          <w:jc w:val="center"/>
        </w:trPr>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3</w:t>
            </w:r>
          </w:p>
        </w:tc>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255.26 ± 33.79</w:t>
            </w:r>
            <w:r>
              <w:rPr>
                <w:rFonts w:ascii="Times New Roman" w:cs="Times New Roman" w:hAnsi="Times New Roman"/>
                <w:bCs/>
                <w:sz w:val="24"/>
                <w:szCs w:val="24"/>
                <w:vertAlign w:val="superscript"/>
                <w:lang w:val="en-GB"/>
              </w:rPr>
              <w:t xml:space="preserve"> b</w:t>
            </w:r>
          </w:p>
        </w:tc>
        <w:tc>
          <w:tcPr>
            <w:tcW w:w="3026"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69.14 ± 1.03</w:t>
            </w:r>
            <w:r>
              <w:rPr>
                <w:rFonts w:ascii="Times New Roman" w:cs="Times New Roman" w:hAnsi="Times New Roman"/>
                <w:bCs/>
                <w:sz w:val="24"/>
                <w:szCs w:val="24"/>
                <w:vertAlign w:val="superscript"/>
                <w:lang w:val="en-GB"/>
              </w:rPr>
              <w:t>c</w:t>
            </w:r>
          </w:p>
        </w:tc>
      </w:tr>
      <w:tr>
        <w:tblPrEx/>
        <w:trPr>
          <w:jc w:val="center"/>
        </w:trPr>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4</w:t>
            </w:r>
          </w:p>
        </w:tc>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289.18 ± 61.37</w:t>
            </w:r>
            <w:r>
              <w:rPr>
                <w:rFonts w:ascii="Times New Roman" w:cs="Times New Roman" w:hAnsi="Times New Roman"/>
                <w:bCs/>
                <w:sz w:val="24"/>
                <w:szCs w:val="24"/>
                <w:vertAlign w:val="superscript"/>
                <w:lang w:val="en-GB"/>
              </w:rPr>
              <w:t xml:space="preserve"> b</w:t>
            </w:r>
          </w:p>
        </w:tc>
        <w:tc>
          <w:tcPr>
            <w:tcW w:w="3026"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82.39 ± 2.90</w:t>
            </w:r>
            <w:r>
              <w:rPr>
                <w:rFonts w:ascii="Times New Roman" w:cs="Times New Roman" w:hAnsi="Times New Roman"/>
                <w:bCs/>
                <w:sz w:val="24"/>
                <w:szCs w:val="24"/>
                <w:vertAlign w:val="superscript"/>
                <w:lang w:val="en-GB"/>
              </w:rPr>
              <w:t>d</w:t>
            </w:r>
          </w:p>
        </w:tc>
      </w:tr>
      <w:tr>
        <w:tblPrEx/>
        <w:trPr>
          <w:jc w:val="center"/>
        </w:trPr>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5</w:t>
            </w:r>
          </w:p>
        </w:tc>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299.11 ± 54.42</w:t>
            </w:r>
            <w:r>
              <w:rPr>
                <w:rFonts w:ascii="Times New Roman" w:cs="Times New Roman" w:hAnsi="Times New Roman"/>
                <w:bCs/>
                <w:sz w:val="24"/>
                <w:szCs w:val="24"/>
                <w:vertAlign w:val="superscript"/>
                <w:lang w:val="en-GB"/>
              </w:rPr>
              <w:t xml:space="preserve"> b</w:t>
            </w:r>
          </w:p>
        </w:tc>
        <w:tc>
          <w:tcPr>
            <w:tcW w:w="3026"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53.03 ± 2.93</w:t>
            </w:r>
            <w:r>
              <w:rPr>
                <w:rFonts w:ascii="Times New Roman" w:cs="Times New Roman" w:hAnsi="Times New Roman"/>
                <w:bCs/>
                <w:sz w:val="24"/>
                <w:szCs w:val="24"/>
                <w:vertAlign w:val="superscript"/>
                <w:lang w:val="en-GB"/>
              </w:rPr>
              <w:t>c</w:t>
            </w:r>
          </w:p>
        </w:tc>
      </w:tr>
      <w:tr>
        <w:tblPrEx/>
        <w:trPr>
          <w:jc w:val="center"/>
        </w:trPr>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P-value</w:t>
            </w:r>
          </w:p>
        </w:tc>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&lt;0.001</w:t>
            </w:r>
          </w:p>
        </w:tc>
        <w:tc>
          <w:tcPr>
            <w:tcW w:w="3026"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&lt;0.001</w:t>
            </w:r>
          </w:p>
        </w:tc>
      </w:tr>
      <w:tr>
        <w:tblPrEx/>
        <w:trPr>
          <w:jc w:val="center"/>
        </w:trPr>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F-value</w:t>
            </w:r>
          </w:p>
        </w:tc>
        <w:tc>
          <w:tcPr>
            <w:tcW w:w="302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13.568</w:t>
            </w:r>
          </w:p>
        </w:tc>
        <w:tc>
          <w:tcPr>
            <w:tcW w:w="3026"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76.685</w:t>
            </w:r>
          </w:p>
        </w:tc>
      </w:tr>
    </w:tbl>
    <w:p>
      <w:pPr>
        <w:pStyle w:val="style0"/>
        <w:spacing w:lineRule="auto" w:line="240"/>
        <w:jc w:val="both"/>
        <w:rPr>
          <w:rFonts w:ascii="Times New Roman" w:cs="Times New Roman" w:hAnsi="Times New Roman"/>
          <w:bCs/>
          <w:sz w:val="14"/>
          <w:szCs w:val="24"/>
        </w:rPr>
      </w:pPr>
    </w:p>
    <w:p>
      <w:pPr>
        <w:pStyle w:val="style0"/>
        <w:spacing w:lineRule="auto" w:line="240"/>
        <w:jc w:val="both"/>
        <w:rPr>
          <w:rFonts w:ascii="Times New Roman" w:cs="Times New Roman" w:hAnsi="Times New Roman"/>
          <w:bCs/>
        </w:rPr>
      </w:pPr>
      <w:r>
        <w:rPr>
          <w:rFonts w:ascii="Times New Roman" w:cs="Times New Roman" w:hAnsi="Times New Roman"/>
          <w:b/>
        </w:rPr>
        <w:t>N/</w:t>
      </w:r>
      <w:r>
        <w:rPr>
          <w:rFonts w:ascii="Times New Roman" w:cs="Times New Roman" w:hAnsi="Times New Roman"/>
          <w:b/>
          <w:bCs/>
          <w:sz w:val="24"/>
          <w:szCs w:val="24"/>
        </w:rPr>
        <w:t>B</w:t>
      </w:r>
      <w:r>
        <w:rPr>
          <w:rFonts w:ascii="Times New Roman" w:cs="Times New Roman" w:hAnsi="Times New Roman"/>
          <w:bCs/>
        </w:rPr>
        <w:t>: Values in the same column but with different superscripts are significantly different from each other (P</w:t>
      </w:r>
      <w:r>
        <w:rPr>
          <w:rFonts w:ascii="Times New Roman" w:cs="Times New Roman" w:hAnsi="Times New Roman"/>
          <w:bCs/>
          <w:u w:val="single"/>
        </w:rPr>
        <w:t>&lt;</w:t>
      </w:r>
      <w:r>
        <w:rPr>
          <w:rFonts w:ascii="Times New Roman" w:cs="Times New Roman" w:hAnsi="Times New Roman"/>
          <w:bCs/>
        </w:rPr>
        <w:t xml:space="preserve"> 0.05)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Key: cTn-1: Cardiac Troponin-1, TNF-α: Tumor Necrosis Factor Alpha</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highlight w:val="yellow"/>
        </w:rPr>
      </w:pPr>
      <w:r>
        <w:rPr>
          <w:rFonts w:ascii="Times New Roman" w:cs="Times New Roman" w:hAnsi="Times New Roman"/>
          <w:b/>
          <w:bCs/>
          <w:sz w:val="24"/>
          <w:szCs w:val="24"/>
        </w:rPr>
        <w:t>Table 3 Levels of Lipid Profile Parameters in Albino Rats after Exposure to Polyethylene Terephthalate (PET</w:t>
      </w:r>
      <w:r>
        <w:rPr>
          <w:rFonts w:ascii="Times New Roman" w:cs="Times New Roman" w:hAnsi="Times New Roman"/>
          <w:b/>
          <w:bCs/>
          <w:sz w:val="24"/>
          <w:szCs w:val="24"/>
        </w:rPr>
        <w:t>) .</w:t>
      </w:r>
    </w:p>
    <w:p>
      <w:pPr>
        <w:pStyle w:val="style0"/>
        <w:rPr>
          <w:rFonts w:ascii="Times New Roman" w:cs="Times New Roman" w:hAnsi="Times New Roman"/>
          <w:b/>
          <w:bCs/>
          <w:sz w:val="24"/>
          <w:szCs w:val="24"/>
          <w:highlight w:val="yellow"/>
        </w:rPr>
      </w:pPr>
      <w:r>
        <w:rPr>
          <w:rFonts w:ascii="Times New Roman" w:cs="Times New Roman" w:hAnsi="Times New Roman"/>
          <w:sz w:val="24"/>
          <w:szCs w:val="24"/>
        </w:rPr>
        <w:t xml:space="preserve">As presented on table 3, levels of lipid profile parameters in albino rats after exposure to polyethylene terephthalate (PET) microplastics showed a significant increase in the levels of </w:t>
      </w:r>
      <w:r>
        <w:rPr>
          <w:rFonts w:ascii="Times New Roman" w:cs="Times New Roman" w:hAnsi="Times New Roman"/>
          <w:sz w:val="24"/>
          <w:szCs w:val="24"/>
        </w:rPr>
        <w:t>total cholesterol (TC) and low-density lipoprotein cholesterol (LDL) at p=0.017 and p&lt;0.001 respectively. There was no significant difference in the levels of triglyceride and high-density lipoprotein cholesterol at p&gt;0.05.</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1930"/>
        <w:gridCol w:w="2123"/>
        <w:gridCol w:w="1980"/>
        <w:gridCol w:w="2105"/>
      </w:tblGrid>
      <w:tr>
        <w:trPr/>
        <w:tc>
          <w:tcPr>
            <w:tcW w:w="1095"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Groups </w:t>
            </w:r>
          </w:p>
        </w:tc>
        <w:tc>
          <w:tcPr>
            <w:tcW w:w="1930"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TC (mmol/L)</w:t>
            </w:r>
          </w:p>
        </w:tc>
        <w:tc>
          <w:tcPr>
            <w:tcW w:w="2123"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TG (mmol/L)</w:t>
            </w:r>
          </w:p>
        </w:tc>
        <w:tc>
          <w:tcPr>
            <w:tcW w:w="1980"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HDL (mmol/L)</w:t>
            </w:r>
          </w:p>
        </w:tc>
        <w:tc>
          <w:tcPr>
            <w:tcW w:w="2105"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LDL (mmol/L)</w:t>
            </w:r>
          </w:p>
        </w:tc>
      </w:tr>
      <w:tr>
        <w:tblPrEx/>
        <w:trPr/>
        <w:tc>
          <w:tcPr>
            <w:tcW w:w="1095"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1</w:t>
            </w:r>
          </w:p>
        </w:tc>
        <w:tc>
          <w:tcPr>
            <w:tcW w:w="1930"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2.75 </w:t>
            </w:r>
            <w:r>
              <w:rPr>
                <w:rFonts w:ascii="Times New Roman" w:cs="Times New Roman" w:hAnsi="Times New Roman"/>
                <w:sz w:val="24"/>
                <w:szCs w:val="24"/>
                <w:lang w:val="en-GB"/>
              </w:rPr>
              <w:t>± 0.37</w:t>
            </w:r>
            <w:r>
              <w:rPr>
                <w:rFonts w:ascii="Times New Roman" w:cs="Times New Roman" w:hAnsi="Times New Roman"/>
                <w:sz w:val="24"/>
                <w:szCs w:val="24"/>
                <w:vertAlign w:val="superscript"/>
                <w:lang w:val="en-GB"/>
              </w:rPr>
              <w:t>a</w:t>
            </w:r>
          </w:p>
        </w:tc>
        <w:tc>
          <w:tcPr>
            <w:tcW w:w="2123"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vertAlign w:val="superscript"/>
                <w:lang w:val="en-GB"/>
              </w:rPr>
            </w:pPr>
            <w:r>
              <w:rPr>
                <w:rFonts w:ascii="Times New Roman" w:cs="Times New Roman" w:hAnsi="Times New Roman"/>
                <w:bCs/>
                <w:sz w:val="24"/>
                <w:szCs w:val="24"/>
                <w:lang w:val="en-GB"/>
              </w:rPr>
              <w:t xml:space="preserve">0.70 </w:t>
            </w:r>
            <w:r>
              <w:rPr>
                <w:rFonts w:ascii="Times New Roman" w:cs="Times New Roman" w:hAnsi="Times New Roman"/>
                <w:sz w:val="24"/>
                <w:szCs w:val="24"/>
                <w:lang w:val="en-GB"/>
              </w:rPr>
              <w:t>± 0.09</w:t>
            </w:r>
          </w:p>
        </w:tc>
        <w:tc>
          <w:tcPr>
            <w:tcW w:w="1980"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1.86 </w:t>
            </w:r>
            <w:r>
              <w:rPr>
                <w:rFonts w:ascii="Times New Roman" w:cs="Times New Roman" w:hAnsi="Times New Roman"/>
                <w:sz w:val="24"/>
                <w:szCs w:val="24"/>
                <w:lang w:val="en-GB"/>
              </w:rPr>
              <w:t>± 0.09</w:t>
            </w:r>
          </w:p>
        </w:tc>
        <w:tc>
          <w:tcPr>
            <w:tcW w:w="2105"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vertAlign w:val="superscript"/>
                <w:lang w:val="en-GB"/>
              </w:rPr>
            </w:pPr>
            <w:r>
              <w:rPr>
                <w:rFonts w:ascii="Times New Roman" w:cs="Times New Roman" w:hAnsi="Times New Roman"/>
                <w:bCs/>
                <w:sz w:val="24"/>
                <w:szCs w:val="24"/>
                <w:lang w:val="en-GB"/>
              </w:rPr>
              <w:t xml:space="preserve">0.79 </w:t>
            </w:r>
            <w:r>
              <w:rPr>
                <w:rFonts w:ascii="Times New Roman" w:cs="Times New Roman" w:hAnsi="Times New Roman"/>
                <w:sz w:val="24"/>
                <w:szCs w:val="24"/>
                <w:lang w:val="en-GB"/>
              </w:rPr>
              <w:t>± 0.05</w:t>
            </w:r>
            <w:r>
              <w:rPr>
                <w:rFonts w:ascii="Times New Roman" w:cs="Times New Roman" w:hAnsi="Times New Roman"/>
                <w:sz w:val="24"/>
                <w:szCs w:val="24"/>
                <w:vertAlign w:val="superscript"/>
                <w:lang w:val="en-GB"/>
              </w:rPr>
              <w:t>a</w:t>
            </w:r>
          </w:p>
        </w:tc>
      </w:tr>
      <w:tr>
        <w:tblPrEx/>
        <w:trPr/>
        <w:tc>
          <w:tcPr>
            <w:tcW w:w="1095"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2</w:t>
            </w:r>
          </w:p>
        </w:tc>
        <w:tc>
          <w:tcPr>
            <w:tcW w:w="1930"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2.91 </w:t>
            </w:r>
            <w:r>
              <w:rPr>
                <w:rFonts w:ascii="Times New Roman" w:cs="Times New Roman" w:hAnsi="Times New Roman"/>
                <w:sz w:val="24"/>
                <w:szCs w:val="24"/>
                <w:lang w:val="en-GB"/>
              </w:rPr>
              <w:t>± 0.34</w:t>
            </w:r>
            <w:r>
              <w:rPr>
                <w:rFonts w:ascii="Times New Roman" w:cs="Times New Roman" w:hAnsi="Times New Roman"/>
                <w:sz w:val="24"/>
                <w:szCs w:val="24"/>
                <w:vertAlign w:val="superscript"/>
                <w:lang w:val="en-GB"/>
              </w:rPr>
              <w:t>a</w:t>
            </w:r>
          </w:p>
        </w:tc>
        <w:tc>
          <w:tcPr>
            <w:tcW w:w="2123"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0.72 </w:t>
            </w:r>
            <w:r>
              <w:rPr>
                <w:rFonts w:ascii="Times New Roman" w:cs="Times New Roman" w:hAnsi="Times New Roman"/>
                <w:sz w:val="24"/>
                <w:szCs w:val="24"/>
                <w:lang w:val="en-GB"/>
              </w:rPr>
              <w:t>± 0.08</w:t>
            </w:r>
          </w:p>
        </w:tc>
        <w:tc>
          <w:tcPr>
            <w:tcW w:w="1980"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1.59 </w:t>
            </w:r>
            <w:r>
              <w:rPr>
                <w:rFonts w:ascii="Times New Roman" w:cs="Times New Roman" w:hAnsi="Times New Roman"/>
                <w:sz w:val="24"/>
                <w:szCs w:val="24"/>
                <w:lang w:val="en-GB"/>
              </w:rPr>
              <w:t>± 0.01</w:t>
            </w:r>
          </w:p>
        </w:tc>
        <w:tc>
          <w:tcPr>
            <w:tcW w:w="2105"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0.88 </w:t>
            </w:r>
            <w:r>
              <w:rPr>
                <w:rFonts w:ascii="Times New Roman" w:cs="Times New Roman" w:hAnsi="Times New Roman"/>
                <w:sz w:val="24"/>
                <w:szCs w:val="24"/>
                <w:lang w:val="en-GB"/>
              </w:rPr>
              <w:t>± 0.02</w:t>
            </w:r>
            <w:r>
              <w:rPr>
                <w:rFonts w:ascii="Times New Roman" w:cs="Times New Roman" w:hAnsi="Times New Roman"/>
                <w:sz w:val="24"/>
                <w:szCs w:val="24"/>
                <w:vertAlign w:val="superscript"/>
                <w:lang w:val="en-GB"/>
              </w:rPr>
              <w:t>a</w:t>
            </w:r>
          </w:p>
        </w:tc>
      </w:tr>
      <w:tr>
        <w:tblPrEx/>
        <w:trPr/>
        <w:tc>
          <w:tcPr>
            <w:tcW w:w="109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3</w:t>
            </w:r>
          </w:p>
        </w:tc>
        <w:tc>
          <w:tcPr>
            <w:tcW w:w="193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3.02 </w:t>
            </w:r>
            <w:r>
              <w:rPr>
                <w:rFonts w:ascii="Times New Roman" w:cs="Times New Roman" w:hAnsi="Times New Roman"/>
                <w:sz w:val="24"/>
                <w:szCs w:val="24"/>
                <w:lang w:val="en-GB"/>
              </w:rPr>
              <w:t>± 0.32</w:t>
            </w:r>
            <w:r>
              <w:rPr>
                <w:rFonts w:ascii="Times New Roman" w:cs="Times New Roman" w:hAnsi="Times New Roman"/>
                <w:sz w:val="24"/>
                <w:szCs w:val="24"/>
                <w:vertAlign w:val="superscript"/>
                <w:lang w:val="en-GB"/>
              </w:rPr>
              <w:t>a</w:t>
            </w:r>
          </w:p>
        </w:tc>
        <w:tc>
          <w:tcPr>
            <w:tcW w:w="2123"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0.80 </w:t>
            </w:r>
            <w:r>
              <w:rPr>
                <w:rFonts w:ascii="Times New Roman" w:cs="Times New Roman" w:hAnsi="Times New Roman"/>
                <w:sz w:val="24"/>
                <w:szCs w:val="24"/>
                <w:lang w:val="en-GB"/>
              </w:rPr>
              <w:t>± 0.18</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1.61 </w:t>
            </w:r>
            <w:r>
              <w:rPr>
                <w:rFonts w:ascii="Times New Roman" w:cs="Times New Roman" w:hAnsi="Times New Roman"/>
                <w:sz w:val="24"/>
                <w:szCs w:val="24"/>
                <w:lang w:val="en-GB"/>
              </w:rPr>
              <w:t>± 0.11</w:t>
            </w:r>
          </w:p>
        </w:tc>
        <w:tc>
          <w:tcPr>
            <w:tcW w:w="210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1.20 </w:t>
            </w:r>
            <w:r>
              <w:rPr>
                <w:rFonts w:ascii="Times New Roman" w:cs="Times New Roman" w:hAnsi="Times New Roman"/>
                <w:sz w:val="24"/>
                <w:szCs w:val="24"/>
                <w:lang w:val="en-GB"/>
              </w:rPr>
              <w:t>± 0.44</w:t>
            </w:r>
            <w:r>
              <w:rPr>
                <w:rFonts w:ascii="Times New Roman" w:cs="Times New Roman" w:hAnsi="Times New Roman"/>
                <w:sz w:val="24"/>
                <w:szCs w:val="24"/>
                <w:vertAlign w:val="superscript"/>
                <w:lang w:val="en-GB"/>
              </w:rPr>
              <w:t>a</w:t>
            </w:r>
          </w:p>
        </w:tc>
      </w:tr>
      <w:tr>
        <w:tblPrEx/>
        <w:trPr/>
        <w:tc>
          <w:tcPr>
            <w:tcW w:w="109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4</w:t>
            </w:r>
          </w:p>
        </w:tc>
        <w:tc>
          <w:tcPr>
            <w:tcW w:w="193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3.61 </w:t>
            </w:r>
            <w:r>
              <w:rPr>
                <w:rFonts w:ascii="Times New Roman" w:cs="Times New Roman" w:hAnsi="Times New Roman"/>
                <w:sz w:val="24"/>
                <w:szCs w:val="24"/>
                <w:lang w:val="en-GB"/>
              </w:rPr>
              <w:t>± 0.37</w:t>
            </w:r>
            <w:r>
              <w:rPr>
                <w:rFonts w:ascii="Times New Roman" w:cs="Times New Roman" w:hAnsi="Times New Roman"/>
                <w:sz w:val="24"/>
                <w:szCs w:val="24"/>
                <w:vertAlign w:val="superscript"/>
                <w:lang w:val="en-GB"/>
              </w:rPr>
              <w:t>b</w:t>
            </w:r>
          </w:p>
        </w:tc>
        <w:tc>
          <w:tcPr>
            <w:tcW w:w="2123"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0.97 </w:t>
            </w:r>
            <w:r>
              <w:rPr>
                <w:rFonts w:ascii="Times New Roman" w:cs="Times New Roman" w:hAnsi="Times New Roman"/>
                <w:sz w:val="24"/>
                <w:szCs w:val="24"/>
                <w:lang w:val="en-GB"/>
              </w:rPr>
              <w:t>± 0.22</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1.36 </w:t>
            </w:r>
            <w:r>
              <w:rPr>
                <w:rFonts w:ascii="Times New Roman" w:cs="Times New Roman" w:hAnsi="Times New Roman"/>
                <w:sz w:val="24"/>
                <w:szCs w:val="24"/>
                <w:lang w:val="en-GB"/>
              </w:rPr>
              <w:t>± 0.41</w:t>
            </w:r>
          </w:p>
        </w:tc>
        <w:tc>
          <w:tcPr>
            <w:tcW w:w="210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1.86 </w:t>
            </w:r>
            <w:r>
              <w:rPr>
                <w:rFonts w:ascii="Times New Roman" w:cs="Times New Roman" w:hAnsi="Times New Roman"/>
                <w:sz w:val="24"/>
                <w:szCs w:val="24"/>
                <w:lang w:val="en-GB"/>
              </w:rPr>
              <w:t>± 0.30</w:t>
            </w:r>
            <w:r>
              <w:rPr>
                <w:rFonts w:ascii="Times New Roman" w:cs="Times New Roman" w:hAnsi="Times New Roman"/>
                <w:sz w:val="24"/>
                <w:szCs w:val="24"/>
                <w:vertAlign w:val="superscript"/>
                <w:lang w:val="en-GB"/>
              </w:rPr>
              <w:t>b</w:t>
            </w:r>
          </w:p>
        </w:tc>
      </w:tr>
      <w:tr>
        <w:tblPrEx/>
        <w:trPr/>
        <w:tc>
          <w:tcPr>
            <w:tcW w:w="109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5</w:t>
            </w:r>
          </w:p>
        </w:tc>
        <w:tc>
          <w:tcPr>
            <w:tcW w:w="193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2.90 </w:t>
            </w:r>
            <w:r>
              <w:rPr>
                <w:rFonts w:ascii="Times New Roman" w:cs="Times New Roman" w:hAnsi="Times New Roman"/>
                <w:sz w:val="24"/>
                <w:szCs w:val="24"/>
                <w:lang w:val="en-GB"/>
              </w:rPr>
              <w:t>± 0.49</w:t>
            </w:r>
            <w:r>
              <w:rPr>
                <w:rFonts w:ascii="Times New Roman" w:cs="Times New Roman" w:hAnsi="Times New Roman"/>
                <w:sz w:val="24"/>
                <w:szCs w:val="24"/>
                <w:vertAlign w:val="superscript"/>
                <w:lang w:val="en-GB"/>
              </w:rPr>
              <w:t>a</w:t>
            </w:r>
          </w:p>
        </w:tc>
        <w:tc>
          <w:tcPr>
            <w:tcW w:w="2123"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0.87 </w:t>
            </w:r>
            <w:r>
              <w:rPr>
                <w:rFonts w:ascii="Times New Roman" w:cs="Times New Roman" w:hAnsi="Times New Roman"/>
                <w:sz w:val="24"/>
                <w:szCs w:val="24"/>
                <w:lang w:val="en-GB"/>
              </w:rPr>
              <w:t>± 0.11</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1.40 </w:t>
            </w:r>
            <w:r>
              <w:rPr>
                <w:rFonts w:ascii="Times New Roman" w:cs="Times New Roman" w:hAnsi="Times New Roman"/>
                <w:sz w:val="24"/>
                <w:szCs w:val="24"/>
                <w:lang w:val="en-GB"/>
              </w:rPr>
              <w:t>± 0.40</w:t>
            </w:r>
          </w:p>
        </w:tc>
        <w:tc>
          <w:tcPr>
            <w:tcW w:w="210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0.95 </w:t>
            </w:r>
            <w:r>
              <w:rPr>
                <w:rFonts w:ascii="Times New Roman" w:cs="Times New Roman" w:hAnsi="Times New Roman"/>
                <w:sz w:val="24"/>
                <w:szCs w:val="24"/>
                <w:lang w:val="en-GB"/>
              </w:rPr>
              <w:t>± 0.06</w:t>
            </w:r>
            <w:r>
              <w:rPr>
                <w:rFonts w:ascii="Times New Roman" w:cs="Times New Roman" w:hAnsi="Times New Roman"/>
                <w:sz w:val="24"/>
                <w:szCs w:val="24"/>
                <w:vertAlign w:val="superscript"/>
                <w:lang w:val="en-GB"/>
              </w:rPr>
              <w:t>a</w:t>
            </w:r>
          </w:p>
        </w:tc>
      </w:tr>
      <w:tr>
        <w:tblPrEx/>
        <w:trPr/>
        <w:tc>
          <w:tcPr>
            <w:tcW w:w="109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P-value</w:t>
            </w:r>
          </w:p>
        </w:tc>
        <w:tc>
          <w:tcPr>
            <w:tcW w:w="193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0.017</w:t>
            </w:r>
          </w:p>
        </w:tc>
        <w:tc>
          <w:tcPr>
            <w:tcW w:w="2123"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0.057</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0.056</w:t>
            </w:r>
          </w:p>
        </w:tc>
        <w:tc>
          <w:tcPr>
            <w:tcW w:w="210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&lt;0.001</w:t>
            </w:r>
          </w:p>
        </w:tc>
      </w:tr>
      <w:tr>
        <w:tblPrEx/>
        <w:trPr/>
        <w:tc>
          <w:tcPr>
            <w:tcW w:w="109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F-value</w:t>
            </w:r>
          </w:p>
        </w:tc>
        <w:tc>
          <w:tcPr>
            <w:tcW w:w="193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3.87</w:t>
            </w:r>
          </w:p>
        </w:tc>
        <w:tc>
          <w:tcPr>
            <w:tcW w:w="2123"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2.57</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2.76</w:t>
            </w:r>
          </w:p>
        </w:tc>
        <w:tc>
          <w:tcPr>
            <w:tcW w:w="2105"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15.98</w:t>
            </w:r>
          </w:p>
        </w:tc>
      </w:tr>
    </w:tbl>
    <w:p>
      <w:pPr>
        <w:pStyle w:val="style0"/>
        <w:spacing w:lineRule="auto" w:line="240"/>
        <w:jc w:val="both"/>
        <w:rPr>
          <w:rFonts w:ascii="Times New Roman" w:cs="Times New Roman" w:hAnsi="Times New Roman"/>
          <w:bCs/>
        </w:rPr>
      </w:pPr>
      <w:r>
        <w:rPr>
          <w:rFonts w:ascii="Times New Roman" w:cs="Times New Roman" w:hAnsi="Times New Roman"/>
          <w:b/>
        </w:rPr>
        <w:t>N/</w:t>
      </w:r>
      <w:r>
        <w:rPr>
          <w:rFonts w:ascii="Times New Roman" w:cs="Times New Roman" w:hAnsi="Times New Roman"/>
          <w:b/>
          <w:bCs/>
          <w:sz w:val="24"/>
          <w:szCs w:val="24"/>
        </w:rPr>
        <w:t>B</w:t>
      </w:r>
      <w:r>
        <w:rPr>
          <w:rFonts w:ascii="Times New Roman" w:cs="Times New Roman" w:hAnsi="Times New Roman"/>
          <w:bCs/>
        </w:rPr>
        <w:t>: Values in the same column but with different superscripts are significantly different from each other (P</w:t>
      </w:r>
      <w:r>
        <w:rPr>
          <w:rFonts w:ascii="Times New Roman" w:cs="Times New Roman" w:hAnsi="Times New Roman"/>
          <w:bCs/>
          <w:u w:val="single"/>
        </w:rPr>
        <w:t>&lt;</w:t>
      </w:r>
      <w:r>
        <w:rPr>
          <w:rFonts w:ascii="Times New Roman" w:cs="Times New Roman" w:hAnsi="Times New Roman"/>
          <w:bCs/>
        </w:rPr>
        <w:t xml:space="preserve"> 0.05)</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Key: </w:t>
      </w:r>
      <w:r>
        <w:rPr>
          <w:rFonts w:ascii="Times New Roman" w:cs="Times New Roman" w:hAnsi="Times New Roman"/>
          <w:sz w:val="24"/>
          <w:szCs w:val="24"/>
        </w:rPr>
        <w:t>TC: Total cholesterol, TG: Triglyceride, HDL: High Density Lipoprotein, LDL: Low Density Lipoprotein</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4</w:t>
      </w:r>
      <w:r>
        <w:rPr>
          <w:rFonts w:ascii="Times New Roman" w:cs="Times New Roman" w:hAnsi="Times New Roman"/>
          <w:b/>
          <w:bCs/>
          <w:sz w:val="24"/>
          <w:szCs w:val="24"/>
        </w:rPr>
        <w:t xml:space="preserve"> Levels of Atherogenic Indices in Albino Rats after Exposure to Polyethylene Terephthalate (PET) Microplastics</w:t>
      </w:r>
    </w:p>
    <w:p>
      <w:pPr>
        <w:pStyle w:val="style0"/>
        <w:spacing w:lineRule="auto" w:line="480"/>
        <w:jc w:val="both"/>
        <w:rPr>
          <w:rFonts w:ascii="Times New Roman" w:cs="Times New Roman" w:hAnsi="Times New Roman"/>
          <w:b/>
          <w:bCs/>
          <w:sz w:val="24"/>
          <w:szCs w:val="24"/>
          <w:highlight w:val="yellow"/>
        </w:rPr>
      </w:pPr>
      <w:r>
        <w:rPr>
          <w:rFonts w:ascii="Times New Roman" w:cs="Times New Roman" w:hAnsi="Times New Roman"/>
          <w:sz w:val="24"/>
          <w:szCs w:val="24"/>
        </w:rPr>
        <w:t xml:space="preserve">As presented on table </w:t>
      </w:r>
      <w:r>
        <w:rPr>
          <w:rFonts w:ascii="Times New Roman" w:cs="Times New Roman" w:hAnsi="Times New Roman"/>
          <w:sz w:val="24"/>
          <w:szCs w:val="24"/>
        </w:rPr>
        <w:t>4</w:t>
      </w:r>
      <w:r>
        <w:rPr>
          <w:rFonts w:ascii="Times New Roman" w:cs="Times New Roman" w:hAnsi="Times New Roman"/>
          <w:sz w:val="24"/>
          <w:szCs w:val="24"/>
        </w:rPr>
        <w:t xml:space="preserve">, levels of atherogenic indices in albino rats after exposure to polyethylene terephthalate (PET) microplastics showed a significant increase in the levels of Castelli Risk Index I (CRI-I), Castelli Risk Index II (CRI-II) and Atherogenic Coefficient (AC) at p=0.009, p&lt;0.001 and p=0.009 respectively. </w:t>
      </w:r>
    </w:p>
    <w:tbl>
      <w:tblPr>
        <w:tblStyle w:val="style15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520"/>
        <w:gridCol w:w="2610"/>
        <w:gridCol w:w="1980"/>
      </w:tblGrid>
      <w:tr>
        <w:trPr/>
        <w:tc>
          <w:tcPr>
            <w:tcW w:w="2088"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Groups </w:t>
            </w:r>
          </w:p>
        </w:tc>
        <w:tc>
          <w:tcPr>
            <w:tcW w:w="2520"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CRI-I </w:t>
            </w:r>
          </w:p>
        </w:tc>
        <w:tc>
          <w:tcPr>
            <w:tcW w:w="2610"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CRI-II </w:t>
            </w:r>
          </w:p>
        </w:tc>
        <w:tc>
          <w:tcPr>
            <w:tcW w:w="1980" w:type="dxa"/>
            <w:tcBorders>
              <w:bottom w:val="single" w:sz="4" w:space="0" w:color="auto"/>
            </w:tcBorders>
          </w:tcPr>
          <w:p>
            <w:pPr>
              <w:pStyle w:val="style0"/>
              <w:spacing w:after="0" w:lineRule="auto" w:line="360"/>
              <w:jc w:val="both"/>
              <w:rPr>
                <w:rFonts w:ascii="Times New Roman" w:cs="Times New Roman" w:hAnsi="Times New Roman"/>
                <w:b/>
                <w:bCs/>
                <w:sz w:val="24"/>
                <w:szCs w:val="24"/>
                <w:lang w:val="en-GB"/>
              </w:rPr>
            </w:pPr>
            <w:r>
              <w:rPr>
                <w:rFonts w:ascii="Times New Roman" w:cs="Times New Roman" w:hAnsi="Times New Roman"/>
                <w:b/>
                <w:bCs/>
                <w:sz w:val="24"/>
                <w:szCs w:val="24"/>
                <w:lang w:val="en-GB"/>
              </w:rPr>
              <w:t xml:space="preserve">AC </w:t>
            </w:r>
          </w:p>
        </w:tc>
      </w:tr>
      <w:tr>
        <w:tblPrEx/>
        <w:trPr/>
        <w:tc>
          <w:tcPr>
            <w:tcW w:w="2088"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1</w:t>
            </w:r>
          </w:p>
        </w:tc>
        <w:tc>
          <w:tcPr>
            <w:tcW w:w="2520"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1.51 </w:t>
            </w:r>
            <w:r>
              <w:rPr>
                <w:rFonts w:ascii="Times New Roman" w:cs="Times New Roman" w:hAnsi="Times New Roman"/>
                <w:sz w:val="24"/>
                <w:szCs w:val="24"/>
                <w:lang w:val="en-GB"/>
              </w:rPr>
              <w:t>± 0.26</w:t>
            </w:r>
            <w:r>
              <w:rPr>
                <w:rFonts w:ascii="Times New Roman" w:cs="Times New Roman" w:hAnsi="Times New Roman"/>
                <w:sz w:val="24"/>
                <w:szCs w:val="24"/>
                <w:vertAlign w:val="superscript"/>
                <w:lang w:val="en-GB"/>
              </w:rPr>
              <w:t>a</w:t>
            </w:r>
          </w:p>
        </w:tc>
        <w:tc>
          <w:tcPr>
            <w:tcW w:w="2610"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vertAlign w:val="superscript"/>
                <w:lang w:val="en-GB"/>
              </w:rPr>
            </w:pPr>
            <w:r>
              <w:rPr>
                <w:rFonts w:ascii="Times New Roman" w:cs="Times New Roman" w:hAnsi="Times New Roman"/>
                <w:bCs/>
                <w:sz w:val="24"/>
                <w:szCs w:val="24"/>
                <w:lang w:val="en-GB"/>
              </w:rPr>
              <w:t xml:space="preserve">0.42 </w:t>
            </w:r>
            <w:r>
              <w:rPr>
                <w:rFonts w:ascii="Times New Roman" w:cs="Times New Roman" w:hAnsi="Times New Roman"/>
                <w:sz w:val="24"/>
                <w:szCs w:val="24"/>
                <w:lang w:val="en-GB"/>
              </w:rPr>
              <w:t>± 0.03</w:t>
            </w:r>
            <w:r>
              <w:rPr>
                <w:rFonts w:ascii="Times New Roman" w:cs="Times New Roman" w:hAnsi="Times New Roman"/>
                <w:sz w:val="24"/>
                <w:szCs w:val="24"/>
                <w:vertAlign w:val="superscript"/>
                <w:lang w:val="en-GB"/>
              </w:rPr>
              <w:t xml:space="preserve"> a</w:t>
            </w:r>
          </w:p>
        </w:tc>
        <w:tc>
          <w:tcPr>
            <w:tcW w:w="1980" w:type="dxa"/>
            <w:tcBorders>
              <w:top w:val="single" w:sz="4" w:space="0" w:color="auto"/>
              <w:bottom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0.51 </w:t>
            </w:r>
            <w:r>
              <w:rPr>
                <w:rFonts w:ascii="Times New Roman" w:cs="Times New Roman" w:hAnsi="Times New Roman"/>
                <w:sz w:val="24"/>
                <w:szCs w:val="24"/>
                <w:lang w:val="en-GB"/>
              </w:rPr>
              <w:t>± 0.26</w:t>
            </w:r>
            <w:r>
              <w:rPr>
                <w:rFonts w:ascii="Times New Roman" w:cs="Times New Roman" w:hAnsi="Times New Roman"/>
                <w:sz w:val="24"/>
                <w:szCs w:val="24"/>
                <w:vertAlign w:val="superscript"/>
                <w:lang w:val="en-GB"/>
              </w:rPr>
              <w:t xml:space="preserve"> a</w:t>
            </w:r>
          </w:p>
        </w:tc>
      </w:tr>
      <w:tr>
        <w:tblPrEx/>
        <w:trPr/>
        <w:tc>
          <w:tcPr>
            <w:tcW w:w="2088"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2</w:t>
            </w:r>
          </w:p>
        </w:tc>
        <w:tc>
          <w:tcPr>
            <w:tcW w:w="2520"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1.83 </w:t>
            </w:r>
            <w:r>
              <w:rPr>
                <w:rFonts w:ascii="Times New Roman" w:cs="Times New Roman" w:hAnsi="Times New Roman"/>
                <w:sz w:val="24"/>
                <w:szCs w:val="24"/>
                <w:lang w:val="en-GB"/>
              </w:rPr>
              <w:t>± 0.20</w:t>
            </w:r>
            <w:r>
              <w:rPr>
                <w:rFonts w:ascii="Times New Roman" w:cs="Times New Roman" w:hAnsi="Times New Roman"/>
                <w:sz w:val="24"/>
                <w:szCs w:val="24"/>
                <w:vertAlign w:val="superscript"/>
                <w:lang w:val="en-GB"/>
              </w:rPr>
              <w:t>a</w:t>
            </w:r>
          </w:p>
        </w:tc>
        <w:tc>
          <w:tcPr>
            <w:tcW w:w="2610"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0.52 </w:t>
            </w:r>
            <w:r>
              <w:rPr>
                <w:rFonts w:ascii="Times New Roman" w:cs="Times New Roman" w:hAnsi="Times New Roman"/>
                <w:sz w:val="24"/>
                <w:szCs w:val="24"/>
                <w:lang w:val="en-GB"/>
              </w:rPr>
              <w:t>± 0.002</w:t>
            </w:r>
            <w:r>
              <w:rPr>
                <w:rFonts w:ascii="Times New Roman" w:cs="Times New Roman" w:hAnsi="Times New Roman"/>
                <w:sz w:val="24"/>
                <w:szCs w:val="24"/>
                <w:vertAlign w:val="superscript"/>
                <w:lang w:val="en-GB"/>
              </w:rPr>
              <w:t xml:space="preserve"> a</w:t>
            </w:r>
          </w:p>
        </w:tc>
        <w:tc>
          <w:tcPr>
            <w:tcW w:w="1980" w:type="dxa"/>
            <w:tcBorders>
              <w:top w:val="nil"/>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0.83 </w:t>
            </w:r>
            <w:r>
              <w:rPr>
                <w:rFonts w:ascii="Times New Roman" w:cs="Times New Roman" w:hAnsi="Times New Roman"/>
                <w:sz w:val="24"/>
                <w:szCs w:val="24"/>
                <w:lang w:val="en-GB"/>
              </w:rPr>
              <w:t>± 0.20</w:t>
            </w:r>
            <w:r>
              <w:rPr>
                <w:rFonts w:ascii="Times New Roman" w:cs="Times New Roman" w:hAnsi="Times New Roman"/>
                <w:sz w:val="24"/>
                <w:szCs w:val="24"/>
                <w:vertAlign w:val="superscript"/>
                <w:lang w:val="en-GB"/>
              </w:rPr>
              <w:t xml:space="preserve"> a</w:t>
            </w:r>
          </w:p>
        </w:tc>
      </w:tr>
      <w:tr>
        <w:tblPrEx/>
        <w:trPr/>
        <w:tc>
          <w:tcPr>
            <w:tcW w:w="2088"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3</w:t>
            </w:r>
          </w:p>
        </w:tc>
        <w:tc>
          <w:tcPr>
            <w:tcW w:w="252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1.81 </w:t>
            </w:r>
            <w:r>
              <w:rPr>
                <w:rFonts w:ascii="Times New Roman" w:cs="Times New Roman" w:hAnsi="Times New Roman"/>
                <w:sz w:val="24"/>
                <w:szCs w:val="24"/>
                <w:lang w:val="en-GB"/>
              </w:rPr>
              <w:t>± 0.12</w:t>
            </w:r>
            <w:r>
              <w:rPr>
                <w:rFonts w:ascii="Times New Roman" w:cs="Times New Roman" w:hAnsi="Times New Roman"/>
                <w:sz w:val="24"/>
                <w:szCs w:val="24"/>
                <w:vertAlign w:val="superscript"/>
                <w:lang w:val="en-GB"/>
              </w:rPr>
              <w:t>a</w:t>
            </w:r>
          </w:p>
        </w:tc>
        <w:tc>
          <w:tcPr>
            <w:tcW w:w="261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0.49 </w:t>
            </w:r>
            <w:r>
              <w:rPr>
                <w:rFonts w:ascii="Times New Roman" w:cs="Times New Roman" w:hAnsi="Times New Roman"/>
                <w:sz w:val="24"/>
                <w:szCs w:val="24"/>
                <w:lang w:val="en-GB"/>
              </w:rPr>
              <w:t>± 0.03</w:t>
            </w:r>
            <w:r>
              <w:rPr>
                <w:rFonts w:ascii="Times New Roman" w:cs="Times New Roman" w:hAnsi="Times New Roman"/>
                <w:sz w:val="24"/>
                <w:szCs w:val="24"/>
                <w:vertAlign w:val="superscript"/>
                <w:lang w:val="en-GB"/>
              </w:rPr>
              <w:t xml:space="preserve"> a</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0.81 </w:t>
            </w:r>
            <w:r>
              <w:rPr>
                <w:rFonts w:ascii="Times New Roman" w:cs="Times New Roman" w:hAnsi="Times New Roman"/>
                <w:sz w:val="24"/>
                <w:szCs w:val="24"/>
                <w:lang w:val="en-GB"/>
              </w:rPr>
              <w:t>± 0.12</w:t>
            </w:r>
            <w:r>
              <w:rPr>
                <w:rFonts w:ascii="Times New Roman" w:cs="Times New Roman" w:hAnsi="Times New Roman"/>
                <w:sz w:val="24"/>
                <w:szCs w:val="24"/>
                <w:vertAlign w:val="superscript"/>
                <w:lang w:val="en-GB"/>
              </w:rPr>
              <w:t xml:space="preserve"> a</w:t>
            </w:r>
          </w:p>
        </w:tc>
      </w:tr>
      <w:tr>
        <w:tblPrEx/>
        <w:trPr/>
        <w:tc>
          <w:tcPr>
            <w:tcW w:w="2088"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4</w:t>
            </w:r>
          </w:p>
        </w:tc>
        <w:tc>
          <w:tcPr>
            <w:tcW w:w="252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2.21 </w:t>
            </w:r>
            <w:r>
              <w:rPr>
                <w:rFonts w:ascii="Times New Roman" w:cs="Times New Roman" w:hAnsi="Times New Roman"/>
                <w:sz w:val="24"/>
                <w:szCs w:val="24"/>
                <w:lang w:val="en-GB"/>
              </w:rPr>
              <w:t>± 0.39</w:t>
            </w:r>
            <w:r>
              <w:rPr>
                <w:rFonts w:ascii="Times New Roman" w:cs="Times New Roman" w:hAnsi="Times New Roman"/>
                <w:sz w:val="24"/>
                <w:szCs w:val="24"/>
                <w:vertAlign w:val="superscript"/>
                <w:lang w:val="en-GB"/>
              </w:rPr>
              <w:t>b</w:t>
            </w:r>
          </w:p>
        </w:tc>
        <w:tc>
          <w:tcPr>
            <w:tcW w:w="261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1.09 </w:t>
            </w:r>
            <w:r>
              <w:rPr>
                <w:rFonts w:ascii="Times New Roman" w:cs="Times New Roman" w:hAnsi="Times New Roman"/>
                <w:sz w:val="24"/>
                <w:szCs w:val="24"/>
                <w:lang w:val="en-GB"/>
              </w:rPr>
              <w:t>± 0.19</w:t>
            </w:r>
            <w:r>
              <w:rPr>
                <w:rFonts w:ascii="Times New Roman" w:cs="Times New Roman" w:hAnsi="Times New Roman"/>
                <w:sz w:val="24"/>
                <w:szCs w:val="24"/>
                <w:vertAlign w:val="superscript"/>
                <w:lang w:val="en-GB"/>
              </w:rPr>
              <w:t xml:space="preserve"> b</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1.21 </w:t>
            </w:r>
            <w:r>
              <w:rPr>
                <w:rFonts w:ascii="Times New Roman" w:cs="Times New Roman" w:hAnsi="Times New Roman"/>
                <w:sz w:val="24"/>
                <w:szCs w:val="24"/>
                <w:lang w:val="en-GB"/>
              </w:rPr>
              <w:t>± 0.39</w:t>
            </w:r>
            <w:r>
              <w:rPr>
                <w:rFonts w:ascii="Times New Roman" w:cs="Times New Roman" w:hAnsi="Times New Roman"/>
                <w:sz w:val="24"/>
                <w:szCs w:val="24"/>
                <w:vertAlign w:val="superscript"/>
                <w:lang w:val="en-GB"/>
              </w:rPr>
              <w:t xml:space="preserve"> b</w:t>
            </w:r>
          </w:p>
        </w:tc>
      </w:tr>
      <w:tr>
        <w:tblPrEx/>
        <w:trPr/>
        <w:tc>
          <w:tcPr>
            <w:tcW w:w="2088"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GP 5</w:t>
            </w:r>
          </w:p>
        </w:tc>
        <w:tc>
          <w:tcPr>
            <w:tcW w:w="252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1.70 </w:t>
            </w:r>
            <w:r>
              <w:rPr>
                <w:rFonts w:ascii="Times New Roman" w:cs="Times New Roman" w:hAnsi="Times New Roman"/>
                <w:sz w:val="24"/>
                <w:szCs w:val="24"/>
                <w:lang w:val="en-GB"/>
              </w:rPr>
              <w:t>± 0.28</w:t>
            </w:r>
            <w:r>
              <w:rPr>
                <w:rFonts w:ascii="Times New Roman" w:cs="Times New Roman" w:hAnsi="Times New Roman"/>
                <w:sz w:val="24"/>
                <w:szCs w:val="24"/>
                <w:vertAlign w:val="superscript"/>
                <w:lang w:val="en-GB"/>
              </w:rPr>
              <w:t>a</w:t>
            </w:r>
          </w:p>
        </w:tc>
        <w:tc>
          <w:tcPr>
            <w:tcW w:w="261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0.56 </w:t>
            </w:r>
            <w:r>
              <w:rPr>
                <w:rFonts w:ascii="Times New Roman" w:cs="Times New Roman" w:hAnsi="Times New Roman"/>
                <w:sz w:val="24"/>
                <w:szCs w:val="24"/>
                <w:lang w:val="en-GB"/>
              </w:rPr>
              <w:t>± 0.04</w:t>
            </w:r>
            <w:r>
              <w:rPr>
                <w:rFonts w:ascii="Times New Roman" w:cs="Times New Roman" w:hAnsi="Times New Roman"/>
                <w:sz w:val="24"/>
                <w:szCs w:val="24"/>
                <w:vertAlign w:val="superscript"/>
                <w:lang w:val="en-GB"/>
              </w:rPr>
              <w:t xml:space="preserve"> a</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1.70 </w:t>
            </w:r>
            <w:r>
              <w:rPr>
                <w:rFonts w:ascii="Times New Roman" w:cs="Times New Roman" w:hAnsi="Times New Roman"/>
                <w:sz w:val="24"/>
                <w:szCs w:val="24"/>
                <w:lang w:val="en-GB"/>
              </w:rPr>
              <w:t>± 0.28</w:t>
            </w:r>
            <w:r>
              <w:rPr>
                <w:rFonts w:ascii="Times New Roman" w:cs="Times New Roman" w:hAnsi="Times New Roman"/>
                <w:sz w:val="24"/>
                <w:szCs w:val="24"/>
                <w:vertAlign w:val="superscript"/>
                <w:lang w:val="en-GB"/>
              </w:rPr>
              <w:t xml:space="preserve"> a</w:t>
            </w:r>
          </w:p>
        </w:tc>
      </w:tr>
      <w:tr>
        <w:tblPrEx/>
        <w:trPr/>
        <w:tc>
          <w:tcPr>
            <w:tcW w:w="2088"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P-value</w:t>
            </w:r>
          </w:p>
        </w:tc>
        <w:tc>
          <w:tcPr>
            <w:tcW w:w="252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0.009</w:t>
            </w:r>
          </w:p>
        </w:tc>
        <w:tc>
          <w:tcPr>
            <w:tcW w:w="261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&lt;0.001</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0.009</w:t>
            </w:r>
          </w:p>
        </w:tc>
      </w:tr>
      <w:tr>
        <w:tblPrEx/>
        <w:trPr/>
        <w:tc>
          <w:tcPr>
            <w:tcW w:w="2088"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F-value</w:t>
            </w:r>
          </w:p>
        </w:tc>
        <w:tc>
          <w:tcPr>
            <w:tcW w:w="252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4.505</w:t>
            </w:r>
          </w:p>
        </w:tc>
        <w:tc>
          <w:tcPr>
            <w:tcW w:w="261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46.749</w:t>
            </w:r>
          </w:p>
        </w:tc>
        <w:tc>
          <w:tcPr>
            <w:tcW w:w="1980" w:type="dxa"/>
            <w:tcBorders/>
          </w:tcPr>
          <w:p>
            <w:pPr>
              <w:pStyle w:val="style0"/>
              <w:spacing w:after="0" w:lineRule="auto" w:line="480"/>
              <w:jc w:val="both"/>
              <w:rPr>
                <w:rFonts w:ascii="Times New Roman" w:cs="Times New Roman" w:hAnsi="Times New Roman"/>
                <w:bCs/>
                <w:sz w:val="24"/>
                <w:szCs w:val="24"/>
                <w:lang w:val="en-GB"/>
              </w:rPr>
            </w:pPr>
            <w:r>
              <w:rPr>
                <w:rFonts w:ascii="Times New Roman" w:cs="Times New Roman" w:hAnsi="Times New Roman"/>
                <w:bCs/>
                <w:sz w:val="24"/>
                <w:szCs w:val="24"/>
                <w:lang w:val="en-GB"/>
              </w:rPr>
              <w:t>4.505</w:t>
            </w:r>
          </w:p>
        </w:tc>
      </w:tr>
    </w:tbl>
    <w:p>
      <w:pPr>
        <w:pStyle w:val="style0"/>
        <w:spacing w:lineRule="auto" w:line="240"/>
        <w:jc w:val="both"/>
        <w:rPr>
          <w:rFonts w:ascii="Times New Roman" w:cs="Times New Roman" w:hAnsi="Times New Roman"/>
          <w:bCs/>
        </w:rPr>
      </w:pPr>
      <w:r>
        <w:rPr>
          <w:rFonts w:ascii="Times New Roman" w:cs="Times New Roman" w:hAnsi="Times New Roman"/>
          <w:b/>
        </w:rPr>
        <w:t>N/</w:t>
      </w:r>
      <w:r>
        <w:rPr>
          <w:rFonts w:ascii="Times New Roman" w:cs="Times New Roman" w:hAnsi="Times New Roman"/>
          <w:b/>
          <w:bCs/>
          <w:sz w:val="24"/>
          <w:szCs w:val="24"/>
        </w:rPr>
        <w:t>B</w:t>
      </w:r>
      <w:r>
        <w:rPr>
          <w:rFonts w:ascii="Times New Roman" w:cs="Times New Roman" w:hAnsi="Times New Roman"/>
          <w:bCs/>
        </w:rPr>
        <w:t>: Values in the same column but with different superscripts are significantly different from each other (P</w:t>
      </w:r>
      <w:r>
        <w:rPr>
          <w:rFonts w:ascii="Times New Roman" w:cs="Times New Roman" w:hAnsi="Times New Roman"/>
          <w:bCs/>
          <w:u w:val="single"/>
        </w:rPr>
        <w:t>&lt;</w:t>
      </w:r>
      <w:r>
        <w:rPr>
          <w:rFonts w:ascii="Times New Roman" w:cs="Times New Roman" w:hAnsi="Times New Roman"/>
          <w:bCs/>
        </w:rPr>
        <w:t xml:space="preserve"> 0.05)</w:t>
      </w:r>
    </w:p>
    <w:p>
      <w:pPr>
        <w:pStyle w:val="style0"/>
        <w:tabs>
          <w:tab w:val="left" w:leader="none" w:pos="720"/>
        </w:tabs>
        <w:spacing w:lineRule="auto" w:line="240"/>
        <w:jc w:val="both"/>
        <w:rPr>
          <w:rFonts w:ascii="Times New Roman" w:cs="Times New Roman" w:hAnsi="Times New Roman"/>
          <w:sz w:val="24"/>
        </w:rPr>
      </w:pPr>
      <w:r>
        <w:rPr>
          <w:rFonts w:ascii="Times New Roman" w:cs="Times New Roman" w:hAnsi="Times New Roman"/>
          <w:b/>
          <w:bCs/>
          <w:sz w:val="24"/>
          <w:szCs w:val="24"/>
        </w:rPr>
        <w:t xml:space="preserve">Key: </w:t>
      </w:r>
      <w:r>
        <w:rPr>
          <w:rFonts w:ascii="Times New Roman" w:cs="Times New Roman" w:hAnsi="Times New Roman"/>
          <w:sz w:val="24"/>
          <w:szCs w:val="24"/>
        </w:rPr>
        <w:t xml:space="preserve">CRI-I = Castelli Risk Index I, CRI-II = Castelli Risk Index II and AC= Atherogenic </w:t>
      </w:r>
      <w:r>
        <w:rPr>
          <w:rFonts w:ascii="Times New Roman" w:cs="Times New Roman" w:hAnsi="Times New Roman"/>
          <w:sz w:val="24"/>
          <w:szCs w:val="24"/>
        </w:rPr>
        <w:t>Coefficient .</w:t>
      </w:r>
    </w:p>
    <w:p>
      <w:pPr>
        <w:pStyle w:val="style0"/>
        <w:jc w:val="both"/>
        <w:rPr>
          <w:rFonts w:ascii="Times New Roman" w:cs="Times New Roman" w:hAnsi="Times New Roman"/>
          <w:sz w:val="24"/>
        </w:rPr>
      </w:pPr>
    </w:p>
    <w:p>
      <w:pPr>
        <w:pStyle w:val="style0"/>
        <w:jc w:val="both"/>
        <w:rPr>
          <w:rFonts w:ascii="Times New Roman" w:cs="Times New Roman" w:hAnsi="Times New Roman"/>
          <w:sz w:val="24"/>
        </w:rPr>
      </w:pPr>
    </w:p>
    <w:p>
      <w:pPr>
        <w:pStyle w:val="style0"/>
        <w:jc w:val="both"/>
        <w:rPr>
          <w:rFonts w:ascii="Times New Roman" w:cs="Times New Roman" w:hAnsi="Times New Roman"/>
          <w:b/>
          <w:bCs/>
          <w:sz w:val="24"/>
        </w:rPr>
      </w:pPr>
      <w:r>
        <w:rPr>
          <w:rFonts w:ascii="Times New Roman" w:cs="Times New Roman" w:hAnsi="Times New Roman"/>
          <w:b/>
          <w:bCs/>
          <w:sz w:val="24"/>
        </w:rPr>
        <w:t>4.0 Discussion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evaluated the levels of biochemical parameters in albino rats exposed to polyethylene terephthalate (PET) microplastics. Results from this study indicate that the levels of cardiac troponin-I (</w:t>
      </w:r>
      <w:r>
        <w:rPr>
          <w:rFonts w:ascii="Times New Roman" w:cs="Times New Roman" w:hAnsi="Times New Roman"/>
          <w:sz w:val="24"/>
          <w:szCs w:val="24"/>
        </w:rPr>
        <w:t>cTn</w:t>
      </w:r>
      <w:r>
        <w:rPr>
          <w:rFonts w:ascii="Times New Roman" w:cs="Times New Roman" w:hAnsi="Times New Roman"/>
          <w:sz w:val="24"/>
          <w:szCs w:val="24"/>
        </w:rPr>
        <w:t xml:space="preserve">-I) in the rats exposed to PET were significantly higher than the levels in the control group. Similarly, the mean </w:t>
      </w:r>
      <w:r>
        <w:rPr>
          <w:rFonts w:ascii="Times New Roman" w:cs="Times New Roman" w:hAnsi="Times New Roman"/>
          <w:sz w:val="24"/>
          <w:szCs w:val="24"/>
        </w:rPr>
        <w:t>cTn</w:t>
      </w:r>
      <w:r>
        <w:rPr>
          <w:rFonts w:ascii="Times New Roman" w:cs="Times New Roman" w:hAnsi="Times New Roman"/>
          <w:sz w:val="24"/>
          <w:szCs w:val="24"/>
        </w:rPr>
        <w:t xml:space="preserve">-I levels in the group treated with bottled water exposed to sunlight were significantly higher than in the control group but significantly lower than in the PET-treated groups. The observed increase in </w:t>
      </w:r>
      <w:r>
        <w:rPr>
          <w:rFonts w:ascii="Times New Roman" w:cs="Times New Roman" w:hAnsi="Times New Roman"/>
          <w:sz w:val="24"/>
          <w:szCs w:val="24"/>
        </w:rPr>
        <w:t>cTn</w:t>
      </w:r>
      <w:r>
        <w:rPr>
          <w:rFonts w:ascii="Times New Roman" w:cs="Times New Roman" w:hAnsi="Times New Roman"/>
          <w:sz w:val="24"/>
          <w:szCs w:val="24"/>
        </w:rPr>
        <w:t xml:space="preserve">-I levels suggests that chronic exposure to PET </w:t>
      </w:r>
      <w:r>
        <w:rPr>
          <w:rFonts w:ascii="Times New Roman" w:cs="Times New Roman" w:hAnsi="Times New Roman"/>
          <w:sz w:val="24"/>
          <w:szCs w:val="24"/>
        </w:rPr>
        <w:t xml:space="preserve">microplastics induces myocardial stress or damage, which can manifest as injury or dysfunction of the heart muscle, often due to ischemia, inflammation, or toxic exposure since </w:t>
      </w:r>
      <w:r>
        <w:rPr>
          <w:rFonts w:ascii="Times New Roman" w:cs="Times New Roman" w:hAnsi="Times New Roman"/>
          <w:sz w:val="24"/>
          <w:szCs w:val="24"/>
        </w:rPr>
        <w:t>cTn</w:t>
      </w:r>
      <w:r>
        <w:rPr>
          <w:rFonts w:ascii="Times New Roman" w:cs="Times New Roman" w:hAnsi="Times New Roman"/>
          <w:sz w:val="24"/>
          <w:szCs w:val="24"/>
        </w:rPr>
        <w:t xml:space="preserve">-I has been reported as a well-established biomarker of myocardial injury and is commonly used in clinical settings to diagnose acute coronary syndromes and myocardial infarctions (Collet </w:t>
      </w:r>
      <w:r>
        <w:rPr>
          <w:rFonts w:ascii="Times New Roman" w:cs="Times New Roman" w:hAnsi="Times New Roman"/>
          <w:i/>
          <w:iCs/>
          <w:sz w:val="24"/>
          <w:szCs w:val="24"/>
        </w:rPr>
        <w:t>et al.,</w:t>
      </w:r>
      <w:r>
        <w:rPr>
          <w:rFonts w:ascii="Times New Roman" w:cs="Times New Roman" w:hAnsi="Times New Roman"/>
          <w:sz w:val="24"/>
          <w:szCs w:val="24"/>
        </w:rPr>
        <w:t xml:space="preserve"> 2021). Environmental pollutants, including microplastics, have been implicated in cardiotoxicity through oxidative stress, mitochondrial dysfunction, and inflammatory responses (Lim </w:t>
      </w:r>
      <w:r>
        <w:rPr>
          <w:rFonts w:ascii="Times New Roman" w:cs="Times New Roman" w:hAnsi="Times New Roman"/>
          <w:i/>
          <w:iCs/>
          <w:sz w:val="24"/>
          <w:szCs w:val="24"/>
        </w:rPr>
        <w:t>et al.,</w:t>
      </w:r>
      <w:r>
        <w:rPr>
          <w:rFonts w:ascii="Times New Roman" w:cs="Times New Roman" w:hAnsi="Times New Roman"/>
          <w:sz w:val="24"/>
          <w:szCs w:val="24"/>
        </w:rPr>
        <w:t xml:space="preserve"> 2021). Thus, chronic exposure to microplastics may contribute to myocardial stress by inducing endothelial dysfunction, lipid peroxidation, and systemic inflammation, all of which are risk factors for cardiovascular disease (Ragusa </w:t>
      </w:r>
      <w:r>
        <w:rPr>
          <w:rFonts w:ascii="Times New Roman" w:cs="Times New Roman" w:hAnsi="Times New Roman"/>
          <w:i/>
          <w:iCs/>
          <w:sz w:val="24"/>
          <w:szCs w:val="24"/>
        </w:rPr>
        <w:t>et al.,</w:t>
      </w:r>
      <w:r>
        <w:rPr>
          <w:rFonts w:ascii="Times New Roman" w:cs="Times New Roman" w:hAnsi="Times New Roman"/>
          <w:sz w:val="24"/>
          <w:szCs w:val="24"/>
        </w:rPr>
        <w:t xml:space="preserve"> 2021). The significant increase in </w:t>
      </w:r>
      <w:r>
        <w:rPr>
          <w:rFonts w:ascii="Times New Roman" w:cs="Times New Roman" w:hAnsi="Times New Roman"/>
          <w:sz w:val="24"/>
          <w:szCs w:val="24"/>
        </w:rPr>
        <w:t>cTn</w:t>
      </w:r>
      <w:r>
        <w:rPr>
          <w:rFonts w:ascii="Times New Roman" w:cs="Times New Roman" w:hAnsi="Times New Roman"/>
          <w:sz w:val="24"/>
          <w:szCs w:val="24"/>
        </w:rPr>
        <w:t>-I in the sunlight-exposed bottled water group compared to the control suggests that prolonged exposure to heat-degraded PET releases bioactive compounds that may contribute to myocardial stress.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of this study align with findings from Lim </w:t>
      </w:r>
      <w:r>
        <w:rPr>
          <w:rFonts w:ascii="Times New Roman" w:cs="Times New Roman" w:hAnsi="Times New Roman"/>
          <w:i/>
          <w:iCs/>
          <w:sz w:val="24"/>
          <w:szCs w:val="24"/>
        </w:rPr>
        <w:t>et al.,</w:t>
      </w:r>
      <w:r>
        <w:rPr>
          <w:rFonts w:ascii="Times New Roman" w:cs="Times New Roman" w:hAnsi="Times New Roman"/>
          <w:sz w:val="24"/>
          <w:szCs w:val="24"/>
        </w:rPr>
        <w:t xml:space="preserve"> (2021), who reported that microplastics induce oxidative stress and inflammation, leading to cardiotoxicity. Additionally, PET exposure has been shown to disrupt lipid metabolism, contributing to cardiac dysfunction (</w:t>
      </w:r>
      <w:r>
        <w:rPr>
          <w:rFonts w:ascii="Times New Roman" w:cs="Times New Roman" w:hAnsi="Times New Roman"/>
          <w:sz w:val="24"/>
          <w:szCs w:val="24"/>
        </w:rPr>
        <w:t>Prüst</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2020). Similarly, results from Ding </w:t>
      </w:r>
      <w:r>
        <w:rPr>
          <w:rFonts w:ascii="Times New Roman" w:cs="Times New Roman" w:hAnsi="Times New Roman"/>
          <w:i/>
          <w:iCs/>
          <w:sz w:val="24"/>
          <w:szCs w:val="24"/>
        </w:rPr>
        <w:t>et al.,</w:t>
      </w:r>
      <w:r>
        <w:rPr>
          <w:rFonts w:ascii="Times New Roman" w:cs="Times New Roman" w:hAnsi="Times New Roman"/>
          <w:sz w:val="24"/>
          <w:szCs w:val="24"/>
        </w:rPr>
        <w:t xml:space="preserve"> (2021) in rodent models demonstrated that exposure to </w:t>
      </w:r>
      <w:r>
        <w:rPr>
          <w:rFonts w:ascii="Times New Roman" w:cs="Times New Roman" w:hAnsi="Times New Roman"/>
          <w:sz w:val="24"/>
          <w:szCs w:val="24"/>
        </w:rPr>
        <w:t>nanoplastics</w:t>
      </w:r>
      <w:r>
        <w:rPr>
          <w:rFonts w:ascii="Times New Roman" w:cs="Times New Roman" w:hAnsi="Times New Roman"/>
          <w:sz w:val="24"/>
          <w:szCs w:val="24"/>
        </w:rPr>
        <w:t xml:space="preserve"> and microplastics increases oxidative stress markers and inflammatory cytokines in cardiac tissue, which in turn elevates troponin levels.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Also, as presented on Table 4, TNF- α levels in the rats exposed to PET were significantly higher than in the control group. Similarly, the mean TNF-α levels in the group treated with bottled water exposed to sunlight were significantly higher than in the control group but significantly lower than in the PET-treated group. The observed increase in TNF-α suggests that PET microplastic exposure triggers an inflammatory response, which can contribute to cardiovascular and metabolic disorders as microplastic-induced inflammation has been linked to oxidative </w:t>
      </w:r>
      <w:r>
        <w:rPr>
          <w:rFonts w:ascii="Times New Roman" w:cs="Times New Roman" w:hAnsi="Times New Roman"/>
          <w:sz w:val="24"/>
          <w:szCs w:val="24"/>
        </w:rPr>
        <w:t>stress, mitochondrial dysfunction, and endothelial damage, all of which elevate cardiovascular ri</w:t>
      </w:r>
      <w:r>
        <w:rPr>
          <w:rFonts w:ascii="Times New Roman" w:cs="Times New Roman" w:hAnsi="Times New Roman"/>
          <w:color w:val="36363d"/>
          <w:sz w:val="24"/>
          <w:szCs w:val="24"/>
        </w:rPr>
        <w:t>sk (</w:t>
      </w:r>
      <w:r>
        <w:rPr>
          <w:rFonts w:ascii="Times New Roman" w:cs="Times New Roman" w:hAnsi="Times New Roman"/>
          <w:color w:val="36363d"/>
          <w:sz w:val="24"/>
          <w:szCs w:val="24"/>
        </w:rPr>
        <w:t>Schirinzi</w:t>
      </w:r>
      <w:r>
        <w:rPr>
          <w:rFonts w:ascii="Times New Roman" w:cs="Times New Roman" w:hAnsi="Times New Roman"/>
          <w:color w:val="36363d"/>
          <w:sz w:val="24"/>
          <w:szCs w:val="24"/>
        </w:rPr>
        <w:t xml:space="preserve"> </w:t>
      </w:r>
      <w:r>
        <w:rPr>
          <w:rFonts w:ascii="Times New Roman" w:cs="Times New Roman" w:hAnsi="Times New Roman"/>
          <w:i/>
          <w:iCs/>
          <w:color w:val="36363d"/>
          <w:sz w:val="24"/>
          <w:szCs w:val="24"/>
        </w:rPr>
        <w:t>et al.,</w:t>
      </w:r>
      <w:r>
        <w:rPr>
          <w:rFonts w:ascii="Times New Roman" w:cs="Times New Roman" w:hAnsi="Times New Roman"/>
          <w:color w:val="36363d"/>
          <w:sz w:val="24"/>
          <w:szCs w:val="24"/>
        </w:rPr>
        <w:t xml:space="preserve"> 2017)</w:t>
      </w:r>
      <w:r>
        <w:rPr>
          <w:rFonts w:ascii="Times New Roman" w:cs="Times New Roman" w:hAnsi="Times New Roman"/>
          <w:color w:val="ff0000"/>
          <w:sz w:val="24"/>
          <w:szCs w:val="24"/>
        </w:rPr>
        <w:t xml:space="preserve">. </w:t>
      </w:r>
      <w:r>
        <w:rPr>
          <w:rFonts w:ascii="Times New Roman" w:cs="Times New Roman" w:hAnsi="Times New Roman"/>
          <w:sz w:val="24"/>
          <w:szCs w:val="24"/>
        </w:rPr>
        <w:t xml:space="preserve">The significant increase in TNF-α in the sunlight-exposed bottled water group compared to the control indicates that environmental conditions, such as heat exposure, may accelerate PET degradation and leaching, thus, enhancing its inflammatory effects. Tumor necrosis factor-alpha (TNF-α) is primarily produced by macrophages, endothelial cells, and cardiomyocytes in response to injury, infection, and oxidative stress (Libby, 2021). Elevated TNF-α levels contribute to endothelial dysfunction, myocardial remodeling, and atherosclerosis, which are key factors in cardiovascular pathology. TNF-α promotes endothelial dysfunction by reducing nitric oxide (NO) bioavailability, leading to increased vascular resistance and impaired vasodilation (Zhou </w:t>
      </w:r>
      <w:r>
        <w:rPr>
          <w:rFonts w:ascii="Times New Roman" w:cs="Times New Roman" w:hAnsi="Times New Roman"/>
          <w:i/>
          <w:iCs/>
          <w:sz w:val="24"/>
          <w:szCs w:val="24"/>
        </w:rPr>
        <w:t>et al.,</w:t>
      </w:r>
      <w:r>
        <w:rPr>
          <w:rFonts w:ascii="Times New Roman" w:cs="Times New Roman" w:hAnsi="Times New Roman"/>
          <w:sz w:val="24"/>
          <w:szCs w:val="24"/>
        </w:rPr>
        <w:t xml:space="preserve"> 2020). During myocardial infarction and subsequent reperfusion, TNF-α exacerbates cardiac injury by increasing oxidative stress and inflammatory cell infiltration (</w:t>
      </w:r>
      <w:r>
        <w:rPr>
          <w:rFonts w:ascii="Times New Roman" w:cs="Times New Roman" w:hAnsi="Times New Roman"/>
          <w:sz w:val="24"/>
          <w:szCs w:val="24"/>
        </w:rPr>
        <w:t>Toldo</w:t>
      </w:r>
      <w:r>
        <w:rPr>
          <w:rFonts w:ascii="Times New Roman" w:cs="Times New Roman" w:hAnsi="Times New Roman"/>
          <w:sz w:val="24"/>
          <w:szCs w:val="24"/>
        </w:rPr>
        <w:t xml:space="preserve"> et al., 2018).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Consistent with these findings, Lim </w:t>
      </w:r>
      <w:r>
        <w:rPr>
          <w:rFonts w:ascii="Times New Roman" w:cs="Times New Roman" w:hAnsi="Times New Roman"/>
          <w:i/>
          <w:iCs/>
          <w:sz w:val="24"/>
          <w:szCs w:val="24"/>
        </w:rPr>
        <w:t>et al.</w:t>
      </w:r>
      <w:r>
        <w:rPr>
          <w:rFonts w:ascii="Times New Roman" w:cs="Times New Roman" w:hAnsi="Times New Roman"/>
          <w:sz w:val="24"/>
          <w:szCs w:val="24"/>
        </w:rPr>
        <w:t xml:space="preserve"> (2021) reported that polystyrene microplastics increased TNF-α levels in animal models, leading to chronic inflammation. Similarly, Lu </w:t>
      </w:r>
      <w:r>
        <w:rPr>
          <w:rFonts w:ascii="Times New Roman" w:cs="Times New Roman" w:hAnsi="Times New Roman"/>
          <w:i/>
          <w:iCs/>
          <w:sz w:val="24"/>
          <w:szCs w:val="24"/>
        </w:rPr>
        <w:t>et al.</w:t>
      </w:r>
      <w:r>
        <w:rPr>
          <w:rFonts w:ascii="Times New Roman" w:cs="Times New Roman" w:hAnsi="Times New Roman"/>
          <w:sz w:val="24"/>
          <w:szCs w:val="24"/>
        </w:rPr>
        <w:t xml:space="preserve"> (2019) demonstrated that microplastics disrupt immune homeostasis by promoting pro-inflammatory cytokine release.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 presented on Table 4, the levels of total cholesterol (TC) (p=0.017) and low-density lipoprotein cholesterol (LDL-C) (p&lt;0.001) in the rats exposed to PET were significantly higher than in the control group. The increase in TC and LDL-C suggests that PET exposure disrupts lipid metabolism, potentially increasing the risk of atherosclerosis and other cardiovascular diseases. Studies have shown that exposure to environmental toxins, including microplastics, alters lipid homeostasis by increasing lipid peroxidation and decreasing antioxidant defense mechanisms (Ragusa </w:t>
      </w:r>
      <w:r>
        <w:rPr>
          <w:rFonts w:ascii="Times New Roman" w:cs="Times New Roman" w:hAnsi="Times New Roman"/>
          <w:i/>
          <w:iCs/>
          <w:sz w:val="24"/>
          <w:szCs w:val="24"/>
        </w:rPr>
        <w:t>et al.,</w:t>
      </w:r>
      <w:r>
        <w:rPr>
          <w:rFonts w:ascii="Times New Roman" w:cs="Times New Roman" w:hAnsi="Times New Roman"/>
          <w:sz w:val="24"/>
          <w:szCs w:val="24"/>
        </w:rPr>
        <w:t xml:space="preserve"> 2021). These findings are consistent with those of Deng </w:t>
      </w:r>
      <w:r>
        <w:rPr>
          <w:rFonts w:ascii="Times New Roman" w:cs="Times New Roman" w:hAnsi="Times New Roman"/>
          <w:i/>
          <w:iCs/>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(2017), who found that exposure to polystyrene microplastics in mice led to elevated cholesterol levels, a precursor to metabolic and cardiovascular disorders. Similarly, </w:t>
      </w:r>
      <w:r>
        <w:rPr>
          <w:rFonts w:ascii="Times New Roman" w:cs="Times New Roman" w:hAnsi="Times New Roman"/>
          <w:sz w:val="24"/>
          <w:szCs w:val="24"/>
        </w:rPr>
        <w:t>monstrated</w:t>
      </w:r>
      <w:r>
        <w:rPr>
          <w:rFonts w:ascii="Times New Roman" w:cs="Times New Roman" w:hAnsi="Times New Roman"/>
          <w:sz w:val="24"/>
          <w:szCs w:val="24"/>
        </w:rPr>
        <w:t xml:space="preserve"> that long-term exposure to plastic particles</w:t>
      </w:r>
      <w:r>
        <w:rPr>
          <w:rFonts w:ascii="Times New Roman" w:cs="Times New Roman" w:hAnsi="Times New Roman"/>
          <w:color w:val="36363d"/>
          <w:sz w:val="24"/>
          <w:szCs w:val="24"/>
        </w:rPr>
        <w:t xml:space="preserve"> </w:t>
      </w:r>
      <w:r>
        <w:rPr>
          <w:rFonts w:ascii="Times New Roman" w:cs="Times New Roman" w:hAnsi="Times New Roman"/>
          <w:color w:val="36363d"/>
          <w:sz w:val="24"/>
          <w:szCs w:val="24"/>
        </w:rPr>
        <w:t>wu</w:t>
      </w:r>
      <w:r>
        <w:rPr>
          <w:rFonts w:ascii="Times New Roman" w:cs="Times New Roman" w:hAnsi="Times New Roman"/>
          <w:color w:val="36363d"/>
          <w:sz w:val="24"/>
          <w:szCs w:val="24"/>
        </w:rPr>
        <w:t xml:space="preserve"> </w:t>
      </w:r>
      <w:r>
        <w:rPr>
          <w:rFonts w:ascii="Times New Roman" w:cs="Times New Roman" w:hAnsi="Times New Roman"/>
          <w:i/>
          <w:iCs/>
          <w:color w:val="36363d"/>
          <w:sz w:val="24"/>
          <w:szCs w:val="24"/>
        </w:rPr>
        <w:t>et al.,</w:t>
      </w:r>
      <w:r>
        <w:rPr>
          <w:rFonts w:ascii="Times New Roman" w:cs="Times New Roman" w:hAnsi="Times New Roman"/>
          <w:color w:val="36363d"/>
          <w:sz w:val="24"/>
          <w:szCs w:val="24"/>
        </w:rPr>
        <w:t xml:space="preserve"> (2020) </w:t>
      </w:r>
      <w:r>
        <w:rPr>
          <w:rFonts w:ascii="Times New Roman" w:cs="Times New Roman" w:hAnsi="Times New Roman"/>
          <w:sz w:val="24"/>
          <w:szCs w:val="24"/>
        </w:rPr>
        <w:t>deresulted</w:t>
      </w:r>
      <w:r>
        <w:rPr>
          <w:rFonts w:ascii="Times New Roman" w:cs="Times New Roman" w:hAnsi="Times New Roman"/>
          <w:sz w:val="24"/>
          <w:szCs w:val="24"/>
        </w:rPr>
        <w:t xml:space="preserve"> in dyslipidemia and hepatic lipid accumulation in rodent models.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 presented on Table 4, levels of atherogenic indices in albino rats after exposure to polyethylene terephthalate (PET) microplastics showed a significant increase in the levels of Castelli Risk Index I (CRI-I) (p=0.009), Castelli Risk Index II (CRI-II) (p&lt;0.001), and Atherogenic Coefficient (AC) (p=0.009) when compared to the control group. The observed increases in these indices further confirm the disruption of lipid metabolism and enhanced cardiovascular risk in PET-exposed rats. Elevated CRI-I and CRI-II levels reflect an imbalance between atherogenic and anti-atherogenic lipoproteins, indicating a heightened tendency towards plaque formation and atherosclerosis. Similarly, the increase in the Atherogenic Coefficient signifies a higher burden of non-HDL cholesterol relative to HDL cholesterol, which is strongly associated with endothelial dysfunction and cardiovascular disease progression (Gowda </w:t>
      </w:r>
      <w:r>
        <w:rPr>
          <w:rFonts w:ascii="Times New Roman" w:cs="Times New Roman" w:hAnsi="Times New Roman"/>
          <w:i/>
          <w:iCs/>
          <w:sz w:val="24"/>
          <w:szCs w:val="24"/>
        </w:rPr>
        <w:t>et al.,</w:t>
      </w:r>
      <w:r>
        <w:rPr>
          <w:rFonts w:ascii="Times New Roman" w:cs="Times New Roman" w:hAnsi="Times New Roman"/>
          <w:sz w:val="24"/>
          <w:szCs w:val="24"/>
        </w:rPr>
        <w:t xml:space="preserve"> 2019). The significant alterations in these indices align with previous reports that environmental pollutants, including microplastics, not only elevate cholesterol levels but also exacerbate the atherogenic profile, promoting cardiovascular pathologies (</w:t>
      </w:r>
      <w:r>
        <w:rPr>
          <w:rFonts w:ascii="Times New Roman" w:cs="Times New Roman" w:hAnsi="Times New Roman"/>
          <w:sz w:val="24"/>
          <w:szCs w:val="24"/>
        </w:rPr>
        <w:t>Prüst</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2020; Lim </w:t>
      </w:r>
      <w:r>
        <w:rPr>
          <w:rFonts w:ascii="Times New Roman" w:cs="Times New Roman" w:hAnsi="Times New Roman"/>
          <w:i/>
          <w:iCs/>
          <w:sz w:val="24"/>
          <w:szCs w:val="24"/>
        </w:rPr>
        <w:t>et al.,</w:t>
      </w:r>
      <w:r>
        <w:rPr>
          <w:rFonts w:ascii="Times New Roman" w:cs="Times New Roman" w:hAnsi="Times New Roman"/>
          <w:sz w:val="24"/>
          <w:szCs w:val="24"/>
        </w:rPr>
        <w:t xml:space="preserve"> 2021).</w:t>
      </w:r>
    </w:p>
    <w:p>
      <w:pPr>
        <w:pStyle w:val="style0"/>
        <w:jc w:val="both"/>
        <w:rPr>
          <w:rFonts w:ascii="Times New Roman" w:cs="Times New Roman" w:hAnsi="Times New Roman"/>
          <w:sz w:val="24"/>
        </w:rPr>
      </w:pPr>
    </w:p>
    <w:p>
      <w:pPr>
        <w:pStyle w:val="style0"/>
        <w:jc w:val="both"/>
        <w:rPr>
          <w:rFonts w:ascii="Times New Roman" w:cs="Times New Roman" w:hAnsi="Times New Roman"/>
          <w:sz w:val="24"/>
        </w:rPr>
      </w:pPr>
      <w:r>
        <w:rPr>
          <w:rFonts w:ascii="Times New Roman" w:cs="Times New Roman" w:hAnsi="Times New Roman"/>
          <w:sz w:val="24"/>
        </w:rPr>
        <w:t>5.0 CONCLUSION AND 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findings of this study reveal that chronic exposure to PET microplastics leads to a significant increase in the levels of cardiac troponin I, tumor necrosis factor-alpha (TNF-α), total cholesterol, low-density lipoprotein (LDL) cholesterol, atherogenic indices. These alterations </w:t>
      </w:r>
      <w:r>
        <w:rPr>
          <w:rFonts w:ascii="Times New Roman" w:cs="Times New Roman" w:hAnsi="Times New Roman"/>
          <w:sz w:val="24"/>
          <w:szCs w:val="24"/>
        </w:rPr>
        <w:t>suggest that PET microplastics may contribute to inflammation, cardiovascular disorders, thus, emphasizing the potential health risks associated with PET microplastic ingestion.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this study, it is recommended that:</w:t>
      </w:r>
    </w:p>
    <w:p>
      <w:pPr>
        <w:pStyle w:val="style179"/>
        <w:numPr>
          <w:ilvl w:val="0"/>
          <w:numId w:val="1"/>
        </w:numPr>
        <w:spacing w:after="160"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 research should be carried out on PET microplastics in humans and higher animals to uncover more health risks associated with its exposure. </w:t>
      </w:r>
    </w:p>
    <w:p>
      <w:pPr>
        <w:pStyle w:val="style179"/>
        <w:numPr>
          <w:ilvl w:val="0"/>
          <w:numId w:val="1"/>
        </w:numPr>
        <w:spacing w:after="160" w:lineRule="auto" w:line="480"/>
        <w:jc w:val="both"/>
        <w:rPr>
          <w:rFonts w:ascii="Times New Roman" w:cs="Times New Roman" w:hAnsi="Times New Roman"/>
          <w:sz w:val="24"/>
          <w:szCs w:val="24"/>
        </w:rPr>
      </w:pPr>
      <w:r>
        <w:rPr>
          <w:rFonts w:ascii="Times New Roman" w:cs="Times New Roman" w:hAnsi="Times New Roman"/>
          <w:sz w:val="24"/>
          <w:szCs w:val="24"/>
        </w:rPr>
        <w:t>Governments and regulatory bodies should implement stricter regulations on plastic production, disposal, and recycling to minimize environmental contamination by microplastics.</w:t>
      </w:r>
    </w:p>
    <w:p>
      <w:pPr>
        <w:pStyle w:val="style179"/>
        <w:numPr>
          <w:ilvl w:val="0"/>
          <w:numId w:val="1"/>
        </w:numPr>
        <w:spacing w:after="160" w:lineRule="auto" w:line="480"/>
        <w:jc w:val="both"/>
        <w:rPr>
          <w:rFonts w:ascii="Times New Roman" w:cs="Times New Roman" w:hAnsi="Times New Roman"/>
          <w:sz w:val="24"/>
          <w:szCs w:val="24"/>
        </w:rPr>
      </w:pPr>
      <w:r>
        <w:rPr>
          <w:rFonts w:ascii="Times New Roman" w:cs="Times New Roman" w:hAnsi="Times New Roman"/>
          <w:sz w:val="24"/>
          <w:szCs w:val="24"/>
        </w:rPr>
        <w:t>Public awareness campaigns should be conducted to educate individuals on the potential health risks of microplastic exposure and promote the reduction of plastic use.</w:t>
      </w:r>
    </w:p>
    <w:p>
      <w:pPr>
        <w:pStyle w:val="style179"/>
        <w:numPr>
          <w:ilvl w:val="0"/>
          <w:numId w:val="1"/>
        </w:numPr>
        <w:spacing w:after="160" w:lineRule="auto" w:line="480"/>
        <w:jc w:val="both"/>
        <w:rPr>
          <w:rFonts w:ascii="Times New Roman" w:cs="Times New Roman" w:hAnsi="Times New Roman"/>
          <w:sz w:val="24"/>
          <w:szCs w:val="24"/>
        </w:rPr>
      </w:pPr>
      <w:r>
        <w:rPr>
          <w:rFonts w:ascii="Times New Roman" w:cs="Times New Roman" w:hAnsi="Times New Roman"/>
          <w:sz w:val="24"/>
          <w:szCs w:val="24"/>
        </w:rPr>
        <w:t>Strategies such as improved water filtration systems and alternatives to plastic packaging should be explored to minimize microplastic contamination in food water.</w:t>
      </w:r>
    </w:p>
    <w:p>
      <w:pPr>
        <w:pStyle w:val="style179"/>
        <w:numPr>
          <w:ilvl w:val="0"/>
          <w:numId w:val="1"/>
        </w:numPr>
        <w:spacing w:after="160" w:lineRule="auto" w:line="480"/>
        <w:jc w:val="both"/>
        <w:rPr>
          <w:rFonts w:ascii="Times New Roman" w:cs="Times New Roman" w:hAnsi="Times New Roman"/>
          <w:sz w:val="24"/>
          <w:szCs w:val="24"/>
        </w:rPr>
      </w:pPr>
      <w:r>
        <w:rPr>
          <w:rFonts w:ascii="Times New Roman" w:cs="Times New Roman" w:hAnsi="Times New Roman"/>
          <w:sz w:val="24"/>
          <w:szCs w:val="24"/>
        </w:rPr>
        <w:t>Research should also explore potential therapeutic interventions to mitigate the harmful effects of microplastic exposure, such as antioxidant therapies to counteract oxidative stress and inflammatory responses.</w:t>
      </w:r>
    </w:p>
    <w:p>
      <w:pPr>
        <w:pStyle w:val="style0"/>
        <w:spacing w:after="160" w:lineRule="auto" w:line="480"/>
        <w:jc w:val="both"/>
        <w:rPr>
          <w:rFonts w:ascii="Times New Roman" w:cs="Times New Roman" w:hAnsi="Times New Roman"/>
          <w:sz w:val="24"/>
          <w:szCs w:val="24"/>
        </w:rPr>
      </w:pPr>
    </w:p>
    <w:p>
      <w:pPr>
        <w:pStyle w:val="style0"/>
        <w:rPr>
          <w:rFonts w:cs="Times New Roman"/>
          <w:kern w:val="2"/>
          <w:highlight w:val="none"/>
        </w:rPr>
      </w:pPr>
      <w:r>
        <w:rPr>
          <w:rFonts w:cs="Times New Roman"/>
          <w:kern w:val="2"/>
          <w:highlight w:val="none"/>
        </w:rPr>
        <w:t>Disclaimer (Artificial intelligence)</w:t>
      </w:r>
    </w:p>
    <w:p>
      <w:pPr>
        <w:pStyle w:val="style0"/>
        <w:rPr>
          <w:rFonts w:ascii="Times New Roman" w:cs="Times New Roman" w:hAnsi="Times New Roman"/>
          <w:sz w:val="24"/>
          <w:highlight w:val="none"/>
        </w:rPr>
      </w:pPr>
      <w:r>
        <w:rPr>
          <w:rFonts w:cs="Times New Roman"/>
          <w:kern w:val="2"/>
          <w:highlight w:val="none"/>
        </w:rPr>
        <w:t xml:space="preserve">Author(s) hereby declare that NO generative AI technologies such as Large Language Models (ChatGPT, COPILOT, etc.) and text-to-image generators have been used during the writing or editing of this manuscript. </w:t>
      </w:r>
      <w:bookmarkStart w:id="1" w:name="_GoBack"/>
      <w:bookmarkEnd w:id="1"/>
    </w:p>
    <w:p>
      <w:pPr>
        <w:pStyle w:val="style0"/>
        <w:jc w:val="both"/>
        <w:rPr>
          <w:rFonts w:ascii="Times New Roman" w:cs="Times New Roman" w:hAnsi="Times New Roman"/>
          <w:sz w:val="24"/>
        </w:rPr>
      </w:pPr>
      <w:r>
        <w:rPr>
          <w:rFonts w:ascii="Times New Roman" w:cs="Times New Roman" w:hAnsi="Times New Roman"/>
          <w:sz w:val="24"/>
        </w:rPr>
        <w:t>REFERENCES</w:t>
      </w:r>
    </w:p>
    <w:p>
      <w:pPr>
        <w:pStyle w:val="style0"/>
        <w:jc w:val="both"/>
        <w:rPr>
          <w:rFonts w:ascii="Times New Roman" w:cs="Times New Roman" w:hAnsi="Times New Roman"/>
          <w:sz w:val="24"/>
        </w:rPr>
      </w:pPr>
      <w:r>
        <w:rPr>
          <w:rFonts w:ascii="Times New Roman" w:cs="Times New Roman" w:hAnsi="Times New Roman"/>
          <w:sz w:val="24"/>
        </w:rPr>
        <w:t>Campanale</w:t>
      </w:r>
      <w:r>
        <w:rPr>
          <w:rFonts w:ascii="Times New Roman" w:cs="Times New Roman" w:hAnsi="Times New Roman"/>
          <w:sz w:val="24"/>
        </w:rPr>
        <w:t xml:space="preserve">, C., </w:t>
      </w:r>
      <w:r>
        <w:rPr>
          <w:rFonts w:ascii="Times New Roman" w:cs="Times New Roman" w:hAnsi="Times New Roman"/>
          <w:sz w:val="24"/>
        </w:rPr>
        <w:t>Massarelli</w:t>
      </w:r>
      <w:r>
        <w:rPr>
          <w:rFonts w:ascii="Times New Roman" w:cs="Times New Roman" w:hAnsi="Times New Roman"/>
          <w:sz w:val="24"/>
        </w:rPr>
        <w:t xml:space="preserve">, C., Savino, I., </w:t>
      </w:r>
      <w:r>
        <w:rPr>
          <w:rFonts w:ascii="Times New Roman" w:cs="Times New Roman" w:hAnsi="Times New Roman"/>
          <w:sz w:val="24"/>
        </w:rPr>
        <w:t>Locaputo</w:t>
      </w:r>
      <w:r>
        <w:rPr>
          <w:rFonts w:ascii="Times New Roman" w:cs="Times New Roman" w:hAnsi="Times New Roman"/>
          <w:sz w:val="24"/>
        </w:rPr>
        <w:t xml:space="preserve">, V. &amp; </w:t>
      </w:r>
      <w:r>
        <w:rPr>
          <w:rFonts w:ascii="Times New Roman" w:cs="Times New Roman" w:hAnsi="Times New Roman"/>
          <w:sz w:val="24"/>
        </w:rPr>
        <w:t>Uricchio</w:t>
      </w:r>
      <w:r>
        <w:rPr>
          <w:rFonts w:ascii="Times New Roman" w:cs="Times New Roman" w:hAnsi="Times New Roman"/>
          <w:sz w:val="24"/>
        </w:rPr>
        <w:t xml:space="preserve">, V. F. (2020). A detailed review study on potential effects of microplastics and additives of concern on human health. </w:t>
      </w:r>
    </w:p>
    <w:p>
      <w:pPr>
        <w:pStyle w:val="style0"/>
        <w:jc w:val="both"/>
        <w:rPr>
          <w:rFonts w:ascii="Times New Roman" w:cs="Times New Roman" w:hAnsi="Times New Roman"/>
          <w:sz w:val="24"/>
        </w:rPr>
      </w:pPr>
      <w:r>
        <w:rPr>
          <w:rFonts w:ascii="Times New Roman" w:cs="Times New Roman" w:hAnsi="Times New Roman"/>
          <w:sz w:val="24"/>
        </w:rPr>
        <w:t xml:space="preserve">Collet, J. P., Newman, A. &amp; </w:t>
      </w:r>
      <w:r>
        <w:rPr>
          <w:rFonts w:ascii="Times New Roman" w:cs="Times New Roman" w:hAnsi="Times New Roman"/>
          <w:sz w:val="24"/>
        </w:rPr>
        <w:t>Tockle</w:t>
      </w:r>
      <w:r>
        <w:rPr>
          <w:rFonts w:ascii="Times New Roman" w:cs="Times New Roman" w:hAnsi="Times New Roman"/>
          <w:sz w:val="24"/>
        </w:rPr>
        <w:t xml:space="preserve">, I. (2021). Biomarkers of myocardial injury in cardiovascular diseases. </w:t>
      </w:r>
      <w:r>
        <w:rPr>
          <w:rFonts w:ascii="Times New Roman" w:cs="Times New Roman" w:hAnsi="Times New Roman"/>
          <w:sz w:val="24"/>
        </w:rPr>
        <w:t>European  Heart</w:t>
      </w:r>
      <w:r>
        <w:rPr>
          <w:rFonts w:ascii="Times New Roman" w:cs="Times New Roman" w:hAnsi="Times New Roman"/>
          <w:sz w:val="24"/>
        </w:rPr>
        <w:t xml:space="preserve"> Journal, 42(1), 35–47.</w:t>
      </w:r>
    </w:p>
    <w:p>
      <w:pPr>
        <w:pStyle w:val="style0"/>
        <w:jc w:val="both"/>
        <w:rPr>
          <w:rFonts w:ascii="Times New Roman" w:cs="Times New Roman" w:hAnsi="Times New Roman"/>
          <w:sz w:val="24"/>
        </w:rPr>
      </w:pPr>
      <w:r>
        <w:rPr>
          <w:rFonts w:ascii="Times New Roman" w:cs="Times New Roman" w:hAnsi="Times New Roman"/>
          <w:sz w:val="24"/>
        </w:rPr>
        <w:t xml:space="preserve">Deng, Y., Zhang, Y., </w:t>
      </w:r>
      <w:r>
        <w:rPr>
          <w:rFonts w:ascii="Times New Roman" w:cs="Times New Roman" w:hAnsi="Times New Roman"/>
          <w:sz w:val="24"/>
        </w:rPr>
        <w:t>Lemos</w:t>
      </w:r>
      <w:r>
        <w:rPr>
          <w:rFonts w:ascii="Times New Roman" w:cs="Times New Roman" w:hAnsi="Times New Roman"/>
          <w:sz w:val="24"/>
        </w:rPr>
        <w:t>, B. &amp; Ren, H. (2017). Tissue accumulation of microplastics in mice and biomarker responses suggest widespread health risks of exposure. Scientific Reports, 7(1), 46687-46693.</w:t>
      </w:r>
    </w:p>
    <w:p>
      <w:pPr>
        <w:pStyle w:val="style0"/>
        <w:jc w:val="both"/>
        <w:rPr>
          <w:rFonts w:ascii="Times New Roman" w:cs="Times New Roman" w:hAnsi="Times New Roman"/>
          <w:sz w:val="24"/>
        </w:rPr>
      </w:pPr>
      <w:r>
        <w:rPr>
          <w:rFonts w:ascii="Times New Roman" w:cs="Times New Roman" w:hAnsi="Times New Roman"/>
          <w:sz w:val="24"/>
        </w:rPr>
        <w:t xml:space="preserve">De Vos, L., Van de </w:t>
      </w:r>
      <w:r>
        <w:rPr>
          <w:rFonts w:ascii="Times New Roman" w:cs="Times New Roman" w:hAnsi="Times New Roman"/>
          <w:sz w:val="24"/>
        </w:rPr>
        <w:t>Voorde</w:t>
      </w:r>
      <w:r>
        <w:rPr>
          <w:rFonts w:ascii="Times New Roman" w:cs="Times New Roman" w:hAnsi="Times New Roman"/>
          <w:sz w:val="24"/>
        </w:rPr>
        <w:t xml:space="preserve">, B., Van </w:t>
      </w:r>
      <w:r>
        <w:rPr>
          <w:rFonts w:ascii="Times New Roman" w:cs="Times New Roman" w:hAnsi="Times New Roman"/>
          <w:sz w:val="24"/>
        </w:rPr>
        <w:t>Daele</w:t>
      </w:r>
      <w:r>
        <w:rPr>
          <w:rFonts w:ascii="Times New Roman" w:cs="Times New Roman" w:hAnsi="Times New Roman"/>
          <w:sz w:val="24"/>
        </w:rPr>
        <w:t xml:space="preserve">, L., </w:t>
      </w:r>
      <w:r>
        <w:rPr>
          <w:rFonts w:ascii="Times New Roman" w:cs="Times New Roman" w:hAnsi="Times New Roman"/>
          <w:sz w:val="24"/>
        </w:rPr>
        <w:t>Dubruel</w:t>
      </w:r>
      <w:r>
        <w:rPr>
          <w:rFonts w:ascii="Times New Roman" w:cs="Times New Roman" w:hAnsi="Times New Roman"/>
          <w:sz w:val="24"/>
        </w:rPr>
        <w:t xml:space="preserve">, P., &amp; Van </w:t>
      </w:r>
      <w:r>
        <w:rPr>
          <w:rFonts w:ascii="Times New Roman" w:cs="Times New Roman" w:hAnsi="Times New Roman"/>
          <w:sz w:val="24"/>
        </w:rPr>
        <w:t>Vlierberghe</w:t>
      </w:r>
      <w:r>
        <w:rPr>
          <w:rFonts w:ascii="Times New Roman" w:cs="Times New Roman" w:hAnsi="Times New Roman"/>
          <w:sz w:val="24"/>
        </w:rPr>
        <w:t xml:space="preserve">, S. (2021). </w:t>
      </w:r>
    </w:p>
    <w:p>
      <w:pPr>
        <w:pStyle w:val="style0"/>
        <w:jc w:val="both"/>
        <w:rPr>
          <w:rFonts w:ascii="Times New Roman" w:cs="Times New Roman" w:hAnsi="Times New Roman"/>
          <w:sz w:val="24"/>
        </w:rPr>
      </w:pPr>
      <w:r>
        <w:rPr>
          <w:rFonts w:ascii="Times New Roman" w:cs="Times New Roman" w:hAnsi="Times New Roman"/>
          <w:sz w:val="24"/>
        </w:rPr>
        <w:t xml:space="preserve">Ding, Y., Zhang, R., Li, B., Du, Y., Li, J., Tong, X., Wu, Y., Ji, X., &amp; Zhang, Y. (2021). Tissue distribution of polystyrene </w:t>
      </w:r>
      <w:r>
        <w:rPr>
          <w:rFonts w:ascii="Times New Roman" w:cs="Times New Roman" w:hAnsi="Times New Roman"/>
          <w:sz w:val="24"/>
        </w:rPr>
        <w:t>nanoplastics</w:t>
      </w:r>
      <w:r>
        <w:rPr>
          <w:rFonts w:ascii="Times New Roman" w:cs="Times New Roman" w:hAnsi="Times New Roman"/>
          <w:sz w:val="24"/>
        </w:rPr>
        <w:t xml:space="preserve"> in mice and their entry, transport, and cytotoxicity </w:t>
      </w:r>
      <w:r>
        <w:rPr>
          <w:rFonts w:ascii="Times New Roman" w:cs="Times New Roman" w:hAnsi="Times New Roman"/>
          <w:sz w:val="24"/>
        </w:rPr>
        <w:tab/>
      </w:r>
      <w:r>
        <w:rPr>
          <w:rFonts w:ascii="Times New Roman" w:cs="Times New Roman" w:hAnsi="Times New Roman"/>
          <w:sz w:val="24"/>
        </w:rPr>
        <w:t>to GES-1 cells. Environmental Pollution, 280, 116-129.</w:t>
      </w:r>
      <w:r>
        <w:rPr>
          <w:rFonts w:ascii="Times New Roman" w:cs="Times New Roman" w:hAnsi="Times New Roman"/>
          <w:sz w:val="24"/>
        </w:rPr>
        <w:tab/>
      </w:r>
    </w:p>
    <w:p>
      <w:pPr>
        <w:pStyle w:val="style0"/>
        <w:jc w:val="both"/>
        <w:rPr>
          <w:rFonts w:ascii="Times New Roman" w:cs="Times New Roman" w:hAnsi="Times New Roman"/>
          <w:sz w:val="24"/>
        </w:rPr>
      </w:pPr>
      <w:r>
        <w:rPr>
          <w:rFonts w:ascii="Times New Roman" w:cs="Times New Roman" w:hAnsi="Times New Roman"/>
          <w:sz w:val="24"/>
        </w:rPr>
        <w:t xml:space="preserve">Gowda, Y. S., Rani, A. N., Rajeshwari, A., </w:t>
      </w:r>
      <w:r>
        <w:rPr>
          <w:rFonts w:ascii="Times New Roman" w:cs="Times New Roman" w:hAnsi="Times New Roman"/>
          <w:sz w:val="24"/>
        </w:rPr>
        <w:t>Somashekar</w:t>
      </w:r>
      <w:r>
        <w:rPr>
          <w:rFonts w:ascii="Times New Roman" w:cs="Times New Roman" w:hAnsi="Times New Roman"/>
          <w:sz w:val="24"/>
        </w:rPr>
        <w:t xml:space="preserve">, G. N. &amp; </w:t>
      </w:r>
      <w:r>
        <w:rPr>
          <w:rFonts w:ascii="Times New Roman" w:cs="Times New Roman" w:hAnsi="Times New Roman"/>
          <w:sz w:val="24"/>
        </w:rPr>
        <w:t>Nusrath</w:t>
      </w:r>
      <w:r>
        <w:rPr>
          <w:rFonts w:ascii="Times New Roman" w:cs="Times New Roman" w:hAnsi="Times New Roman"/>
          <w:sz w:val="24"/>
        </w:rPr>
        <w:t>, A. (2019). Atherogenic predictor indices: role in assessment of cardiovascular risk in type 2 diabetes mellitus. Journal of Biotechnology and Biochemistry, 5, 36-</w:t>
      </w:r>
      <w:r>
        <w:rPr>
          <w:rFonts w:ascii="Times New Roman" w:cs="Times New Roman" w:hAnsi="Times New Roman"/>
          <w:sz w:val="24"/>
        </w:rPr>
        <w:t>41.uropean</w:t>
      </w:r>
      <w:r>
        <w:rPr>
          <w:rFonts w:ascii="Times New Roman" w:cs="Times New Roman" w:hAnsi="Times New Roman"/>
          <w:sz w:val="24"/>
        </w:rPr>
        <w:t xml:space="preserve"> Polymer Journal, 161, 110-1009.</w:t>
      </w:r>
    </w:p>
    <w:p>
      <w:pPr>
        <w:pStyle w:val="style0"/>
        <w:jc w:val="both"/>
        <w:rPr>
          <w:rFonts w:ascii="Times New Roman" w:cs="Times New Roman" w:hAnsi="Times New Roman"/>
          <w:sz w:val="24"/>
        </w:rPr>
      </w:pPr>
      <w:r>
        <w:rPr>
          <w:rFonts w:ascii="Times New Roman" w:cs="Times New Roman" w:hAnsi="Times New Roman"/>
          <w:sz w:val="24"/>
        </w:rPr>
        <w:t>International Journal of Environmental Research and Public Health, 17(4), 1212.</w:t>
      </w:r>
      <w:r>
        <w:rPr>
          <w:rFonts w:ascii="Times New Roman" w:cs="Times New Roman" w:hAnsi="Times New Roman"/>
          <w:sz w:val="24"/>
        </w:rPr>
        <w:tab/>
      </w:r>
      <w:r>
        <w:rPr>
          <w:rFonts w:ascii="Times New Roman" w:cs="Times New Roman" w:hAnsi="Times New Roman"/>
          <w:sz w:val="24"/>
        </w:rPr>
        <w:t xml:space="preserve">applications. E Chinedu, E., </w:t>
      </w:r>
      <w:r>
        <w:rPr>
          <w:rFonts w:ascii="Times New Roman" w:cs="Times New Roman" w:hAnsi="Times New Roman"/>
          <w:sz w:val="24"/>
        </w:rPr>
        <w:t>Arome</w:t>
      </w:r>
      <w:r>
        <w:rPr>
          <w:rFonts w:ascii="Times New Roman" w:cs="Times New Roman" w:hAnsi="Times New Roman"/>
          <w:sz w:val="24"/>
        </w:rPr>
        <w:t xml:space="preserve">, D. &amp; </w:t>
      </w:r>
      <w:r>
        <w:rPr>
          <w:rFonts w:ascii="Times New Roman" w:cs="Times New Roman" w:hAnsi="Times New Roman"/>
          <w:sz w:val="24"/>
        </w:rPr>
        <w:t>Ameh</w:t>
      </w:r>
      <w:r>
        <w:rPr>
          <w:rFonts w:ascii="Times New Roman" w:cs="Times New Roman" w:hAnsi="Times New Roman"/>
          <w:sz w:val="24"/>
        </w:rPr>
        <w:t>, F. S. (2013). A new method for determining acute toxicity in animal models. Toxicology international, 20(3), 224.</w:t>
      </w:r>
    </w:p>
    <w:p>
      <w:pPr>
        <w:pStyle w:val="style0"/>
        <w:jc w:val="both"/>
        <w:rPr>
          <w:rFonts w:ascii="Times New Roman" w:cs="Times New Roman" w:hAnsi="Times New Roman"/>
          <w:sz w:val="24"/>
        </w:rPr>
      </w:pPr>
      <w:r>
        <w:rPr>
          <w:rFonts w:ascii="Times New Roman" w:cs="Times New Roman" w:hAnsi="Times New Roman"/>
          <w:sz w:val="24"/>
        </w:rPr>
        <w:t xml:space="preserve">Lim, X. Z., Newman, E. &amp; </w:t>
      </w:r>
      <w:r>
        <w:rPr>
          <w:rFonts w:ascii="Times New Roman" w:cs="Times New Roman" w:hAnsi="Times New Roman"/>
          <w:sz w:val="24"/>
        </w:rPr>
        <w:t>Atolic</w:t>
      </w:r>
      <w:r>
        <w:rPr>
          <w:rFonts w:ascii="Times New Roman" w:cs="Times New Roman" w:hAnsi="Times New Roman"/>
          <w:sz w:val="24"/>
        </w:rPr>
        <w:t>, E. (2021). Microplastic exposure and inflammatory responses. Environmental Research, 197, 111–123.</w:t>
      </w:r>
    </w:p>
    <w:p>
      <w:pPr>
        <w:pStyle w:val="style0"/>
        <w:jc w:val="both"/>
        <w:rPr>
          <w:rFonts w:ascii="Times New Roman" w:cs="Times New Roman" w:hAnsi="Times New Roman"/>
          <w:sz w:val="24"/>
        </w:rPr>
      </w:pPr>
      <w:r>
        <w:rPr>
          <w:rFonts w:ascii="Times New Roman" w:cs="Times New Roman" w:hAnsi="Times New Roman"/>
          <w:sz w:val="24"/>
        </w:rPr>
        <w:t xml:space="preserve">Libby, P. (2021). Inflammation in atherosclerosis: No longer a theory. Journal of Clinical </w:t>
      </w:r>
      <w:r>
        <w:rPr>
          <w:rFonts w:ascii="Times New Roman" w:cs="Times New Roman" w:hAnsi="Times New Roman"/>
          <w:sz w:val="24"/>
        </w:rPr>
        <w:tab/>
      </w:r>
      <w:r>
        <w:rPr>
          <w:rFonts w:ascii="Times New Roman" w:cs="Times New Roman" w:hAnsi="Times New Roman"/>
          <w:sz w:val="24"/>
        </w:rPr>
        <w:t>Investigation, 131(6), 1553-1563.</w:t>
      </w:r>
    </w:p>
    <w:p>
      <w:pPr>
        <w:pStyle w:val="style0"/>
        <w:jc w:val="both"/>
        <w:rPr>
          <w:rFonts w:ascii="Times New Roman" w:cs="Times New Roman" w:hAnsi="Times New Roman"/>
          <w:sz w:val="24"/>
        </w:rPr>
      </w:pPr>
      <w:r>
        <w:rPr>
          <w:rFonts w:ascii="Times New Roman" w:cs="Times New Roman" w:hAnsi="Times New Roman"/>
          <w:sz w:val="24"/>
        </w:rPr>
        <w:t>Mendis</w:t>
      </w:r>
      <w:r>
        <w:rPr>
          <w:rFonts w:ascii="Times New Roman" w:cs="Times New Roman" w:hAnsi="Times New Roman"/>
          <w:sz w:val="24"/>
        </w:rPr>
        <w:t xml:space="preserve">, S., </w:t>
      </w:r>
      <w:r>
        <w:rPr>
          <w:rFonts w:ascii="Times New Roman" w:cs="Times New Roman" w:hAnsi="Times New Roman"/>
          <w:sz w:val="24"/>
        </w:rPr>
        <w:t>Puska</w:t>
      </w:r>
      <w:r>
        <w:rPr>
          <w:rFonts w:ascii="Times New Roman" w:cs="Times New Roman" w:hAnsi="Times New Roman"/>
          <w:sz w:val="24"/>
        </w:rPr>
        <w:t xml:space="preserve">, P., &amp; </w:t>
      </w:r>
      <w:r>
        <w:rPr>
          <w:rFonts w:ascii="Times New Roman" w:cs="Times New Roman" w:hAnsi="Times New Roman"/>
          <w:sz w:val="24"/>
        </w:rPr>
        <w:t>Norrving</w:t>
      </w:r>
      <w:r>
        <w:rPr>
          <w:rFonts w:ascii="Times New Roman" w:cs="Times New Roman" w:hAnsi="Times New Roman"/>
          <w:sz w:val="24"/>
        </w:rPr>
        <w:t>, B. (Eds.). (2011). Global atlas on cardiovascular disease prevention and control: Policies, strategies and interventions. World Health Organization in collaboration with the World Heart Federation and World Stroke Organization.</w:t>
      </w:r>
    </w:p>
    <w:p>
      <w:pPr>
        <w:pStyle w:val="style0"/>
        <w:jc w:val="both"/>
        <w:rPr>
          <w:rFonts w:ascii="Times New Roman" w:cs="Times New Roman" w:hAnsi="Times New Roman"/>
          <w:sz w:val="24"/>
        </w:rPr>
      </w:pPr>
      <w:r>
        <w:rPr>
          <w:rFonts w:ascii="Times New Roman" w:cs="Times New Roman" w:hAnsi="Times New Roman"/>
          <w:sz w:val="24"/>
        </w:rPr>
        <w:t xml:space="preserve">Merino, J., </w:t>
      </w:r>
      <w:r>
        <w:rPr>
          <w:rFonts w:ascii="Times New Roman" w:cs="Times New Roman" w:hAnsi="Times New Roman"/>
          <w:sz w:val="24"/>
        </w:rPr>
        <w:t>Masana</w:t>
      </w:r>
      <w:r>
        <w:rPr>
          <w:rFonts w:ascii="Times New Roman" w:cs="Times New Roman" w:hAnsi="Times New Roman"/>
          <w:sz w:val="24"/>
        </w:rPr>
        <w:t xml:space="preserve">, L., </w:t>
      </w:r>
      <w:r>
        <w:rPr>
          <w:rFonts w:ascii="Times New Roman" w:cs="Times New Roman" w:hAnsi="Times New Roman"/>
          <w:sz w:val="24"/>
        </w:rPr>
        <w:t>Guijarro</w:t>
      </w:r>
      <w:r>
        <w:rPr>
          <w:rFonts w:ascii="Times New Roman" w:cs="Times New Roman" w:hAnsi="Times New Roman"/>
          <w:sz w:val="24"/>
        </w:rPr>
        <w:t xml:space="preserve">, C., </w:t>
      </w:r>
      <w:r>
        <w:rPr>
          <w:rFonts w:ascii="Times New Roman" w:cs="Times New Roman" w:hAnsi="Times New Roman"/>
          <w:sz w:val="24"/>
        </w:rPr>
        <w:t>Ascaso</w:t>
      </w:r>
      <w:r>
        <w:rPr>
          <w:rFonts w:ascii="Times New Roman" w:cs="Times New Roman" w:hAnsi="Times New Roman"/>
          <w:sz w:val="24"/>
        </w:rPr>
        <w:t xml:space="preserve">, J., </w:t>
      </w:r>
      <w:r>
        <w:rPr>
          <w:rFonts w:ascii="Times New Roman" w:cs="Times New Roman" w:hAnsi="Times New Roman"/>
          <w:sz w:val="24"/>
        </w:rPr>
        <w:t>Lagares</w:t>
      </w:r>
      <w:r>
        <w:rPr>
          <w:rFonts w:ascii="Times New Roman" w:cs="Times New Roman" w:hAnsi="Times New Roman"/>
          <w:sz w:val="24"/>
        </w:rPr>
        <w:t xml:space="preserve">, M., &amp; </w:t>
      </w:r>
      <w:r>
        <w:rPr>
          <w:rFonts w:ascii="Times New Roman" w:cs="Times New Roman" w:hAnsi="Times New Roman"/>
          <w:sz w:val="24"/>
        </w:rPr>
        <w:t>Civeira</w:t>
      </w:r>
      <w:r>
        <w:rPr>
          <w:rFonts w:ascii="Times New Roman" w:cs="Times New Roman" w:hAnsi="Times New Roman"/>
          <w:sz w:val="24"/>
        </w:rPr>
        <w:t>, F. (2014). Recommendations for clinical use of food-enriched phytosterols/</w:t>
      </w:r>
      <w:r>
        <w:rPr>
          <w:rFonts w:ascii="Times New Roman" w:cs="Times New Roman" w:hAnsi="Times New Roman"/>
          <w:sz w:val="24"/>
        </w:rPr>
        <w:t>phytostanols</w:t>
      </w:r>
      <w:r>
        <w:rPr>
          <w:rFonts w:ascii="Times New Roman" w:cs="Times New Roman" w:hAnsi="Times New Roman"/>
          <w:sz w:val="24"/>
        </w:rPr>
        <w:t xml:space="preserve"> handling hypercholesterolemia. </w:t>
      </w:r>
      <w:r>
        <w:rPr>
          <w:rFonts w:ascii="Times New Roman" w:cs="Times New Roman" w:hAnsi="Times New Roman"/>
          <w:sz w:val="24"/>
        </w:rPr>
        <w:t>Clínica</w:t>
      </w:r>
      <w:r>
        <w:rPr>
          <w:rFonts w:ascii="Times New Roman" w:cs="Times New Roman" w:hAnsi="Times New Roman"/>
          <w:sz w:val="24"/>
        </w:rPr>
        <w:t xml:space="preserve"> e </w:t>
      </w:r>
      <w:r>
        <w:rPr>
          <w:rFonts w:ascii="Times New Roman" w:cs="Times New Roman" w:hAnsi="Times New Roman"/>
          <w:sz w:val="24"/>
        </w:rPr>
        <w:t>Investigación</w:t>
      </w:r>
      <w:r>
        <w:rPr>
          <w:rFonts w:ascii="Times New Roman" w:cs="Times New Roman" w:hAnsi="Times New Roman"/>
          <w:sz w:val="24"/>
        </w:rPr>
        <w:t xml:space="preserve"> </w:t>
      </w:r>
      <w:r>
        <w:rPr>
          <w:rFonts w:ascii="Times New Roman" w:cs="Times New Roman" w:hAnsi="Times New Roman"/>
          <w:sz w:val="24"/>
        </w:rPr>
        <w:t>en</w:t>
      </w:r>
      <w:r>
        <w:rPr>
          <w:rFonts w:ascii="Times New Roman" w:cs="Times New Roman" w:hAnsi="Times New Roman"/>
          <w:sz w:val="24"/>
        </w:rPr>
        <w:t xml:space="preserve"> Arteriosclerosis, 26(3), 147–158.</w:t>
      </w:r>
    </w:p>
    <w:p>
      <w:pPr>
        <w:pStyle w:val="style0"/>
        <w:jc w:val="both"/>
        <w:rPr>
          <w:rFonts w:ascii="Times New Roman" w:cs="Times New Roman" w:hAnsi="Times New Roman"/>
          <w:sz w:val="24"/>
        </w:rPr>
      </w:pPr>
      <w:r>
        <w:rPr>
          <w:rFonts w:ascii="Times New Roman" w:cs="Times New Roman" w:hAnsi="Times New Roman"/>
          <w:sz w:val="24"/>
        </w:rPr>
        <w:t>Nisticò</w:t>
      </w:r>
      <w:r>
        <w:rPr>
          <w:rFonts w:ascii="Times New Roman" w:cs="Times New Roman" w:hAnsi="Times New Roman"/>
          <w:sz w:val="24"/>
        </w:rPr>
        <w:t xml:space="preserve">, R. (2020). Polyethylene terephthalate (PET) in the packaging industry. Polymer </w:t>
      </w:r>
      <w:r>
        <w:rPr>
          <w:rFonts w:ascii="Times New Roman" w:cs="Times New Roman" w:hAnsi="Times New Roman"/>
          <w:sz w:val="24"/>
        </w:rPr>
        <w:tab/>
      </w:r>
      <w:r>
        <w:rPr>
          <w:rFonts w:ascii="Times New Roman" w:cs="Times New Roman" w:hAnsi="Times New Roman"/>
          <w:sz w:val="24"/>
        </w:rPr>
        <w:t>Testing, 90, 106707.</w:t>
      </w:r>
    </w:p>
    <w:p>
      <w:pPr>
        <w:pStyle w:val="style0"/>
        <w:jc w:val="both"/>
        <w:rPr>
          <w:rFonts w:ascii="Times New Roman" w:cs="Times New Roman" w:hAnsi="Times New Roman"/>
          <w:sz w:val="24"/>
        </w:rPr>
      </w:pPr>
      <w:r>
        <w:rPr>
          <w:rFonts w:ascii="Times New Roman" w:cs="Times New Roman" w:hAnsi="Times New Roman"/>
          <w:sz w:val="24"/>
        </w:rPr>
        <w:t>Naghavi</w:t>
      </w:r>
      <w:r>
        <w:rPr>
          <w:rFonts w:ascii="Times New Roman" w:cs="Times New Roman" w:hAnsi="Times New Roman"/>
          <w:sz w:val="24"/>
        </w:rPr>
        <w:t>, M., Wang, H., Lozano, R., Davis, A., Liang, X., Zhou, M., et al. (GBD 2013 Mortality and Causes of Death Collaborators). (2015, January). Global, regional, and national age-sex specific all-cause and cause-specific mortality for 240 causes of death, 1990-2013: A systematic analysis for the Global Burden of Disease Study 2013. Lancet, 385(9963), 117–171.</w:t>
      </w:r>
    </w:p>
    <w:p>
      <w:pPr>
        <w:pStyle w:val="style0"/>
        <w:jc w:val="both"/>
        <w:rPr>
          <w:rFonts w:ascii="Times New Roman" w:cs="Times New Roman" w:hAnsi="Times New Roman"/>
          <w:sz w:val="24"/>
        </w:rPr>
      </w:pPr>
      <w:r>
        <w:rPr>
          <w:rFonts w:ascii="Times New Roman" w:cs="Times New Roman" w:hAnsi="Times New Roman"/>
          <w:sz w:val="24"/>
        </w:rPr>
        <w:t xml:space="preserve">Nichols, M., Townsend, N., Scarborough, P., &amp; Rayner, M. (2014). Cardiovascular disease in </w:t>
      </w:r>
      <w:r>
        <w:rPr>
          <w:rFonts w:ascii="Times New Roman" w:cs="Times New Roman" w:hAnsi="Times New Roman"/>
          <w:sz w:val="24"/>
        </w:rPr>
        <w:tab/>
      </w:r>
      <w:r>
        <w:rPr>
          <w:rFonts w:ascii="Times New Roman" w:cs="Times New Roman" w:hAnsi="Times New Roman"/>
          <w:sz w:val="24"/>
        </w:rPr>
        <w:t>Europe 2014: Epidemiological update. European Heart Journal, 35, 2950–2959.</w:t>
      </w:r>
    </w:p>
    <w:p>
      <w:pPr>
        <w:pStyle w:val="style0"/>
        <w:jc w:val="both"/>
        <w:rPr>
          <w:rFonts w:ascii="Times New Roman" w:cs="Times New Roman" w:hAnsi="Times New Roman"/>
          <w:sz w:val="24"/>
        </w:rPr>
      </w:pPr>
      <w:r>
        <w:rPr>
          <w:rFonts w:ascii="Times New Roman" w:cs="Times New Roman" w:hAnsi="Times New Roman"/>
          <w:sz w:val="24"/>
        </w:rPr>
        <w:t xml:space="preserve">Olvera-Lopez, E., Ballard, B. D., &amp; Jan, A. (2024). Cardiovascular </w:t>
      </w:r>
      <w:r>
        <w:rPr>
          <w:rFonts w:ascii="Times New Roman" w:cs="Times New Roman" w:hAnsi="Times New Roman"/>
          <w:sz w:val="24"/>
        </w:rPr>
        <w:t>Disease.[</w:t>
      </w:r>
      <w:r>
        <w:rPr>
          <w:rFonts w:ascii="Times New Roman" w:cs="Times New Roman" w:hAnsi="Times New Roman"/>
          <w:sz w:val="24"/>
        </w:rPr>
        <w:t xml:space="preserve">Updated 2023 </w:t>
      </w:r>
      <w:r>
        <w:rPr>
          <w:rFonts w:ascii="Times New Roman" w:cs="Times New Roman" w:hAnsi="Times New Roman"/>
          <w:sz w:val="24"/>
        </w:rPr>
        <w:tab/>
      </w:r>
      <w:r>
        <w:rPr>
          <w:rFonts w:ascii="Times New Roman" w:cs="Times New Roman" w:hAnsi="Times New Roman"/>
          <w:sz w:val="24"/>
        </w:rPr>
        <w:t xml:space="preserve">Aug 22]. </w:t>
      </w:r>
      <w:r>
        <w:rPr>
          <w:rFonts w:ascii="Times New Roman" w:cs="Times New Roman" w:hAnsi="Times New Roman"/>
          <w:sz w:val="24"/>
        </w:rPr>
        <w:t>StatPearls</w:t>
      </w:r>
      <w:r>
        <w:rPr>
          <w:rFonts w:ascii="Times New Roman" w:cs="Times New Roman" w:hAnsi="Times New Roman"/>
          <w:sz w:val="24"/>
        </w:rPr>
        <w:t xml:space="preserve"> [Internet]. Treasure Island (FL): </w:t>
      </w:r>
      <w:r>
        <w:rPr>
          <w:rFonts w:ascii="Times New Roman" w:cs="Times New Roman" w:hAnsi="Times New Roman"/>
          <w:sz w:val="24"/>
        </w:rPr>
        <w:t>StatPearls</w:t>
      </w:r>
      <w:r>
        <w:rPr>
          <w:rFonts w:ascii="Times New Roman" w:cs="Times New Roman" w:hAnsi="Times New Roman"/>
          <w:sz w:val="24"/>
        </w:rPr>
        <w:t xml:space="preserve"> Publishing.</w:t>
      </w:r>
    </w:p>
    <w:p>
      <w:pPr>
        <w:pStyle w:val="style0"/>
        <w:jc w:val="both"/>
        <w:rPr>
          <w:rFonts w:ascii="Times New Roman" w:cs="Times New Roman" w:hAnsi="Times New Roman"/>
          <w:sz w:val="24"/>
        </w:rPr>
      </w:pPr>
      <w:r>
        <w:rPr>
          <w:rFonts w:ascii="Times New Roman" w:cs="Times New Roman" w:hAnsi="Times New Roman"/>
          <w:sz w:val="24"/>
        </w:rPr>
        <w:t>Petersen, K. S., &amp; Kris-</w:t>
      </w:r>
      <w:r>
        <w:rPr>
          <w:rFonts w:ascii="Times New Roman" w:cs="Times New Roman" w:hAnsi="Times New Roman"/>
          <w:sz w:val="24"/>
        </w:rPr>
        <w:t>Etherton</w:t>
      </w:r>
      <w:r>
        <w:rPr>
          <w:rFonts w:ascii="Times New Roman" w:cs="Times New Roman" w:hAnsi="Times New Roman"/>
          <w:sz w:val="24"/>
        </w:rPr>
        <w:t xml:space="preserve">, P. M. (2021). Diet quality assessment and the relationship </w:t>
      </w:r>
      <w:r>
        <w:rPr>
          <w:rFonts w:ascii="Times New Roman" w:cs="Times New Roman" w:hAnsi="Times New Roman"/>
          <w:sz w:val="24"/>
        </w:rPr>
        <w:tab/>
      </w:r>
      <w:r>
        <w:rPr>
          <w:rFonts w:ascii="Times New Roman" w:cs="Times New Roman" w:hAnsi="Times New Roman"/>
          <w:sz w:val="24"/>
        </w:rPr>
        <w:t>between diet quality and cardiovascular disease risk. Nutrients, 13(12), 4305.</w:t>
      </w:r>
    </w:p>
    <w:p>
      <w:pPr>
        <w:pStyle w:val="style0"/>
        <w:jc w:val="both"/>
        <w:rPr>
          <w:rFonts w:ascii="Times New Roman" w:cs="Times New Roman" w:hAnsi="Times New Roman"/>
          <w:sz w:val="24"/>
        </w:rPr>
      </w:pPr>
      <w:r>
        <w:rPr>
          <w:rFonts w:ascii="Times New Roman" w:cs="Times New Roman" w:hAnsi="Times New Roman"/>
          <w:sz w:val="24"/>
        </w:rPr>
        <w:t>Prüst</w:t>
      </w:r>
      <w:r>
        <w:rPr>
          <w:rFonts w:ascii="Times New Roman" w:cs="Times New Roman" w:hAnsi="Times New Roman"/>
          <w:sz w:val="24"/>
        </w:rPr>
        <w:t xml:space="preserve">, M., Meijer, J., &amp; </w:t>
      </w:r>
      <w:r>
        <w:rPr>
          <w:rFonts w:ascii="Times New Roman" w:cs="Times New Roman" w:hAnsi="Times New Roman"/>
          <w:sz w:val="24"/>
        </w:rPr>
        <w:t>Westerink</w:t>
      </w:r>
      <w:r>
        <w:rPr>
          <w:rFonts w:ascii="Times New Roman" w:cs="Times New Roman" w:hAnsi="Times New Roman"/>
          <w:sz w:val="24"/>
        </w:rPr>
        <w:t xml:space="preserve">, R. H. S. (2020). The plastic brain: neurotoxicity of micro- and </w:t>
      </w:r>
      <w:r>
        <w:rPr>
          <w:rFonts w:ascii="Times New Roman" w:cs="Times New Roman" w:hAnsi="Times New Roman"/>
          <w:sz w:val="24"/>
        </w:rPr>
        <w:t>nanoplastics</w:t>
      </w:r>
      <w:r>
        <w:rPr>
          <w:rFonts w:ascii="Times New Roman" w:cs="Times New Roman" w:hAnsi="Times New Roman"/>
          <w:sz w:val="24"/>
        </w:rPr>
        <w:t xml:space="preserve">. Particle and </w:t>
      </w:r>
      <w:r>
        <w:rPr>
          <w:rFonts w:ascii="Times New Roman" w:cs="Times New Roman" w:hAnsi="Times New Roman"/>
          <w:sz w:val="24"/>
        </w:rPr>
        <w:t>Fibre</w:t>
      </w:r>
      <w:r>
        <w:rPr>
          <w:rFonts w:ascii="Times New Roman" w:cs="Times New Roman" w:hAnsi="Times New Roman"/>
          <w:sz w:val="24"/>
        </w:rPr>
        <w:t xml:space="preserve"> Toxicology, 17(1), 213-221.</w:t>
      </w:r>
    </w:p>
    <w:p>
      <w:pPr>
        <w:pStyle w:val="style0"/>
        <w:jc w:val="both"/>
        <w:rPr>
          <w:rFonts w:ascii="Times New Roman" w:cs="Times New Roman" w:hAnsi="Times New Roman"/>
          <w:sz w:val="24"/>
        </w:rPr>
      </w:pPr>
      <w:r>
        <w:rPr>
          <w:rFonts w:ascii="Times New Roman" w:cs="Times New Roman" w:hAnsi="Times New Roman"/>
          <w:sz w:val="24"/>
        </w:rPr>
        <w:t xml:space="preserve">Rye, K.-A. (2014). Biomarkers associated with high-density lipoproteins in atherosclerotic kidney </w:t>
      </w:r>
      <w:r>
        <w:rPr>
          <w:rFonts w:ascii="Times New Roman" w:cs="Times New Roman" w:hAnsi="Times New Roman"/>
          <w:sz w:val="24"/>
        </w:rPr>
        <w:tab/>
      </w:r>
      <w:r>
        <w:rPr>
          <w:rFonts w:ascii="Times New Roman" w:cs="Times New Roman" w:hAnsi="Times New Roman"/>
          <w:sz w:val="24"/>
        </w:rPr>
        <w:t>disease. Clinical and Experimental Nephrology, 18(2), 247–250.</w:t>
      </w:r>
    </w:p>
    <w:p>
      <w:pPr>
        <w:pStyle w:val="style0"/>
        <w:jc w:val="both"/>
        <w:rPr>
          <w:rFonts w:ascii="Times New Roman" w:cs="Times New Roman" w:hAnsi="Times New Roman"/>
          <w:sz w:val="24"/>
        </w:rPr>
      </w:pPr>
      <w:r>
        <w:rPr>
          <w:rFonts w:ascii="Times New Roman" w:cs="Times New Roman" w:hAnsi="Times New Roman"/>
          <w:sz w:val="24"/>
        </w:rPr>
        <w:t xml:space="preserve">Ragusa, A., </w:t>
      </w:r>
      <w:r>
        <w:rPr>
          <w:rFonts w:ascii="Times New Roman" w:cs="Times New Roman" w:hAnsi="Times New Roman"/>
          <w:sz w:val="24"/>
        </w:rPr>
        <w:t>Chost</w:t>
      </w:r>
      <w:r>
        <w:rPr>
          <w:rFonts w:ascii="Times New Roman" w:cs="Times New Roman" w:hAnsi="Times New Roman"/>
          <w:sz w:val="24"/>
        </w:rPr>
        <w:t xml:space="preserve">, E. &amp; </w:t>
      </w:r>
      <w:r>
        <w:rPr>
          <w:rFonts w:ascii="Times New Roman" w:cs="Times New Roman" w:hAnsi="Times New Roman"/>
          <w:sz w:val="24"/>
        </w:rPr>
        <w:t>Atcoh</w:t>
      </w:r>
      <w:r>
        <w:rPr>
          <w:rFonts w:ascii="Times New Roman" w:cs="Times New Roman" w:hAnsi="Times New Roman"/>
          <w:sz w:val="24"/>
        </w:rPr>
        <w:t>, S. l. (2021). Plastic particles in human tissues: A review. Environmental Science &amp; Technology, 55(8), 1238–1249.</w:t>
      </w:r>
    </w:p>
    <w:p>
      <w:pPr>
        <w:pStyle w:val="style0"/>
        <w:jc w:val="both"/>
        <w:rPr>
          <w:rFonts w:ascii="Times New Roman" w:cs="Times New Roman" w:hAnsi="Times New Roman"/>
          <w:sz w:val="24"/>
        </w:rPr>
      </w:pPr>
      <w:r>
        <w:rPr>
          <w:rFonts w:ascii="Times New Roman" w:cs="Times New Roman" w:hAnsi="Times New Roman"/>
          <w:sz w:val="24"/>
        </w:rPr>
        <w:t>Toldo</w:t>
      </w:r>
      <w:r>
        <w:rPr>
          <w:rFonts w:ascii="Times New Roman" w:cs="Times New Roman" w:hAnsi="Times New Roman"/>
          <w:sz w:val="24"/>
        </w:rPr>
        <w:t xml:space="preserve">, S., </w:t>
      </w:r>
      <w:r>
        <w:rPr>
          <w:rFonts w:ascii="Times New Roman" w:cs="Times New Roman" w:hAnsi="Times New Roman"/>
          <w:sz w:val="24"/>
        </w:rPr>
        <w:t>Mezzaroma</w:t>
      </w:r>
      <w:r>
        <w:rPr>
          <w:rFonts w:ascii="Times New Roman" w:cs="Times New Roman" w:hAnsi="Times New Roman"/>
          <w:sz w:val="24"/>
        </w:rPr>
        <w:t>, E. &amp; Mauro, A. G. (2018). Role of tumor necrosis factor-α in myocardial ischemic injury and remodeling: Focus on the sphingolipid signaling. Frontiers in Cardiovascular Medicine, 5, 157.</w:t>
      </w:r>
    </w:p>
    <w:p>
      <w:pPr>
        <w:pStyle w:val="style0"/>
        <w:jc w:val="both"/>
        <w:rPr>
          <w:rFonts w:ascii="Times New Roman" w:cs="Times New Roman" w:hAnsi="Times New Roman"/>
          <w:sz w:val="24"/>
        </w:rPr>
      </w:pPr>
      <w:r>
        <w:rPr>
          <w:rFonts w:ascii="Times New Roman" w:cs="Times New Roman" w:hAnsi="Times New Roman"/>
          <w:sz w:val="24"/>
        </w:rPr>
        <w:t>Upadhyay, R. K. (2015). Emerging risk biomarkers in cardiovascular diseases and disorders. Journal of Lipids, 2015, 971453.</w:t>
      </w:r>
    </w:p>
    <w:p>
      <w:pPr>
        <w:pStyle w:val="style0"/>
        <w:jc w:val="both"/>
        <w:rPr>
          <w:rFonts w:ascii="Times New Roman" w:cs="Times New Roman" w:hAnsi="Times New Roman"/>
          <w:sz w:val="24"/>
        </w:rPr>
      </w:pPr>
      <w:r>
        <w:rPr>
          <w:rFonts w:ascii="Times New Roman" w:cs="Times New Roman" w:hAnsi="Times New Roman"/>
          <w:sz w:val="24"/>
        </w:rPr>
        <w:t xml:space="preserve">Zhan, Y., Yu, J., Ding, R., Sun, Y., &amp; Hu, D. (2014). Triglyceride to high-density lipoprotein </w:t>
      </w:r>
      <w:r>
        <w:rPr>
          <w:rFonts w:ascii="Times New Roman" w:cs="Times New Roman" w:hAnsi="Times New Roman"/>
          <w:sz w:val="24"/>
        </w:rPr>
        <w:tab/>
      </w:r>
      <w:r>
        <w:rPr>
          <w:rFonts w:ascii="Times New Roman" w:cs="Times New Roman" w:hAnsi="Times New Roman"/>
          <w:sz w:val="24"/>
        </w:rPr>
        <w:t xml:space="preserve">cholesterol ratio, total cholesterol to high-density lipoprotein cholesterol ratio, and low </w:t>
      </w:r>
      <w:r>
        <w:rPr>
          <w:rFonts w:ascii="Times New Roman" w:cs="Times New Roman" w:hAnsi="Times New Roman"/>
          <w:sz w:val="24"/>
        </w:rPr>
        <w:tab/>
      </w:r>
      <w:r>
        <w:rPr>
          <w:rFonts w:ascii="Times New Roman" w:cs="Times New Roman" w:hAnsi="Times New Roman"/>
          <w:sz w:val="24"/>
        </w:rPr>
        <w:t>ankle-brachial index in an elderly population. Vasa, 43(3), 189–197.</w:t>
      </w:r>
    </w:p>
    <w:p>
      <w:pPr>
        <w:pStyle w:val="style0"/>
        <w:jc w:val="both"/>
        <w:rPr>
          <w:rFonts w:ascii="Times New Roman" w:cs="Times New Roman" w:hAnsi="Times New Roman"/>
          <w:sz w:val="24"/>
        </w:rPr>
      </w:pPr>
      <w:r>
        <w:rPr>
          <w:rFonts w:ascii="Times New Roman" w:cs="Times New Roman" w:hAnsi="Times New Roman"/>
          <w:sz w:val="24"/>
        </w:rPr>
        <w:t xml:space="preserve">Zhou, X., Li, J., Guo, J., &amp; </w:t>
      </w:r>
      <w:r>
        <w:rPr>
          <w:rFonts w:ascii="Times New Roman" w:cs="Times New Roman" w:hAnsi="Times New Roman"/>
          <w:sz w:val="24"/>
        </w:rPr>
        <w:t>Geng</w:t>
      </w:r>
      <w:r>
        <w:rPr>
          <w:rFonts w:ascii="Times New Roman" w:cs="Times New Roman" w:hAnsi="Times New Roman"/>
          <w:sz w:val="24"/>
        </w:rPr>
        <w:t xml:space="preserve">, B. (2020). TNF-α in the cardiovascular system: From physiology </w:t>
      </w:r>
      <w:r>
        <w:rPr>
          <w:rFonts w:ascii="Times New Roman" w:cs="Times New Roman" w:hAnsi="Times New Roman"/>
          <w:sz w:val="24"/>
        </w:rPr>
        <w:tab/>
      </w:r>
      <w:r>
        <w:rPr>
          <w:rFonts w:ascii="Times New Roman" w:cs="Times New Roman" w:hAnsi="Times New Roman"/>
          <w:sz w:val="24"/>
        </w:rPr>
        <w:t>to pathology. International Journal of Molecular Sciences, 21(23), 8767.</w:t>
      </w: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lang w:val="en-GB" w:bidi="ar-SA" w:eastAsia="en-GB"/>
      </w:rPr>
    </w:rPrDefault>
    <w:pPrDefault>
      <w:pPr/>
    </w:pPrDefault>
  </w:docDefaults>
  <w:style w:type="paragraph" w:default="1" w:styleId="style0">
    <w:name w:val="Normal"/>
    <w:next w:val="style0"/>
    <w:qFormat/>
    <w:pPr>
      <w:spacing w:after="200" w:lineRule="auto" w:line="276"/>
    </w:pPr>
    <w:rPr>
      <w:sz w:val="22"/>
      <w:szCs w:val="22"/>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link w:val="style4099"/>
    <w:qFormat/>
    <w:uiPriority w:val="34"/>
    <w:pPr>
      <w:ind w:left="720"/>
      <w:contextualSpacing/>
    </w:pPr>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customStyle="1" w:styleId="style4098">
    <w:name w:val="epub-section__date"/>
    <w:basedOn w:val="style65"/>
    <w:next w:val="style4098"/>
    <w:qFormat/>
  </w:style>
  <w:style w:type="character" w:customStyle="1" w:styleId="style4099">
    <w:name w:val="List Paragraph Char"/>
    <w:basedOn w:val="style65"/>
    <w:next w:val="style4099"/>
    <w:link w:val="style179"/>
    <w:qFormat/>
    <w:uiPriority w:val="34"/>
  </w:style>
  <w:style w:type="character" w:styleId="style85">
    <w:name w:val="Hyperlink"/>
    <w:basedOn w:val="style65"/>
    <w:next w:val="style85"/>
    <w:rPr>
      <w:color w:val="0000ff"/>
      <w:u w:val="single"/>
    </w:rPr>
  </w:style>
  <w:style w:type="character" w:customStyle="1" w:styleId="style4100">
    <w:name w:val="Unresolved Mention1"/>
    <w:basedOn w:val="style65"/>
    <w:next w:val="style4100"/>
    <w:uiPriority w:val="99"/>
    <w:rPr>
      <w:color w:val="605e5c"/>
      <w:shd w:val="clear" w:color="auto" w:fill="e1dfdd"/>
    </w:rPr>
  </w:style>
  <w:style w:type="paragraph" w:styleId="style31">
    <w:name w:val="header"/>
    <w:basedOn w:val="style0"/>
    <w:next w:val="style31"/>
    <w:link w:val="style4101"/>
    <w:pPr>
      <w:tabs>
        <w:tab w:val="center" w:leader="none" w:pos="4680"/>
        <w:tab w:val="right" w:leader="none" w:pos="9360"/>
      </w:tabs>
      <w:spacing w:after="0" w:lineRule="auto" w:line="240"/>
    </w:pPr>
    <w:rPr/>
  </w:style>
  <w:style w:type="character" w:customStyle="1" w:styleId="style4101">
    <w:name w:val="Header Char_1f653008-007f-4ebf-99cd-14e6ab8d9242"/>
    <w:basedOn w:val="style65"/>
    <w:next w:val="style4101"/>
    <w:link w:val="style31"/>
    <w:rPr>
      <w:sz w:val="22"/>
      <w:szCs w:val="22"/>
      <w:lang w:val="en-US" w:eastAsia="en-US"/>
    </w:rPr>
  </w:style>
  <w:style w:type="paragraph" w:styleId="style32">
    <w:name w:val="footer"/>
    <w:basedOn w:val="style0"/>
    <w:next w:val="style32"/>
    <w:link w:val="style4102"/>
    <w:pPr>
      <w:tabs>
        <w:tab w:val="center" w:leader="none" w:pos="4680"/>
        <w:tab w:val="right" w:leader="none" w:pos="9360"/>
      </w:tabs>
      <w:spacing w:after="0" w:lineRule="auto" w:line="240"/>
    </w:pPr>
    <w:rPr/>
  </w:style>
  <w:style w:type="character" w:customStyle="1" w:styleId="style4102">
    <w:name w:val="Footer Char_fc3e1c03-fcfe-4c94-a152-ee06be1a7d4c"/>
    <w:basedOn w:val="style65"/>
    <w:next w:val="style4102"/>
    <w:link w:val="style32"/>
    <w:rPr>
      <w:sz w:val="22"/>
      <w:szCs w:val="22"/>
      <w:lang w:val="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A543F-E5C3-425B-81B7-EC502EC8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Words>4199</Words>
  <Pages>18</Pages>
  <Characters>24808</Characters>
  <Application>WPS Office</Application>
  <DocSecurity>0</DocSecurity>
  <Paragraphs>283</Paragraphs>
  <ScaleCrop>false</ScaleCrop>
  <LinksUpToDate>false</LinksUpToDate>
  <CharactersWithSpaces>28847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2025-05-29T18:45:00Z</dcterms:created>
  <dc:creator>user</dc:creator>
  <lastModifiedBy>SM-A135F</lastModifiedBy>
  <dcterms:modified xsi:type="dcterms:W3CDTF">2025-06-06T08:07:36Z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a6d8c07b064d4edaa4c1f19256195c53</vt:lpwstr>
  </property>
  <property fmtid="{D5CDD505-2E9C-101B-9397-08002B2CF9AE}" pid="3" name="KSOProductBuildVer">
    <vt:lpwstr>1033-12.2.0.21179</vt:lpwstr>
  </property>
</Properties>
</file>